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黑体" w:hAnsi="黑体" w:eastAsia="黑体" w:cs="黑体"/>
          <w:b/>
          <w:color w:val="auto"/>
          <w:sz w:val="28"/>
          <w:szCs w:val="28"/>
        </w:rPr>
      </w:pPr>
      <w:r>
        <w:rPr>
          <w:rFonts w:hint="eastAsia" w:asciiTheme="majorEastAsia" w:hAnsiTheme="majorEastAsia" w:eastAsiaTheme="majorEastAsia"/>
          <w:b/>
          <w:color w:val="auto"/>
          <w:sz w:val="72"/>
          <w:szCs w:val="72"/>
          <w:lang w:val="en-US" w:eastAsia="zh-CN"/>
        </w:rPr>
        <w:t xml:space="preserve"> </w:t>
      </w:r>
    </w:p>
    <w:p>
      <w:pPr>
        <w:jc w:val="left"/>
        <w:rPr>
          <w:rFonts w:hint="default" w:asciiTheme="majorEastAsia" w:hAnsiTheme="majorEastAsia" w:eastAsiaTheme="majorEastAsia"/>
          <w:b/>
          <w:color w:val="auto"/>
          <w:sz w:val="72"/>
          <w:szCs w:val="72"/>
          <w:lang w:val="en-US" w:eastAsia="zh-CN"/>
        </w:rPr>
      </w:pPr>
    </w:p>
    <w:p>
      <w:pPr>
        <w:jc w:val="left"/>
        <w:rPr>
          <w:rFonts w:asciiTheme="majorEastAsia" w:hAnsiTheme="majorEastAsia" w:eastAsiaTheme="majorEastAsia"/>
          <w:b/>
          <w:color w:val="auto"/>
          <w:sz w:val="72"/>
          <w:szCs w:val="72"/>
        </w:rPr>
      </w:pPr>
    </w:p>
    <w:p>
      <w:pPr>
        <w:jc w:val="left"/>
        <w:rPr>
          <w:rFonts w:asciiTheme="majorEastAsia" w:hAnsiTheme="majorEastAsia" w:eastAsiaTheme="majorEastAsia"/>
          <w:b/>
          <w:color w:val="auto"/>
          <w:sz w:val="72"/>
          <w:szCs w:val="72"/>
        </w:rPr>
      </w:pPr>
    </w:p>
    <w:p>
      <w:pPr>
        <w:jc w:val="left"/>
        <w:rPr>
          <w:rFonts w:asciiTheme="majorEastAsia" w:hAnsiTheme="majorEastAsia" w:eastAsiaTheme="majorEastAsia"/>
          <w:b/>
          <w:color w:val="auto"/>
          <w:sz w:val="72"/>
          <w:szCs w:val="72"/>
        </w:rPr>
      </w:pPr>
    </w:p>
    <w:p>
      <w:pPr>
        <w:jc w:val="left"/>
        <w:rPr>
          <w:rFonts w:asciiTheme="majorEastAsia" w:hAnsiTheme="majorEastAsia" w:eastAsiaTheme="majorEastAsia"/>
          <w:b/>
          <w:color w:val="auto"/>
          <w:sz w:val="72"/>
          <w:szCs w:val="72"/>
        </w:rPr>
      </w:pPr>
    </w:p>
    <w:p>
      <w:pPr>
        <w:jc w:val="left"/>
        <w:rPr>
          <w:rFonts w:asciiTheme="minorEastAsia" w:hAnsiTheme="minorEastAsia"/>
          <w:b/>
          <w:color w:val="auto"/>
          <w:sz w:val="72"/>
          <w:szCs w:val="72"/>
        </w:rPr>
      </w:pPr>
      <w:r>
        <w:rPr>
          <w:rFonts w:hint="eastAsia" w:asciiTheme="minorEastAsia" w:hAnsiTheme="minorEastAsia"/>
          <w:b/>
          <w:color w:val="auto"/>
          <w:sz w:val="72"/>
          <w:szCs w:val="72"/>
        </w:rPr>
        <w:t>临床研究常用制度/SOP汇编</w:t>
      </w: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hint="default" w:asciiTheme="majorEastAsia" w:hAnsiTheme="majorEastAsia" w:eastAsiaTheme="majorEastAsia"/>
          <w:b/>
          <w:color w:val="auto"/>
          <w:sz w:val="36"/>
          <w:szCs w:val="36"/>
          <w:lang w:val="en-US" w:eastAsia="zh-CN"/>
        </w:rPr>
      </w:pPr>
      <w:r>
        <w:rPr>
          <w:rFonts w:hint="eastAsia" w:asciiTheme="majorEastAsia" w:hAnsiTheme="majorEastAsia" w:eastAsiaTheme="majorEastAsia"/>
          <w:b/>
          <w:color w:val="auto"/>
          <w:sz w:val="36"/>
          <w:szCs w:val="36"/>
          <w:lang w:val="en-US" w:eastAsia="zh-CN"/>
        </w:rPr>
        <w:t xml:space="preserve">  </w:t>
      </w: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asciiTheme="majorEastAsia" w:hAnsiTheme="majorEastAsia" w:eastAsiaTheme="majorEastAsia"/>
          <w:b/>
          <w:color w:val="auto"/>
          <w:sz w:val="36"/>
          <w:szCs w:val="36"/>
        </w:rPr>
      </w:pPr>
    </w:p>
    <w:p>
      <w:pPr>
        <w:ind w:firstLine="3596" w:firstLineChars="995"/>
        <w:jc w:val="left"/>
        <w:rPr>
          <w:rFonts w:asciiTheme="majorEastAsia" w:hAnsiTheme="majorEastAsia" w:eastAsiaTheme="majorEastAsia"/>
          <w:b/>
          <w:color w:val="auto"/>
          <w:sz w:val="36"/>
          <w:szCs w:val="36"/>
        </w:rPr>
      </w:pPr>
    </w:p>
    <w:p>
      <w:pPr>
        <w:jc w:val="center"/>
        <w:rPr>
          <w:rFonts w:asciiTheme="majorEastAsia" w:hAnsiTheme="majorEastAsia" w:eastAsiaTheme="majorEastAsia"/>
          <w:color w:val="auto"/>
          <w:sz w:val="36"/>
          <w:szCs w:val="36"/>
        </w:rPr>
      </w:pPr>
      <w:r>
        <w:rPr>
          <w:rFonts w:hint="eastAsia" w:asciiTheme="majorEastAsia" w:hAnsiTheme="majorEastAsia" w:eastAsiaTheme="majorEastAsia"/>
          <w:color w:val="auto"/>
          <w:sz w:val="36"/>
          <w:szCs w:val="36"/>
        </w:rPr>
        <w:t>沂源县人民医院药物/医疗器械临床试验机构办公室</w:t>
      </w:r>
    </w:p>
    <w:p>
      <w:pPr>
        <w:jc w:val="left"/>
        <w:rPr>
          <w:rFonts w:hint="eastAsia" w:asciiTheme="majorEastAsia" w:hAnsiTheme="majorEastAsia" w:eastAsiaTheme="majorEastAsia"/>
          <w:color w:val="auto"/>
          <w:sz w:val="36"/>
          <w:szCs w:val="36"/>
        </w:rPr>
      </w:pPr>
    </w:p>
    <w:p>
      <w:pPr>
        <w:jc w:val="center"/>
        <w:rPr>
          <w:rFonts w:asciiTheme="minorEastAsia" w:hAnsiTheme="minorEastAsia"/>
          <w:b/>
          <w:color w:val="auto"/>
          <w:sz w:val="32"/>
          <w:szCs w:val="32"/>
        </w:rPr>
      </w:pPr>
      <w:r>
        <w:rPr>
          <w:rFonts w:hint="eastAsia" w:asciiTheme="majorEastAsia" w:hAnsiTheme="majorEastAsia" w:eastAsiaTheme="majorEastAsia"/>
          <w:color w:val="auto"/>
          <w:sz w:val="36"/>
          <w:szCs w:val="36"/>
        </w:rPr>
        <w:t>202</w:t>
      </w:r>
      <w:r>
        <w:rPr>
          <w:rFonts w:hint="eastAsia" w:asciiTheme="majorEastAsia" w:hAnsiTheme="majorEastAsia" w:eastAsiaTheme="majorEastAsia"/>
          <w:color w:val="auto"/>
          <w:sz w:val="36"/>
          <w:szCs w:val="36"/>
          <w:lang w:val="en-US" w:eastAsia="zh-CN"/>
        </w:rPr>
        <w:t>3</w:t>
      </w:r>
      <w:r>
        <w:rPr>
          <w:rFonts w:hint="eastAsia" w:asciiTheme="majorEastAsia" w:hAnsiTheme="majorEastAsia" w:eastAsiaTheme="majorEastAsia"/>
          <w:color w:val="auto"/>
          <w:sz w:val="36"/>
          <w:szCs w:val="36"/>
        </w:rPr>
        <w:t>年</w:t>
      </w:r>
      <w:r>
        <w:rPr>
          <w:rFonts w:hint="eastAsia" w:asciiTheme="majorEastAsia" w:hAnsiTheme="majorEastAsia" w:eastAsiaTheme="majorEastAsia"/>
          <w:color w:val="auto"/>
          <w:sz w:val="36"/>
          <w:szCs w:val="36"/>
          <w:lang w:val="en-US" w:eastAsia="zh-CN"/>
        </w:rPr>
        <w:t>11</w:t>
      </w:r>
      <w:r>
        <w:rPr>
          <w:rFonts w:hint="eastAsia" w:asciiTheme="majorEastAsia" w:hAnsiTheme="majorEastAsia" w:eastAsiaTheme="majorEastAsia"/>
          <w:color w:val="auto"/>
          <w:sz w:val="36"/>
          <w:szCs w:val="36"/>
        </w:rPr>
        <w:t>月</w:t>
      </w:r>
    </w:p>
    <w:p>
      <w:pPr>
        <w:spacing w:line="440" w:lineRule="exact"/>
        <w:ind w:firstLine="1928" w:firstLineChars="600"/>
        <w:rPr>
          <w:rFonts w:ascii="黑体" w:hAnsi="黑体" w:eastAsia="黑体" w:cs="黑体"/>
          <w:b/>
          <w:color w:val="auto"/>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bookmarkStart w:id="15" w:name="_GoBack"/>
      <w:bookmarkEnd w:id="15"/>
    </w:p>
    <w:p>
      <w:pPr>
        <w:spacing w:line="360" w:lineRule="auto"/>
        <w:jc w:val="center"/>
        <w:rPr>
          <w:rFonts w:ascii="黑体" w:hAnsi="黑体" w:eastAsia="黑体" w:cs="黑体"/>
          <w:bCs/>
          <w:color w:val="auto"/>
          <w:sz w:val="32"/>
          <w:szCs w:val="32"/>
        </w:rPr>
      </w:pPr>
      <w:r>
        <w:rPr>
          <w:rFonts w:hint="eastAsia" w:ascii="黑体" w:hAnsi="黑体" w:eastAsia="黑体" w:cs="黑体"/>
          <w:bCs/>
          <w:color w:val="auto"/>
          <w:sz w:val="32"/>
          <w:szCs w:val="32"/>
        </w:rPr>
        <w:t>第一章 岗位职责</w:t>
      </w:r>
    </w:p>
    <w:p>
      <w:pPr>
        <w:tabs>
          <w:tab w:val="left" w:pos="2790"/>
        </w:tabs>
        <w:spacing w:line="360" w:lineRule="auto"/>
        <w:rPr>
          <w:rFonts w:asciiTheme="minorEastAsia" w:hAnsiTheme="minorEastAsia"/>
          <w:bCs/>
          <w:color w:val="auto"/>
          <w:sz w:val="28"/>
          <w:szCs w:val="28"/>
        </w:rPr>
      </w:pPr>
      <w:r>
        <w:rPr>
          <w:rFonts w:hint="eastAsia" w:asciiTheme="minorEastAsia" w:hAnsiTheme="minorEastAsia"/>
          <w:bCs/>
          <w:color w:val="auto"/>
          <w:sz w:val="28"/>
          <w:szCs w:val="28"/>
        </w:rPr>
        <w:t>药物/医疗器械临床试验机构组织体系结构..........................</w:t>
      </w:r>
    </w:p>
    <w:p>
      <w:pPr>
        <w:numPr>
          <w:ilvl w:val="0"/>
          <w:numId w:val="1"/>
        </w:numPr>
        <w:tabs>
          <w:tab w:val="left" w:pos="2790"/>
        </w:tabs>
        <w:spacing w:line="360" w:lineRule="auto"/>
        <w:rPr>
          <w:rFonts w:asciiTheme="minorEastAsia" w:hAnsiTheme="minorEastAsia"/>
          <w:bCs/>
          <w:color w:val="auto"/>
          <w:sz w:val="28"/>
          <w:szCs w:val="28"/>
        </w:rPr>
      </w:pPr>
      <w:r>
        <w:rPr>
          <w:rFonts w:hint="eastAsia" w:asciiTheme="minorEastAsia" w:hAnsiTheme="minorEastAsia"/>
          <w:bCs/>
          <w:color w:val="auto"/>
          <w:sz w:val="28"/>
          <w:szCs w:val="28"/>
        </w:rPr>
        <w:t>机构主任职责...............................................</w:t>
      </w:r>
    </w:p>
    <w:p>
      <w:pPr>
        <w:tabs>
          <w:tab w:val="left" w:pos="2790"/>
        </w:tabs>
        <w:spacing w:line="360" w:lineRule="auto"/>
        <w:rPr>
          <w:rFonts w:asciiTheme="minorEastAsia" w:hAnsiTheme="minorEastAsia"/>
          <w:bCs/>
          <w:color w:val="auto"/>
          <w:sz w:val="28"/>
          <w:szCs w:val="28"/>
        </w:rPr>
      </w:pPr>
      <w:r>
        <w:rPr>
          <w:rFonts w:hint="eastAsia" w:asciiTheme="minorEastAsia" w:hAnsiTheme="minorEastAsia"/>
          <w:bCs/>
          <w:color w:val="auto"/>
          <w:sz w:val="28"/>
          <w:szCs w:val="28"/>
        </w:rPr>
        <w:t>二、机构副主任职责.............................................</w:t>
      </w:r>
    </w:p>
    <w:p>
      <w:pPr>
        <w:tabs>
          <w:tab w:val="left" w:pos="2790"/>
        </w:tabs>
        <w:spacing w:line="360" w:lineRule="auto"/>
        <w:rPr>
          <w:rFonts w:asciiTheme="minorEastAsia" w:hAnsiTheme="minorEastAsia"/>
          <w:bCs/>
          <w:color w:val="auto"/>
          <w:sz w:val="28"/>
          <w:szCs w:val="28"/>
        </w:rPr>
      </w:pPr>
      <w:r>
        <w:rPr>
          <w:rFonts w:hint="eastAsia" w:asciiTheme="minorEastAsia" w:hAnsiTheme="minorEastAsia"/>
          <w:bCs/>
          <w:color w:val="auto"/>
          <w:sz w:val="28"/>
          <w:szCs w:val="28"/>
        </w:rPr>
        <w:t>三、机构办公室主任职责.........................................</w:t>
      </w:r>
    </w:p>
    <w:p>
      <w:pPr>
        <w:tabs>
          <w:tab w:val="left" w:pos="2790"/>
        </w:tabs>
        <w:spacing w:line="360" w:lineRule="auto"/>
        <w:rPr>
          <w:rFonts w:asciiTheme="minorEastAsia" w:hAnsiTheme="minorEastAsia"/>
          <w:bCs/>
          <w:color w:val="auto"/>
          <w:sz w:val="28"/>
          <w:szCs w:val="28"/>
        </w:rPr>
      </w:pPr>
      <w:r>
        <w:rPr>
          <w:rFonts w:hint="eastAsia" w:asciiTheme="minorEastAsia" w:hAnsiTheme="minorEastAsia"/>
          <w:bCs/>
          <w:color w:val="auto"/>
          <w:sz w:val="28"/>
          <w:szCs w:val="28"/>
        </w:rPr>
        <w:t>四、机构办公室秘书职责.........................................</w:t>
      </w:r>
    </w:p>
    <w:p>
      <w:pPr>
        <w:tabs>
          <w:tab w:val="left" w:pos="2790"/>
        </w:tabs>
        <w:spacing w:line="360" w:lineRule="auto"/>
        <w:rPr>
          <w:rFonts w:asciiTheme="minorEastAsia" w:hAnsiTheme="minorEastAsia"/>
          <w:bCs/>
          <w:color w:val="auto"/>
          <w:sz w:val="28"/>
          <w:szCs w:val="28"/>
        </w:rPr>
      </w:pPr>
      <w:r>
        <w:rPr>
          <w:rFonts w:hint="eastAsia" w:asciiTheme="minorEastAsia" w:hAnsiTheme="minorEastAsia" w:cstheme="minorEastAsia"/>
          <w:bCs/>
          <w:color w:val="auto"/>
          <w:sz w:val="28"/>
          <w:szCs w:val="28"/>
        </w:rPr>
        <w:t>五、项目负责人职责............................................</w:t>
      </w:r>
      <w:r>
        <w:rPr>
          <w:rFonts w:hint="eastAsia" w:asciiTheme="minorEastAsia" w:hAnsiTheme="minorEastAsia"/>
          <w:bCs/>
          <w:color w:val="auto"/>
          <w:sz w:val="28"/>
          <w:szCs w:val="28"/>
        </w:rPr>
        <w:t>.</w:t>
      </w:r>
    </w:p>
    <w:p>
      <w:pPr>
        <w:tabs>
          <w:tab w:val="left" w:pos="2790"/>
        </w:tabs>
        <w:spacing w:line="360" w:lineRule="auto"/>
        <w:rPr>
          <w:rFonts w:asciiTheme="minorEastAsia" w:hAnsiTheme="minorEastAsia"/>
          <w:bCs/>
          <w:color w:val="auto"/>
          <w:sz w:val="28"/>
          <w:szCs w:val="28"/>
        </w:rPr>
      </w:pPr>
      <w:r>
        <w:rPr>
          <w:rFonts w:hint="eastAsia" w:asciiTheme="minorEastAsia" w:hAnsiTheme="minorEastAsia"/>
          <w:bCs/>
          <w:color w:val="auto"/>
          <w:sz w:val="28"/>
          <w:szCs w:val="28"/>
        </w:rPr>
        <w:t>六、研究医生职责...............................................</w:t>
      </w:r>
    </w:p>
    <w:p>
      <w:pPr>
        <w:tabs>
          <w:tab w:val="left" w:pos="2790"/>
          <w:tab w:val="right" w:pos="9241"/>
        </w:tabs>
        <w:spacing w:line="360" w:lineRule="auto"/>
        <w:rPr>
          <w:rFonts w:asciiTheme="minorEastAsia" w:hAnsiTheme="minorEastAsia"/>
          <w:bCs/>
          <w:color w:val="auto"/>
          <w:sz w:val="28"/>
          <w:szCs w:val="28"/>
        </w:rPr>
      </w:pPr>
      <w:r>
        <w:rPr>
          <w:rFonts w:hint="eastAsia" w:asciiTheme="minorEastAsia" w:hAnsiTheme="minorEastAsia"/>
          <w:bCs/>
          <w:color w:val="auto"/>
          <w:sz w:val="28"/>
          <w:szCs w:val="28"/>
        </w:rPr>
        <w:t>七、研究护士职责...............................................</w:t>
      </w:r>
    </w:p>
    <w:p>
      <w:pPr>
        <w:tabs>
          <w:tab w:val="left" w:pos="2790"/>
        </w:tabs>
        <w:spacing w:line="360" w:lineRule="auto"/>
        <w:rPr>
          <w:rFonts w:asciiTheme="minorEastAsia" w:hAnsiTheme="minorEastAsia"/>
          <w:bCs/>
          <w:color w:val="auto"/>
          <w:sz w:val="28"/>
          <w:szCs w:val="28"/>
        </w:rPr>
      </w:pPr>
      <w:r>
        <w:rPr>
          <w:rFonts w:hint="eastAsia" w:asciiTheme="minorEastAsia" w:hAnsiTheme="minorEastAsia"/>
          <w:bCs/>
          <w:color w:val="auto"/>
          <w:sz w:val="28"/>
          <w:szCs w:val="28"/>
        </w:rPr>
        <w:t>八、资料管理员职责.............................................</w:t>
      </w:r>
    </w:p>
    <w:p>
      <w:pPr>
        <w:tabs>
          <w:tab w:val="left" w:pos="2790"/>
        </w:tabs>
        <w:spacing w:line="360" w:lineRule="auto"/>
        <w:rPr>
          <w:rFonts w:asciiTheme="minorEastAsia" w:hAnsiTheme="minorEastAsia"/>
          <w:bCs/>
          <w:color w:val="auto"/>
          <w:sz w:val="28"/>
          <w:szCs w:val="28"/>
        </w:rPr>
      </w:pPr>
      <w:r>
        <w:rPr>
          <w:rFonts w:hint="eastAsia" w:asciiTheme="minorEastAsia" w:hAnsiTheme="minorEastAsia"/>
          <w:bCs/>
          <w:color w:val="auto"/>
          <w:sz w:val="28"/>
          <w:szCs w:val="28"/>
        </w:rPr>
        <w:t>九、质量管理员职责..............................................</w:t>
      </w:r>
    </w:p>
    <w:p>
      <w:pPr>
        <w:tabs>
          <w:tab w:val="left" w:pos="2790"/>
        </w:tabs>
        <w:spacing w:line="360" w:lineRule="auto"/>
        <w:jc w:val="left"/>
        <w:rPr>
          <w:rFonts w:asciiTheme="minorEastAsia" w:hAnsiTheme="minorEastAsia"/>
          <w:bCs/>
          <w:color w:val="auto"/>
          <w:sz w:val="28"/>
          <w:szCs w:val="28"/>
        </w:rPr>
      </w:pPr>
      <w:r>
        <w:rPr>
          <w:rFonts w:hint="eastAsia" w:asciiTheme="minorEastAsia" w:hAnsiTheme="minorEastAsia"/>
          <w:bCs/>
          <w:color w:val="auto"/>
          <w:sz w:val="28"/>
          <w:szCs w:val="28"/>
        </w:rPr>
        <w:t>十、药物管理员职责..............................................</w:t>
      </w:r>
    </w:p>
    <w:p>
      <w:pPr>
        <w:tabs>
          <w:tab w:val="left" w:pos="2790"/>
        </w:tabs>
        <w:spacing w:line="360" w:lineRule="auto"/>
        <w:jc w:val="left"/>
        <w:rPr>
          <w:rFonts w:hint="eastAsia" w:asciiTheme="minorEastAsia" w:hAnsiTheme="minorEastAsia"/>
          <w:bCs/>
          <w:color w:val="auto"/>
          <w:sz w:val="28"/>
          <w:szCs w:val="28"/>
        </w:rPr>
      </w:pPr>
      <w:r>
        <w:rPr>
          <w:rFonts w:hint="eastAsia" w:asciiTheme="minorEastAsia" w:hAnsiTheme="minorEastAsia"/>
          <w:bCs/>
          <w:color w:val="auto"/>
          <w:sz w:val="28"/>
          <w:szCs w:val="28"/>
        </w:rPr>
        <w:t>十一、医疗器械管理员职责.........................................</w:t>
      </w:r>
    </w:p>
    <w:p>
      <w:pPr>
        <w:tabs>
          <w:tab w:val="left" w:pos="2790"/>
        </w:tabs>
        <w:spacing w:line="360" w:lineRule="auto"/>
        <w:jc w:val="left"/>
        <w:rPr>
          <w:rFonts w:hint="eastAsia" w:asciiTheme="minorEastAsia" w:hAnsiTheme="minorEastAsia"/>
          <w:bCs/>
          <w:color w:val="auto"/>
          <w:sz w:val="28"/>
          <w:szCs w:val="28"/>
          <w:lang w:val="en-US" w:eastAsia="zh-CN"/>
        </w:rPr>
      </w:pPr>
      <w:r>
        <w:rPr>
          <w:rFonts w:hint="eastAsia" w:asciiTheme="minorEastAsia" w:hAnsiTheme="minorEastAsia"/>
          <w:bCs/>
          <w:color w:val="auto"/>
          <w:sz w:val="28"/>
          <w:szCs w:val="28"/>
          <w:lang w:val="en-US" w:eastAsia="zh-CN"/>
        </w:rPr>
        <w:t>十二、机构办公室副主任职责</w:t>
      </w:r>
      <w:r>
        <w:rPr>
          <w:rFonts w:hint="eastAsia" w:asciiTheme="minorEastAsia" w:hAnsiTheme="minorEastAsia"/>
          <w:bCs/>
          <w:color w:val="auto"/>
          <w:sz w:val="28"/>
          <w:szCs w:val="28"/>
        </w:rPr>
        <w:t>.......................................</w:t>
      </w:r>
    </w:p>
    <w:p>
      <w:pPr>
        <w:tabs>
          <w:tab w:val="left" w:pos="2790"/>
        </w:tabs>
        <w:spacing w:line="360" w:lineRule="auto"/>
        <w:jc w:val="left"/>
        <w:rPr>
          <w:rFonts w:hint="default" w:asciiTheme="minorEastAsia" w:hAnsiTheme="minorEastAsia"/>
          <w:bCs/>
          <w:color w:val="auto"/>
          <w:sz w:val="28"/>
          <w:szCs w:val="28"/>
          <w:lang w:val="en-US" w:eastAsia="zh-CN"/>
        </w:rPr>
      </w:pPr>
      <w:r>
        <w:rPr>
          <w:rFonts w:hint="eastAsia" w:asciiTheme="minorEastAsia" w:hAnsiTheme="minorEastAsia"/>
          <w:bCs/>
          <w:color w:val="auto"/>
          <w:sz w:val="28"/>
          <w:szCs w:val="28"/>
          <w:lang w:val="en-US" w:eastAsia="zh-CN"/>
        </w:rPr>
        <w:t>十三、临床研究协调员（CRC）职责</w:t>
      </w:r>
      <w:r>
        <w:rPr>
          <w:rFonts w:hint="eastAsia" w:asciiTheme="minorEastAsia" w:hAnsiTheme="minorEastAsia"/>
          <w:bCs/>
          <w:color w:val="auto"/>
          <w:sz w:val="28"/>
          <w:szCs w:val="28"/>
        </w:rPr>
        <w:t>..................................</w:t>
      </w:r>
    </w:p>
    <w:p>
      <w:pPr>
        <w:tabs>
          <w:tab w:val="left" w:pos="2790"/>
        </w:tabs>
        <w:spacing w:line="360" w:lineRule="auto"/>
        <w:rPr>
          <w:rFonts w:hint="eastAsia" w:ascii="黑体" w:hAnsi="黑体" w:eastAsia="黑体" w:cs="黑体"/>
          <w:bCs/>
          <w:color w:val="auto"/>
          <w:sz w:val="30"/>
          <w:szCs w:val="30"/>
        </w:rPr>
      </w:pPr>
    </w:p>
    <w:p>
      <w:pPr>
        <w:pStyle w:val="5"/>
        <w:rPr>
          <w:rFonts w:hint="eastAsia"/>
          <w:color w:val="auto"/>
        </w:rPr>
      </w:pPr>
    </w:p>
    <w:p>
      <w:pPr>
        <w:tabs>
          <w:tab w:val="left" w:pos="2790"/>
        </w:tabs>
        <w:spacing w:line="360" w:lineRule="auto"/>
        <w:rPr>
          <w:rFonts w:hint="eastAsia" w:ascii="黑体" w:hAnsi="黑体" w:eastAsia="黑体" w:cs="黑体"/>
          <w:bCs/>
          <w:color w:val="auto"/>
          <w:sz w:val="30"/>
          <w:szCs w:val="30"/>
        </w:rPr>
      </w:pPr>
    </w:p>
    <w:p>
      <w:pPr>
        <w:tabs>
          <w:tab w:val="left" w:pos="2790"/>
        </w:tabs>
        <w:spacing w:line="360" w:lineRule="auto"/>
        <w:rPr>
          <w:rFonts w:hint="eastAsia" w:ascii="黑体" w:hAnsi="黑体" w:eastAsia="黑体" w:cs="黑体"/>
          <w:bCs/>
          <w:color w:val="auto"/>
          <w:sz w:val="30"/>
          <w:szCs w:val="30"/>
        </w:rPr>
      </w:pPr>
    </w:p>
    <w:p>
      <w:pPr>
        <w:tabs>
          <w:tab w:val="left" w:pos="2790"/>
        </w:tabs>
        <w:spacing w:line="360" w:lineRule="auto"/>
        <w:rPr>
          <w:rFonts w:hint="eastAsia" w:ascii="黑体" w:hAnsi="黑体" w:eastAsia="黑体" w:cs="黑体"/>
          <w:bCs/>
          <w:color w:val="auto"/>
          <w:sz w:val="30"/>
          <w:szCs w:val="30"/>
        </w:rPr>
      </w:pPr>
    </w:p>
    <w:p>
      <w:pPr>
        <w:tabs>
          <w:tab w:val="left" w:pos="2790"/>
        </w:tabs>
        <w:spacing w:line="360" w:lineRule="auto"/>
        <w:rPr>
          <w:rFonts w:hint="eastAsia" w:ascii="黑体" w:hAnsi="黑体" w:eastAsia="黑体" w:cs="黑体"/>
          <w:bCs/>
          <w:color w:val="auto"/>
          <w:sz w:val="30"/>
          <w:szCs w:val="30"/>
        </w:rPr>
      </w:pPr>
    </w:p>
    <w:p>
      <w:pPr>
        <w:tabs>
          <w:tab w:val="left" w:pos="2790"/>
        </w:tabs>
        <w:spacing w:line="360" w:lineRule="auto"/>
        <w:jc w:val="center"/>
        <w:rPr>
          <w:rFonts w:ascii="黑体" w:hAnsi="黑体" w:eastAsia="黑体" w:cs="黑体"/>
          <w:bCs/>
          <w:color w:val="auto"/>
          <w:sz w:val="32"/>
          <w:szCs w:val="32"/>
        </w:rPr>
      </w:pPr>
      <w:r>
        <w:rPr>
          <w:rFonts w:hint="eastAsia" w:ascii="黑体" w:hAnsi="黑体" w:eastAsia="黑体" w:cs="黑体"/>
          <w:bCs/>
          <w:color w:val="auto"/>
          <w:sz w:val="32"/>
          <w:szCs w:val="32"/>
        </w:rPr>
        <w:t>第二章 管理制度</w:t>
      </w:r>
    </w:p>
    <w:p>
      <w:pPr>
        <w:widowControl/>
        <w:shd w:val="clear" w:color="auto" w:fill="FFFFFF"/>
        <w:spacing w:line="360" w:lineRule="auto"/>
        <w:ind w:right="60"/>
        <w:rPr>
          <w:rFonts w:asciiTheme="minorEastAsia" w:hAnsiTheme="minorEastAsia" w:cstheme="minorEastAsia"/>
          <w:bCs/>
          <w:color w:val="auto"/>
          <w:sz w:val="28"/>
          <w:szCs w:val="28"/>
        </w:rPr>
      </w:pPr>
      <w:r>
        <w:rPr>
          <w:rStyle w:val="30"/>
          <w:rFonts w:hint="eastAsia" w:asciiTheme="minorEastAsia" w:hAnsiTheme="minorEastAsia" w:cstheme="minorEastAsia"/>
          <w:b w:val="0"/>
          <w:bCs/>
          <w:color w:val="auto"/>
          <w:kern w:val="0"/>
          <w:sz w:val="28"/>
          <w:szCs w:val="28"/>
          <w:shd w:val="clear" w:color="auto" w:fill="FFFFFF"/>
          <w:lang w:bidi="ar"/>
        </w:rPr>
        <w:t>一、临床试验管理制度..........................................</w:t>
      </w:r>
    </w:p>
    <w:p>
      <w:pPr>
        <w:spacing w:line="360" w:lineRule="auto"/>
        <w:rPr>
          <w:rFonts w:asciiTheme="minorEastAsia" w:hAnsiTheme="minorEastAsia" w:cstheme="minorEastAsia"/>
          <w:b/>
          <w:color w:val="auto"/>
          <w:sz w:val="28"/>
          <w:szCs w:val="28"/>
        </w:rPr>
      </w:pPr>
      <w:r>
        <w:rPr>
          <w:rFonts w:hint="eastAsia" w:asciiTheme="minorEastAsia" w:hAnsiTheme="minorEastAsia" w:cstheme="minorEastAsia"/>
          <w:bCs/>
          <w:color w:val="auto"/>
          <w:sz w:val="28"/>
          <w:szCs w:val="28"/>
        </w:rPr>
        <w:t>二、临床试验运行管理制度......................................</w:t>
      </w:r>
    </w:p>
    <w:p>
      <w:pPr>
        <w:spacing w:line="36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三、机构办公室工作制度........................................</w:t>
      </w:r>
    </w:p>
    <w:p>
      <w:pPr>
        <w:spacing w:line="360" w:lineRule="auto"/>
        <w:rPr>
          <w:rFonts w:asciiTheme="minorEastAsia" w:hAnsiTheme="minorEastAsia" w:cstheme="minorEastAsia"/>
          <w:color w:val="auto"/>
          <w:sz w:val="28"/>
          <w:szCs w:val="28"/>
        </w:rPr>
      </w:pPr>
      <w:r>
        <w:rPr>
          <w:rFonts w:hint="eastAsia" w:asciiTheme="minorEastAsia" w:hAnsiTheme="minorEastAsia" w:cstheme="minorEastAsia"/>
          <w:bCs/>
          <w:color w:val="auto"/>
          <w:sz w:val="28"/>
          <w:szCs w:val="28"/>
        </w:rPr>
        <w:t>四、合同管理制度..............................................</w:t>
      </w:r>
    </w:p>
    <w:p>
      <w:pPr>
        <w:spacing w:line="36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五、经费管理制度..............................................</w:t>
      </w:r>
    </w:p>
    <w:p>
      <w:pPr>
        <w:spacing w:line="36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六、保密管理制度..............................................</w:t>
      </w:r>
    </w:p>
    <w:p>
      <w:pPr>
        <w:spacing w:line="36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七、人员培训管理制度..........................................</w:t>
      </w:r>
    </w:p>
    <w:p>
      <w:pPr>
        <w:spacing w:line="360" w:lineRule="auto"/>
        <w:jc w:val="left"/>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八、试验用药物管理制度........................................</w:t>
      </w:r>
    </w:p>
    <w:p>
      <w:pPr>
        <w:spacing w:line="360" w:lineRule="auto"/>
        <w:jc w:val="left"/>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九、试验用医疗器械管理制度....................................</w:t>
      </w:r>
    </w:p>
    <w:p>
      <w:pPr>
        <w:spacing w:line="36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十、仪器设备管理制度..........................................</w:t>
      </w:r>
    </w:p>
    <w:p>
      <w:pPr>
        <w:spacing w:line="360" w:lineRule="auto"/>
        <w:rPr>
          <w:rFonts w:asciiTheme="minorEastAsia" w:hAnsiTheme="minorEastAsia" w:cstheme="minorEastAsia"/>
          <w:color w:val="auto"/>
          <w:sz w:val="28"/>
          <w:szCs w:val="28"/>
        </w:rPr>
      </w:pPr>
      <w:r>
        <w:rPr>
          <w:rFonts w:hint="eastAsia" w:asciiTheme="minorEastAsia" w:hAnsiTheme="minorEastAsia" w:cstheme="minorEastAsia"/>
          <w:bCs/>
          <w:color w:val="auto"/>
          <w:sz w:val="28"/>
          <w:szCs w:val="28"/>
        </w:rPr>
        <w:t>十一、档案管理制度............................................</w:t>
      </w:r>
    </w:p>
    <w:p>
      <w:pPr>
        <w:spacing w:line="36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十二、研究文件管理制度........................................</w:t>
      </w:r>
    </w:p>
    <w:p>
      <w:pPr>
        <w:widowControl/>
        <w:shd w:val="clear" w:color="auto" w:fill="FFFFFF"/>
        <w:spacing w:line="360" w:lineRule="auto"/>
        <w:ind w:right="60"/>
        <w:rPr>
          <w:rFonts w:asciiTheme="minorEastAsia" w:hAnsiTheme="minorEastAsia" w:cstheme="minorEastAsia"/>
          <w:bCs/>
          <w:color w:val="auto"/>
          <w:sz w:val="28"/>
          <w:szCs w:val="28"/>
        </w:rPr>
      </w:pPr>
      <w:r>
        <w:rPr>
          <w:rStyle w:val="30"/>
          <w:rFonts w:hint="eastAsia" w:asciiTheme="minorEastAsia" w:hAnsiTheme="minorEastAsia" w:cstheme="minorEastAsia"/>
          <w:b w:val="0"/>
          <w:bCs/>
          <w:color w:val="auto"/>
          <w:kern w:val="0"/>
          <w:sz w:val="28"/>
          <w:szCs w:val="28"/>
          <w:shd w:val="clear" w:color="auto" w:fill="FFFFFF"/>
          <w:lang w:bidi="ar"/>
        </w:rPr>
        <w:t>十三、质量控制管理制度........................................</w:t>
      </w:r>
    </w:p>
    <w:p>
      <w:pPr>
        <w:widowControl/>
        <w:shd w:val="clear" w:color="auto" w:fill="FFFFFF"/>
        <w:spacing w:line="360" w:lineRule="auto"/>
        <w:ind w:right="60"/>
        <w:rPr>
          <w:rStyle w:val="30"/>
          <w:rFonts w:asciiTheme="minorEastAsia" w:hAnsiTheme="minorEastAsia" w:cstheme="minorEastAsia"/>
          <w:b w:val="0"/>
          <w:bCs/>
          <w:color w:val="auto"/>
          <w:kern w:val="0"/>
          <w:sz w:val="28"/>
          <w:szCs w:val="28"/>
          <w:shd w:val="clear" w:color="auto" w:fill="FFFFFF"/>
          <w:lang w:bidi="ar"/>
        </w:rPr>
      </w:pPr>
      <w:r>
        <w:rPr>
          <w:rStyle w:val="30"/>
          <w:rFonts w:hint="eastAsia" w:asciiTheme="minorEastAsia" w:hAnsiTheme="minorEastAsia" w:cstheme="minorEastAsia"/>
          <w:b w:val="0"/>
          <w:bCs/>
          <w:color w:val="auto"/>
          <w:kern w:val="0"/>
          <w:sz w:val="28"/>
          <w:szCs w:val="28"/>
          <w:shd w:val="clear" w:color="auto" w:fill="FFFFFF"/>
          <w:lang w:bidi="ar"/>
        </w:rPr>
        <w:t>十四、公章使用管理制度........................................</w:t>
      </w:r>
    </w:p>
    <w:p>
      <w:pPr>
        <w:widowControl/>
        <w:shd w:val="clear" w:color="auto" w:fill="FFFFFF"/>
        <w:spacing w:line="360" w:lineRule="auto"/>
        <w:ind w:right="60"/>
        <w:rPr>
          <w:rStyle w:val="30"/>
          <w:rFonts w:hint="eastAsia" w:asciiTheme="minorEastAsia" w:hAnsiTheme="minorEastAsia" w:cstheme="minorEastAsia"/>
          <w:b w:val="0"/>
          <w:bCs/>
          <w:color w:val="auto"/>
          <w:kern w:val="0"/>
          <w:sz w:val="28"/>
          <w:szCs w:val="28"/>
          <w:shd w:val="clear" w:color="auto" w:fill="FFFFFF"/>
          <w:lang w:bidi="ar"/>
        </w:rPr>
      </w:pPr>
      <w:r>
        <w:rPr>
          <w:rStyle w:val="30"/>
          <w:rFonts w:hint="eastAsia" w:asciiTheme="minorEastAsia" w:hAnsiTheme="minorEastAsia" w:cstheme="minorEastAsia"/>
          <w:b w:val="0"/>
          <w:bCs/>
          <w:color w:val="auto"/>
          <w:kern w:val="0"/>
          <w:sz w:val="28"/>
          <w:szCs w:val="28"/>
          <w:shd w:val="clear" w:color="auto" w:fill="FFFFFF"/>
          <w:lang w:bidi="ar"/>
        </w:rPr>
        <w:t>十五、临床试验中违规行为处理管理制度..........................</w:t>
      </w:r>
    </w:p>
    <w:p>
      <w:pPr>
        <w:widowControl/>
        <w:shd w:val="clear" w:color="auto" w:fill="FFFFFF"/>
        <w:spacing w:line="360" w:lineRule="auto"/>
        <w:ind w:right="60"/>
        <w:rPr>
          <w:rStyle w:val="30"/>
          <w:rFonts w:hint="eastAsia" w:eastAsia="宋体" w:asciiTheme="minorEastAsia" w:hAnsiTheme="minorEastAsia" w:cstheme="minorEastAsia"/>
          <w:b w:val="0"/>
          <w:bCs/>
          <w:color w:val="auto"/>
          <w:kern w:val="0"/>
          <w:sz w:val="28"/>
          <w:szCs w:val="28"/>
          <w:shd w:val="clear" w:color="auto" w:fill="FFFFFF"/>
          <w:lang w:bidi="ar"/>
        </w:rPr>
      </w:pPr>
      <w:r>
        <w:rPr>
          <w:rStyle w:val="30"/>
          <w:rFonts w:hint="eastAsia" w:eastAsia="宋体" w:asciiTheme="minorEastAsia" w:hAnsiTheme="minorEastAsia" w:cstheme="minorEastAsia"/>
          <w:b w:val="0"/>
          <w:bCs/>
          <w:color w:val="auto"/>
          <w:kern w:val="0"/>
          <w:sz w:val="28"/>
          <w:szCs w:val="28"/>
          <w:shd w:val="clear" w:color="auto" w:fill="FFFFFF"/>
          <w:lang w:bidi="ar"/>
        </w:rPr>
        <w:t>十</w:t>
      </w:r>
      <w:r>
        <w:rPr>
          <w:rStyle w:val="30"/>
          <w:rFonts w:hint="eastAsia" w:eastAsia="宋体" w:asciiTheme="minorEastAsia" w:hAnsiTheme="minorEastAsia" w:cstheme="minorEastAsia"/>
          <w:b w:val="0"/>
          <w:bCs/>
          <w:color w:val="auto"/>
          <w:kern w:val="0"/>
          <w:sz w:val="28"/>
          <w:szCs w:val="28"/>
          <w:shd w:val="clear" w:color="auto" w:fill="FFFFFF"/>
          <w:lang w:val="en-US" w:eastAsia="zh-CN" w:bidi="ar"/>
        </w:rPr>
        <w:t>六</w:t>
      </w:r>
      <w:r>
        <w:rPr>
          <w:rStyle w:val="30"/>
          <w:rFonts w:hint="eastAsia" w:eastAsia="宋体" w:asciiTheme="minorEastAsia" w:hAnsiTheme="minorEastAsia" w:cstheme="minorEastAsia"/>
          <w:b w:val="0"/>
          <w:bCs/>
          <w:color w:val="auto"/>
          <w:kern w:val="0"/>
          <w:sz w:val="28"/>
          <w:szCs w:val="28"/>
          <w:shd w:val="clear" w:color="auto" w:fill="FFFFFF"/>
          <w:lang w:bidi="ar"/>
        </w:rPr>
        <w:t>、临床研究协调员（CRC）管理制度</w:t>
      </w:r>
      <w:r>
        <w:rPr>
          <w:rStyle w:val="30"/>
          <w:rFonts w:hint="eastAsia" w:asciiTheme="minorEastAsia" w:hAnsiTheme="minorEastAsia" w:cstheme="minorEastAsia"/>
          <w:b w:val="0"/>
          <w:bCs/>
          <w:color w:val="auto"/>
          <w:kern w:val="0"/>
          <w:sz w:val="28"/>
          <w:szCs w:val="28"/>
          <w:shd w:val="clear" w:color="auto" w:fill="FFFFFF"/>
          <w:lang w:bidi="ar"/>
        </w:rPr>
        <w:t>...........................</w:t>
      </w:r>
    </w:p>
    <w:p>
      <w:pPr>
        <w:pStyle w:val="38"/>
        <w:spacing w:line="360" w:lineRule="auto"/>
        <w:ind w:firstLine="0" w:firstLineChars="0"/>
        <w:rPr>
          <w:rFonts w:hint="eastAsia" w:ascii="黑体" w:hAnsi="黑体" w:eastAsia="黑体" w:cs="黑体"/>
          <w:bCs/>
          <w:color w:val="auto"/>
          <w:sz w:val="30"/>
          <w:szCs w:val="30"/>
        </w:rPr>
      </w:pPr>
    </w:p>
    <w:p>
      <w:pPr>
        <w:pStyle w:val="38"/>
        <w:spacing w:line="360" w:lineRule="auto"/>
        <w:ind w:firstLine="0" w:firstLineChars="0"/>
        <w:rPr>
          <w:rFonts w:hint="eastAsia" w:ascii="黑体" w:hAnsi="黑体" w:eastAsia="黑体" w:cs="黑体"/>
          <w:bCs/>
          <w:color w:val="auto"/>
          <w:sz w:val="30"/>
          <w:szCs w:val="30"/>
        </w:rPr>
      </w:pPr>
    </w:p>
    <w:p>
      <w:pPr>
        <w:pStyle w:val="38"/>
        <w:spacing w:line="360" w:lineRule="auto"/>
        <w:ind w:firstLine="0" w:firstLineChars="0"/>
        <w:rPr>
          <w:rFonts w:hint="eastAsia" w:ascii="黑体" w:hAnsi="黑体" w:eastAsia="黑体" w:cs="黑体"/>
          <w:bCs/>
          <w:color w:val="auto"/>
          <w:sz w:val="30"/>
          <w:szCs w:val="30"/>
        </w:rPr>
      </w:pPr>
    </w:p>
    <w:p>
      <w:pPr>
        <w:pStyle w:val="38"/>
        <w:spacing w:line="360" w:lineRule="auto"/>
        <w:ind w:firstLine="0" w:firstLineChars="0"/>
        <w:rPr>
          <w:rFonts w:hint="eastAsia" w:ascii="黑体" w:hAnsi="黑体" w:eastAsia="黑体" w:cs="黑体"/>
          <w:bCs/>
          <w:color w:val="auto"/>
          <w:sz w:val="30"/>
          <w:szCs w:val="30"/>
        </w:rPr>
      </w:pPr>
    </w:p>
    <w:p>
      <w:pPr>
        <w:pStyle w:val="38"/>
        <w:spacing w:line="360" w:lineRule="auto"/>
        <w:ind w:firstLine="0" w:firstLineChars="0"/>
        <w:rPr>
          <w:rFonts w:hint="eastAsia" w:ascii="黑体" w:hAnsi="黑体" w:eastAsia="黑体" w:cs="黑体"/>
          <w:bCs/>
          <w:color w:val="auto"/>
          <w:sz w:val="30"/>
          <w:szCs w:val="30"/>
        </w:rPr>
      </w:pPr>
    </w:p>
    <w:p>
      <w:pPr>
        <w:pStyle w:val="38"/>
        <w:spacing w:line="360" w:lineRule="auto"/>
        <w:ind w:firstLine="0" w:firstLineChars="0"/>
        <w:jc w:val="center"/>
        <w:rPr>
          <w:rFonts w:ascii="黑体" w:hAnsi="黑体" w:eastAsia="黑体" w:cs="黑体"/>
          <w:bCs/>
          <w:color w:val="auto"/>
          <w:sz w:val="32"/>
          <w:szCs w:val="32"/>
        </w:rPr>
      </w:pPr>
      <w:r>
        <w:rPr>
          <w:rFonts w:hint="eastAsia" w:ascii="黑体" w:hAnsi="黑体" w:eastAsia="黑体" w:cs="黑体"/>
          <w:bCs/>
          <w:color w:val="auto"/>
          <w:sz w:val="32"/>
          <w:szCs w:val="32"/>
        </w:rPr>
        <w:t>第三章 标准操作规程</w:t>
      </w:r>
    </w:p>
    <w:p>
      <w:pPr>
        <w:spacing w:line="36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一、制定制度的SOP..............................................</w:t>
      </w:r>
    </w:p>
    <w:p>
      <w:pPr>
        <w:spacing w:line="360" w:lineRule="auto"/>
        <w:rPr>
          <w:rFonts w:asciiTheme="minorEastAsia" w:hAnsiTheme="minorEastAsia" w:cstheme="minorEastAsia"/>
          <w:color w:val="auto"/>
          <w:sz w:val="28"/>
          <w:szCs w:val="28"/>
        </w:rPr>
      </w:pPr>
      <w:r>
        <w:rPr>
          <w:rFonts w:hint="eastAsia" w:asciiTheme="minorEastAsia" w:hAnsiTheme="minorEastAsia" w:cstheme="minorEastAsia"/>
          <w:bCs/>
          <w:color w:val="auto"/>
          <w:sz w:val="28"/>
          <w:szCs w:val="28"/>
        </w:rPr>
        <w:t>二、制定SOP的SOP..............................................</w:t>
      </w:r>
    </w:p>
    <w:p>
      <w:pPr>
        <w:spacing w:line="360" w:lineRule="auto"/>
        <w:rPr>
          <w:rFonts w:asciiTheme="minorEastAsia" w:hAnsiTheme="minorEastAsia" w:cstheme="minorEastAsia"/>
          <w:bCs/>
          <w:color w:val="auto"/>
          <w:sz w:val="28"/>
          <w:szCs w:val="28"/>
        </w:rPr>
      </w:pPr>
      <w:r>
        <w:rPr>
          <w:rFonts w:hint="eastAsia" w:asciiTheme="minorEastAsia" w:hAnsiTheme="minorEastAsia" w:cstheme="minorEastAsia"/>
          <w:color w:val="auto"/>
          <w:sz w:val="28"/>
          <w:szCs w:val="28"/>
        </w:rPr>
        <w:t>三、试验方案设计的SOP.........................................</w:t>
      </w:r>
      <w:r>
        <w:rPr>
          <w:rFonts w:hint="eastAsia" w:asciiTheme="minorEastAsia" w:hAnsiTheme="minorEastAsia" w:cstheme="minorEastAsia"/>
          <w:bCs/>
          <w:color w:val="auto"/>
          <w:sz w:val="28"/>
          <w:szCs w:val="28"/>
        </w:rPr>
        <w:t>.</w:t>
      </w:r>
    </w:p>
    <w:p>
      <w:pPr>
        <w:spacing w:line="36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四、临床试验申请</w:t>
      </w:r>
      <w:r>
        <w:rPr>
          <w:rFonts w:hint="eastAsia" w:asciiTheme="minorEastAsia" w:hAnsiTheme="minorEastAsia" w:cstheme="minorEastAsia"/>
          <w:bCs/>
          <w:color w:val="auto"/>
          <w:sz w:val="28"/>
          <w:szCs w:val="28"/>
          <w:lang w:eastAsia="zh-CN"/>
        </w:rPr>
        <w:t>、</w:t>
      </w:r>
      <w:r>
        <w:rPr>
          <w:rFonts w:hint="eastAsia" w:asciiTheme="minorEastAsia" w:hAnsiTheme="minorEastAsia" w:cstheme="minorEastAsia"/>
          <w:bCs/>
          <w:color w:val="auto"/>
          <w:sz w:val="28"/>
          <w:szCs w:val="28"/>
          <w:lang w:val="en-US" w:eastAsia="zh-CN"/>
        </w:rPr>
        <w:t>评估</w:t>
      </w:r>
      <w:r>
        <w:rPr>
          <w:rFonts w:hint="eastAsia" w:asciiTheme="minorEastAsia" w:hAnsiTheme="minorEastAsia" w:cstheme="minorEastAsia"/>
          <w:bCs/>
          <w:color w:val="auto"/>
          <w:sz w:val="28"/>
          <w:szCs w:val="28"/>
        </w:rPr>
        <w:t>及立项审批的SOP..........................</w:t>
      </w:r>
    </w:p>
    <w:p>
      <w:pPr>
        <w:spacing w:line="36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五、</w:t>
      </w:r>
      <w:r>
        <w:rPr>
          <w:rFonts w:hint="eastAsia" w:asciiTheme="minorEastAsia" w:hAnsiTheme="minorEastAsia" w:cstheme="minorEastAsia"/>
          <w:color w:val="auto"/>
          <w:sz w:val="28"/>
          <w:szCs w:val="28"/>
        </w:rPr>
        <w:t>临床试验</w:t>
      </w:r>
      <w:r>
        <w:rPr>
          <w:rFonts w:hint="eastAsia" w:asciiTheme="minorEastAsia" w:hAnsiTheme="minorEastAsia" w:cstheme="minorEastAsia"/>
          <w:bCs/>
          <w:color w:val="auto"/>
          <w:sz w:val="28"/>
          <w:szCs w:val="28"/>
        </w:rPr>
        <w:t>合同签订的SOP......................................</w:t>
      </w:r>
    </w:p>
    <w:p>
      <w:pPr>
        <w:tabs>
          <w:tab w:val="left" w:pos="6814"/>
        </w:tabs>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六、</w:t>
      </w:r>
      <w:r>
        <w:rPr>
          <w:rFonts w:hint="eastAsia" w:asciiTheme="minorEastAsia" w:hAnsiTheme="minorEastAsia" w:cstheme="minorEastAsia"/>
          <w:color w:val="auto"/>
          <w:sz w:val="28"/>
          <w:szCs w:val="28"/>
        </w:rPr>
        <w:t>临床试验启动会召开的SOP</w:t>
      </w:r>
      <w:r>
        <w:rPr>
          <w:rFonts w:hint="eastAsia" w:asciiTheme="minorEastAsia" w:hAnsiTheme="minorEastAsia" w:cstheme="minorEastAsia"/>
          <w:bCs/>
          <w:color w:val="auto"/>
          <w:sz w:val="28"/>
          <w:szCs w:val="28"/>
        </w:rPr>
        <w:t>....................................</w:t>
      </w:r>
    </w:p>
    <w:p>
      <w:pPr>
        <w:spacing w:line="36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七、受试者知情同意的SOP........................................</w:t>
      </w:r>
    </w:p>
    <w:p>
      <w:pPr>
        <w:spacing w:line="360" w:lineRule="auto"/>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八、紧急揭盲的SOP............................................</w:t>
      </w:r>
      <w:r>
        <w:rPr>
          <w:rFonts w:hint="eastAsia" w:asciiTheme="minorEastAsia" w:hAnsiTheme="minorEastAsia" w:cstheme="minorEastAsia"/>
          <w:bCs/>
          <w:color w:val="auto"/>
          <w:sz w:val="28"/>
          <w:szCs w:val="28"/>
        </w:rPr>
        <w:t>..</w:t>
      </w:r>
    </w:p>
    <w:p>
      <w:pPr>
        <w:spacing w:line="360" w:lineRule="auto"/>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九、受试者招募的</w:t>
      </w:r>
      <w:r>
        <w:rPr>
          <w:rFonts w:hint="eastAsia" w:asciiTheme="minorEastAsia" w:hAnsiTheme="minorEastAsia" w:cstheme="minorEastAsia"/>
          <w:bCs/>
          <w:color w:val="auto"/>
          <w:sz w:val="28"/>
          <w:szCs w:val="28"/>
        </w:rPr>
        <w:t>SOP............................................</w:t>
      </w:r>
    </w:p>
    <w:p>
      <w:pPr>
        <w:tabs>
          <w:tab w:val="left" w:pos="2968"/>
        </w:tabs>
        <w:spacing w:line="360" w:lineRule="auto"/>
        <w:rPr>
          <w:rFonts w:asciiTheme="minorEastAsia" w:hAnsiTheme="minorEastAsia" w:cstheme="minorEastAsia"/>
          <w:color w:val="auto"/>
          <w:sz w:val="28"/>
          <w:szCs w:val="28"/>
        </w:rPr>
      </w:pPr>
      <w:r>
        <w:rPr>
          <w:rFonts w:hint="eastAsia" w:asciiTheme="minorEastAsia" w:hAnsiTheme="minorEastAsia" w:cstheme="minorEastAsia"/>
          <w:bCs/>
          <w:color w:val="auto"/>
          <w:sz w:val="28"/>
          <w:szCs w:val="28"/>
        </w:rPr>
        <w:t>十</w:t>
      </w:r>
      <w:r>
        <w:rPr>
          <w:rFonts w:hint="eastAsia" w:asciiTheme="minorEastAsia" w:hAnsiTheme="minorEastAsia" w:cstheme="minorEastAsia"/>
          <w:color w:val="auto"/>
          <w:sz w:val="28"/>
          <w:szCs w:val="28"/>
        </w:rPr>
        <w:t>、受试者管理的SOP.........................................</w:t>
      </w:r>
      <w:r>
        <w:rPr>
          <w:rFonts w:hint="eastAsia" w:asciiTheme="minorEastAsia" w:hAnsiTheme="minorEastAsia" w:cstheme="minorEastAsia"/>
          <w:bCs/>
          <w:color w:val="auto"/>
          <w:sz w:val="28"/>
          <w:szCs w:val="28"/>
        </w:rPr>
        <w:t>...</w:t>
      </w:r>
    </w:p>
    <w:p>
      <w:pPr>
        <w:pStyle w:val="38"/>
        <w:spacing w:line="360" w:lineRule="auto"/>
        <w:ind w:firstLine="0" w:firstLineChars="0"/>
        <w:rPr>
          <w:rFonts w:hint="eastAsia"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十一、试验用</w:t>
      </w:r>
      <w:r>
        <w:rPr>
          <w:rFonts w:hint="eastAsia" w:asciiTheme="minorEastAsia" w:hAnsiTheme="minorEastAsia" w:cstheme="minorEastAsia"/>
          <w:bCs/>
          <w:color w:val="auto"/>
          <w:spacing w:val="20"/>
          <w:sz w:val="28"/>
          <w:szCs w:val="28"/>
        </w:rPr>
        <w:t>药物的接收</w:t>
      </w:r>
      <w:r>
        <w:rPr>
          <w:rFonts w:hint="eastAsia" w:asciiTheme="minorEastAsia" w:hAnsiTheme="minorEastAsia" w:cstheme="minorEastAsia"/>
          <w:bCs/>
          <w:color w:val="auto"/>
          <w:spacing w:val="20"/>
          <w:sz w:val="28"/>
          <w:szCs w:val="28"/>
          <w:lang w:eastAsia="zh-CN"/>
        </w:rPr>
        <w:t>、</w:t>
      </w:r>
      <w:r>
        <w:rPr>
          <w:rFonts w:hint="eastAsia" w:asciiTheme="minorEastAsia" w:hAnsiTheme="minorEastAsia" w:cstheme="minorEastAsia"/>
          <w:bCs/>
          <w:color w:val="auto"/>
          <w:spacing w:val="20"/>
          <w:sz w:val="28"/>
          <w:szCs w:val="28"/>
        </w:rPr>
        <w:t>保存</w:t>
      </w:r>
      <w:r>
        <w:rPr>
          <w:rFonts w:hint="eastAsia" w:asciiTheme="minorEastAsia" w:hAnsiTheme="minorEastAsia" w:cstheme="minorEastAsia"/>
          <w:bCs/>
          <w:color w:val="auto"/>
          <w:spacing w:val="20"/>
          <w:sz w:val="28"/>
          <w:szCs w:val="28"/>
          <w:lang w:eastAsia="zh-CN"/>
        </w:rPr>
        <w:t>、</w:t>
      </w:r>
      <w:r>
        <w:rPr>
          <w:rFonts w:hint="eastAsia" w:asciiTheme="minorEastAsia" w:hAnsiTheme="minorEastAsia" w:cstheme="minorEastAsia"/>
          <w:bCs/>
          <w:color w:val="auto"/>
          <w:spacing w:val="20"/>
          <w:sz w:val="28"/>
          <w:szCs w:val="28"/>
        </w:rPr>
        <w:t>分发</w:t>
      </w:r>
      <w:r>
        <w:rPr>
          <w:rFonts w:hint="eastAsia" w:asciiTheme="minorEastAsia" w:hAnsiTheme="minorEastAsia" w:cstheme="minorEastAsia"/>
          <w:bCs/>
          <w:color w:val="auto"/>
          <w:spacing w:val="20"/>
          <w:sz w:val="28"/>
          <w:szCs w:val="28"/>
          <w:lang w:eastAsia="zh-CN"/>
        </w:rPr>
        <w:t>、</w:t>
      </w:r>
      <w:r>
        <w:rPr>
          <w:rFonts w:hint="eastAsia" w:asciiTheme="minorEastAsia" w:hAnsiTheme="minorEastAsia" w:cstheme="minorEastAsia"/>
          <w:bCs/>
          <w:color w:val="auto"/>
          <w:spacing w:val="20"/>
          <w:sz w:val="28"/>
          <w:szCs w:val="28"/>
        </w:rPr>
        <w:t>回收</w:t>
      </w:r>
      <w:r>
        <w:rPr>
          <w:rFonts w:hint="eastAsia" w:asciiTheme="minorEastAsia" w:hAnsiTheme="minorEastAsia" w:cstheme="minorEastAsia"/>
          <w:bCs/>
          <w:color w:val="auto"/>
          <w:spacing w:val="20"/>
          <w:sz w:val="28"/>
          <w:szCs w:val="28"/>
          <w:lang w:eastAsia="zh-CN"/>
        </w:rPr>
        <w:t>、</w:t>
      </w:r>
      <w:r>
        <w:rPr>
          <w:rFonts w:hint="eastAsia" w:asciiTheme="minorEastAsia" w:hAnsiTheme="minorEastAsia" w:cstheme="minorEastAsia"/>
          <w:bCs/>
          <w:color w:val="auto"/>
          <w:spacing w:val="20"/>
          <w:sz w:val="28"/>
          <w:szCs w:val="28"/>
        </w:rPr>
        <w:t>退还</w:t>
      </w:r>
      <w:r>
        <w:rPr>
          <w:rFonts w:hint="eastAsia" w:asciiTheme="minorEastAsia" w:hAnsiTheme="minorEastAsia" w:cstheme="minorEastAsia"/>
          <w:bCs/>
          <w:color w:val="auto"/>
          <w:spacing w:val="20"/>
          <w:sz w:val="28"/>
          <w:szCs w:val="28"/>
          <w:lang w:eastAsia="zh-CN"/>
        </w:rPr>
        <w:t>、</w:t>
      </w:r>
      <w:r>
        <w:rPr>
          <w:rFonts w:hint="eastAsia" w:asciiTheme="minorEastAsia" w:hAnsiTheme="minorEastAsia" w:cstheme="minorEastAsia"/>
          <w:bCs/>
          <w:color w:val="auto"/>
          <w:spacing w:val="20"/>
          <w:sz w:val="28"/>
          <w:szCs w:val="28"/>
        </w:rPr>
        <w:t>销毁的SOP.</w:t>
      </w:r>
      <w:r>
        <w:rPr>
          <w:rFonts w:hint="eastAsia" w:asciiTheme="minorEastAsia" w:hAnsiTheme="minorEastAsia" w:cstheme="minorEastAsia"/>
          <w:bCs/>
          <w:color w:val="auto"/>
          <w:sz w:val="28"/>
          <w:szCs w:val="28"/>
        </w:rPr>
        <w:t>十二、试验用医疗器械</w:t>
      </w:r>
      <w:r>
        <w:rPr>
          <w:rFonts w:hint="eastAsia" w:asciiTheme="minorEastAsia" w:hAnsiTheme="minorEastAsia" w:cstheme="minorEastAsia"/>
          <w:bCs/>
          <w:color w:val="auto"/>
          <w:spacing w:val="20"/>
          <w:sz w:val="28"/>
          <w:szCs w:val="28"/>
        </w:rPr>
        <w:t>的接收</w:t>
      </w:r>
      <w:r>
        <w:rPr>
          <w:rFonts w:hint="eastAsia" w:asciiTheme="minorEastAsia" w:hAnsiTheme="minorEastAsia" w:cstheme="minorEastAsia"/>
          <w:bCs/>
          <w:color w:val="auto"/>
          <w:spacing w:val="20"/>
          <w:sz w:val="28"/>
          <w:szCs w:val="28"/>
          <w:lang w:eastAsia="zh-CN"/>
        </w:rPr>
        <w:t>、</w:t>
      </w:r>
      <w:r>
        <w:rPr>
          <w:rFonts w:hint="eastAsia" w:asciiTheme="minorEastAsia" w:hAnsiTheme="minorEastAsia" w:cstheme="minorEastAsia"/>
          <w:bCs/>
          <w:color w:val="auto"/>
          <w:spacing w:val="20"/>
          <w:sz w:val="28"/>
          <w:szCs w:val="28"/>
        </w:rPr>
        <w:t>保存</w:t>
      </w:r>
      <w:r>
        <w:rPr>
          <w:rFonts w:hint="eastAsia" w:asciiTheme="minorEastAsia" w:hAnsiTheme="minorEastAsia" w:cstheme="minorEastAsia"/>
          <w:bCs/>
          <w:color w:val="auto"/>
          <w:spacing w:val="20"/>
          <w:sz w:val="28"/>
          <w:szCs w:val="28"/>
          <w:lang w:eastAsia="zh-CN"/>
        </w:rPr>
        <w:t>、</w:t>
      </w:r>
      <w:r>
        <w:rPr>
          <w:rFonts w:hint="eastAsia" w:asciiTheme="minorEastAsia" w:hAnsiTheme="minorEastAsia" w:cstheme="minorEastAsia"/>
          <w:bCs/>
          <w:color w:val="auto"/>
          <w:spacing w:val="20"/>
          <w:sz w:val="28"/>
          <w:szCs w:val="28"/>
        </w:rPr>
        <w:t>分发</w:t>
      </w:r>
      <w:r>
        <w:rPr>
          <w:rFonts w:hint="eastAsia" w:asciiTheme="minorEastAsia" w:hAnsiTheme="minorEastAsia" w:cstheme="minorEastAsia"/>
          <w:bCs/>
          <w:color w:val="auto"/>
          <w:spacing w:val="20"/>
          <w:sz w:val="28"/>
          <w:szCs w:val="28"/>
          <w:lang w:eastAsia="zh-CN"/>
        </w:rPr>
        <w:t>、</w:t>
      </w:r>
      <w:r>
        <w:rPr>
          <w:rFonts w:hint="eastAsia" w:asciiTheme="minorEastAsia" w:hAnsiTheme="minorEastAsia" w:cstheme="minorEastAsia"/>
          <w:bCs/>
          <w:color w:val="auto"/>
          <w:spacing w:val="20"/>
          <w:sz w:val="28"/>
          <w:szCs w:val="28"/>
        </w:rPr>
        <w:t>回收</w:t>
      </w:r>
      <w:r>
        <w:rPr>
          <w:rFonts w:hint="eastAsia" w:asciiTheme="minorEastAsia" w:hAnsiTheme="minorEastAsia" w:cstheme="minorEastAsia"/>
          <w:bCs/>
          <w:color w:val="auto"/>
          <w:spacing w:val="20"/>
          <w:sz w:val="28"/>
          <w:szCs w:val="28"/>
          <w:lang w:eastAsia="zh-CN"/>
        </w:rPr>
        <w:t>、</w:t>
      </w:r>
      <w:r>
        <w:rPr>
          <w:rFonts w:hint="eastAsia" w:asciiTheme="minorEastAsia" w:hAnsiTheme="minorEastAsia" w:cstheme="minorEastAsia"/>
          <w:bCs/>
          <w:color w:val="auto"/>
          <w:spacing w:val="20"/>
          <w:sz w:val="28"/>
          <w:szCs w:val="28"/>
        </w:rPr>
        <w:t>退还</w:t>
      </w:r>
      <w:r>
        <w:rPr>
          <w:rFonts w:hint="eastAsia" w:asciiTheme="minorEastAsia" w:hAnsiTheme="minorEastAsia" w:cstheme="minorEastAsia"/>
          <w:bCs/>
          <w:color w:val="auto"/>
          <w:spacing w:val="20"/>
          <w:sz w:val="28"/>
          <w:szCs w:val="28"/>
          <w:lang w:eastAsia="zh-CN"/>
        </w:rPr>
        <w:t>、</w:t>
      </w:r>
      <w:r>
        <w:rPr>
          <w:rFonts w:hint="eastAsia" w:asciiTheme="minorEastAsia" w:hAnsiTheme="minorEastAsia" w:cstheme="minorEastAsia"/>
          <w:bCs/>
          <w:color w:val="auto"/>
          <w:spacing w:val="20"/>
          <w:sz w:val="28"/>
          <w:szCs w:val="28"/>
        </w:rPr>
        <w:t>销毁的SOP.</w:t>
      </w:r>
    </w:p>
    <w:p>
      <w:pPr>
        <w:pStyle w:val="38"/>
        <w:spacing w:line="360" w:lineRule="auto"/>
        <w:ind w:firstLine="0" w:firstLineChars="0"/>
        <w:rPr>
          <w:rFonts w:asciiTheme="minorEastAsia" w:hAnsiTheme="minorEastAsia" w:cstheme="minorEastAsia"/>
          <w:color w:val="auto"/>
          <w:sz w:val="28"/>
          <w:szCs w:val="28"/>
        </w:rPr>
      </w:pPr>
      <w:r>
        <w:rPr>
          <w:rFonts w:hint="eastAsia" w:asciiTheme="minorEastAsia" w:hAnsiTheme="minorEastAsia" w:cstheme="minorEastAsia"/>
          <w:bCs/>
          <w:color w:val="auto"/>
          <w:sz w:val="28"/>
          <w:szCs w:val="28"/>
        </w:rPr>
        <w:t>十三、相关仪器设备管理和使用SOP................................</w:t>
      </w:r>
    </w:p>
    <w:p>
      <w:pPr>
        <w:pStyle w:val="38"/>
        <w:spacing w:line="360" w:lineRule="auto"/>
        <w:ind w:firstLine="0" w:firstLineChars="0"/>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十四、不良事件及严重不良事件处理与记录的SOP....................</w:t>
      </w:r>
    </w:p>
    <w:p>
      <w:pPr>
        <w:pStyle w:val="38"/>
        <w:spacing w:line="360" w:lineRule="auto"/>
        <w:ind w:firstLine="0" w:firstLineChars="0"/>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十五、临床试验“SAE报告”的SOP................................</w:t>
      </w:r>
    </w:p>
    <w:p>
      <w:pPr>
        <w:spacing w:line="360" w:lineRule="auto"/>
        <w:outlineLvl w:val="2"/>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十六、临床试验应急预案和急救SOP................................</w:t>
      </w:r>
    </w:p>
    <w:p>
      <w:pPr>
        <w:spacing w:line="36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十七、原始资料记录的SOP........................................</w:t>
      </w:r>
    </w:p>
    <w:p>
      <w:pPr>
        <w:spacing w:line="36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十八、病例报告表(CRF)记录的SOP.................................</w:t>
      </w:r>
    </w:p>
    <w:p>
      <w:pPr>
        <w:pStyle w:val="24"/>
        <w:shd w:val="clear" w:color="auto" w:fill="FFFFFF"/>
        <w:spacing w:before="0" w:beforeAutospacing="0" w:after="0" w:afterAutospacing="0" w:line="360" w:lineRule="auto"/>
        <w:textAlignment w:val="baseline"/>
        <w:rPr>
          <w:rFonts w:asciiTheme="minorEastAsia" w:hAnsiTheme="minorEastAsia" w:eastAsiaTheme="minorEastAsia" w:cstheme="minorEastAsia"/>
          <w:bCs/>
          <w:color w:val="auto"/>
          <w:sz w:val="28"/>
          <w:szCs w:val="28"/>
        </w:rPr>
      </w:pPr>
      <w:r>
        <w:rPr>
          <w:rFonts w:hint="eastAsia" w:asciiTheme="minorEastAsia" w:hAnsiTheme="minorEastAsia" w:eastAsiaTheme="minorEastAsia" w:cstheme="minorEastAsia"/>
          <w:bCs/>
          <w:color w:val="auto"/>
          <w:sz w:val="28"/>
          <w:szCs w:val="28"/>
        </w:rPr>
        <w:t>十九、实验室检测及质量控制的SOP...............................</w:t>
      </w:r>
      <w:r>
        <w:rPr>
          <w:rFonts w:hint="eastAsia" w:asciiTheme="minorEastAsia" w:hAnsiTheme="minorEastAsia" w:cstheme="minorEastAsia"/>
          <w:bCs/>
          <w:color w:val="auto"/>
          <w:sz w:val="28"/>
          <w:szCs w:val="28"/>
        </w:rPr>
        <w:t>.</w:t>
      </w:r>
    </w:p>
    <w:p>
      <w:pPr>
        <w:spacing w:line="36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二十、</w:t>
      </w:r>
      <w:r>
        <w:rPr>
          <w:rFonts w:hint="eastAsia" w:asciiTheme="minorEastAsia" w:hAnsiTheme="minorEastAsia" w:cstheme="minorEastAsia"/>
          <w:color w:val="auto"/>
          <w:sz w:val="28"/>
          <w:szCs w:val="28"/>
        </w:rPr>
        <w:t>临床试验文件查阅/复印的SOP</w:t>
      </w:r>
      <w:r>
        <w:rPr>
          <w:rFonts w:hint="eastAsia" w:asciiTheme="minorEastAsia" w:hAnsiTheme="minorEastAsia" w:cstheme="minorEastAsia"/>
          <w:color w:val="auto"/>
          <w:sz w:val="24"/>
          <w:szCs w:val="24"/>
        </w:rPr>
        <w:t>................</w:t>
      </w:r>
      <w:r>
        <w:rPr>
          <w:rFonts w:hint="eastAsia" w:asciiTheme="minorEastAsia" w:hAnsiTheme="minorEastAsia" w:cstheme="minorEastAsia"/>
          <w:bCs/>
          <w:color w:val="auto"/>
          <w:sz w:val="28"/>
          <w:szCs w:val="28"/>
        </w:rPr>
        <w:t>.................</w:t>
      </w:r>
    </w:p>
    <w:p>
      <w:pPr>
        <w:spacing w:line="48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二十一、试验数据采集、记录、管理与统计分析的SOP................</w:t>
      </w:r>
    </w:p>
    <w:p>
      <w:pPr>
        <w:spacing w:line="48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二十二、临床试验档案管理的SOP..................................</w:t>
      </w:r>
    </w:p>
    <w:p>
      <w:pPr>
        <w:spacing w:line="36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二十三、</w:t>
      </w:r>
      <w:r>
        <w:rPr>
          <w:rFonts w:hint="eastAsia" w:asciiTheme="minorEastAsia" w:hAnsiTheme="minorEastAsia" w:cstheme="minorEastAsia"/>
          <w:color w:val="auto"/>
          <w:sz w:val="28"/>
          <w:szCs w:val="28"/>
        </w:rPr>
        <w:t>临床试验结题</w:t>
      </w:r>
      <w:r>
        <w:rPr>
          <w:rFonts w:hint="eastAsia" w:asciiTheme="minorEastAsia" w:hAnsiTheme="minorEastAsia" w:cstheme="minorEastAsia"/>
          <w:bCs/>
          <w:color w:val="auto"/>
          <w:sz w:val="28"/>
          <w:szCs w:val="28"/>
        </w:rPr>
        <w:t>的SOP......................................</w:t>
      </w:r>
    </w:p>
    <w:p>
      <w:pPr>
        <w:pStyle w:val="38"/>
        <w:spacing w:line="360" w:lineRule="auto"/>
        <w:ind w:firstLine="0" w:firstLineChars="0"/>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二十四、临床试验质量控制的SOP..................................</w:t>
      </w:r>
    </w:p>
    <w:p>
      <w:pPr>
        <w:spacing w:line="360" w:lineRule="auto"/>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二十五、机构对各专业临床试验质量控制的SOP</w:t>
      </w:r>
      <w:r>
        <w:rPr>
          <w:rFonts w:hint="eastAsia" w:asciiTheme="minorEastAsia" w:hAnsiTheme="minorEastAsia" w:cstheme="minorEastAsia"/>
          <w:bCs/>
          <w:color w:val="auto"/>
          <w:sz w:val="28"/>
          <w:szCs w:val="28"/>
        </w:rPr>
        <w:t>......................</w:t>
      </w:r>
    </w:p>
    <w:p>
      <w:pPr>
        <w:spacing w:line="360" w:lineRule="auto"/>
        <w:rPr>
          <w:rFonts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二十六、临床试验的问题分级和处理的SOP..........................</w:t>
      </w:r>
    </w:p>
    <w:p>
      <w:pPr>
        <w:spacing w:line="360" w:lineRule="auto"/>
        <w:rPr>
          <w:rFonts w:hint="eastAsia"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二十七、接受和配合各种检查的SOP................................</w:t>
      </w:r>
    </w:p>
    <w:p>
      <w:pPr>
        <w:spacing w:line="360" w:lineRule="auto"/>
        <w:rPr>
          <w:rFonts w:hint="eastAsia" w:asciiTheme="minorEastAsia" w:hAnsiTheme="minorEastAsia" w:cstheme="minorEastAsia"/>
          <w:bCs/>
          <w:color w:val="auto"/>
          <w:sz w:val="28"/>
          <w:szCs w:val="28"/>
        </w:rPr>
      </w:pPr>
      <w:r>
        <w:rPr>
          <w:rFonts w:hint="eastAsia" w:asciiTheme="minorEastAsia" w:hAnsiTheme="minorEastAsia" w:cstheme="minorEastAsia"/>
          <w:bCs/>
          <w:color w:val="auto"/>
          <w:sz w:val="28"/>
          <w:szCs w:val="28"/>
          <w:lang w:val="en-US" w:eastAsia="zh-CN"/>
        </w:rPr>
        <w:t>二十八、生物样本管理的SOP</w:t>
      </w:r>
      <w:r>
        <w:rPr>
          <w:rFonts w:hint="eastAsia" w:asciiTheme="minorEastAsia" w:hAnsiTheme="minorEastAsia" w:cstheme="minorEastAsia"/>
          <w:bCs/>
          <w:color w:val="auto"/>
          <w:sz w:val="28"/>
          <w:szCs w:val="28"/>
        </w:rPr>
        <w:t>......................................</w:t>
      </w:r>
    </w:p>
    <w:p>
      <w:pPr>
        <w:spacing w:line="360" w:lineRule="auto"/>
        <w:rPr>
          <w:rFonts w:hint="default" w:asciiTheme="minorEastAsia" w:hAnsiTheme="minorEastAsia" w:cstheme="minorEastAsia"/>
          <w:bCs/>
          <w:color w:val="auto"/>
          <w:sz w:val="28"/>
          <w:szCs w:val="28"/>
          <w:lang w:val="en-US" w:eastAsia="zh-CN"/>
        </w:rPr>
      </w:pPr>
      <w:r>
        <w:rPr>
          <w:rFonts w:hint="eastAsia" w:asciiTheme="minorEastAsia" w:hAnsiTheme="minorEastAsia" w:cstheme="minorEastAsia"/>
          <w:bCs/>
          <w:color w:val="auto"/>
          <w:sz w:val="28"/>
          <w:szCs w:val="28"/>
          <w:lang w:val="en-US" w:eastAsia="zh-CN"/>
        </w:rPr>
        <w:t>二十九、医疗器械缺陷处理与记录报告的SOP</w:t>
      </w:r>
      <w:r>
        <w:rPr>
          <w:rFonts w:hint="eastAsia" w:asciiTheme="minorEastAsia" w:hAnsiTheme="minorEastAsia" w:cstheme="minorEastAsia"/>
          <w:bCs/>
          <w:color w:val="auto"/>
          <w:sz w:val="28"/>
          <w:szCs w:val="28"/>
        </w:rPr>
        <w:t>........................</w:t>
      </w:r>
    </w:p>
    <w:p>
      <w:pPr>
        <w:spacing w:line="360" w:lineRule="auto"/>
        <w:rPr>
          <w:rFonts w:hint="eastAsia" w:ascii="黑体" w:hAnsi="黑体" w:eastAsia="黑体" w:cs="黑体"/>
          <w:bCs/>
          <w:color w:val="auto"/>
          <w:sz w:val="30"/>
          <w:szCs w:val="30"/>
        </w:rPr>
      </w:pPr>
    </w:p>
    <w:p>
      <w:pPr>
        <w:spacing w:line="360" w:lineRule="auto"/>
        <w:rPr>
          <w:rFonts w:hint="eastAsia" w:ascii="黑体" w:hAnsi="黑体" w:eastAsia="黑体" w:cs="黑体"/>
          <w:bCs/>
          <w:color w:val="auto"/>
          <w:sz w:val="30"/>
          <w:szCs w:val="30"/>
        </w:rPr>
      </w:pPr>
    </w:p>
    <w:p>
      <w:pPr>
        <w:spacing w:line="360" w:lineRule="auto"/>
        <w:rPr>
          <w:rFonts w:hint="eastAsia" w:ascii="黑体" w:hAnsi="黑体" w:eastAsia="黑体" w:cs="黑体"/>
          <w:bCs/>
          <w:color w:val="auto"/>
          <w:sz w:val="30"/>
          <w:szCs w:val="30"/>
        </w:rPr>
      </w:pPr>
    </w:p>
    <w:p>
      <w:pPr>
        <w:spacing w:line="360" w:lineRule="auto"/>
        <w:rPr>
          <w:rFonts w:hint="eastAsia" w:ascii="黑体" w:hAnsi="黑体" w:eastAsia="黑体" w:cs="黑体"/>
          <w:bCs/>
          <w:color w:val="auto"/>
          <w:sz w:val="30"/>
          <w:szCs w:val="30"/>
        </w:rPr>
      </w:pPr>
    </w:p>
    <w:p>
      <w:pPr>
        <w:spacing w:line="360" w:lineRule="auto"/>
        <w:rPr>
          <w:rFonts w:hint="eastAsia" w:ascii="黑体" w:hAnsi="黑体" w:eastAsia="黑体" w:cs="黑体"/>
          <w:bCs/>
          <w:color w:val="auto"/>
          <w:sz w:val="30"/>
          <w:szCs w:val="30"/>
        </w:rPr>
      </w:pPr>
    </w:p>
    <w:p>
      <w:pPr>
        <w:spacing w:line="360" w:lineRule="auto"/>
        <w:rPr>
          <w:rFonts w:hint="eastAsia" w:ascii="黑体" w:hAnsi="黑体" w:eastAsia="黑体" w:cs="黑体"/>
          <w:bCs/>
          <w:color w:val="auto"/>
          <w:sz w:val="30"/>
          <w:szCs w:val="30"/>
        </w:rPr>
      </w:pPr>
    </w:p>
    <w:p>
      <w:pPr>
        <w:spacing w:line="360" w:lineRule="auto"/>
        <w:rPr>
          <w:rFonts w:hint="eastAsia" w:ascii="黑体" w:hAnsi="黑体" w:eastAsia="黑体" w:cs="黑体"/>
          <w:bCs/>
          <w:color w:val="auto"/>
          <w:sz w:val="30"/>
          <w:szCs w:val="30"/>
        </w:rPr>
      </w:pPr>
    </w:p>
    <w:p>
      <w:pPr>
        <w:spacing w:line="360" w:lineRule="auto"/>
        <w:rPr>
          <w:rFonts w:hint="eastAsia" w:ascii="黑体" w:hAnsi="黑体" w:eastAsia="黑体" w:cs="黑体"/>
          <w:bCs/>
          <w:color w:val="auto"/>
          <w:sz w:val="30"/>
          <w:szCs w:val="30"/>
        </w:rPr>
      </w:pPr>
    </w:p>
    <w:p>
      <w:pPr>
        <w:spacing w:line="360" w:lineRule="auto"/>
        <w:rPr>
          <w:rFonts w:hint="eastAsia" w:ascii="黑体" w:hAnsi="黑体" w:eastAsia="黑体" w:cs="黑体"/>
          <w:bCs/>
          <w:color w:val="auto"/>
          <w:sz w:val="30"/>
          <w:szCs w:val="30"/>
        </w:rPr>
      </w:pPr>
    </w:p>
    <w:p>
      <w:pPr>
        <w:spacing w:line="360" w:lineRule="auto"/>
        <w:rPr>
          <w:rFonts w:hint="eastAsia" w:ascii="黑体" w:hAnsi="黑体" w:eastAsia="黑体" w:cs="黑体"/>
          <w:bCs/>
          <w:color w:val="auto"/>
          <w:sz w:val="30"/>
          <w:szCs w:val="30"/>
        </w:rPr>
      </w:pPr>
    </w:p>
    <w:p>
      <w:pPr>
        <w:spacing w:line="360" w:lineRule="auto"/>
        <w:rPr>
          <w:rFonts w:hint="eastAsia" w:ascii="黑体" w:hAnsi="黑体" w:eastAsia="黑体" w:cs="黑体"/>
          <w:bCs/>
          <w:color w:val="auto"/>
          <w:sz w:val="30"/>
          <w:szCs w:val="30"/>
        </w:rPr>
      </w:pPr>
    </w:p>
    <w:p>
      <w:pPr>
        <w:spacing w:line="360" w:lineRule="auto"/>
        <w:rPr>
          <w:rFonts w:hint="eastAsia" w:ascii="黑体" w:hAnsi="黑体" w:eastAsia="黑体" w:cs="黑体"/>
          <w:bCs/>
          <w:color w:val="auto"/>
          <w:sz w:val="30"/>
          <w:szCs w:val="30"/>
        </w:rPr>
      </w:pPr>
    </w:p>
    <w:p>
      <w:pPr>
        <w:spacing w:line="360" w:lineRule="auto"/>
        <w:rPr>
          <w:rFonts w:hint="eastAsia" w:ascii="黑体" w:hAnsi="黑体" w:eastAsia="黑体" w:cs="黑体"/>
          <w:bCs/>
          <w:color w:val="auto"/>
          <w:sz w:val="30"/>
          <w:szCs w:val="30"/>
        </w:rPr>
      </w:pPr>
    </w:p>
    <w:p>
      <w:pPr>
        <w:spacing w:line="360" w:lineRule="auto"/>
        <w:rPr>
          <w:rFonts w:hint="eastAsia" w:ascii="黑体" w:hAnsi="黑体" w:eastAsia="黑体" w:cs="黑体"/>
          <w:bCs/>
          <w:color w:val="auto"/>
          <w:sz w:val="30"/>
          <w:szCs w:val="30"/>
        </w:rPr>
      </w:pPr>
    </w:p>
    <w:p>
      <w:pPr>
        <w:spacing w:line="360" w:lineRule="auto"/>
        <w:jc w:val="center"/>
        <w:rPr>
          <w:rFonts w:ascii="黑体" w:hAnsi="黑体" w:eastAsia="黑体" w:cs="黑体"/>
          <w:bCs/>
          <w:color w:val="auto"/>
          <w:sz w:val="32"/>
          <w:szCs w:val="32"/>
        </w:rPr>
      </w:pPr>
      <w:r>
        <w:rPr>
          <w:rFonts w:hint="eastAsia" w:ascii="黑体" w:hAnsi="黑体" w:eastAsia="黑体" w:cs="黑体"/>
          <w:bCs/>
          <w:color w:val="auto"/>
          <w:sz w:val="32"/>
          <w:szCs w:val="32"/>
        </w:rPr>
        <w:t>第四章 设计规范</w:t>
      </w:r>
    </w:p>
    <w:p>
      <w:pPr>
        <w:spacing w:line="360" w:lineRule="auto"/>
        <w:rPr>
          <w:rFonts w:cs="宋体" w:asciiTheme="minorEastAsia" w:hAnsiTheme="minorEastAsia"/>
          <w:bCs/>
          <w:color w:val="auto"/>
          <w:sz w:val="28"/>
          <w:szCs w:val="28"/>
        </w:rPr>
      </w:pPr>
      <w:r>
        <w:rPr>
          <w:rFonts w:hint="eastAsia" w:asciiTheme="minorEastAsia" w:hAnsiTheme="minorEastAsia"/>
          <w:bCs/>
          <w:color w:val="auto"/>
          <w:sz w:val="28"/>
          <w:szCs w:val="28"/>
        </w:rPr>
        <w:t>一、</w:t>
      </w:r>
      <w:r>
        <w:rPr>
          <w:rFonts w:cs="宋体" w:asciiTheme="minorEastAsia" w:hAnsiTheme="minorEastAsia"/>
          <w:bCs/>
          <w:color w:val="auto"/>
          <w:kern w:val="0"/>
          <w:sz w:val="28"/>
          <w:szCs w:val="28"/>
        </w:rPr>
        <w:t>临床试验方案设计</w:t>
      </w:r>
      <w:r>
        <w:rPr>
          <w:rFonts w:hint="eastAsia" w:cs="宋体" w:asciiTheme="minorEastAsia" w:hAnsiTheme="minorEastAsia"/>
          <w:bCs/>
          <w:color w:val="auto"/>
          <w:kern w:val="0"/>
          <w:sz w:val="28"/>
          <w:szCs w:val="28"/>
        </w:rPr>
        <w:t>规范</w:t>
      </w:r>
      <w:r>
        <w:rPr>
          <w:rFonts w:hint="eastAsia" w:asciiTheme="minorEastAsia" w:hAnsiTheme="minorEastAsia" w:cstheme="minorEastAsia"/>
          <w:bCs/>
          <w:color w:val="auto"/>
          <w:sz w:val="28"/>
          <w:szCs w:val="28"/>
        </w:rPr>
        <w:t>........................................</w:t>
      </w:r>
    </w:p>
    <w:p>
      <w:pPr>
        <w:widowControl/>
        <w:spacing w:line="360" w:lineRule="auto"/>
        <w:rPr>
          <w:rFonts w:cs="宋体" w:asciiTheme="minorEastAsia" w:hAnsiTheme="minorEastAsia"/>
          <w:bCs/>
          <w:color w:val="auto"/>
          <w:kern w:val="0"/>
          <w:sz w:val="28"/>
          <w:szCs w:val="28"/>
        </w:rPr>
      </w:pPr>
      <w:r>
        <w:rPr>
          <w:rFonts w:hint="eastAsia" w:cs="宋体" w:asciiTheme="minorEastAsia" w:hAnsiTheme="minorEastAsia"/>
          <w:bCs/>
          <w:color w:val="auto"/>
          <w:kern w:val="0"/>
          <w:sz w:val="28"/>
          <w:szCs w:val="28"/>
        </w:rPr>
        <w:t>二、</w:t>
      </w:r>
      <w:r>
        <w:rPr>
          <w:rFonts w:cs="宋体" w:asciiTheme="minorEastAsia" w:hAnsiTheme="minorEastAsia"/>
          <w:bCs/>
          <w:color w:val="auto"/>
          <w:kern w:val="0"/>
          <w:sz w:val="28"/>
          <w:szCs w:val="28"/>
        </w:rPr>
        <w:t>病例报告表设计规范</w:t>
      </w:r>
      <w:r>
        <w:rPr>
          <w:rFonts w:hint="eastAsia" w:asciiTheme="minorEastAsia" w:hAnsiTheme="minorEastAsia" w:cstheme="minorEastAsia"/>
          <w:bCs/>
          <w:color w:val="auto"/>
          <w:sz w:val="28"/>
          <w:szCs w:val="28"/>
        </w:rPr>
        <w:t>..........................................</w:t>
      </w:r>
    </w:p>
    <w:p>
      <w:pPr>
        <w:widowControl/>
        <w:spacing w:line="360" w:lineRule="auto"/>
        <w:rPr>
          <w:rFonts w:cs="宋体" w:asciiTheme="minorEastAsia" w:hAnsiTheme="minorEastAsia"/>
          <w:bCs/>
          <w:color w:val="auto"/>
          <w:kern w:val="0"/>
          <w:sz w:val="28"/>
          <w:szCs w:val="28"/>
        </w:rPr>
      </w:pPr>
      <w:r>
        <w:rPr>
          <w:rFonts w:hint="eastAsia" w:cs="宋体" w:asciiTheme="minorEastAsia" w:hAnsiTheme="minorEastAsia"/>
          <w:bCs/>
          <w:color w:val="auto"/>
          <w:kern w:val="0"/>
          <w:sz w:val="28"/>
          <w:szCs w:val="28"/>
        </w:rPr>
        <w:t>三、</w:t>
      </w:r>
      <w:r>
        <w:rPr>
          <w:rFonts w:cs="宋体" w:asciiTheme="minorEastAsia" w:hAnsiTheme="minorEastAsia"/>
          <w:bCs/>
          <w:color w:val="auto"/>
          <w:kern w:val="0"/>
          <w:sz w:val="28"/>
          <w:szCs w:val="28"/>
        </w:rPr>
        <w:t>知情同意书设计规范</w:t>
      </w:r>
      <w:r>
        <w:rPr>
          <w:rFonts w:hint="eastAsia" w:asciiTheme="minorEastAsia" w:hAnsiTheme="minorEastAsia" w:cstheme="minorEastAsia"/>
          <w:bCs/>
          <w:color w:val="auto"/>
          <w:sz w:val="28"/>
          <w:szCs w:val="28"/>
        </w:rPr>
        <w:t>..........................................</w:t>
      </w:r>
    </w:p>
    <w:p>
      <w:pPr>
        <w:widowControl/>
        <w:spacing w:line="360" w:lineRule="auto"/>
        <w:rPr>
          <w:rFonts w:cs="宋体" w:asciiTheme="minorEastAsia" w:hAnsiTheme="minorEastAsia"/>
          <w:bCs/>
          <w:color w:val="auto"/>
          <w:kern w:val="0"/>
          <w:sz w:val="28"/>
          <w:szCs w:val="28"/>
        </w:rPr>
      </w:pPr>
      <w:r>
        <w:rPr>
          <w:rFonts w:hint="eastAsia" w:cs="宋体" w:asciiTheme="minorEastAsia" w:hAnsiTheme="minorEastAsia"/>
          <w:bCs/>
          <w:color w:val="auto"/>
          <w:kern w:val="0"/>
          <w:sz w:val="28"/>
          <w:szCs w:val="28"/>
        </w:rPr>
        <w:t>四、</w:t>
      </w:r>
      <w:r>
        <w:rPr>
          <w:rFonts w:cs="宋体" w:asciiTheme="minorEastAsia" w:hAnsiTheme="minorEastAsia"/>
          <w:bCs/>
          <w:color w:val="auto"/>
          <w:kern w:val="0"/>
          <w:sz w:val="28"/>
          <w:szCs w:val="28"/>
        </w:rPr>
        <w:t>临床试验总结报告</w:t>
      </w:r>
      <w:r>
        <w:rPr>
          <w:rFonts w:hint="eastAsia" w:cs="宋体" w:asciiTheme="minorEastAsia" w:hAnsiTheme="minorEastAsia"/>
          <w:bCs/>
          <w:color w:val="auto"/>
          <w:kern w:val="0"/>
          <w:sz w:val="28"/>
          <w:szCs w:val="28"/>
        </w:rPr>
        <w:t>规范</w:t>
      </w:r>
      <w:r>
        <w:rPr>
          <w:rFonts w:hint="eastAsia" w:asciiTheme="minorEastAsia" w:hAnsiTheme="minorEastAsia" w:cstheme="minorEastAsia"/>
          <w:bCs/>
          <w:color w:val="auto"/>
          <w:sz w:val="28"/>
          <w:szCs w:val="28"/>
        </w:rPr>
        <w:t>........................................</w:t>
      </w:r>
    </w:p>
    <w:p>
      <w:pPr>
        <w:spacing w:line="360" w:lineRule="auto"/>
        <w:rPr>
          <w:rFonts w:asciiTheme="minorEastAsia" w:hAnsiTheme="minorEastAsia" w:cstheme="minorEastAsia"/>
          <w:bCs/>
          <w:color w:val="auto"/>
          <w:sz w:val="28"/>
          <w:szCs w:val="28"/>
        </w:rPr>
      </w:pPr>
      <w:r>
        <w:rPr>
          <w:rFonts w:hint="eastAsia" w:asciiTheme="minorEastAsia" w:hAnsiTheme="minorEastAsia"/>
          <w:bCs/>
          <w:color w:val="auto"/>
          <w:sz w:val="28"/>
          <w:szCs w:val="28"/>
        </w:rPr>
        <w:t>五、临床试验文件设计与编码规范</w:t>
      </w:r>
      <w:r>
        <w:rPr>
          <w:rFonts w:hint="eastAsia" w:asciiTheme="minorEastAsia" w:hAnsiTheme="minorEastAsia" w:cstheme="minorEastAsia"/>
          <w:bCs/>
          <w:color w:val="auto"/>
          <w:sz w:val="28"/>
          <w:szCs w:val="28"/>
        </w:rPr>
        <w:t>..................................</w:t>
      </w:r>
    </w:p>
    <w:p>
      <w:pPr>
        <w:rPr>
          <w:rFonts w:hint="eastAsia" w:ascii="黑体" w:hAnsi="黑体" w:eastAsia="黑体" w:cs="黑体"/>
          <w:bCs/>
          <w:color w:val="auto"/>
          <w:sz w:val="30"/>
          <w:szCs w:val="30"/>
        </w:rPr>
      </w:pPr>
      <w:r>
        <w:rPr>
          <w:rFonts w:hint="eastAsia" w:ascii="黑体" w:hAnsi="黑体" w:eastAsia="黑体" w:cs="黑体"/>
          <w:bCs/>
          <w:color w:val="auto"/>
          <w:sz w:val="30"/>
          <w:szCs w:val="30"/>
        </w:rPr>
        <w:br w:type="page"/>
      </w:r>
    </w:p>
    <w:p>
      <w:pPr>
        <w:spacing w:line="360" w:lineRule="auto"/>
        <w:jc w:val="center"/>
        <w:rPr>
          <w:rFonts w:hint="eastAsia" w:ascii="黑体" w:hAnsi="黑体" w:eastAsia="黑体" w:cs="黑体"/>
          <w:bCs/>
          <w:color w:val="auto"/>
          <w:sz w:val="30"/>
          <w:szCs w:val="30"/>
        </w:rPr>
        <w:sectPr>
          <w:footerReference r:id="rId9"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spacing w:line="360" w:lineRule="auto"/>
        <w:jc w:val="center"/>
        <w:rPr>
          <w:rFonts w:ascii="黑体" w:hAnsi="黑体" w:eastAsia="黑体" w:cs="黑体"/>
          <w:bCs/>
          <w:color w:val="auto"/>
          <w:sz w:val="30"/>
          <w:szCs w:val="30"/>
        </w:rPr>
      </w:pPr>
      <w:r>
        <w:rPr>
          <w:rFonts w:hint="eastAsia" w:ascii="黑体" w:hAnsi="黑体" w:eastAsia="黑体" w:cs="黑体"/>
          <w:bCs/>
          <w:color w:val="auto"/>
          <w:sz w:val="30"/>
          <w:szCs w:val="30"/>
        </w:rPr>
        <w:t>第五章 应急预案</w:t>
      </w:r>
    </w:p>
    <w:p>
      <w:pPr>
        <w:spacing w:line="360" w:lineRule="auto"/>
        <w:rPr>
          <w:rFonts w:hint="eastAsia" w:asciiTheme="minorEastAsia" w:hAnsiTheme="minorEastAsia" w:cstheme="minorEastAsia"/>
          <w:bCs/>
          <w:color w:val="auto"/>
          <w:sz w:val="28"/>
          <w:szCs w:val="28"/>
        </w:rPr>
      </w:pPr>
      <w:r>
        <w:rPr>
          <w:rFonts w:hint="eastAsia" w:asciiTheme="minorEastAsia" w:hAnsiTheme="minorEastAsia" w:cstheme="minorEastAsia"/>
          <w:bCs/>
          <w:color w:val="auto"/>
          <w:sz w:val="28"/>
          <w:szCs w:val="28"/>
        </w:rPr>
        <w:t>一、防范和处理受试者损害及突发事件应急预案........................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val="0"/>
          <w:bCs/>
          <w:color w:val="auto"/>
          <w:sz w:val="28"/>
          <w:szCs w:val="28"/>
          <w:lang w:val="en-US" w:eastAsia="zh-CN"/>
        </w:rPr>
      </w:pPr>
      <w:r>
        <w:rPr>
          <w:rFonts w:hint="eastAsia" w:ascii="宋体" w:hAnsi="宋体" w:cs="宋体"/>
          <w:b w:val="0"/>
          <w:bCs/>
          <w:color w:val="auto"/>
          <w:sz w:val="28"/>
          <w:szCs w:val="28"/>
          <w:lang w:val="en-US" w:eastAsia="zh-CN"/>
        </w:rPr>
        <w:t>二、心跳呼吸骤停</w:t>
      </w:r>
      <w:r>
        <w:rPr>
          <w:rFonts w:hint="eastAsia" w:ascii="宋体" w:hAnsi="宋体" w:eastAsia="宋体" w:cs="宋体"/>
          <w:b w:val="0"/>
          <w:bCs/>
          <w:color w:val="auto"/>
          <w:sz w:val="28"/>
          <w:szCs w:val="28"/>
          <w:lang w:val="en-US" w:eastAsia="zh-CN"/>
        </w:rPr>
        <w:t>的急救预案</w:t>
      </w:r>
      <w:r>
        <w:rPr>
          <w:rFonts w:hint="eastAsia" w:asciiTheme="minorEastAsia" w:hAnsiTheme="minorEastAsia" w:cstheme="minorEastAsia"/>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三、过敏性休克的急救预案</w:t>
      </w:r>
      <w:r>
        <w:rPr>
          <w:rFonts w:hint="eastAsia" w:asciiTheme="minorEastAsia" w:hAnsiTheme="minorEastAsia" w:cstheme="minorEastAsia"/>
          <w:bCs/>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color w:val="auto"/>
          <w:sz w:val="28"/>
          <w:szCs w:val="28"/>
        </w:rPr>
      </w:pPr>
      <w:r>
        <w:rPr>
          <w:rFonts w:hint="eastAsia" w:ascii="宋体" w:hAnsi="宋体" w:eastAsia="宋体" w:cs="宋体"/>
          <w:b w:val="0"/>
          <w:bCs w:val="0"/>
          <w:color w:val="auto"/>
          <w:sz w:val="28"/>
          <w:szCs w:val="28"/>
          <w:lang w:val="en-US" w:eastAsia="zh-CN"/>
        </w:rPr>
        <w:t>四</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rPr>
        <w:t>晕厥的</w:t>
      </w:r>
      <w:r>
        <w:rPr>
          <w:rFonts w:hint="eastAsia" w:ascii="宋体" w:hAnsi="宋体" w:eastAsia="宋体" w:cs="宋体"/>
          <w:b w:val="0"/>
          <w:bCs/>
          <w:color w:val="auto"/>
          <w:sz w:val="28"/>
          <w:szCs w:val="28"/>
          <w:lang w:val="en-US" w:eastAsia="zh-CN"/>
        </w:rPr>
        <w:t>急救预案</w:t>
      </w:r>
      <w:r>
        <w:rPr>
          <w:rFonts w:hint="eastAsia" w:asciiTheme="minorEastAsia" w:hAnsiTheme="minorEastAsia" w:cstheme="minorEastAsia"/>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lang w:val="en-US" w:eastAsia="zh-CN"/>
        </w:rPr>
        <w:t>五、低血糖的急救预案</w:t>
      </w:r>
      <w:r>
        <w:rPr>
          <w:rFonts w:hint="eastAsia" w:asciiTheme="minorEastAsia" w:hAnsiTheme="minorEastAsia" w:cstheme="minorEastAsia"/>
          <w:bCs/>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b w:val="0"/>
          <w:bCs/>
          <w:color w:val="auto"/>
          <w:sz w:val="28"/>
          <w:szCs w:val="28"/>
          <w:lang w:val="en-US" w:eastAsia="zh-CN"/>
        </w:rPr>
      </w:pPr>
      <w:r>
        <w:rPr>
          <w:rFonts w:hint="eastAsia" w:ascii="宋体" w:hAnsi="宋体" w:eastAsia="宋体" w:cs="宋体"/>
          <w:b w:val="0"/>
          <w:bCs w:val="0"/>
          <w:color w:val="auto"/>
          <w:sz w:val="28"/>
          <w:szCs w:val="28"/>
          <w:lang w:val="en-US" w:eastAsia="zh-CN"/>
        </w:rPr>
        <w:t>六</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rPr>
        <w:t>药物中毒的</w:t>
      </w:r>
      <w:r>
        <w:rPr>
          <w:rFonts w:hint="eastAsia" w:ascii="宋体" w:hAnsi="宋体" w:eastAsia="宋体" w:cs="宋体"/>
          <w:b w:val="0"/>
          <w:bCs/>
          <w:color w:val="auto"/>
          <w:sz w:val="28"/>
          <w:szCs w:val="28"/>
          <w:lang w:val="en-US" w:eastAsia="zh-CN"/>
        </w:rPr>
        <w:t>急救预案</w:t>
      </w:r>
      <w:r>
        <w:rPr>
          <w:rFonts w:hint="eastAsia" w:asciiTheme="minorEastAsia" w:hAnsiTheme="minorEastAsia" w:cstheme="minorEastAsia"/>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七、急性荨麻疹的急救预案</w:t>
      </w:r>
      <w:r>
        <w:rPr>
          <w:rFonts w:hint="eastAsia" w:asciiTheme="minorEastAsia" w:hAnsiTheme="minorEastAsia" w:cstheme="minorEastAsia"/>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val="0"/>
          <w:bCs/>
          <w:color w:val="auto"/>
          <w:sz w:val="28"/>
          <w:szCs w:val="28"/>
          <w:lang w:val="en-US" w:eastAsia="zh-CN"/>
        </w:rPr>
      </w:pPr>
      <w:r>
        <w:rPr>
          <w:rFonts w:hint="eastAsia" w:ascii="宋体" w:hAnsi="宋体" w:eastAsia="宋体" w:cs="宋体"/>
          <w:b w:val="0"/>
          <w:bCs/>
          <w:color w:val="auto"/>
          <w:sz w:val="28"/>
          <w:szCs w:val="28"/>
          <w:lang w:val="en-US" w:eastAsia="zh-CN"/>
        </w:rPr>
        <w:t>八、重症药疹的急救预案</w:t>
      </w:r>
      <w:r>
        <w:rPr>
          <w:rFonts w:hint="eastAsia" w:asciiTheme="minorEastAsia" w:hAnsiTheme="minorEastAsia" w:cstheme="minorEastAsia"/>
          <w:bCs/>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宋体" w:hAnsi="宋体" w:eastAsia="宋体" w:cs="宋体"/>
          <w:b w:val="0"/>
          <w:bCs/>
          <w:color w:val="auto"/>
          <w:sz w:val="28"/>
          <w:szCs w:val="28"/>
          <w:lang w:val="en-US" w:eastAsia="zh-CN"/>
        </w:rPr>
      </w:pPr>
      <w:r>
        <w:rPr>
          <w:rFonts w:hint="eastAsia" w:ascii="宋体" w:hAnsi="宋体" w:eastAsia="宋体" w:cs="宋体"/>
          <w:b w:val="0"/>
          <w:bCs w:val="0"/>
          <w:color w:val="auto"/>
          <w:sz w:val="28"/>
          <w:szCs w:val="28"/>
          <w:lang w:val="en-US" w:eastAsia="zh-CN"/>
        </w:rPr>
        <w:t>九</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rPr>
        <w:t>上消化道出血</w:t>
      </w:r>
      <w:r>
        <w:rPr>
          <w:rFonts w:hint="eastAsia" w:ascii="宋体" w:hAnsi="宋体" w:eastAsia="宋体" w:cs="宋体"/>
          <w:b w:val="0"/>
          <w:bCs/>
          <w:color w:val="auto"/>
          <w:sz w:val="28"/>
          <w:szCs w:val="28"/>
          <w:lang w:val="en-US" w:eastAsia="zh-CN"/>
        </w:rPr>
        <w:t>的急救预案</w:t>
      </w:r>
      <w:r>
        <w:rPr>
          <w:rFonts w:hint="eastAsia" w:asciiTheme="minorEastAsia" w:hAnsiTheme="minorEastAsia" w:cstheme="minorEastAsia"/>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color w:val="auto"/>
          <w:sz w:val="28"/>
          <w:szCs w:val="28"/>
          <w:lang w:val="en-US" w:eastAsia="zh-CN"/>
        </w:rPr>
      </w:pPr>
      <w:r>
        <w:rPr>
          <w:rFonts w:hint="eastAsia" w:ascii="宋体" w:hAnsi="宋体" w:eastAsia="宋体" w:cs="宋体"/>
          <w:b w:val="0"/>
          <w:bCs w:val="0"/>
          <w:color w:val="auto"/>
          <w:sz w:val="28"/>
          <w:szCs w:val="28"/>
          <w:lang w:val="en-US" w:eastAsia="zh-CN"/>
        </w:rPr>
        <w:t>十</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rPr>
        <w:t>急性大咯血</w:t>
      </w:r>
      <w:r>
        <w:rPr>
          <w:rFonts w:hint="eastAsia" w:ascii="宋体" w:hAnsi="宋体" w:eastAsia="宋体" w:cs="宋体"/>
          <w:b w:val="0"/>
          <w:bCs/>
          <w:color w:val="auto"/>
          <w:sz w:val="28"/>
          <w:szCs w:val="28"/>
          <w:lang w:val="en-US" w:eastAsia="zh-CN"/>
        </w:rPr>
        <w:t>的急救预案</w:t>
      </w:r>
      <w:r>
        <w:rPr>
          <w:rFonts w:hint="eastAsia" w:asciiTheme="minorEastAsia" w:hAnsiTheme="minorEastAsia" w:cstheme="minorEastAsia"/>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黑体" w:hAnsi="黑体" w:eastAsia="黑体" w:cs="黑体"/>
          <w:b/>
          <w:bCs/>
          <w:color w:val="auto"/>
          <w:sz w:val="28"/>
          <w:szCs w:val="28"/>
        </w:rPr>
      </w:pPr>
      <w:r>
        <w:rPr>
          <w:rFonts w:hint="eastAsia" w:ascii="宋体" w:hAnsi="宋体" w:cs="宋体"/>
          <w:b w:val="0"/>
          <w:bCs w:val="0"/>
          <w:color w:val="auto"/>
          <w:sz w:val="28"/>
          <w:szCs w:val="28"/>
          <w:lang w:eastAsia="zh-CN"/>
        </w:rPr>
        <w:t>十</w:t>
      </w:r>
      <w:r>
        <w:rPr>
          <w:rFonts w:hint="eastAsia" w:ascii="宋体" w:hAnsi="宋体" w:cs="宋体"/>
          <w:b w:val="0"/>
          <w:bCs w:val="0"/>
          <w:color w:val="auto"/>
          <w:sz w:val="28"/>
          <w:szCs w:val="28"/>
          <w:lang w:val="en-US" w:eastAsia="zh-CN"/>
        </w:rPr>
        <w:t>一</w:t>
      </w:r>
      <w:r>
        <w:rPr>
          <w:rFonts w:hint="eastAsia" w:ascii="宋体" w:hAnsi="宋体" w:cs="宋体"/>
          <w:b w:val="0"/>
          <w:bCs w:val="0"/>
          <w:color w:val="auto"/>
          <w:sz w:val="28"/>
          <w:szCs w:val="28"/>
          <w:lang w:eastAsia="zh-CN"/>
        </w:rPr>
        <w:t>、急</w:t>
      </w:r>
      <w:r>
        <w:rPr>
          <w:rFonts w:hint="eastAsia" w:ascii="宋体" w:hAnsi="宋体" w:eastAsia="宋体" w:cs="宋体"/>
          <w:b w:val="0"/>
          <w:bCs w:val="0"/>
          <w:color w:val="auto"/>
          <w:sz w:val="28"/>
          <w:szCs w:val="28"/>
        </w:rPr>
        <w:t>性肾功能衰竭</w:t>
      </w:r>
      <w:r>
        <w:rPr>
          <w:rFonts w:hint="eastAsia" w:ascii="宋体" w:hAnsi="宋体" w:eastAsia="宋体" w:cs="宋体"/>
          <w:b w:val="0"/>
          <w:bCs/>
          <w:color w:val="auto"/>
          <w:sz w:val="28"/>
          <w:szCs w:val="28"/>
          <w:lang w:val="en-US" w:eastAsia="zh-CN"/>
        </w:rPr>
        <w:t>的急救预案</w:t>
      </w:r>
      <w:r>
        <w:rPr>
          <w:rFonts w:hint="eastAsia" w:asciiTheme="minorEastAsia" w:hAnsiTheme="minorEastAsia" w:cstheme="minorEastAsia"/>
          <w:bCs/>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color w:val="auto"/>
          <w:sz w:val="28"/>
          <w:szCs w:val="28"/>
          <w:lang w:val="en-US" w:eastAsia="zh-CN"/>
        </w:rPr>
      </w:pPr>
      <w:r>
        <w:rPr>
          <w:rFonts w:hint="eastAsia" w:ascii="宋体" w:hAnsi="宋体" w:cs="宋体"/>
          <w:b w:val="0"/>
          <w:bCs w:val="0"/>
          <w:color w:val="auto"/>
          <w:sz w:val="28"/>
          <w:szCs w:val="28"/>
          <w:lang w:eastAsia="zh-CN"/>
        </w:rPr>
        <w:t>十</w:t>
      </w:r>
      <w:r>
        <w:rPr>
          <w:rFonts w:hint="eastAsia" w:ascii="宋体" w:hAnsi="宋体" w:cs="宋体"/>
          <w:b w:val="0"/>
          <w:bCs w:val="0"/>
          <w:color w:val="auto"/>
          <w:sz w:val="28"/>
          <w:szCs w:val="28"/>
          <w:lang w:val="en-US" w:eastAsia="zh-CN"/>
        </w:rPr>
        <w:t>二</w:t>
      </w:r>
      <w:r>
        <w:rPr>
          <w:rFonts w:hint="eastAsia" w:ascii="宋体" w:hAnsi="宋体" w:cs="宋体"/>
          <w:b w:val="0"/>
          <w:bCs w:val="0"/>
          <w:color w:val="auto"/>
          <w:sz w:val="28"/>
          <w:szCs w:val="28"/>
          <w:lang w:eastAsia="zh-CN"/>
        </w:rPr>
        <w:t>、</w:t>
      </w:r>
      <w:r>
        <w:rPr>
          <w:rFonts w:hint="eastAsia" w:ascii="宋体" w:hAnsi="宋体" w:eastAsia="宋体" w:cs="宋体"/>
          <w:b w:val="0"/>
          <w:bCs w:val="0"/>
          <w:color w:val="auto"/>
          <w:sz w:val="28"/>
          <w:szCs w:val="28"/>
        </w:rPr>
        <w:t>急性肺损伤／急性呼吸窘迫综合征</w:t>
      </w:r>
      <w:r>
        <w:rPr>
          <w:rFonts w:hint="eastAsia" w:ascii="宋体" w:hAnsi="宋体" w:eastAsia="宋体" w:cs="宋体"/>
          <w:b w:val="0"/>
          <w:bCs/>
          <w:color w:val="auto"/>
          <w:sz w:val="28"/>
          <w:szCs w:val="28"/>
          <w:lang w:val="en-US" w:eastAsia="zh-CN"/>
        </w:rPr>
        <w:t>的急救预案</w:t>
      </w:r>
      <w:r>
        <w:rPr>
          <w:rFonts w:hint="eastAsia" w:asciiTheme="minorEastAsia" w:hAnsiTheme="minorEastAsia" w:cstheme="minorEastAsia"/>
          <w:bCs/>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color w:val="auto"/>
          <w:sz w:val="28"/>
          <w:szCs w:val="28"/>
          <w:lang w:val="en-US" w:eastAsia="zh-CN"/>
        </w:rPr>
      </w:pPr>
      <w:r>
        <w:rPr>
          <w:rFonts w:hint="eastAsia" w:ascii="宋体" w:hAnsi="宋体" w:cs="宋体"/>
          <w:b w:val="0"/>
          <w:bCs w:val="0"/>
          <w:color w:val="auto"/>
          <w:sz w:val="28"/>
          <w:szCs w:val="28"/>
          <w:lang w:eastAsia="zh-CN"/>
        </w:rPr>
        <w:t>十</w:t>
      </w:r>
      <w:r>
        <w:rPr>
          <w:rFonts w:hint="eastAsia" w:ascii="宋体" w:hAnsi="宋体" w:cs="宋体"/>
          <w:b w:val="0"/>
          <w:bCs w:val="0"/>
          <w:color w:val="auto"/>
          <w:sz w:val="28"/>
          <w:szCs w:val="28"/>
          <w:lang w:val="en-US" w:eastAsia="zh-CN"/>
        </w:rPr>
        <w:t>三</w:t>
      </w:r>
      <w:r>
        <w:rPr>
          <w:rFonts w:hint="eastAsia" w:ascii="宋体" w:hAnsi="宋体" w:cs="宋体"/>
          <w:b w:val="0"/>
          <w:bCs w:val="0"/>
          <w:color w:val="auto"/>
          <w:sz w:val="28"/>
          <w:szCs w:val="28"/>
          <w:lang w:eastAsia="zh-CN"/>
        </w:rPr>
        <w:t>、</w:t>
      </w:r>
      <w:r>
        <w:rPr>
          <w:rFonts w:hint="eastAsia" w:ascii="宋体" w:hAnsi="宋体" w:eastAsia="宋体" w:cs="宋体"/>
          <w:b w:val="0"/>
          <w:bCs w:val="0"/>
          <w:color w:val="auto"/>
          <w:sz w:val="28"/>
          <w:szCs w:val="28"/>
        </w:rPr>
        <w:t>脑出血诊疗</w:t>
      </w:r>
      <w:r>
        <w:rPr>
          <w:rFonts w:hint="eastAsia" w:ascii="宋体" w:hAnsi="宋体" w:eastAsia="宋体" w:cs="宋体"/>
          <w:b w:val="0"/>
          <w:bCs/>
          <w:color w:val="auto"/>
          <w:sz w:val="28"/>
          <w:szCs w:val="28"/>
          <w:lang w:val="en-US" w:eastAsia="zh-CN"/>
        </w:rPr>
        <w:t>的急救预案</w:t>
      </w:r>
      <w:r>
        <w:rPr>
          <w:rFonts w:hint="eastAsia" w:asciiTheme="minorEastAsia" w:hAnsiTheme="minorEastAsia" w:cstheme="minorEastAsia"/>
          <w:bCs/>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8"/>
          <w:szCs w:val="28"/>
          <w:lang w:eastAsia="zh-CN"/>
        </w:rPr>
      </w:pPr>
      <w:r>
        <w:rPr>
          <w:rFonts w:hint="eastAsia" w:ascii="宋体" w:hAnsi="宋体" w:eastAsia="宋体" w:cs="宋体"/>
          <w:b w:val="0"/>
          <w:bCs w:val="0"/>
          <w:color w:val="auto"/>
          <w:sz w:val="28"/>
          <w:szCs w:val="28"/>
          <w:lang w:val="en-US" w:eastAsia="zh-CN"/>
        </w:rPr>
        <w:t>十</w:t>
      </w:r>
      <w:r>
        <w:rPr>
          <w:rFonts w:hint="eastAsia" w:ascii="宋体" w:hAnsi="宋体" w:cs="宋体"/>
          <w:b w:val="0"/>
          <w:bCs w:val="0"/>
          <w:color w:val="auto"/>
          <w:sz w:val="28"/>
          <w:szCs w:val="28"/>
          <w:lang w:val="en-US" w:eastAsia="zh-CN"/>
        </w:rPr>
        <w:t>四</w:t>
      </w:r>
      <w:r>
        <w:rPr>
          <w:rFonts w:hint="eastAsia" w:ascii="宋体" w:hAnsi="宋体" w:eastAsia="宋体" w:cs="宋体"/>
          <w:b w:val="0"/>
          <w:bCs w:val="0"/>
          <w:color w:val="auto"/>
          <w:sz w:val="28"/>
          <w:szCs w:val="28"/>
          <w:lang w:val="en-US" w:eastAsia="zh-CN"/>
        </w:rPr>
        <w:t>、呼吸机使用中突遇断电的</w:t>
      </w:r>
      <w:r>
        <w:rPr>
          <w:rFonts w:hint="eastAsia" w:ascii="宋体" w:hAnsi="宋体" w:eastAsia="宋体" w:cs="宋体"/>
          <w:b w:val="0"/>
          <w:bCs w:val="0"/>
          <w:color w:val="auto"/>
          <w:sz w:val="28"/>
          <w:szCs w:val="28"/>
          <w:lang w:eastAsia="zh-CN"/>
        </w:rPr>
        <w:t>应急预案</w:t>
      </w:r>
      <w:r>
        <w:rPr>
          <w:rFonts w:hint="eastAsia" w:asciiTheme="minorEastAsia" w:hAnsiTheme="minorEastAsia" w:cstheme="minorEastAsia"/>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Theme="minorEastAsia" w:hAnsiTheme="minorEastAsia" w:cstheme="minorEastAsia"/>
          <w:bCs/>
          <w:color w:val="auto"/>
          <w:sz w:val="28"/>
          <w:szCs w:val="28"/>
        </w:rPr>
      </w:pPr>
      <w:r>
        <w:rPr>
          <w:rFonts w:hint="eastAsia" w:ascii="宋体" w:hAnsi="宋体" w:eastAsia="宋体" w:cs="宋体"/>
          <w:b w:val="0"/>
          <w:bCs w:val="0"/>
          <w:color w:val="auto"/>
          <w:sz w:val="28"/>
          <w:szCs w:val="28"/>
          <w:lang w:eastAsia="zh-CN"/>
        </w:rPr>
        <w:t>十</w:t>
      </w:r>
      <w:r>
        <w:rPr>
          <w:rFonts w:hint="eastAsia" w:ascii="宋体" w:hAnsi="宋体" w:cs="宋体"/>
          <w:b w:val="0"/>
          <w:bCs w:val="0"/>
          <w:color w:val="auto"/>
          <w:sz w:val="28"/>
          <w:szCs w:val="28"/>
          <w:lang w:val="en-US" w:eastAsia="zh-CN"/>
        </w:rPr>
        <w:t>五</w:t>
      </w:r>
      <w:r>
        <w:rPr>
          <w:rFonts w:hint="eastAsia" w:ascii="宋体" w:hAnsi="宋体" w:eastAsia="宋体" w:cs="宋体"/>
          <w:b w:val="0"/>
          <w:bCs w:val="0"/>
          <w:color w:val="auto"/>
          <w:sz w:val="28"/>
          <w:szCs w:val="28"/>
          <w:lang w:eastAsia="zh-CN"/>
        </w:rPr>
        <w:t>、防火安全的应急预案</w:t>
      </w:r>
      <w:r>
        <w:rPr>
          <w:rFonts w:hint="eastAsia" w:asciiTheme="minorEastAsia" w:hAnsiTheme="minorEastAsia" w:cstheme="minorEastAsia"/>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b w:val="0"/>
          <w:bCs w:val="0"/>
          <w:color w:val="auto"/>
          <w:sz w:val="28"/>
          <w:szCs w:val="28"/>
          <w:lang w:eastAsia="zh-CN"/>
        </w:rPr>
      </w:pPr>
      <w:r>
        <w:rPr>
          <w:rFonts w:hint="eastAsia" w:ascii="宋体" w:hAnsi="宋体" w:eastAsia="宋体" w:cs="宋体"/>
          <w:b w:val="0"/>
          <w:bCs/>
          <w:color w:val="auto"/>
          <w:sz w:val="28"/>
          <w:szCs w:val="28"/>
          <w:lang w:val="en-US" w:eastAsia="zh-CN"/>
        </w:rPr>
        <w:t>十六、</w:t>
      </w:r>
      <w:r>
        <w:rPr>
          <w:rFonts w:hint="eastAsia" w:ascii="宋体" w:hAnsi="宋体" w:eastAsia="宋体" w:cs="宋体"/>
          <w:b w:val="0"/>
          <w:bCs/>
          <w:color w:val="auto"/>
          <w:sz w:val="28"/>
          <w:szCs w:val="28"/>
          <w:lang w:eastAsia="zh-CN"/>
        </w:rPr>
        <w:t>猝死的</w:t>
      </w:r>
      <w:r>
        <w:rPr>
          <w:rFonts w:hint="eastAsia" w:ascii="宋体" w:hAnsi="宋体" w:eastAsia="宋体" w:cs="宋体"/>
          <w:b w:val="0"/>
          <w:bCs/>
          <w:color w:val="auto"/>
          <w:sz w:val="28"/>
          <w:szCs w:val="28"/>
          <w:lang w:val="en-US" w:eastAsia="zh-CN"/>
        </w:rPr>
        <w:t>应急预案</w:t>
      </w:r>
      <w:r>
        <w:rPr>
          <w:rFonts w:hint="eastAsia" w:asciiTheme="minorEastAsia" w:hAnsiTheme="minorEastAsia" w:cstheme="minorEastAsia"/>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b w:val="0"/>
          <w:bCs w:val="0"/>
          <w:color w:val="auto"/>
          <w:sz w:val="28"/>
          <w:szCs w:val="28"/>
          <w:shd w:val="clear" w:color="auto" w:fill="FFFFFF"/>
        </w:rPr>
      </w:pPr>
      <w:r>
        <w:rPr>
          <w:rFonts w:hint="eastAsia" w:ascii="宋体" w:hAnsi="宋体" w:eastAsia="宋体" w:cs="宋体"/>
          <w:b w:val="0"/>
          <w:bCs w:val="0"/>
          <w:color w:val="auto"/>
          <w:sz w:val="28"/>
          <w:szCs w:val="28"/>
          <w:shd w:val="clear" w:color="auto" w:fill="FFFFFF"/>
          <w:lang w:eastAsia="zh-CN"/>
        </w:rPr>
        <w:t>十</w:t>
      </w:r>
      <w:r>
        <w:rPr>
          <w:rFonts w:hint="eastAsia" w:ascii="宋体" w:hAnsi="宋体" w:eastAsia="宋体" w:cs="宋体"/>
          <w:b w:val="0"/>
          <w:bCs w:val="0"/>
          <w:color w:val="auto"/>
          <w:sz w:val="28"/>
          <w:szCs w:val="28"/>
          <w:shd w:val="clear" w:color="auto" w:fill="FFFFFF"/>
          <w:lang w:val="en-US" w:eastAsia="zh-CN"/>
        </w:rPr>
        <w:t>七</w:t>
      </w:r>
      <w:r>
        <w:rPr>
          <w:rFonts w:hint="eastAsia" w:ascii="宋体" w:hAnsi="宋体" w:eastAsia="宋体" w:cs="宋体"/>
          <w:b w:val="0"/>
          <w:bCs w:val="0"/>
          <w:color w:val="auto"/>
          <w:sz w:val="28"/>
          <w:szCs w:val="28"/>
          <w:shd w:val="clear" w:color="auto" w:fill="FFFFFF"/>
          <w:lang w:eastAsia="zh-CN"/>
        </w:rPr>
        <w:t>、</w:t>
      </w:r>
      <w:r>
        <w:rPr>
          <w:rFonts w:hint="eastAsia" w:ascii="宋体" w:hAnsi="宋体" w:eastAsia="宋体" w:cs="宋体"/>
          <w:b w:val="0"/>
          <w:bCs w:val="0"/>
          <w:color w:val="auto"/>
          <w:sz w:val="28"/>
          <w:szCs w:val="28"/>
          <w:shd w:val="clear" w:color="auto" w:fill="FFFFFF"/>
        </w:rPr>
        <w:t>危重患者</w:t>
      </w:r>
      <w:r>
        <w:rPr>
          <w:rFonts w:hint="eastAsia" w:ascii="宋体" w:hAnsi="宋体" w:eastAsia="宋体" w:cs="宋体"/>
          <w:b w:val="0"/>
          <w:bCs w:val="0"/>
          <w:color w:val="auto"/>
          <w:sz w:val="28"/>
          <w:szCs w:val="28"/>
          <w:shd w:val="clear" w:color="auto" w:fill="FFFFFF"/>
          <w:lang w:eastAsia="zh-CN"/>
        </w:rPr>
        <w:t>院内</w:t>
      </w:r>
      <w:r>
        <w:rPr>
          <w:rFonts w:hint="eastAsia" w:ascii="宋体" w:hAnsi="宋体" w:eastAsia="宋体" w:cs="宋体"/>
          <w:b w:val="0"/>
          <w:bCs w:val="0"/>
          <w:color w:val="auto"/>
          <w:sz w:val="28"/>
          <w:szCs w:val="28"/>
          <w:shd w:val="clear" w:color="auto" w:fill="FFFFFF"/>
        </w:rPr>
        <w:t>转运</w:t>
      </w:r>
      <w:r>
        <w:rPr>
          <w:rFonts w:hint="eastAsia" w:ascii="宋体" w:hAnsi="宋体" w:eastAsia="宋体" w:cs="宋体"/>
          <w:b w:val="0"/>
          <w:bCs w:val="0"/>
          <w:color w:val="auto"/>
          <w:sz w:val="28"/>
          <w:szCs w:val="28"/>
          <w:shd w:val="clear" w:color="auto" w:fill="FFFFFF"/>
          <w:lang w:val="en-US" w:eastAsia="zh-CN"/>
        </w:rPr>
        <w:t>ICU的应急</w:t>
      </w:r>
      <w:r>
        <w:rPr>
          <w:rFonts w:hint="eastAsia" w:ascii="宋体" w:hAnsi="宋体" w:eastAsia="宋体" w:cs="宋体"/>
          <w:b w:val="0"/>
          <w:bCs w:val="0"/>
          <w:color w:val="auto"/>
          <w:sz w:val="28"/>
          <w:szCs w:val="28"/>
          <w:shd w:val="clear" w:color="auto" w:fill="FFFFFF"/>
        </w:rPr>
        <w:t>流程</w:t>
      </w:r>
      <w:r>
        <w:rPr>
          <w:rFonts w:hint="eastAsia" w:asciiTheme="minorEastAsia" w:hAnsiTheme="minorEastAsia" w:cstheme="minorEastAsia"/>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b w:val="0"/>
          <w:bCs w:val="0"/>
          <w:color w:val="auto"/>
          <w:sz w:val="28"/>
          <w:szCs w:val="28"/>
          <w:shd w:val="clear" w:color="auto" w:fill="FFFFFF"/>
          <w:lang w:val="en-US" w:eastAsia="zh-CN"/>
        </w:rPr>
      </w:pPr>
      <w:r>
        <w:rPr>
          <w:rFonts w:hint="eastAsia" w:ascii="宋体" w:hAnsi="宋体" w:eastAsia="宋体" w:cs="宋体"/>
          <w:b w:val="0"/>
          <w:bCs w:val="0"/>
          <w:color w:val="auto"/>
          <w:sz w:val="28"/>
          <w:szCs w:val="28"/>
          <w:shd w:val="clear" w:color="auto" w:fill="FFFFFF"/>
          <w:lang w:val="en-US" w:eastAsia="zh-CN"/>
        </w:rPr>
        <w:t>十八、高血压急症的急救预案</w:t>
      </w:r>
      <w:r>
        <w:rPr>
          <w:rFonts w:hint="eastAsia" w:asciiTheme="minorEastAsia" w:hAnsiTheme="minorEastAsia" w:cstheme="minorEastAsia"/>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宋体" w:hAnsi="宋体" w:eastAsia="宋体" w:cs="宋体"/>
          <w:b w:val="0"/>
          <w:bCs w:val="0"/>
          <w:color w:val="auto"/>
          <w:sz w:val="28"/>
          <w:szCs w:val="28"/>
          <w:shd w:val="clear" w:color="auto" w:fill="FFFFFF"/>
          <w:lang w:val="en-US" w:eastAsia="zh-CN"/>
        </w:rPr>
        <w:sectPr>
          <w:footerReference r:id="rId10"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r>
        <w:rPr>
          <w:rFonts w:hint="eastAsia" w:ascii="宋体" w:hAnsi="宋体" w:eastAsia="宋体" w:cs="宋体"/>
          <w:b w:val="0"/>
          <w:bCs w:val="0"/>
          <w:color w:val="auto"/>
          <w:sz w:val="28"/>
          <w:szCs w:val="28"/>
          <w:shd w:val="clear" w:color="auto" w:fill="FFFFFF"/>
          <w:lang w:val="en-US" w:eastAsia="zh-CN"/>
        </w:rPr>
        <w:t>十九、急性药物性肝损伤的急救预案</w:t>
      </w:r>
      <w:r>
        <w:rPr>
          <w:rFonts w:hint="eastAsia" w:asciiTheme="minorEastAsia" w:hAnsiTheme="minorEastAsia" w:cstheme="minorEastAsia"/>
          <w:bCs/>
          <w:color w:val="auto"/>
          <w:sz w:val="28"/>
          <w:szCs w:val="28"/>
        </w:rPr>
        <w:t>..................................</w:t>
      </w:r>
    </w:p>
    <w:p>
      <w:pPr>
        <w:spacing w:line="360" w:lineRule="auto"/>
        <w:jc w:val="center"/>
        <w:rPr>
          <w:color w:val="auto"/>
        </w:rPr>
      </w:pPr>
      <w:r>
        <w:rPr>
          <w:color w:val="auto"/>
        </w:rPr>
        <w:drawing>
          <wp:inline distT="0" distB="0" distL="114300" distR="114300">
            <wp:extent cx="4351020" cy="5478145"/>
            <wp:effectExtent l="0" t="0" r="7620" b="825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22"/>
                    <a:stretch>
                      <a:fillRect/>
                    </a:stretch>
                  </pic:blipFill>
                  <pic:spPr>
                    <a:xfrm>
                      <a:off x="0" y="0"/>
                      <a:ext cx="4351020" cy="547814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tabs>
          <w:tab w:val="right" w:pos="9241"/>
        </w:tabs>
        <w:jc w:val="left"/>
        <w:rPr>
          <w:color w:val="auto"/>
        </w:rPr>
        <w:sectPr>
          <w:footerReference r:id="rId11"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tabs>
          <w:tab w:val="left" w:pos="2790"/>
        </w:tabs>
        <w:spacing w:line="360" w:lineRule="auto"/>
        <w:ind w:firstLine="3373" w:firstLineChars="1200"/>
        <w:rPr>
          <w:rFonts w:ascii="黑体" w:hAnsi="黑体" w:eastAsia="黑体" w:cs="黑体"/>
          <w:b/>
          <w:color w:val="auto"/>
          <w:sz w:val="28"/>
          <w:szCs w:val="28"/>
        </w:rPr>
        <w:sectPr>
          <w:headerReference r:id="rId12" w:type="default"/>
          <w:footerReference r:id="rId13" w:type="default"/>
          <w:type w:val="continuous"/>
          <w:pgSz w:w="11906" w:h="16838"/>
          <w:pgMar w:top="1417" w:right="1191" w:bottom="1474" w:left="1474" w:header="0" w:footer="992" w:gutter="0"/>
          <w:pgBorders>
            <w:top w:val="none" w:sz="0" w:space="0"/>
            <w:left w:val="none" w:sz="0" w:space="0"/>
            <w:bottom w:val="none" w:sz="0" w:space="0"/>
            <w:right w:val="none" w:sz="0" w:space="0"/>
          </w:pgBorders>
          <w:pgNumType w:fmt="decimal"/>
          <w:cols w:space="0" w:num="1"/>
          <w:docGrid w:type="lines" w:linePitch="312" w:charSpace="0"/>
        </w:sectPr>
      </w:pPr>
    </w:p>
    <w:p>
      <w:pPr>
        <w:tabs>
          <w:tab w:val="left" w:pos="2790"/>
        </w:tabs>
        <w:spacing w:line="360" w:lineRule="auto"/>
        <w:ind w:firstLine="3373" w:firstLineChars="1200"/>
        <w:rPr>
          <w:rFonts w:ascii="黑体" w:hAnsi="黑体" w:eastAsia="黑体" w:cs="黑体"/>
          <w:color w:val="auto"/>
          <w:sz w:val="28"/>
          <w:szCs w:val="28"/>
        </w:rPr>
      </w:pPr>
      <w:r>
        <w:rPr>
          <w:rFonts w:hint="eastAsia" w:ascii="黑体" w:hAnsi="黑体" w:eastAsia="黑体" w:cs="黑体"/>
          <w:b/>
          <w:color w:val="auto"/>
          <w:sz w:val="28"/>
          <w:szCs w:val="28"/>
        </w:rPr>
        <w:t>机构主任职责</w:t>
      </w:r>
    </w:p>
    <w:p>
      <w:pPr>
        <w:pStyle w:val="36"/>
        <w:tabs>
          <w:tab w:val="left" w:pos="2790"/>
        </w:tabs>
        <w:spacing w:line="360" w:lineRule="auto"/>
        <w:ind w:left="142" w:firstLine="0" w:firstLineChars="0"/>
        <w:rPr>
          <w:rFonts w:asciiTheme="minorEastAsia" w:hAnsiTheme="minorEastAsia"/>
          <w:color w:val="auto"/>
          <w:sz w:val="24"/>
          <w:szCs w:val="24"/>
        </w:rPr>
      </w:pPr>
      <w:r>
        <w:rPr>
          <w:rFonts w:hint="eastAsia" w:asciiTheme="minorEastAsia" w:hAnsiTheme="minorEastAsia"/>
          <w:color w:val="auto"/>
          <w:sz w:val="24"/>
          <w:szCs w:val="24"/>
        </w:rPr>
        <w:t>一、主持机构的全面工作。</w:t>
      </w:r>
    </w:p>
    <w:p>
      <w:pPr>
        <w:pStyle w:val="36"/>
        <w:tabs>
          <w:tab w:val="left" w:pos="2790"/>
        </w:tabs>
        <w:spacing w:line="360" w:lineRule="auto"/>
        <w:ind w:left="142" w:firstLine="0" w:firstLineChars="0"/>
        <w:rPr>
          <w:rFonts w:asciiTheme="minorEastAsia" w:hAnsiTheme="minorEastAsia"/>
          <w:color w:val="auto"/>
          <w:sz w:val="24"/>
          <w:szCs w:val="24"/>
        </w:rPr>
      </w:pPr>
      <w:r>
        <w:rPr>
          <w:rFonts w:hint="eastAsia" w:asciiTheme="minorEastAsia" w:hAnsiTheme="minorEastAsia"/>
          <w:color w:val="auto"/>
          <w:sz w:val="24"/>
          <w:szCs w:val="24"/>
        </w:rPr>
        <w:t>二、组织对机构的发展远景、人才培养、管理方案、科研方向等进行规划。</w:t>
      </w:r>
    </w:p>
    <w:p>
      <w:pPr>
        <w:pStyle w:val="36"/>
        <w:tabs>
          <w:tab w:val="left" w:pos="2790"/>
        </w:tabs>
        <w:spacing w:line="360" w:lineRule="auto"/>
        <w:ind w:left="142" w:firstLine="0" w:firstLineChars="0"/>
        <w:rPr>
          <w:rFonts w:asciiTheme="minorEastAsia" w:hAnsiTheme="minorEastAsia"/>
          <w:color w:val="auto"/>
          <w:sz w:val="24"/>
          <w:szCs w:val="24"/>
        </w:rPr>
      </w:pPr>
      <w:r>
        <w:rPr>
          <w:rFonts w:hint="eastAsia" w:asciiTheme="minorEastAsia" w:hAnsiTheme="minorEastAsia"/>
          <w:color w:val="auto"/>
          <w:sz w:val="24"/>
          <w:szCs w:val="24"/>
        </w:rPr>
        <w:t>三、对机构人员的功能定位、岗位与人员配置、分工与职责，提出意见并组织讨论与审议。</w:t>
      </w:r>
    </w:p>
    <w:p>
      <w:pPr>
        <w:pStyle w:val="36"/>
        <w:tabs>
          <w:tab w:val="left" w:pos="2790"/>
        </w:tabs>
        <w:spacing w:line="360" w:lineRule="auto"/>
        <w:ind w:left="142" w:firstLine="0" w:firstLineChars="0"/>
        <w:rPr>
          <w:rFonts w:asciiTheme="minorEastAsia" w:hAnsiTheme="minorEastAsia"/>
          <w:color w:val="auto"/>
          <w:sz w:val="24"/>
          <w:szCs w:val="24"/>
        </w:rPr>
      </w:pPr>
      <w:r>
        <w:rPr>
          <w:rFonts w:hint="eastAsia" w:asciiTheme="minorEastAsia" w:hAnsiTheme="minorEastAsia"/>
          <w:color w:val="auto"/>
          <w:sz w:val="24"/>
          <w:szCs w:val="24"/>
        </w:rPr>
        <w:t>四、组织制定各项制度/SOP，对其批准、生效、废止进行签署。</w:t>
      </w:r>
    </w:p>
    <w:p>
      <w:pPr>
        <w:pStyle w:val="36"/>
        <w:tabs>
          <w:tab w:val="left" w:pos="2790"/>
        </w:tabs>
        <w:spacing w:line="360" w:lineRule="auto"/>
        <w:ind w:left="142" w:firstLine="0" w:firstLineChars="0"/>
        <w:rPr>
          <w:rFonts w:asciiTheme="minorEastAsia" w:hAnsiTheme="minorEastAsia"/>
          <w:color w:val="auto"/>
          <w:sz w:val="24"/>
          <w:szCs w:val="24"/>
        </w:rPr>
      </w:pPr>
      <w:r>
        <w:rPr>
          <w:rFonts w:hint="eastAsia" w:asciiTheme="minorEastAsia" w:hAnsiTheme="minorEastAsia"/>
          <w:color w:val="auto"/>
          <w:sz w:val="24"/>
          <w:szCs w:val="24"/>
        </w:rPr>
        <w:t>五、主持机构会议或核心小组会议，布置、监督各项工作的开展与实施，对存在的问题进行协调与处理。</w:t>
      </w:r>
    </w:p>
    <w:p>
      <w:pPr>
        <w:pStyle w:val="36"/>
        <w:tabs>
          <w:tab w:val="left" w:pos="2790"/>
        </w:tabs>
        <w:spacing w:line="360" w:lineRule="auto"/>
        <w:ind w:left="142" w:firstLine="0" w:firstLineChars="0"/>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六</w:t>
      </w:r>
      <w:r>
        <w:rPr>
          <w:rFonts w:hint="eastAsia" w:asciiTheme="minorEastAsia" w:hAnsiTheme="minorEastAsia"/>
          <w:color w:val="auto"/>
          <w:sz w:val="24"/>
          <w:szCs w:val="24"/>
        </w:rPr>
        <w:t>、组织做好各项质量管理工作，对存在的问题督促整改。</w:t>
      </w:r>
    </w:p>
    <w:p>
      <w:pPr>
        <w:pStyle w:val="36"/>
        <w:tabs>
          <w:tab w:val="left" w:pos="2790"/>
        </w:tabs>
        <w:spacing w:line="360" w:lineRule="auto"/>
        <w:ind w:left="142" w:firstLine="0" w:firstLineChars="0"/>
        <w:rPr>
          <w:rFonts w:asciiTheme="minorEastAsia" w:hAnsiTheme="minorEastAsia"/>
          <w:color w:val="auto"/>
          <w:sz w:val="24"/>
          <w:szCs w:val="24"/>
        </w:rPr>
      </w:pPr>
      <w:r>
        <w:rPr>
          <w:rFonts w:hint="eastAsia" w:asciiTheme="minorEastAsia" w:hAnsiTheme="minorEastAsia"/>
          <w:color w:val="auto"/>
          <w:sz w:val="24"/>
          <w:szCs w:val="24"/>
          <w:lang w:val="en-US" w:eastAsia="zh-CN"/>
        </w:rPr>
        <w:t>七</w:t>
      </w:r>
      <w:r>
        <w:rPr>
          <w:rFonts w:hint="eastAsia" w:asciiTheme="minorEastAsia" w:hAnsiTheme="minorEastAsia"/>
          <w:color w:val="auto"/>
          <w:sz w:val="24"/>
          <w:szCs w:val="24"/>
        </w:rPr>
        <w:t>、负责临床试验劳务费使用的审核、签署。</w:t>
      </w:r>
    </w:p>
    <w:p>
      <w:pPr>
        <w:pStyle w:val="36"/>
        <w:tabs>
          <w:tab w:val="left" w:pos="2790"/>
        </w:tabs>
        <w:spacing w:line="360" w:lineRule="auto"/>
        <w:ind w:left="142" w:firstLine="0" w:firstLineChars="0"/>
        <w:rPr>
          <w:rFonts w:asciiTheme="minorEastAsia" w:hAnsiTheme="minorEastAsia"/>
          <w:color w:val="auto"/>
          <w:sz w:val="24"/>
          <w:szCs w:val="24"/>
        </w:rPr>
      </w:pPr>
      <w:r>
        <w:rPr>
          <w:rFonts w:hint="eastAsia" w:asciiTheme="minorEastAsia" w:hAnsiTheme="minorEastAsia"/>
          <w:color w:val="auto"/>
          <w:sz w:val="24"/>
          <w:szCs w:val="24"/>
          <w:lang w:val="en-US" w:eastAsia="zh-CN"/>
        </w:rPr>
        <w:t>八</w:t>
      </w:r>
      <w:r>
        <w:rPr>
          <w:rFonts w:hint="eastAsia" w:asciiTheme="minorEastAsia" w:hAnsiTheme="minorEastAsia"/>
          <w:color w:val="auto"/>
          <w:sz w:val="24"/>
          <w:szCs w:val="24"/>
        </w:rPr>
        <w:t>、组织做好学术交流和学术活动，加强与国内外的科学与技术合作和交流。</w:t>
      </w:r>
    </w:p>
    <w:p>
      <w:pPr>
        <w:pStyle w:val="36"/>
        <w:tabs>
          <w:tab w:val="left" w:pos="2790"/>
        </w:tabs>
        <w:spacing w:line="360" w:lineRule="auto"/>
        <w:ind w:left="142" w:firstLine="0" w:firstLineChars="0"/>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九</w:t>
      </w:r>
      <w:r>
        <w:rPr>
          <w:rFonts w:hint="eastAsia" w:asciiTheme="minorEastAsia" w:hAnsiTheme="minorEastAsia"/>
          <w:color w:val="auto"/>
          <w:sz w:val="24"/>
          <w:szCs w:val="24"/>
        </w:rPr>
        <w:t>、完成NMPA、高等院校、上级医院等上级部门布置的工作。</w:t>
      </w:r>
    </w:p>
    <w:p>
      <w:pPr>
        <w:pStyle w:val="36"/>
        <w:tabs>
          <w:tab w:val="left" w:pos="2790"/>
        </w:tabs>
        <w:spacing w:line="360" w:lineRule="auto"/>
        <w:ind w:left="142" w:firstLine="2811" w:firstLineChars="1000"/>
        <w:rPr>
          <w:rFonts w:ascii="黑体" w:hAnsi="黑体" w:eastAsia="黑体" w:cs="黑体"/>
          <w:b/>
          <w:color w:val="auto"/>
          <w:sz w:val="28"/>
          <w:szCs w:val="28"/>
        </w:rPr>
      </w:pPr>
    </w:p>
    <w:p>
      <w:pPr>
        <w:pStyle w:val="36"/>
        <w:tabs>
          <w:tab w:val="left" w:pos="2790"/>
        </w:tabs>
        <w:spacing w:line="360" w:lineRule="auto"/>
        <w:ind w:left="142" w:firstLine="2811" w:firstLineChars="1000"/>
        <w:rPr>
          <w:rFonts w:ascii="黑体" w:hAnsi="黑体" w:eastAsia="黑体" w:cs="黑体"/>
          <w:b/>
          <w:color w:val="auto"/>
          <w:sz w:val="28"/>
          <w:szCs w:val="28"/>
        </w:rPr>
      </w:pPr>
    </w:p>
    <w:p>
      <w:pPr>
        <w:pStyle w:val="36"/>
        <w:tabs>
          <w:tab w:val="left" w:pos="2790"/>
        </w:tabs>
        <w:spacing w:line="360" w:lineRule="auto"/>
        <w:ind w:left="142" w:firstLine="2811" w:firstLineChars="1000"/>
        <w:rPr>
          <w:rFonts w:ascii="黑体" w:hAnsi="黑体" w:eastAsia="黑体" w:cs="黑体"/>
          <w:b/>
          <w:color w:val="auto"/>
          <w:sz w:val="28"/>
          <w:szCs w:val="28"/>
        </w:rPr>
      </w:pPr>
    </w:p>
    <w:p>
      <w:pPr>
        <w:pStyle w:val="36"/>
        <w:tabs>
          <w:tab w:val="left" w:pos="2790"/>
        </w:tabs>
        <w:spacing w:line="360" w:lineRule="auto"/>
        <w:ind w:left="142" w:firstLine="2811" w:firstLineChars="1000"/>
        <w:rPr>
          <w:rFonts w:ascii="黑体" w:hAnsi="黑体" w:eastAsia="黑体" w:cs="黑体"/>
          <w:b/>
          <w:color w:val="auto"/>
          <w:sz w:val="28"/>
          <w:szCs w:val="28"/>
        </w:rPr>
      </w:pPr>
    </w:p>
    <w:p>
      <w:pPr>
        <w:pStyle w:val="36"/>
        <w:tabs>
          <w:tab w:val="left" w:pos="2790"/>
        </w:tabs>
        <w:spacing w:line="360" w:lineRule="auto"/>
        <w:ind w:left="142" w:firstLine="2811" w:firstLineChars="1000"/>
        <w:rPr>
          <w:rFonts w:ascii="黑体" w:hAnsi="黑体" w:eastAsia="黑体" w:cs="黑体"/>
          <w:b/>
          <w:color w:val="auto"/>
          <w:sz w:val="28"/>
          <w:szCs w:val="28"/>
        </w:rPr>
      </w:pPr>
    </w:p>
    <w:p>
      <w:pPr>
        <w:pStyle w:val="36"/>
        <w:tabs>
          <w:tab w:val="left" w:pos="2790"/>
        </w:tabs>
        <w:spacing w:line="360" w:lineRule="auto"/>
        <w:ind w:left="142" w:firstLine="2811" w:firstLineChars="1000"/>
        <w:rPr>
          <w:rFonts w:ascii="黑体" w:hAnsi="黑体" w:eastAsia="黑体" w:cs="黑体"/>
          <w:b/>
          <w:color w:val="auto"/>
          <w:sz w:val="28"/>
          <w:szCs w:val="28"/>
        </w:rPr>
        <w:sectPr>
          <w:headerReference r:id="rId14" w:type="default"/>
          <w:footerReference r:id="rId15" w:type="default"/>
          <w:pgSz w:w="11906" w:h="16838"/>
          <w:pgMar w:top="1417" w:right="1191" w:bottom="1474" w:left="1474" w:header="0" w:footer="992" w:gutter="0"/>
          <w:pgNumType w:fmt="decimal" w:start="1"/>
          <w:cols w:space="0" w:num="1"/>
          <w:docGrid w:type="lines" w:linePitch="312" w:charSpace="0"/>
        </w:sectPr>
      </w:pPr>
    </w:p>
    <w:p>
      <w:pPr>
        <w:tabs>
          <w:tab w:val="left" w:pos="2790"/>
        </w:tabs>
        <w:spacing w:line="360" w:lineRule="auto"/>
        <w:ind w:firstLine="3373" w:firstLineChars="1200"/>
        <w:rPr>
          <w:rFonts w:ascii="黑体" w:hAnsi="黑体" w:eastAsia="黑体" w:cs="黑体"/>
          <w:color w:val="auto"/>
          <w:sz w:val="28"/>
          <w:szCs w:val="28"/>
        </w:rPr>
      </w:pPr>
      <w:r>
        <w:rPr>
          <w:rFonts w:hint="eastAsia" w:ascii="黑体" w:hAnsi="黑体" w:eastAsia="黑体" w:cs="黑体"/>
          <w:b/>
          <w:color w:val="auto"/>
          <w:sz w:val="28"/>
          <w:szCs w:val="28"/>
        </w:rPr>
        <w:t>机构副主任职责</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一、根据医院的计划方针，负责临床试验机构的工作，包括制定临床试验机构的发展计划，按期布置、检查、总结机构的工作，并定期向机构主任汇报。</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二、在机构主任的领导下负责本院临床试验机构的全面管理工作，并将年度计划、财务经费预算、专业人才引进、重大资源调配、院内受试者损害急救预案等重大问题及时向机构主任汇报。</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三、接受机构主任的授权委托工作，如临床试验合同签订工作、财务管理工作。</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四、协助机构主任定期召开临床试验机构常务会议。</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五、确定和调整临床试验机构办公室主任﹑机构办公室秘书﹑专业负责人等人选，并进行必要授权。</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六、督促检查机构及专业科室的制度与项目运行情况，设计规范和标准操作规程的执行情况，对检查结果进行定期分析、技术指导，并积极采取有效措施，保证不断地提高本院的的科研能力与临床试验的质量。</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七、对整个临床试验机构人员职责履行﹑规章制度执行情况进行督察。</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八、听取临床试验机构办公室主任和各专业负责人的工作汇报，协调部门关系和职责分工。</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九、负责监督受试者保障体系的有效运转，保证受试者的权益及时处理临床试验过程中的突发事件及相关纠纷，积极听取受试者对临床试验及医院工作的意见，改进机构相关制度、提高本院临床试验的质量。</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450" w:lineRule="atLeast"/>
        <w:ind w:left="0" w:leftChars="0" w:firstLine="0" w:firstLineChars="0"/>
        <w:textAlignment w:val="auto"/>
        <w:rPr>
          <w:rStyle w:val="30"/>
          <w:rFonts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十、协助机构主任完成各项工作职责。</w:t>
      </w:r>
    </w:p>
    <w:p>
      <w:pPr>
        <w:tabs>
          <w:tab w:val="left" w:pos="2790"/>
        </w:tabs>
        <w:spacing w:line="360" w:lineRule="auto"/>
        <w:rPr>
          <w:rFonts w:ascii="黑体" w:hAnsi="黑体" w:eastAsia="黑体" w:cs="黑体"/>
          <w:b/>
          <w:color w:val="auto"/>
          <w:sz w:val="28"/>
          <w:szCs w:val="28"/>
        </w:rPr>
      </w:pPr>
    </w:p>
    <w:p>
      <w:pPr>
        <w:tabs>
          <w:tab w:val="left" w:pos="2790"/>
        </w:tabs>
        <w:spacing w:line="360" w:lineRule="auto"/>
        <w:ind w:firstLine="3373" w:firstLineChars="1200"/>
        <w:rPr>
          <w:rFonts w:hint="eastAsia" w:ascii="黑体" w:hAnsi="黑体" w:eastAsia="黑体" w:cs="黑体"/>
          <w:b/>
          <w:color w:val="auto"/>
          <w:sz w:val="28"/>
          <w:szCs w:val="28"/>
          <w:lang w:val="en-US" w:eastAsia="zh-CN"/>
        </w:rPr>
      </w:pPr>
      <w:r>
        <w:rPr>
          <w:rFonts w:hint="eastAsia" w:ascii="黑体" w:hAnsi="黑体" w:eastAsia="黑体" w:cs="黑体"/>
          <w:b/>
          <w:color w:val="auto"/>
          <w:sz w:val="28"/>
          <w:szCs w:val="28"/>
          <w:lang w:val="en-US" w:eastAsia="zh-CN"/>
        </w:rPr>
        <w:t xml:space="preserve"> </w:t>
      </w:r>
    </w:p>
    <w:p>
      <w:pPr>
        <w:tabs>
          <w:tab w:val="left" w:pos="2790"/>
        </w:tabs>
        <w:spacing w:line="360" w:lineRule="auto"/>
        <w:ind w:firstLine="3373" w:firstLineChars="1200"/>
        <w:rPr>
          <w:rFonts w:ascii="黑体" w:hAnsi="黑体" w:eastAsia="黑体" w:cs="黑体"/>
          <w:b/>
          <w:color w:val="auto"/>
          <w:sz w:val="28"/>
          <w:szCs w:val="28"/>
        </w:rPr>
      </w:pPr>
    </w:p>
    <w:p>
      <w:pPr>
        <w:spacing w:line="0" w:lineRule="atLeast"/>
        <w:ind w:left="2400" w:firstLine="281" w:firstLineChars="100"/>
        <w:rPr>
          <w:rFonts w:ascii="黑体" w:hAnsi="黑体" w:eastAsia="黑体" w:cs="黑体"/>
          <w:b/>
          <w:color w:val="auto"/>
          <w:sz w:val="28"/>
          <w:szCs w:val="28"/>
        </w:rPr>
      </w:pPr>
    </w:p>
    <w:p>
      <w:pPr>
        <w:spacing w:line="0" w:lineRule="atLeast"/>
        <w:ind w:left="2400" w:firstLine="281" w:firstLineChars="100"/>
        <w:rPr>
          <w:rFonts w:ascii="黑体" w:hAnsi="黑体" w:eastAsia="黑体" w:cs="黑体"/>
          <w:b/>
          <w:color w:val="auto"/>
          <w:sz w:val="28"/>
          <w:szCs w:val="28"/>
        </w:rPr>
      </w:pPr>
    </w:p>
    <w:p>
      <w:pPr>
        <w:spacing w:line="0" w:lineRule="atLeast"/>
        <w:ind w:left="2400" w:firstLine="281" w:firstLineChars="100"/>
        <w:rPr>
          <w:rFonts w:ascii="黑体" w:hAnsi="黑体" w:eastAsia="黑体" w:cs="黑体"/>
          <w:b/>
          <w:color w:val="auto"/>
          <w:sz w:val="28"/>
          <w:szCs w:val="28"/>
        </w:rPr>
      </w:pPr>
    </w:p>
    <w:p>
      <w:pPr>
        <w:spacing w:line="0" w:lineRule="atLeast"/>
        <w:ind w:left="2400" w:firstLine="281" w:firstLineChars="100"/>
        <w:rPr>
          <w:rFonts w:ascii="黑体" w:hAnsi="黑体" w:eastAsia="黑体" w:cs="黑体"/>
          <w:b/>
          <w:color w:val="auto"/>
          <w:sz w:val="28"/>
          <w:szCs w:val="28"/>
        </w:rPr>
      </w:pPr>
    </w:p>
    <w:p>
      <w:pPr>
        <w:spacing w:line="0" w:lineRule="atLeast"/>
        <w:ind w:left="2400" w:firstLine="281" w:firstLineChars="100"/>
        <w:rPr>
          <w:rFonts w:ascii="黑体" w:hAnsi="黑体" w:eastAsia="黑体" w:cs="黑体"/>
          <w:b/>
          <w:color w:val="auto"/>
          <w:sz w:val="28"/>
          <w:szCs w:val="28"/>
        </w:rPr>
      </w:pPr>
    </w:p>
    <w:p>
      <w:pPr>
        <w:spacing w:line="0" w:lineRule="atLeast"/>
        <w:ind w:left="2400" w:firstLine="281" w:firstLineChars="100"/>
        <w:rPr>
          <w:rFonts w:ascii="黑体" w:hAnsi="黑体" w:eastAsia="黑体" w:cs="黑体"/>
          <w:b/>
          <w:color w:val="auto"/>
          <w:sz w:val="28"/>
          <w:szCs w:val="28"/>
        </w:rPr>
      </w:pPr>
    </w:p>
    <w:p>
      <w:pPr>
        <w:tabs>
          <w:tab w:val="left" w:pos="6814"/>
        </w:tabs>
        <w:spacing w:line="360" w:lineRule="auto"/>
        <w:ind w:left="840" w:leftChars="400" w:firstLine="2249" w:firstLineChars="800"/>
        <w:rPr>
          <w:rFonts w:ascii="黑体" w:hAnsi="黑体" w:eastAsia="黑体" w:cs="黑体"/>
          <w:b/>
          <w:bCs/>
          <w:color w:val="auto"/>
          <w:sz w:val="28"/>
          <w:szCs w:val="28"/>
        </w:rPr>
        <w:sectPr>
          <w:headerReference r:id="rId16" w:type="default"/>
          <w:footerReference r:id="rId17" w:type="default"/>
          <w:pgSz w:w="11906" w:h="16838"/>
          <w:pgMar w:top="1417" w:right="1191" w:bottom="1474" w:left="1474" w:header="0" w:footer="992" w:gutter="0"/>
          <w:pgNumType w:fmt="decimal" w:start="1"/>
          <w:cols w:space="0" w:num="1"/>
          <w:docGrid w:type="lines" w:linePitch="312" w:charSpace="0"/>
        </w:sectPr>
      </w:pPr>
    </w:p>
    <w:p>
      <w:pPr>
        <w:pStyle w:val="36"/>
        <w:tabs>
          <w:tab w:val="left" w:pos="2790"/>
        </w:tabs>
        <w:spacing w:line="360" w:lineRule="auto"/>
        <w:ind w:left="142" w:firstLine="2811" w:firstLineChars="1000"/>
        <w:rPr>
          <w:rFonts w:ascii="黑体" w:hAnsi="黑体" w:eastAsia="黑体" w:cs="黑体"/>
          <w:b/>
          <w:color w:val="auto"/>
          <w:sz w:val="28"/>
          <w:szCs w:val="28"/>
        </w:rPr>
      </w:pPr>
      <w:r>
        <w:rPr>
          <w:rFonts w:hint="eastAsia" w:ascii="黑体" w:hAnsi="黑体" w:eastAsia="黑体" w:cs="黑体"/>
          <w:b/>
          <w:color w:val="auto"/>
          <w:sz w:val="28"/>
          <w:szCs w:val="28"/>
        </w:rPr>
        <w:t>机构办公室主任职责</w:t>
      </w:r>
    </w:p>
    <w:p>
      <w:pPr>
        <w:pStyle w:val="24"/>
        <w:spacing w:before="0" w:beforeAutospacing="0" w:after="0" w:afterAutospacing="0" w:line="450" w:lineRule="atLeas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一、统管临床试验机构的全部日常工作；</w:t>
      </w:r>
    </w:p>
    <w:p>
      <w:pPr>
        <w:pStyle w:val="24"/>
        <w:spacing w:before="0" w:beforeAutospacing="0" w:after="0" w:afterAutospacing="0" w:line="450" w:lineRule="atLeas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二、负责组织SOP的制定、修改、颁发等；</w:t>
      </w:r>
    </w:p>
    <w:p>
      <w:pPr>
        <w:pStyle w:val="24"/>
        <w:spacing w:before="0" w:beforeAutospacing="0" w:after="0" w:afterAutospacing="0" w:line="450" w:lineRule="atLeas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三、临床试验申请的受理和批准，包括：</w:t>
      </w:r>
    </w:p>
    <w:p>
      <w:pPr>
        <w:pStyle w:val="24"/>
        <w:spacing w:before="0" w:beforeAutospacing="0" w:after="0" w:afterAutospacing="0" w:line="450" w:lineRule="atLeast"/>
        <w:ind w:firstLine="240" w:firstLineChars="100"/>
        <w:rPr>
          <w:rFonts w:asciiTheme="minorEastAsia" w:hAnsiTheme="minorEastAsia" w:eastAsiaTheme="minorEastAsia" w:cstheme="minorEastAsia"/>
          <w:strike/>
          <w:color w:val="auto"/>
        </w:rPr>
      </w:pPr>
      <w:r>
        <w:rPr>
          <w:rFonts w:hint="eastAsia" w:asciiTheme="minorEastAsia" w:hAnsiTheme="minorEastAsia" w:eastAsiaTheme="minorEastAsia" w:cstheme="minorEastAsia"/>
          <w:color w:val="auto"/>
          <w:shd w:val="clear" w:color="auto" w:fill="FFFFFF"/>
        </w:rPr>
        <w:t xml:space="preserve">1、确认申办者是否有申请临床试验的资格（主要审核申办者或是合同研究组织的营业执照及相关法人证明文件），确认临床试验项目是否合规。 </w:t>
      </w:r>
    </w:p>
    <w:p>
      <w:pPr>
        <w:pStyle w:val="24"/>
        <w:spacing w:before="0" w:beforeAutospacing="0" w:after="0" w:afterAutospacing="0" w:line="450" w:lineRule="atLeast"/>
        <w:ind w:firstLine="240" w:firstLineChars="10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2、审核临床试验方案，确保试验药物或试验医疗器械已有充分的临床前研究，在动物实验中证明了安全性和有效性。</w:t>
      </w:r>
    </w:p>
    <w:p>
      <w:pPr>
        <w:pStyle w:val="24"/>
        <w:spacing w:before="0" w:beforeAutospacing="0" w:after="0" w:afterAutospacing="0" w:line="450" w:lineRule="atLeast"/>
        <w:ind w:firstLine="240" w:firstLineChars="10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3、审核专业负责人提交的研究者名单，特别是对项目进行可行性分析，确保临床试验能够保质并且按预定计划完成。此外，还需对主要研究者和参与的试验医师的履历进行审查，确保符合GCP的要求。</w:t>
      </w:r>
    </w:p>
    <w:p>
      <w:pPr>
        <w:pStyle w:val="24"/>
        <w:spacing w:before="0" w:beforeAutospacing="0" w:after="0" w:afterAutospacing="0" w:line="450" w:lineRule="atLeast"/>
        <w:ind w:firstLine="240" w:firstLineChars="10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4、审查临床试验的合同内容，确保合同的职责分明，具有公平性、明确性以及可实施性。</w:t>
      </w:r>
    </w:p>
    <w:p>
      <w:pPr>
        <w:pStyle w:val="24"/>
        <w:spacing w:before="0" w:beforeAutospacing="0" w:after="0" w:afterAutospacing="0" w:line="450" w:lineRule="atLeast"/>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　5、负责整个临床试验机构内部所有人员的GCP、SOP知识及临床药理学知识的培训实施工作，协助临床试验机构负责人与申办者临床试验实施的合同签署。</w:t>
      </w:r>
    </w:p>
    <w:p>
      <w:pPr>
        <w:pStyle w:val="24"/>
        <w:spacing w:before="0" w:beforeAutospacing="0" w:after="0" w:afterAutospacing="0" w:line="450" w:lineRule="atLeast"/>
        <w:ind w:firstLine="240" w:firstLineChars="100"/>
        <w:rPr>
          <w:rFonts w:hint="eastAsia" w:eastAsia="宋体" w:asciiTheme="minorEastAsia" w:hAnsiTheme="minorEastAsia"/>
          <w:color w:val="auto"/>
          <w:sz w:val="24"/>
          <w:szCs w:val="24"/>
          <w:highlight w:val="none"/>
          <w:lang w:val="en-US" w:eastAsia="zh-CN"/>
        </w:rPr>
      </w:pPr>
      <w:r>
        <w:rPr>
          <w:rFonts w:hint="eastAsia" w:asciiTheme="minorEastAsia" w:hAnsiTheme="minorEastAsia"/>
          <w:color w:val="auto"/>
          <w:sz w:val="24"/>
          <w:szCs w:val="24"/>
          <w:highlight w:val="none"/>
          <w:lang w:val="en-US" w:eastAsia="zh-CN"/>
        </w:rPr>
        <w:t>6</w:t>
      </w:r>
      <w:r>
        <w:rPr>
          <w:rFonts w:hint="eastAsia" w:asciiTheme="minorEastAsia" w:hAnsiTheme="minorEastAsia"/>
          <w:color w:val="auto"/>
          <w:sz w:val="24"/>
          <w:szCs w:val="24"/>
          <w:highlight w:val="none"/>
          <w:lang w:eastAsia="zh-CN"/>
        </w:rPr>
        <w:t>、</w:t>
      </w:r>
      <w:r>
        <w:rPr>
          <w:rFonts w:hint="eastAsia" w:asciiTheme="minorEastAsia" w:hAnsiTheme="minorEastAsia"/>
          <w:color w:val="auto"/>
          <w:sz w:val="24"/>
          <w:szCs w:val="24"/>
          <w:highlight w:val="none"/>
        </w:rPr>
        <w:t>对试验项目的立项、结题报告进行审核、签署和盖章。</w:t>
      </w:r>
      <w:r>
        <w:rPr>
          <w:rFonts w:hint="eastAsia"/>
          <w:color w:val="auto"/>
          <w:lang w:val="en-US" w:eastAsia="zh-CN"/>
        </w:rPr>
        <w:t xml:space="preserve"> </w:t>
      </w:r>
    </w:p>
    <w:p>
      <w:pPr>
        <w:pStyle w:val="24"/>
        <w:spacing w:before="0" w:beforeAutospacing="0" w:after="0" w:afterAutospacing="0" w:line="450" w:lineRule="atLeas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四、临床试验技术指导与监控：</w:t>
      </w:r>
    </w:p>
    <w:p>
      <w:pPr>
        <w:pStyle w:val="24"/>
        <w:spacing w:before="0" w:beforeAutospacing="0" w:after="0" w:afterAutospacing="0" w:line="450" w:lineRule="atLeas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　</w:t>
      </w:r>
      <w:r>
        <w:rPr>
          <w:rFonts w:hint="eastAsia" w:asciiTheme="minorEastAsia" w:hAnsiTheme="minorEastAsia" w:eastAsiaTheme="minorEastAsia" w:cstheme="minorEastAsia"/>
          <w:color w:val="auto"/>
          <w:highlight w:val="none"/>
          <w:shd w:val="clear" w:color="auto" w:fill="FFFFFF"/>
        </w:rPr>
        <w:t>1、临床试验的跟踪：对实施中的临床试验，至少每年一次审核由主要研究者提供的临床进展报告书，并针对该临床试验是否可以继续，</w:t>
      </w:r>
      <w:r>
        <w:rPr>
          <w:rFonts w:hint="eastAsia" w:asciiTheme="minorEastAsia" w:hAnsiTheme="minorEastAsia" w:eastAsiaTheme="minorEastAsia" w:cstheme="minorEastAsia"/>
          <w:color w:val="auto"/>
          <w:shd w:val="clear" w:color="auto" w:fill="FFFFFF"/>
        </w:rPr>
        <w:t>征求伦理委员会的意见。临床试验机构办公室主任应该制定详细的内部稽查计划，向临床试验机构负责人获得批准，组织相关人员进行项目的跟踪、稽查工作；</w:t>
      </w:r>
    </w:p>
    <w:p>
      <w:pPr>
        <w:pStyle w:val="24"/>
        <w:spacing w:before="0" w:beforeAutospacing="0" w:after="0" w:afterAutospacing="0" w:line="450" w:lineRule="atLeas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　2、试验方案的变更：临床试验进行过程中，如伦理委员会提出试验方案更改要求，督促主要研究者、申办者尽快提供相关文件并对试验方案进行合理修改；</w:t>
      </w:r>
    </w:p>
    <w:p>
      <w:pPr>
        <w:pStyle w:val="24"/>
        <w:spacing w:before="0" w:beforeAutospacing="0" w:after="0" w:afterAutospacing="0" w:line="450" w:lineRule="atLeas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　3、临床试验与试验方案偏离：收到临床试验现状与试验方案偏离的报告后，应立即书面通知伦理委员会，并把伦理委员会会议决议及时传达给研究者及申办者；</w:t>
      </w:r>
    </w:p>
    <w:p>
      <w:pPr>
        <w:pStyle w:val="24"/>
        <w:spacing w:before="0" w:beforeAutospacing="0" w:after="0" w:afterAutospacing="0" w:line="450" w:lineRule="atLeas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　4、试验的中止及结束：收到申办者的中止试验的通知后，应尽快书面通知研究者及伦理委员会；</w:t>
      </w:r>
    </w:p>
    <w:p>
      <w:pPr>
        <w:pStyle w:val="24"/>
        <w:spacing w:before="0" w:beforeAutospacing="0" w:after="0" w:afterAutospacing="0" w:line="450" w:lineRule="atLeas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　5、接受稽查和检查：负责安排接受申办者、监查员、伦理委员会及国内外相关部门的稽查和检查。安排相关人员并且配合为调查部门提供第一手的相关原始资料；</w:t>
      </w:r>
    </w:p>
    <w:p>
      <w:pPr>
        <w:pStyle w:val="24"/>
        <w:spacing w:before="0" w:beforeAutospacing="0" w:after="0" w:afterAutospacing="0" w:line="450" w:lineRule="atLeas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五、在机构主任领导下负责组织、协调临床试验经费的宏观分配、监督管理和使用效益的分析工作，对临床试验项目的财务收支进行监管；</w:t>
      </w:r>
    </w:p>
    <w:p>
      <w:pPr>
        <w:pStyle w:val="24"/>
        <w:spacing w:before="0" w:beforeAutospacing="0" w:after="0" w:afterAutospacing="0" w:line="450" w:lineRule="atLeas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六、对临床试验项目的进度进行监控；</w:t>
      </w:r>
    </w:p>
    <w:p>
      <w:pPr>
        <w:pStyle w:val="24"/>
        <w:spacing w:before="0" w:beforeAutospacing="0" w:after="0" w:afterAutospacing="0" w:line="450" w:lineRule="atLeast"/>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shd w:val="clear" w:color="auto" w:fill="FFFFFF"/>
        </w:rPr>
        <w:t>七、对临床试验项目的合同履行情况进行监控。</w:t>
      </w:r>
    </w:p>
    <w:p>
      <w:pPr>
        <w:spacing w:line="360" w:lineRule="auto"/>
        <w:ind w:firstLine="2891" w:firstLineChars="1200"/>
        <w:rPr>
          <w:rFonts w:asciiTheme="minorEastAsia" w:hAnsiTheme="minorEastAsia" w:cstheme="minorEastAsia"/>
          <w:b/>
          <w:color w:val="auto"/>
          <w:sz w:val="24"/>
          <w:szCs w:val="24"/>
        </w:rPr>
      </w:pPr>
    </w:p>
    <w:p>
      <w:pPr>
        <w:spacing w:line="360" w:lineRule="auto"/>
        <w:jc w:val="center"/>
        <w:rPr>
          <w:rFonts w:asciiTheme="minorEastAsia" w:hAnsiTheme="minorEastAsia" w:cstheme="minorEastAsia"/>
          <w:b/>
          <w:color w:val="auto"/>
          <w:sz w:val="24"/>
          <w:szCs w:val="24"/>
        </w:rPr>
        <w:sectPr>
          <w:headerReference r:id="rId18" w:type="default"/>
          <w:footerReference r:id="rId19" w:type="default"/>
          <w:pgSz w:w="11906" w:h="16838"/>
          <w:pgMar w:top="1417" w:right="1191" w:bottom="1474" w:left="1474" w:header="0" w:footer="992" w:gutter="0"/>
          <w:pgNumType w:fmt="decimal" w:start="1"/>
          <w:cols w:space="0" w:num="1"/>
          <w:docGrid w:type="lines" w:linePitch="312" w:charSpace="0"/>
        </w:sectPr>
      </w:pPr>
    </w:p>
    <w:p>
      <w:pPr>
        <w:spacing w:line="360" w:lineRule="auto"/>
        <w:ind w:firstLine="3092" w:firstLineChars="1100"/>
        <w:rPr>
          <w:rFonts w:ascii="黑体" w:hAnsi="黑体" w:eastAsia="黑体" w:cs="黑体"/>
          <w:color w:val="auto"/>
          <w:sz w:val="28"/>
          <w:szCs w:val="28"/>
        </w:rPr>
      </w:pPr>
      <w:r>
        <w:rPr>
          <w:rFonts w:hint="eastAsia" w:ascii="黑体" w:hAnsi="黑体" w:eastAsia="黑体" w:cs="黑体"/>
          <w:b/>
          <w:color w:val="auto"/>
          <w:sz w:val="28"/>
          <w:szCs w:val="28"/>
        </w:rPr>
        <w:t>机构办公室秘书职责</w:t>
      </w:r>
    </w:p>
    <w:p>
      <w:pPr>
        <w:pStyle w:val="36"/>
        <w:spacing w:line="360" w:lineRule="auto"/>
        <w:ind w:firstLine="0" w:firstLineChars="0"/>
        <w:rPr>
          <w:rFonts w:asciiTheme="minorEastAsia" w:hAnsiTheme="minorEastAsia"/>
          <w:color w:val="auto"/>
          <w:sz w:val="24"/>
          <w:szCs w:val="24"/>
        </w:rPr>
      </w:pPr>
      <w:r>
        <w:rPr>
          <w:rFonts w:hint="eastAsia" w:asciiTheme="minorEastAsia" w:hAnsiTheme="minorEastAsia"/>
          <w:color w:val="auto"/>
          <w:sz w:val="24"/>
          <w:szCs w:val="24"/>
        </w:rPr>
        <w:t>一、协助办公室主任管理办公室日常事务。</w:t>
      </w:r>
    </w:p>
    <w:p>
      <w:pPr>
        <w:pStyle w:val="36"/>
        <w:spacing w:line="360" w:lineRule="auto"/>
        <w:ind w:firstLine="0" w:firstLineChars="0"/>
        <w:rPr>
          <w:rFonts w:asciiTheme="minorEastAsia" w:hAnsiTheme="minorEastAsia"/>
          <w:color w:val="auto"/>
          <w:sz w:val="24"/>
          <w:szCs w:val="24"/>
        </w:rPr>
      </w:pPr>
      <w:r>
        <w:rPr>
          <w:rFonts w:hint="eastAsia" w:asciiTheme="minorEastAsia" w:hAnsiTheme="minorEastAsia"/>
          <w:color w:val="auto"/>
          <w:sz w:val="24"/>
          <w:szCs w:val="24"/>
        </w:rPr>
        <w:t>二、协助接待行政管理部门的检查及各种来访交流等。</w:t>
      </w:r>
    </w:p>
    <w:p>
      <w:pPr>
        <w:pStyle w:val="36"/>
        <w:spacing w:line="360" w:lineRule="auto"/>
        <w:ind w:firstLine="0" w:firstLineChars="0"/>
        <w:rPr>
          <w:rFonts w:asciiTheme="minorEastAsia" w:hAnsiTheme="minorEastAsia"/>
          <w:color w:val="auto"/>
          <w:sz w:val="24"/>
          <w:szCs w:val="24"/>
        </w:rPr>
      </w:pPr>
      <w:r>
        <w:rPr>
          <w:rFonts w:hint="eastAsia" w:asciiTheme="minorEastAsia" w:hAnsiTheme="minorEastAsia"/>
          <w:color w:val="auto"/>
          <w:sz w:val="24"/>
          <w:szCs w:val="24"/>
        </w:rPr>
        <w:t>三、负责接待申办者、研究者代表，介绍和解释各类临床研究的政策法规、临床试验程序和有关管理制度。</w:t>
      </w:r>
    </w:p>
    <w:p>
      <w:pPr>
        <w:pStyle w:val="36"/>
        <w:spacing w:line="360" w:lineRule="auto"/>
        <w:ind w:firstLine="0" w:firstLineChars="0"/>
        <w:rPr>
          <w:rFonts w:asciiTheme="minorEastAsia" w:hAnsiTheme="minorEastAsia"/>
          <w:color w:val="auto"/>
          <w:sz w:val="24"/>
          <w:szCs w:val="24"/>
        </w:rPr>
      </w:pPr>
      <w:r>
        <w:rPr>
          <w:rFonts w:hint="eastAsia" w:asciiTheme="minorEastAsia" w:hAnsiTheme="minorEastAsia"/>
          <w:color w:val="auto"/>
          <w:sz w:val="24"/>
          <w:szCs w:val="24"/>
        </w:rPr>
        <w:t>四、负责对各类临床研究申报立项资料进行形式审查，登记在案后递交办公室主任。</w:t>
      </w:r>
    </w:p>
    <w:p>
      <w:pPr>
        <w:pStyle w:val="36"/>
        <w:spacing w:line="360" w:lineRule="auto"/>
        <w:ind w:firstLine="0" w:firstLineChars="0"/>
        <w:rPr>
          <w:rFonts w:asciiTheme="minorEastAsia" w:hAnsiTheme="minorEastAsia"/>
          <w:color w:val="auto"/>
          <w:sz w:val="24"/>
          <w:szCs w:val="24"/>
        </w:rPr>
      </w:pPr>
      <w:r>
        <w:rPr>
          <w:rFonts w:hint="eastAsia" w:asciiTheme="minorEastAsia" w:hAnsiTheme="minorEastAsia"/>
          <w:color w:val="auto"/>
          <w:sz w:val="24"/>
          <w:szCs w:val="24"/>
        </w:rPr>
        <w:t>五、负责与伦理委员会秘书的沟通和协调，做好各类文件的交接工作。</w:t>
      </w:r>
    </w:p>
    <w:p>
      <w:pPr>
        <w:pStyle w:val="36"/>
        <w:spacing w:line="360" w:lineRule="auto"/>
        <w:ind w:firstLine="0" w:firstLineChars="0"/>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六、机构秘书每年年底负责制定下一年机构培训计划，经机构办公室主任审核后，机构办公室根据培训计划有序开展培训工作。</w:t>
      </w:r>
    </w:p>
    <w:p>
      <w:pPr>
        <w:pStyle w:val="36"/>
        <w:spacing w:line="360" w:lineRule="auto"/>
        <w:ind w:firstLine="0" w:firstLineChars="0"/>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七、负责招募相关事项的沟通与协调。</w:t>
      </w:r>
    </w:p>
    <w:p>
      <w:pPr>
        <w:pStyle w:val="36"/>
        <w:spacing w:line="360" w:lineRule="auto"/>
        <w:ind w:firstLine="0" w:firstLineChars="0"/>
        <w:rPr>
          <w:rFonts w:asciiTheme="minorEastAsia" w:hAnsiTheme="minorEastAsia"/>
          <w:color w:val="auto"/>
          <w:sz w:val="24"/>
          <w:szCs w:val="24"/>
        </w:rPr>
      </w:pPr>
      <w:r>
        <w:rPr>
          <w:rFonts w:hint="eastAsia" w:asciiTheme="minorEastAsia" w:hAnsiTheme="minorEastAsia"/>
          <w:color w:val="auto"/>
          <w:sz w:val="24"/>
          <w:szCs w:val="24"/>
          <w:lang w:val="en-US" w:eastAsia="zh-CN"/>
        </w:rPr>
        <w:t>八</w:t>
      </w:r>
      <w:r>
        <w:rPr>
          <w:rFonts w:hint="eastAsia" w:asciiTheme="minorEastAsia" w:hAnsiTheme="minorEastAsia"/>
          <w:color w:val="auto"/>
          <w:sz w:val="24"/>
          <w:szCs w:val="24"/>
        </w:rPr>
        <w:t>、负责与研究助理/监查员对结题项目的资料进行审核，交接，并做好归档整理、登记等工作。</w:t>
      </w:r>
    </w:p>
    <w:p>
      <w:pPr>
        <w:pStyle w:val="36"/>
        <w:spacing w:line="360" w:lineRule="auto"/>
        <w:ind w:firstLine="0" w:firstLineChars="0"/>
        <w:rPr>
          <w:rFonts w:asciiTheme="minorEastAsia" w:hAnsiTheme="minorEastAsia"/>
          <w:color w:val="auto"/>
          <w:sz w:val="24"/>
          <w:szCs w:val="24"/>
        </w:rPr>
      </w:pPr>
      <w:r>
        <w:rPr>
          <w:rFonts w:hint="eastAsia" w:asciiTheme="minorEastAsia" w:hAnsiTheme="minorEastAsia"/>
          <w:color w:val="auto"/>
          <w:sz w:val="24"/>
          <w:szCs w:val="24"/>
          <w:lang w:val="en-US" w:eastAsia="zh-CN"/>
        </w:rPr>
        <w:t>九</w:t>
      </w:r>
      <w:r>
        <w:rPr>
          <w:rFonts w:hint="eastAsia" w:asciiTheme="minorEastAsia" w:hAnsiTheme="minorEastAsia"/>
          <w:color w:val="auto"/>
          <w:sz w:val="24"/>
          <w:szCs w:val="24"/>
        </w:rPr>
        <w:t>、负责档案室管理工作。</w:t>
      </w:r>
    </w:p>
    <w:p>
      <w:pPr>
        <w:pStyle w:val="24"/>
        <w:spacing w:before="0" w:beforeAutospacing="0" w:after="0" w:afterAutospacing="0" w:line="450" w:lineRule="atLeast"/>
        <w:rPr>
          <w:rFonts w:hint="eastAsia" w:asciiTheme="minorEastAsia" w:hAnsiTheme="minorEastAsia" w:eastAsiaTheme="minorEastAsia" w:cstheme="minorEastAsia"/>
          <w:b/>
          <w:bCs/>
          <w:color w:val="auto"/>
          <w:shd w:val="clear" w:color="auto" w:fill="FFFFFF"/>
        </w:rPr>
      </w:pPr>
      <w:r>
        <w:rPr>
          <w:rFonts w:hint="eastAsia" w:asciiTheme="minorEastAsia" w:hAnsiTheme="minorEastAsia" w:eastAsiaTheme="minorEastAsia" w:cstheme="minorEastAsia"/>
          <w:b/>
          <w:bCs/>
          <w:color w:val="auto"/>
          <w:shd w:val="clear" w:color="auto" w:fill="FFFFFF"/>
        </w:rPr>
        <w:t>参考文献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[1]国家药监局 国家卫生健康委. 关于发布药物临床试验质量管理规范的公告（2020年第57号）[EB/OL].[2020-04-26]. https://www.nmpa.gov.cn/zhuanti/ypzhcglbf/ypzhcglbfzhcwj/20200426162401243.html.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[2]国家药品监督管理局，国家卫生健康委员会. 关于发布《医疗器械临床试验质量管理规范》的公告（2022年第28号）.[2022-03-31]. https://www.nmpa.gov.cn/xxgk/ggtg/qtggtg/20220331144903101.html.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[3]国家药监局 国家卫生健康委关于发布药物临床试验机构管理规定的公告(2019年第101号)[EB/OL].[2019-11-29]. https://www.nmpa.gov.cn/xxgk/ggtg/qtggtg/20191129174401214.html.</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906"/>
        <w:gridCol w:w="915"/>
        <w:gridCol w:w="2459"/>
        <w:gridCol w:w="2853"/>
        <w:gridCol w:w="1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lang w:val="en-US" w:eastAsia="zh-CN"/>
              </w:rPr>
              <w:t>序</w:t>
            </w:r>
            <w:r>
              <w:rPr>
                <w:rFonts w:hint="eastAsia" w:ascii="宋体" w:hAnsi="宋体"/>
                <w:color w:val="auto"/>
                <w:sz w:val="21"/>
                <w:szCs w:val="21"/>
              </w:rPr>
              <w:t>号</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kern w:val="2"/>
                <w:sz w:val="21"/>
                <w:szCs w:val="21"/>
                <w:lang w:val="en-US" w:eastAsia="zh-CN" w:bidi="ar-SA"/>
              </w:rPr>
            </w:pPr>
            <w:r>
              <w:rPr>
                <w:rFonts w:hint="eastAsia" w:ascii="宋体" w:hAnsi="宋体"/>
                <w:color w:val="auto"/>
                <w:sz w:val="21"/>
                <w:szCs w:val="21"/>
                <w:lang w:val="en-US" w:eastAsia="zh-CN"/>
              </w:rPr>
              <w:t>修订前版本号</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宋体"/>
                <w:color w:val="auto"/>
                <w:kern w:val="2"/>
                <w:sz w:val="21"/>
                <w:szCs w:val="21"/>
                <w:lang w:val="en-US" w:eastAsia="zh-CN" w:bidi="ar-SA"/>
              </w:rPr>
            </w:pPr>
            <w:r>
              <w:rPr>
                <w:rFonts w:hint="eastAsia" w:ascii="宋体" w:hAnsi="宋体"/>
                <w:color w:val="auto"/>
                <w:sz w:val="21"/>
                <w:szCs w:val="21"/>
                <w:lang w:val="en-US" w:eastAsia="zh-CN"/>
              </w:rPr>
              <w:t>修订后版本号</w:t>
            </w:r>
          </w:p>
        </w:tc>
        <w:tc>
          <w:tcPr>
            <w:tcW w:w="2459"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修订原因、依据</w:t>
            </w:r>
          </w:p>
        </w:tc>
        <w:tc>
          <w:tcPr>
            <w:tcW w:w="2853"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修订内容</w:t>
            </w:r>
          </w:p>
        </w:tc>
        <w:tc>
          <w:tcPr>
            <w:tcW w:w="167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t>修订人/修订</w:t>
            </w:r>
          </w:p>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Theme="minorEastAsia"/>
                <w:color w:val="auto"/>
                <w:sz w:val="21"/>
                <w:szCs w:val="21"/>
                <w:lang w:val="en-US" w:eastAsia="zh-CN"/>
              </w:rPr>
            </w:pPr>
            <w:r>
              <w:rPr>
                <w:rFonts w:hint="eastAsia" w:ascii="宋体" w:hAnsi="宋体"/>
                <w:color w:val="auto"/>
                <w:sz w:val="21"/>
                <w:szCs w:val="21"/>
                <w:lang w:val="en-US" w:eastAsia="zh-CN"/>
              </w:rPr>
              <w:t>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3.0</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3.1</w:t>
            </w:r>
          </w:p>
        </w:tc>
        <w:tc>
          <w:tcPr>
            <w:tcW w:w="24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1.根据实际工作需要，修订部分机构秘书职责。</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2.为保证人员职责的严谨性，新增参考文献。</w:t>
            </w:r>
          </w:p>
        </w:tc>
        <w:tc>
          <w:tcPr>
            <w:tcW w:w="285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1.修订部分机构秘书职责。</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2.新增参考文献。</w:t>
            </w:r>
          </w:p>
        </w:tc>
        <w:tc>
          <w:tcPr>
            <w:tcW w:w="16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eastAsia" w:ascii="宋体" w:hAnsi="宋体"/>
                <w:color w:val="auto"/>
                <w:sz w:val="21"/>
                <w:szCs w:val="21"/>
                <w:lang w:val="en-US" w:eastAsia="zh-CN"/>
              </w:rPr>
            </w:pPr>
          </w:p>
        </w:tc>
      </w:tr>
    </w:tbl>
    <w:p>
      <w:pPr>
        <w:spacing w:line="360" w:lineRule="auto"/>
        <w:ind w:firstLine="2891" w:firstLineChars="1200"/>
        <w:rPr>
          <w:rFonts w:asciiTheme="minorEastAsia" w:hAnsiTheme="minorEastAsia"/>
          <w:b/>
          <w:color w:val="auto"/>
          <w:sz w:val="24"/>
          <w:szCs w:val="24"/>
        </w:rPr>
      </w:pPr>
    </w:p>
    <w:p>
      <w:pPr>
        <w:spacing w:line="360" w:lineRule="auto"/>
        <w:ind w:firstLine="3373" w:firstLineChars="1200"/>
        <w:rPr>
          <w:rFonts w:ascii="黑体" w:hAnsi="黑体" w:eastAsia="黑体" w:cs="黑体"/>
          <w:b/>
          <w:color w:val="auto"/>
          <w:sz w:val="28"/>
          <w:szCs w:val="28"/>
        </w:rPr>
        <w:sectPr>
          <w:headerReference r:id="rId20" w:type="default"/>
          <w:footerReference r:id="rId21" w:type="default"/>
          <w:pgSz w:w="11906" w:h="16838"/>
          <w:pgMar w:top="1417" w:right="1191" w:bottom="1474" w:left="1474" w:header="0" w:footer="992" w:gutter="0"/>
          <w:pgNumType w:fmt="decimal" w:start="1"/>
          <w:cols w:space="0" w:num="1"/>
          <w:docGrid w:type="lines" w:linePitch="312" w:charSpace="0"/>
        </w:sectPr>
      </w:pPr>
    </w:p>
    <w:p>
      <w:pPr>
        <w:tabs>
          <w:tab w:val="left" w:pos="6814"/>
        </w:tabs>
        <w:spacing w:line="360" w:lineRule="auto"/>
        <w:jc w:val="center"/>
        <w:rPr>
          <w:rFonts w:ascii="黑体" w:hAnsi="黑体" w:eastAsia="黑体" w:cs="黑体"/>
          <w:b/>
          <w:bCs/>
          <w:color w:val="auto"/>
          <w:sz w:val="28"/>
          <w:szCs w:val="28"/>
          <w:highlight w:val="none"/>
        </w:rPr>
      </w:pPr>
      <w:r>
        <w:rPr>
          <w:rFonts w:hint="eastAsia" w:ascii="黑体" w:hAnsi="黑体" w:eastAsia="黑体" w:cs="黑体"/>
          <w:b/>
          <w:bCs/>
          <w:color w:val="auto"/>
          <w:sz w:val="28"/>
          <w:szCs w:val="28"/>
          <w:highlight w:val="none"/>
        </w:rPr>
        <w:t>项目负责人职责</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一、项目负责人应具有副高级以上职称，并获得GCP培训证书。</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二、熟悉临床试验质量管理规范（GCP），本专业组临床试验标准操作规程（SOP）及我院临床试验机构制度和标准操作规程（SOP）。</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三、全面负责所承担的药物</w:t>
      </w:r>
      <w:r>
        <w:rPr>
          <w:rFonts w:hint="eastAsia" w:asciiTheme="minorEastAsia" w:hAnsiTheme="minorEastAsia" w:cstheme="minorEastAsia"/>
          <w:color w:val="auto"/>
          <w:sz w:val="24"/>
          <w:szCs w:val="24"/>
          <w:lang w:eastAsia="zh-CN"/>
        </w:rPr>
        <w:t>或</w:t>
      </w:r>
      <w:r>
        <w:rPr>
          <w:rFonts w:hint="eastAsia" w:asciiTheme="minorEastAsia" w:hAnsiTheme="minorEastAsia" w:cstheme="minorEastAsia"/>
          <w:color w:val="auto"/>
          <w:sz w:val="24"/>
          <w:szCs w:val="24"/>
        </w:rPr>
        <w:t>医疗器械临床试验项目的日常运行管理，协调解决试验过程中存在的问题。</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四、协助申办者制定临床试验方案并严格执行。</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五、加强与机构办公室的沟通与交流，保证临床试验的顺利进行。</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六、负责召开启动会，内容包括：方案介绍、GCP培训、不良反应、疗效评价标准的培训，试验药物或试验医疗器械的管理与发放，严重不良事件的处理及上报程序，试验可能发生的问题等。明确试验小组各人员的分工，向参加临床试验的所有工作人员说明有关试验的资料、规定和职责，尽量确保有足够数量并符合临床试验方案的受试者进入临床试验。</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七、保证临床试验的质量，确保临床试验严格遵照GCP及试验方案实施，对项目实施过程中发现的问题及时处理，确保研究工作各环节符合要求。项目负责人对所承担的临床试验质量负全部责任。</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八、确保参与试验的人员明确所承担的工作，并掌握相应的SOP。</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九、掌握试验工作进展，检查各种试验记录，确保其及时、直接、准确、清楚和可溯源。</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十、项目负责人应了解并熟悉试验药物（试验医疗器械）的性质、作用、疗效及安全性（包括临床前研究的有关资料）；同时也应该掌握临床试验进行期间发现的所有与该试验药物（试验医疗器械）有关的新信息。</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十一、试验结束后，</w:t>
      </w:r>
      <w:r>
        <w:rPr>
          <w:rFonts w:hint="eastAsia" w:asciiTheme="minorEastAsia" w:hAnsiTheme="minorEastAsia" w:cstheme="minorEastAsia"/>
          <w:color w:val="auto"/>
          <w:sz w:val="24"/>
          <w:szCs w:val="24"/>
          <w:lang w:eastAsia="zh-CN"/>
        </w:rPr>
        <w:t>详</w:t>
      </w:r>
      <w:r>
        <w:rPr>
          <w:rFonts w:hint="eastAsia" w:asciiTheme="minorEastAsia" w:hAnsiTheme="minorEastAsia" w:cstheme="minorEastAsia"/>
          <w:color w:val="auto"/>
          <w:sz w:val="24"/>
          <w:szCs w:val="24"/>
        </w:rPr>
        <w:t>细审核总结报告的内容，签名确认后交至临床试验机构。督促研究者将原始资料、CRF等应保存的各种相关文件和总结报告等完整收集、整理并送研究机构档案室归档保存。</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十二、项目负责人需对临床试验合同中有关项目负责人与研究者职责义务及项目经费的内容进行确认，在临床试验过程中，不得向受试者收取试验用药（试验医疗器械）所需的费用。</w:t>
      </w:r>
    </w:p>
    <w:p>
      <w:pPr>
        <w:tabs>
          <w:tab w:val="left" w:pos="6814"/>
        </w:tabs>
        <w:spacing w:line="360" w:lineRule="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rPr>
        <w:t>十三、项目负责人中止一项临床试验</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必须立即向专业组负责人、</w:t>
      </w:r>
      <w:r>
        <w:rPr>
          <w:rFonts w:hint="eastAsia" w:asciiTheme="minorEastAsia" w:hAnsiTheme="minorEastAsia" w:cstheme="minorEastAsia"/>
          <w:color w:val="auto"/>
          <w:sz w:val="24"/>
          <w:szCs w:val="24"/>
        </w:rPr>
        <w:t>申办者、</w:t>
      </w:r>
      <w:r>
        <w:rPr>
          <w:rFonts w:hint="eastAsia" w:asciiTheme="minorEastAsia" w:hAnsiTheme="minorEastAsia" w:cstheme="minorEastAsia"/>
          <w:color w:val="auto"/>
          <w:sz w:val="24"/>
          <w:szCs w:val="24"/>
          <w:lang w:val="en-US" w:eastAsia="zh-CN"/>
        </w:rPr>
        <w:t>药物/</w:t>
      </w:r>
      <w:r>
        <w:rPr>
          <w:rFonts w:hint="eastAsia" w:asciiTheme="minorEastAsia" w:hAnsiTheme="minorEastAsia" w:cstheme="minorEastAsia"/>
          <w:color w:val="auto"/>
          <w:sz w:val="24"/>
          <w:szCs w:val="24"/>
        </w:rPr>
        <w:t>医疗器械临床试验机构管理部门、伦理委员会报告</w:t>
      </w:r>
      <w:r>
        <w:rPr>
          <w:rFonts w:hint="eastAsia" w:asciiTheme="minorEastAsia" w:hAnsiTheme="minorEastAsia" w:cstheme="minorEastAsia"/>
          <w:color w:val="auto"/>
          <w:sz w:val="24"/>
          <w:szCs w:val="24"/>
          <w:lang w:eastAsia="zh-CN"/>
        </w:rPr>
        <w:t>，并提供详细的书面说明。</w:t>
      </w:r>
      <w:r>
        <w:rPr>
          <w:rFonts w:hint="eastAsia" w:asciiTheme="minorEastAsia" w:hAnsiTheme="minorEastAsia" w:cstheme="minorEastAsia"/>
          <w:color w:val="auto"/>
          <w:sz w:val="24"/>
          <w:szCs w:val="24"/>
          <w:lang w:val="en-US" w:eastAsia="zh-CN"/>
        </w:rPr>
        <w:t>及时通知受试者，并保证受试者得到适当治疗和随访。</w:t>
      </w:r>
    </w:p>
    <w:p>
      <w:pPr>
        <w:pStyle w:val="24"/>
        <w:spacing w:before="0" w:beforeAutospacing="0" w:after="0" w:afterAutospacing="0" w:line="450" w:lineRule="atLeast"/>
        <w:rPr>
          <w:rFonts w:hint="eastAsia" w:asciiTheme="minorEastAsia" w:hAnsiTheme="minorEastAsia" w:eastAsiaTheme="minorEastAsia" w:cstheme="minorEastAsia"/>
          <w:b/>
          <w:bCs/>
          <w:color w:val="auto"/>
          <w:shd w:val="clear" w:color="auto" w:fill="FFFFFF"/>
        </w:rPr>
      </w:pPr>
      <w:r>
        <w:rPr>
          <w:rFonts w:hint="eastAsia" w:asciiTheme="minorEastAsia" w:hAnsiTheme="minorEastAsia" w:eastAsiaTheme="minorEastAsia" w:cstheme="minorEastAsia"/>
          <w:b/>
          <w:bCs/>
          <w:color w:val="auto"/>
          <w:shd w:val="clear" w:color="auto" w:fill="FFFFFF"/>
        </w:rPr>
        <w:t>参考文献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[1]国家药监局 国家卫生健康委. 关于发布药物临床试验质量管理规范的公告（2020年第57号）[EB/OL].[2020-04-26]. https://www.nmpa.gov.cn/zhuanti/ypzhcglbf/ypzhcglbfzhcwj/20200426162401243.html.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[2]国家药品监督管理局，国家卫生健康委员会. 关于发布《医疗器械临床试验质量管理规范》的公告（2022年第28号）.[2022-03-31]. https://www.nmpa.gov.cn/xxgk/ggtg/qtggtg/20220331144903101.html.</w:t>
      </w:r>
    </w:p>
    <w:p>
      <w:pPr>
        <w:pStyle w:val="24"/>
        <w:spacing w:before="0" w:beforeAutospacing="0" w:after="0" w:afterAutospacing="0" w:line="450" w:lineRule="atLeast"/>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w:t>
      </w:r>
      <w:r>
        <w:rPr>
          <w:rFonts w:hint="eastAsia" w:asciiTheme="minorEastAsia" w:hAnsiTheme="minorEastAsia" w:eastAsiaTheme="minorEastAsia" w:cstheme="minorEastAsia"/>
          <w:color w:val="auto"/>
          <w:shd w:val="clear" w:color="auto" w:fill="FFFFFF"/>
          <w:lang w:val="en-US" w:eastAsia="zh-CN"/>
        </w:rPr>
        <w:t>3</w:t>
      </w:r>
      <w:r>
        <w:rPr>
          <w:rFonts w:hint="eastAsia" w:asciiTheme="minorEastAsia" w:hAnsiTheme="minorEastAsia" w:eastAsiaTheme="minorEastAsia" w:cstheme="minorEastAsia"/>
          <w:color w:val="auto"/>
          <w:shd w:val="clear" w:color="auto" w:fill="FFFFFF"/>
        </w:rPr>
        <w:t>]曹玉，元唯安. 药物临床试验实践 [M].北京：中国医药科技出版社，2021.</w:t>
      </w:r>
    </w:p>
    <w:p>
      <w:pPr>
        <w:pStyle w:val="24"/>
        <w:spacing w:before="0" w:beforeAutospacing="0" w:after="0" w:afterAutospacing="0" w:line="450" w:lineRule="atLeast"/>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w:t>
      </w:r>
      <w:r>
        <w:rPr>
          <w:rFonts w:hint="eastAsia" w:asciiTheme="minorEastAsia" w:hAnsiTheme="minorEastAsia" w:eastAsiaTheme="minorEastAsia" w:cstheme="minorEastAsia"/>
          <w:color w:val="auto"/>
          <w:shd w:val="clear" w:color="auto" w:fill="FFFFFF"/>
          <w:lang w:val="en-US" w:eastAsia="zh-CN"/>
        </w:rPr>
        <w:t>4</w:t>
      </w:r>
      <w:r>
        <w:rPr>
          <w:rFonts w:hint="eastAsia" w:asciiTheme="minorEastAsia" w:hAnsiTheme="minorEastAsia" w:eastAsiaTheme="minorEastAsia" w:cstheme="minorEastAsia"/>
          <w:color w:val="auto"/>
          <w:shd w:val="clear" w:color="auto" w:fill="FFFFFF"/>
        </w:rPr>
        <w:t>]王白璐</w:t>
      </w:r>
      <w:r>
        <w:rPr>
          <w:rFonts w:hint="eastAsia" w:asciiTheme="minorEastAsia" w:hAnsiTheme="minorEastAsia" w:eastAsiaTheme="minorEastAsia" w:cstheme="minorEastAsia"/>
          <w:color w:val="auto"/>
          <w:shd w:val="clear" w:color="auto" w:fill="FFFFFF"/>
          <w:lang w:val="en-US" w:eastAsia="zh-CN"/>
        </w:rPr>
        <w:t xml:space="preserve">. </w:t>
      </w:r>
      <w:r>
        <w:rPr>
          <w:rFonts w:hint="eastAsia" w:asciiTheme="minorEastAsia" w:hAnsiTheme="minorEastAsia" w:eastAsiaTheme="minorEastAsia" w:cstheme="minorEastAsia"/>
          <w:color w:val="auto"/>
          <w:shd w:val="clear" w:color="auto" w:fill="FFFFFF"/>
        </w:rPr>
        <w:t>医疗器械临床试验机构操作手册 [M]. 北京：人民卫生出版社，2022.</w:t>
      </w:r>
    </w:p>
    <w:p>
      <w:pPr>
        <w:pStyle w:val="24"/>
        <w:spacing w:before="0" w:beforeAutospacing="0" w:after="0" w:afterAutospacing="0" w:line="450" w:lineRule="atLeast"/>
        <w:rPr>
          <w:rFonts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w:t>
      </w:r>
      <w:r>
        <w:rPr>
          <w:rFonts w:hint="eastAsia" w:asciiTheme="minorEastAsia" w:hAnsiTheme="minorEastAsia" w:eastAsiaTheme="minorEastAsia" w:cstheme="minorEastAsia"/>
          <w:color w:val="auto"/>
          <w:shd w:val="clear" w:color="auto" w:fill="FFFFFF"/>
          <w:lang w:val="en-US" w:eastAsia="zh-CN"/>
        </w:rPr>
        <w:t>5</w:t>
      </w:r>
      <w:r>
        <w:rPr>
          <w:rFonts w:hint="eastAsia" w:asciiTheme="minorEastAsia" w:hAnsiTheme="minorEastAsia" w:eastAsiaTheme="minorEastAsia" w:cstheme="minorEastAsia"/>
          <w:color w:val="auto"/>
          <w:shd w:val="clear" w:color="auto" w:fill="FFFFFF"/>
        </w:rPr>
        <w:t>]高荣，吕术超，李秀丽，等. 从药物临床试验数据核查看研究者的职责履行情况. 中国新药杂志，2019,28（20）：25</w:t>
      </w:r>
      <w:r>
        <w:rPr>
          <w:rFonts w:hint="eastAsia" w:asciiTheme="minorEastAsia" w:hAnsiTheme="minorEastAsia" w:eastAsiaTheme="minorEastAsia" w:cstheme="minorEastAsia"/>
          <w:color w:val="auto"/>
          <w:shd w:val="clear" w:color="auto" w:fill="FFFFFF"/>
          <w:lang w:val="en-US" w:eastAsia="zh-CN"/>
        </w:rPr>
        <w:t>0</w:t>
      </w:r>
      <w:r>
        <w:rPr>
          <w:rFonts w:hint="eastAsia" w:asciiTheme="minorEastAsia" w:hAnsiTheme="minorEastAsia" w:eastAsiaTheme="minorEastAsia" w:cstheme="minorEastAsia"/>
          <w:color w:val="auto"/>
          <w:shd w:val="clear" w:color="auto" w:fill="FFFFFF"/>
        </w:rPr>
        <w:t>8-25</w:t>
      </w:r>
      <w:r>
        <w:rPr>
          <w:rFonts w:hint="eastAsia" w:asciiTheme="minorEastAsia" w:hAnsiTheme="minorEastAsia" w:eastAsiaTheme="minorEastAsia" w:cstheme="minorEastAsia"/>
          <w:color w:val="auto"/>
          <w:shd w:val="clear" w:color="auto" w:fill="FFFFFF"/>
          <w:lang w:val="en-US" w:eastAsia="zh-CN"/>
        </w:rPr>
        <w:t>12</w:t>
      </w:r>
      <w:r>
        <w:rPr>
          <w:rFonts w:hint="eastAsia" w:asciiTheme="minorEastAsia" w:hAnsiTheme="minorEastAsia" w:eastAsiaTheme="minorEastAsia" w:cstheme="minorEastAsia"/>
          <w:color w:val="auto"/>
          <w:shd w:val="clear" w:color="auto" w:fill="FFFFFF"/>
        </w:rPr>
        <w:t>.</w:t>
      </w:r>
    </w:p>
    <w:p>
      <w:pPr>
        <w:rPr>
          <w:rFonts w:hint="eastAsia" w:asciiTheme="minorEastAsia" w:hAnsi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906"/>
        <w:gridCol w:w="915"/>
        <w:gridCol w:w="2459"/>
        <w:gridCol w:w="2853"/>
        <w:gridCol w:w="1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lang w:val="en-US" w:eastAsia="zh-CN"/>
              </w:rPr>
              <w:t>序</w:t>
            </w:r>
            <w:r>
              <w:rPr>
                <w:rFonts w:hint="eastAsia" w:ascii="宋体" w:hAnsi="宋体"/>
                <w:color w:val="auto"/>
                <w:sz w:val="21"/>
                <w:szCs w:val="21"/>
              </w:rPr>
              <w:t>号</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kern w:val="2"/>
                <w:sz w:val="21"/>
                <w:szCs w:val="21"/>
                <w:lang w:val="en-US" w:eastAsia="zh-CN" w:bidi="ar-SA"/>
              </w:rPr>
            </w:pPr>
            <w:r>
              <w:rPr>
                <w:rFonts w:hint="eastAsia" w:ascii="宋体" w:hAnsi="宋体"/>
                <w:color w:val="auto"/>
                <w:sz w:val="21"/>
                <w:szCs w:val="21"/>
                <w:lang w:val="en-US" w:eastAsia="zh-CN"/>
              </w:rPr>
              <w:t>修订前版本号</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宋体"/>
                <w:color w:val="auto"/>
                <w:kern w:val="2"/>
                <w:sz w:val="21"/>
                <w:szCs w:val="21"/>
                <w:lang w:val="en-US" w:eastAsia="zh-CN" w:bidi="ar-SA"/>
              </w:rPr>
            </w:pPr>
            <w:r>
              <w:rPr>
                <w:rFonts w:hint="eastAsia" w:ascii="宋体" w:hAnsi="宋体"/>
                <w:color w:val="auto"/>
                <w:sz w:val="21"/>
                <w:szCs w:val="21"/>
                <w:lang w:val="en-US" w:eastAsia="zh-CN"/>
              </w:rPr>
              <w:t>修订后版本号</w:t>
            </w:r>
          </w:p>
        </w:tc>
        <w:tc>
          <w:tcPr>
            <w:tcW w:w="2459"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修订原因、依据</w:t>
            </w:r>
          </w:p>
        </w:tc>
        <w:tc>
          <w:tcPr>
            <w:tcW w:w="2853"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修订内容</w:t>
            </w:r>
          </w:p>
        </w:tc>
        <w:tc>
          <w:tcPr>
            <w:tcW w:w="167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t>修订人/修订</w:t>
            </w:r>
          </w:p>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Theme="minorEastAsia"/>
                <w:color w:val="auto"/>
                <w:sz w:val="21"/>
                <w:szCs w:val="21"/>
                <w:lang w:val="en-US" w:eastAsia="zh-CN"/>
              </w:rPr>
            </w:pPr>
            <w:r>
              <w:rPr>
                <w:rFonts w:hint="eastAsia" w:ascii="宋体" w:hAnsi="宋体"/>
                <w:color w:val="auto"/>
                <w:sz w:val="21"/>
                <w:szCs w:val="21"/>
                <w:lang w:val="en-US" w:eastAsia="zh-CN"/>
              </w:rPr>
              <w:t>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3.0</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3.1</w:t>
            </w:r>
          </w:p>
        </w:tc>
        <w:tc>
          <w:tcPr>
            <w:tcW w:w="24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1.根据现行版GCP，修订项目负责人中止试验相关规定和内容。</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2.为保证人员职责的严谨性，新增参考文献。</w:t>
            </w:r>
          </w:p>
        </w:tc>
        <w:tc>
          <w:tcPr>
            <w:tcW w:w="285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1.修订第十三条项目负责人中止试验内容。</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2.新增参考文献。</w:t>
            </w:r>
          </w:p>
        </w:tc>
        <w:tc>
          <w:tcPr>
            <w:tcW w:w="16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eastAsia" w:ascii="宋体" w:hAnsi="宋体"/>
                <w:color w:val="auto"/>
                <w:sz w:val="21"/>
                <w:szCs w:val="21"/>
                <w:lang w:val="en-US" w:eastAsia="zh-CN"/>
              </w:rPr>
            </w:pPr>
          </w:p>
        </w:tc>
      </w:tr>
    </w:tbl>
    <w:p>
      <w:pPr>
        <w:pStyle w:val="33"/>
        <w:rPr>
          <w:rFonts w:hint="eastAsia"/>
          <w:color w:val="auto"/>
        </w:rPr>
        <w:sectPr>
          <w:headerReference r:id="rId22" w:type="default"/>
          <w:footerReference r:id="rId23" w:type="default"/>
          <w:pgSz w:w="11906" w:h="16838"/>
          <w:pgMar w:top="1417" w:right="1191" w:bottom="1474" w:left="1474" w:header="0" w:footer="992" w:gutter="0"/>
          <w:pgNumType w:fmt="decimal" w:start="1"/>
          <w:cols w:space="0" w:num="1"/>
          <w:docGrid w:type="lines" w:linePitch="312" w:charSpace="0"/>
        </w:sectPr>
      </w:pPr>
    </w:p>
    <w:p>
      <w:pPr>
        <w:spacing w:line="360" w:lineRule="auto"/>
        <w:ind w:firstLine="3373" w:firstLineChars="1200"/>
        <w:rPr>
          <w:rFonts w:ascii="黑体" w:hAnsi="黑体" w:eastAsia="黑体" w:cs="黑体"/>
          <w:b/>
          <w:color w:val="auto"/>
          <w:sz w:val="28"/>
          <w:szCs w:val="28"/>
        </w:rPr>
      </w:pPr>
      <w:r>
        <w:rPr>
          <w:rFonts w:hint="eastAsia" w:ascii="黑体" w:hAnsi="黑体" w:eastAsia="黑体" w:cs="黑体"/>
          <w:b/>
          <w:color w:val="auto"/>
          <w:sz w:val="28"/>
          <w:szCs w:val="28"/>
        </w:rPr>
        <w:t>研究医生职责</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一、接受过GCP培训并获得证书，熟悉临床试验质量管理规范（GCP）及我院临床试验机构制度和标准操作规程（SOP）。</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二、负责药物</w:t>
      </w:r>
      <w:r>
        <w:rPr>
          <w:rFonts w:hint="eastAsia" w:asciiTheme="minorEastAsia" w:hAnsiTheme="minorEastAsia" w:cstheme="minorEastAsia"/>
          <w:color w:val="auto"/>
          <w:sz w:val="24"/>
          <w:szCs w:val="24"/>
          <w:lang w:eastAsia="zh-CN"/>
        </w:rPr>
        <w:t>或</w:t>
      </w:r>
      <w:r>
        <w:rPr>
          <w:rFonts w:hint="eastAsia" w:asciiTheme="minorEastAsia" w:hAnsiTheme="minorEastAsia" w:cstheme="minorEastAsia"/>
          <w:color w:val="auto"/>
          <w:sz w:val="24"/>
          <w:szCs w:val="24"/>
        </w:rPr>
        <w:t>医疗器械临床试验的研究者应具备下列条件：</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1、为我院在职职工，具有行医资格并接受过GCP培训；</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2、具有临床试验中所要求的专业知识和经验；</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3、熟悉申办方所提供的与临床试验有关的资料和文献。</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三、研究者必须详细阅读和了解临床试验方案的内容，并严格按照方案执行。</w:t>
      </w:r>
    </w:p>
    <w:p>
      <w:pPr>
        <w:tabs>
          <w:tab w:val="left" w:pos="6814"/>
        </w:tabs>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四、研究者应了解并熟悉试验药物或试验医疗器械的性质、作用、疗效及安全性（包括临床前研究的有关资料），同时也应掌握临床试验进行期间发现的所有与该试验药物或试验医疗器械有关的新信息。</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五、研究者应获得所在专业组负责人的同意，在项目负责人的指导下完成临床试验。</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六、研究者应向受试者说明经伦理委员会同意的有关试验的详细情况，并取得知情同意书。</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七、研究者负责做出与临床试验相关的医疗决定，保证受试者在试验期间出现不良事件时得到适当的治疗。</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八、研究者有义务采取必要的措施以保障受试者的安全，并记录在案，在临床试验过程中如发生严重不良事件，研究者应立即对受试者采取适当的治疗措施，并按照《严重不良事件报告的SOP》上报。</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九、研究者应保证将数据真实、准确、完整、及时、合法地载入病历和病例报告表。</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十、研究者应配合监查、稽查、检查，确保临床试验的质量。</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十一、临床试验完成后，研究者协助项目负责人及时将原始资料、CRF等相关文件和总结报告收集、整理、并送临床试验机构办公室。</w:t>
      </w:r>
    </w:p>
    <w:p>
      <w:pPr>
        <w:pStyle w:val="24"/>
        <w:spacing w:before="0" w:beforeAutospacing="0" w:after="0" w:afterAutospacing="0" w:line="450" w:lineRule="atLeast"/>
        <w:rPr>
          <w:rFonts w:hint="eastAsia" w:asciiTheme="minorEastAsia" w:hAnsiTheme="minorEastAsia" w:eastAsiaTheme="minorEastAsia" w:cstheme="minorEastAsia"/>
          <w:b/>
          <w:bCs/>
          <w:color w:val="auto"/>
          <w:shd w:val="clear" w:color="auto" w:fill="FFFFFF"/>
        </w:rPr>
      </w:pPr>
      <w:r>
        <w:rPr>
          <w:rFonts w:hint="eastAsia" w:asciiTheme="minorEastAsia" w:hAnsiTheme="minorEastAsia" w:eastAsiaTheme="minorEastAsia" w:cstheme="minorEastAsia"/>
          <w:b/>
          <w:bCs/>
          <w:color w:val="auto"/>
          <w:shd w:val="clear" w:color="auto" w:fill="FFFFFF"/>
        </w:rPr>
        <w:t>参考文献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[1]国家药监局 国家卫生健康委. 关于发布药物临床试验质量管理规范的公告（2020年第57号）[EB/OL].[2020-04-26]. https://www.nmpa.gov.cn/zhuanti/ypzhcglbf/ypzhcglbfzhcwj/20200426162401243.html.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[2]国家药品监督管理局，国家卫生健康委员会. 关于发布《医疗器械临床试验质量管理规范》的公告（2022年第28号）.[2022-03-31]. https://www.nmpa.gov.cn/xxgk/ggtg/qtggtg/20220331144903101.html.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[3]国家药监局 国家卫生健康委关于发布药物临床试验机构管理规定的公告(2019年第101号)[EB/OL].[2019-11-29]. https://www.nmpa.gov.cn/xxgk/ggtg/qtggtg/20191129174401214.html.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[4]国家食品药品监督管理总局 国家卫生和计划生育委员会关于发布医疗器械临床试验机构条件和备案管理办法的公告（2017年第145号）[EB/OL].[2019-11-29].https://www.nmpa.gov.cn/xxgk/ggtg/qtggtg/20171124123401917.html.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[5]国家药监局综合司关于印发医疗器械临床试验检查要点及判定原则的通知(药监综械注〔2018〕45号)[EB/OL].https://www.nmpa.gov.cn/directory/web/nmpa/xxgk/fgwj/gzwj/gzwjylqx/20181128142501830.html.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[6]国家食品药品监督管理总局关于发布药物临床试验数据现场核查要点的公告（2015年第228号）[EB/OL].[2015-11-10]. https://www.nmpa.gov.cn/xxgk/ggtg/qtggtg/20151110203701981.html.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[7]国家药品监督管理局食品药品审核查验中心关于发布《药品注册核查工作程序（试行）》等5个文件的通告（2021年第30号）[EB/OL].[2021-12-20]. https://www.cfdi.org.cn/resource/news/14199.html.</w:t>
      </w:r>
    </w:p>
    <w:p>
      <w:pPr>
        <w:pStyle w:val="24"/>
        <w:spacing w:before="0" w:beforeAutospacing="0" w:after="0" w:afterAutospacing="0" w:line="450" w:lineRule="atLeast"/>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[8]曹玉，元唯安. 药物临床试验实践 [M].北京：中国医药科技出版社，2021.</w:t>
      </w:r>
    </w:p>
    <w:p>
      <w:pPr>
        <w:pStyle w:val="24"/>
        <w:spacing w:before="0" w:beforeAutospacing="0" w:after="0" w:afterAutospacing="0" w:line="450" w:lineRule="atLeast"/>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[9]王白璐医疗器械临床试验机构操作手册 [M]. 北京：人民卫生出版社，2022.</w:t>
      </w:r>
    </w:p>
    <w:p>
      <w:pPr>
        <w:pStyle w:val="24"/>
        <w:spacing w:before="0" w:beforeAutospacing="0" w:after="0" w:afterAutospacing="0" w:line="450" w:lineRule="atLeast"/>
        <w:rPr>
          <w:rFonts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[10]高荣，吕术超，李秀丽，等. 从药物临床试验数据核查看研究者的职责履行情况. 中国新药杂志，2019,28（20）：25</w:t>
      </w:r>
      <w:r>
        <w:rPr>
          <w:rFonts w:hint="eastAsia" w:asciiTheme="minorEastAsia" w:hAnsiTheme="minorEastAsia" w:eastAsiaTheme="minorEastAsia" w:cstheme="minorEastAsia"/>
          <w:color w:val="auto"/>
          <w:shd w:val="clear" w:color="auto" w:fill="FFFFFF"/>
          <w:lang w:val="en-US" w:eastAsia="zh-CN"/>
        </w:rPr>
        <w:t>0</w:t>
      </w:r>
      <w:r>
        <w:rPr>
          <w:rFonts w:hint="eastAsia" w:asciiTheme="minorEastAsia" w:hAnsiTheme="minorEastAsia" w:eastAsiaTheme="minorEastAsia" w:cstheme="minorEastAsia"/>
          <w:color w:val="auto"/>
          <w:shd w:val="clear" w:color="auto" w:fill="FFFFFF"/>
        </w:rPr>
        <w:t>8-25</w:t>
      </w:r>
      <w:r>
        <w:rPr>
          <w:rFonts w:hint="eastAsia" w:asciiTheme="minorEastAsia" w:hAnsiTheme="minorEastAsia" w:eastAsiaTheme="minorEastAsia" w:cstheme="minorEastAsia"/>
          <w:color w:val="auto"/>
          <w:shd w:val="clear" w:color="auto" w:fill="FFFFFF"/>
          <w:lang w:val="en-US" w:eastAsia="zh-CN"/>
        </w:rPr>
        <w:t>12</w:t>
      </w:r>
      <w:r>
        <w:rPr>
          <w:rFonts w:hint="eastAsia" w:asciiTheme="minorEastAsia" w:hAnsiTheme="minorEastAsia" w:eastAsiaTheme="minorEastAsia" w:cstheme="minorEastAsia"/>
          <w:color w:val="auto"/>
          <w:shd w:val="clear" w:color="auto" w:fill="FFFFFF"/>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906"/>
        <w:gridCol w:w="915"/>
        <w:gridCol w:w="2459"/>
        <w:gridCol w:w="2853"/>
        <w:gridCol w:w="1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5"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lang w:val="en-US" w:eastAsia="zh-CN"/>
              </w:rPr>
              <w:t>序</w:t>
            </w:r>
            <w:r>
              <w:rPr>
                <w:rFonts w:hint="eastAsia" w:ascii="宋体" w:hAnsi="宋体"/>
                <w:color w:val="auto"/>
                <w:sz w:val="21"/>
                <w:szCs w:val="21"/>
              </w:rPr>
              <w:t>号</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kern w:val="2"/>
                <w:sz w:val="21"/>
                <w:szCs w:val="21"/>
                <w:lang w:val="en-US" w:eastAsia="zh-CN" w:bidi="ar-SA"/>
              </w:rPr>
            </w:pPr>
            <w:r>
              <w:rPr>
                <w:rFonts w:hint="eastAsia" w:ascii="宋体" w:hAnsi="宋体"/>
                <w:color w:val="auto"/>
                <w:sz w:val="21"/>
                <w:szCs w:val="21"/>
                <w:lang w:val="en-US" w:eastAsia="zh-CN"/>
              </w:rPr>
              <w:t>修订前版本号</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宋体"/>
                <w:color w:val="auto"/>
                <w:kern w:val="2"/>
                <w:sz w:val="21"/>
                <w:szCs w:val="21"/>
                <w:lang w:val="en-US" w:eastAsia="zh-CN" w:bidi="ar-SA"/>
              </w:rPr>
            </w:pPr>
            <w:r>
              <w:rPr>
                <w:rFonts w:hint="eastAsia" w:ascii="宋体" w:hAnsi="宋体"/>
                <w:color w:val="auto"/>
                <w:sz w:val="21"/>
                <w:szCs w:val="21"/>
                <w:lang w:val="en-US" w:eastAsia="zh-CN"/>
              </w:rPr>
              <w:t>修订后版本号</w:t>
            </w:r>
          </w:p>
        </w:tc>
        <w:tc>
          <w:tcPr>
            <w:tcW w:w="2459"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修订原因、依据</w:t>
            </w:r>
          </w:p>
        </w:tc>
        <w:tc>
          <w:tcPr>
            <w:tcW w:w="2853"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修订内容</w:t>
            </w:r>
          </w:p>
        </w:tc>
        <w:tc>
          <w:tcPr>
            <w:tcW w:w="167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Theme="minorEastAsia"/>
                <w:color w:val="auto"/>
                <w:sz w:val="21"/>
                <w:szCs w:val="21"/>
                <w:lang w:val="en-US" w:eastAsia="zh-CN"/>
              </w:rPr>
            </w:pPr>
            <w:r>
              <w:rPr>
                <w:rFonts w:hint="eastAsia" w:ascii="宋体" w:hAnsi="宋体"/>
                <w:color w:val="auto"/>
                <w:sz w:val="21"/>
                <w:szCs w:val="21"/>
                <w:lang w:val="en-US" w:eastAsia="zh-CN"/>
              </w:rPr>
              <w:t>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3.0</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3.1</w:t>
            </w:r>
          </w:p>
        </w:tc>
        <w:tc>
          <w:tcPr>
            <w:tcW w:w="24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为保证人员职责的严谨性，新增参考文献。</w:t>
            </w:r>
          </w:p>
        </w:tc>
        <w:tc>
          <w:tcPr>
            <w:tcW w:w="285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1.新增参考文献。</w:t>
            </w:r>
          </w:p>
        </w:tc>
        <w:tc>
          <w:tcPr>
            <w:tcW w:w="16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eastAsia" w:ascii="宋体" w:hAnsi="宋体"/>
                <w:color w:val="auto"/>
                <w:sz w:val="21"/>
                <w:szCs w:val="21"/>
                <w:lang w:val="en-US" w:eastAsia="zh-CN"/>
              </w:rPr>
            </w:pPr>
          </w:p>
        </w:tc>
      </w:tr>
    </w:tbl>
    <w:p>
      <w:pPr>
        <w:pStyle w:val="33"/>
        <w:rPr>
          <w:color w:val="auto"/>
        </w:rPr>
        <w:sectPr>
          <w:headerReference r:id="rId24" w:type="default"/>
          <w:pgSz w:w="11906" w:h="16838"/>
          <w:pgMar w:top="1417" w:right="1191" w:bottom="1474" w:left="1474" w:header="0" w:footer="992" w:gutter="0"/>
          <w:pgNumType w:fmt="decimal" w:start="1"/>
          <w:cols w:space="0" w:num="1"/>
          <w:docGrid w:type="lines" w:linePitch="312" w:charSpace="0"/>
        </w:sectPr>
      </w:pPr>
    </w:p>
    <w:p>
      <w:pPr>
        <w:spacing w:line="360" w:lineRule="auto"/>
        <w:ind w:firstLine="3654" w:firstLineChars="1300"/>
        <w:rPr>
          <w:rFonts w:ascii="黑体" w:hAnsi="黑体" w:eastAsia="黑体" w:cs="黑体"/>
          <w:b/>
          <w:color w:val="auto"/>
          <w:sz w:val="28"/>
          <w:szCs w:val="28"/>
        </w:rPr>
      </w:pPr>
      <w:r>
        <w:rPr>
          <w:rFonts w:hint="eastAsia" w:ascii="黑体" w:hAnsi="黑体" w:eastAsia="黑体" w:cs="黑体"/>
          <w:b/>
          <w:color w:val="auto"/>
          <w:sz w:val="28"/>
          <w:szCs w:val="28"/>
        </w:rPr>
        <w:t>研究护士职责</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一、研究护士资质要求，应为护理大专以上学历具有护士执业证书，接受过临床试验质量管理规范（GCP）培训并熟悉我院临床试验标准操作规程（SOP）。</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二、研究护士的工作职责</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1、每个专业组应配备至少3名研究护士，每个药物或医疗器械临床试验项目应至少有1名研究护士参与。</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2、研究护士协助研究者开展该项临床试验中经主要研究者授权的具体工作。</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三、研究护士工作范围一般为：</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（一）项目启动</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1、协助研究者准备项目启动相关工作，接受项目相关培训熟悉试验研究团队成员及授权范围。</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2、参与制定修改研究实施流程（如受试者访视安排，样本采集计划等）。</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3、协助主要研究者接收及整理“研究者文件夹”管理其他研究相关物资（如需要）。</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（二）项目实施</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1、协助研究者筛选/入组受试者。</w:t>
      </w:r>
    </w:p>
    <w:p>
      <w:pPr>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rPr>
        <w:t>（1）协助医生向受试者</w:t>
      </w:r>
      <w:r>
        <w:rPr>
          <w:rFonts w:hint="eastAsia" w:asciiTheme="minorEastAsia" w:hAnsiTheme="minorEastAsia" w:cstheme="minorEastAsia"/>
          <w:color w:val="auto"/>
          <w:sz w:val="24"/>
          <w:szCs w:val="24"/>
          <w:highlight w:val="none"/>
        </w:rPr>
        <w:t>解释试验程序、相关费用等；</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highlight w:val="none"/>
        </w:rPr>
        <w:t>（2）登记受试者基本信息，</w:t>
      </w:r>
      <w:r>
        <w:rPr>
          <w:rFonts w:hint="eastAsia" w:asciiTheme="minorEastAsia" w:hAnsiTheme="minorEastAsia" w:cstheme="minorEastAsia"/>
          <w:color w:val="auto"/>
          <w:sz w:val="24"/>
          <w:szCs w:val="24"/>
          <w:highlight w:val="none"/>
          <w:lang w:val="en-US" w:eastAsia="zh-CN"/>
        </w:rPr>
        <w:t>协助整理</w:t>
      </w:r>
      <w:r>
        <w:rPr>
          <w:rFonts w:hint="eastAsia" w:asciiTheme="minorEastAsia" w:hAnsiTheme="minorEastAsia" w:cstheme="minorEastAsia"/>
          <w:color w:val="auto"/>
          <w:sz w:val="24"/>
          <w:szCs w:val="24"/>
          <w:highlight w:val="none"/>
        </w:rPr>
        <w:t>“</w:t>
      </w:r>
      <w:r>
        <w:rPr>
          <w:rFonts w:hint="eastAsia" w:asciiTheme="minorEastAsia" w:hAnsiTheme="minorEastAsia" w:cstheme="minorEastAsia"/>
          <w:color w:val="auto"/>
          <w:sz w:val="24"/>
          <w:szCs w:val="24"/>
        </w:rPr>
        <w:t>受试者</w:t>
      </w:r>
      <w:r>
        <w:rPr>
          <w:rFonts w:hint="eastAsia" w:asciiTheme="minorEastAsia" w:hAnsiTheme="minorEastAsia" w:cstheme="minorEastAsia"/>
          <w:color w:val="auto"/>
          <w:sz w:val="24"/>
          <w:szCs w:val="24"/>
          <w:lang w:val="en-US" w:eastAsia="zh-CN"/>
        </w:rPr>
        <w:t>鉴认</w:t>
      </w:r>
      <w:r>
        <w:rPr>
          <w:rFonts w:hint="eastAsia" w:asciiTheme="minorEastAsia" w:hAnsiTheme="minorEastAsia" w:cstheme="minorEastAsia"/>
          <w:color w:val="auto"/>
          <w:sz w:val="24"/>
          <w:szCs w:val="24"/>
        </w:rPr>
        <w:t>代码表”“筛选入选表”；</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（3）协助研究者建立医嘱模板，处方模板及病程记录模板（如适用）。</w:t>
      </w:r>
    </w:p>
    <w:p>
      <w:pPr>
        <w:spacing w:line="360" w:lineRule="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rPr>
        <w:t>2、协助研究者安排受试者的治疗和随访</w:t>
      </w:r>
      <w:r>
        <w:rPr>
          <w:rFonts w:hint="eastAsia" w:asciiTheme="minorEastAsia" w:hAnsiTheme="minorEastAsia" w:cstheme="minorEastAsia"/>
          <w:color w:val="auto"/>
          <w:sz w:val="24"/>
          <w:szCs w:val="24"/>
          <w:lang w:eastAsia="zh-CN"/>
        </w:rPr>
        <w:t>。</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（1）协助研究者进行受试者招募；</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（2）协助研究者对受试者进行管理（如安排受试者访视等）；</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（3）指导受试者填写相关调查表格如服药日记、生活质量问卷等（如适用）；</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（4）按方案要求采集、处理、保存</w:t>
      </w:r>
      <w:r>
        <w:rPr>
          <w:rFonts w:hint="eastAsia" w:asciiTheme="minorEastAsia" w:hAnsiTheme="minorEastAsia" w:cstheme="minorEastAsia"/>
          <w:color w:val="auto"/>
          <w:sz w:val="24"/>
          <w:szCs w:val="24"/>
          <w:lang w:val="en-US" w:eastAsia="zh-CN"/>
        </w:rPr>
        <w:t>样本</w:t>
      </w:r>
      <w:r>
        <w:rPr>
          <w:rFonts w:hint="eastAsia" w:asciiTheme="minorEastAsia" w:hAnsiTheme="minorEastAsia" w:cstheme="minorEastAsia"/>
          <w:color w:val="auto"/>
          <w:sz w:val="24"/>
          <w:szCs w:val="24"/>
        </w:rPr>
        <w:t>，并寄送至中心试验室（如适用）；</w:t>
      </w:r>
    </w:p>
    <w:p>
      <w:pPr>
        <w:tabs>
          <w:tab w:val="left" w:pos="6814"/>
        </w:tabs>
        <w:spacing w:line="360" w:lineRule="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rPr>
        <w:t>（5）如获知SAE及时告知主要研究者协助研究者</w:t>
      </w:r>
      <w:r>
        <w:rPr>
          <w:rFonts w:hint="eastAsia" w:asciiTheme="minorEastAsia" w:hAnsiTheme="minorEastAsia" w:cstheme="minorEastAsia"/>
          <w:color w:val="auto"/>
          <w:sz w:val="24"/>
          <w:szCs w:val="24"/>
          <w:lang w:val="en-US" w:eastAsia="zh-CN"/>
        </w:rPr>
        <w:t>及时</w:t>
      </w:r>
      <w:r>
        <w:rPr>
          <w:rFonts w:hint="eastAsia" w:asciiTheme="minorEastAsia" w:hAnsiTheme="minorEastAsia" w:cstheme="minorEastAsia"/>
          <w:color w:val="auto"/>
          <w:sz w:val="24"/>
          <w:szCs w:val="24"/>
        </w:rPr>
        <w:t>处理、记录并上报</w:t>
      </w:r>
      <w:r>
        <w:rPr>
          <w:rFonts w:hint="eastAsia" w:asciiTheme="minorEastAsia" w:hAnsiTheme="minorEastAsia" w:cstheme="minorEastAsia"/>
          <w:color w:val="auto"/>
          <w:sz w:val="24"/>
          <w:szCs w:val="24"/>
          <w:lang w:eastAsia="zh-CN"/>
        </w:rPr>
        <w:t>；</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（6）协助主要研究者与其他辅助科室如病理科、影像科、检验科等进行沟通获取研究所需要的资料及支持；</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（7）协助研究者向伦理委员会汇报研究过程发生方案偏离或方案违背、方案及知情同意书修改以及试验相关安全性报告等；</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（8）协助研究者打印项目受试者免费检验条码；</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（9）在主要研究者授权下进行试验药物或试验医疗器械的管理，如试验药物或试验医疗器械的接收、储存、分发、回收等（如适用）。</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3、接收寄送试验相关物资并保存相关文件证明。</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4、协助研究者配合机构及上级管理部门质量管理、</w:t>
      </w:r>
      <w:r>
        <w:rPr>
          <w:rFonts w:hint="eastAsia" w:asciiTheme="minorEastAsia" w:hAnsiTheme="minorEastAsia" w:cstheme="minorEastAsia"/>
          <w:color w:val="auto"/>
          <w:sz w:val="24"/>
          <w:szCs w:val="24"/>
          <w:lang w:eastAsia="zh-CN"/>
        </w:rPr>
        <w:t>监查</w:t>
      </w:r>
      <w:r>
        <w:rPr>
          <w:rFonts w:hint="eastAsia" w:asciiTheme="minorEastAsia" w:hAnsiTheme="minorEastAsia" w:cstheme="minorEastAsia"/>
          <w:color w:val="auto"/>
          <w:sz w:val="24"/>
          <w:szCs w:val="24"/>
        </w:rPr>
        <w:t>、稽查和</w:t>
      </w:r>
      <w:r>
        <w:rPr>
          <w:rFonts w:hint="eastAsia" w:asciiTheme="minorEastAsia" w:hAnsiTheme="minorEastAsia" w:cstheme="minorEastAsia"/>
          <w:color w:val="auto"/>
          <w:sz w:val="24"/>
          <w:szCs w:val="24"/>
          <w:lang w:eastAsia="zh-CN"/>
        </w:rPr>
        <w:t>检查</w:t>
      </w:r>
      <w:r>
        <w:rPr>
          <w:rFonts w:hint="eastAsia" w:asciiTheme="minorEastAsia" w:hAnsiTheme="minorEastAsia" w:cstheme="minorEastAsia"/>
          <w:color w:val="auto"/>
          <w:sz w:val="24"/>
          <w:szCs w:val="24"/>
        </w:rPr>
        <w:t>。</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（三）项目结束</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1、与监查员共同清点剩余物资，如有需要，退还物资或院内销毁；</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2、协助主要研究者向伦理委员会递交“关中心函”；</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3、与监查员共同整理研究者文件夹，递交机构审核及归档，按要求完成结题审核。</w:t>
      </w:r>
    </w:p>
    <w:p>
      <w:pPr>
        <w:tabs>
          <w:tab w:val="left" w:pos="6814"/>
        </w:tabs>
        <w:spacing w:line="360" w:lineRule="auto"/>
        <w:rPr>
          <w:rFonts w:asciiTheme="minorEastAsia" w:hAnsiTheme="minorEastAsia" w:cstheme="minorEastAsia"/>
          <w:color w:val="auto"/>
          <w:sz w:val="24"/>
          <w:szCs w:val="24"/>
        </w:rPr>
      </w:pPr>
    </w:p>
    <w:p>
      <w:pPr>
        <w:tabs>
          <w:tab w:val="left" w:pos="6814"/>
        </w:tabs>
        <w:spacing w:line="360" w:lineRule="auto"/>
        <w:ind w:left="1134"/>
        <w:rPr>
          <w:rFonts w:asciiTheme="minorEastAsia" w:hAnsiTheme="minorEastAsia" w:cstheme="minorEastAsia"/>
          <w:color w:val="auto"/>
          <w:sz w:val="24"/>
          <w:szCs w:val="24"/>
        </w:rPr>
      </w:pPr>
    </w:p>
    <w:p>
      <w:pPr>
        <w:spacing w:line="360" w:lineRule="auto"/>
        <w:rPr>
          <w:rFonts w:asciiTheme="minorEastAsia" w:hAnsiTheme="minorEastAsia" w:cstheme="minorEastAsia"/>
          <w:b/>
          <w:color w:val="auto"/>
          <w:sz w:val="24"/>
          <w:szCs w:val="24"/>
        </w:rPr>
      </w:pPr>
    </w:p>
    <w:p>
      <w:pPr>
        <w:spacing w:line="360" w:lineRule="auto"/>
        <w:rPr>
          <w:rFonts w:asciiTheme="minorEastAsia" w:hAnsiTheme="minorEastAsia" w:cstheme="minorEastAsia"/>
          <w:b/>
          <w:color w:val="auto"/>
          <w:sz w:val="24"/>
          <w:szCs w:val="24"/>
        </w:rPr>
      </w:pPr>
    </w:p>
    <w:p>
      <w:pPr>
        <w:spacing w:line="360" w:lineRule="auto"/>
        <w:rPr>
          <w:rFonts w:asciiTheme="minorEastAsia" w:hAnsiTheme="minorEastAsia" w:cstheme="minorEastAsia"/>
          <w:b/>
          <w:color w:val="auto"/>
          <w:sz w:val="24"/>
          <w:szCs w:val="24"/>
        </w:rPr>
      </w:pPr>
    </w:p>
    <w:p>
      <w:pPr>
        <w:spacing w:line="360" w:lineRule="auto"/>
        <w:rPr>
          <w:rFonts w:asciiTheme="minorEastAsia" w:hAnsiTheme="minorEastAsia" w:cstheme="minorEastAsia"/>
          <w:b/>
          <w:color w:val="auto"/>
          <w:sz w:val="24"/>
          <w:szCs w:val="24"/>
        </w:rPr>
      </w:pPr>
    </w:p>
    <w:p>
      <w:pPr>
        <w:spacing w:line="360" w:lineRule="auto"/>
        <w:rPr>
          <w:rFonts w:asciiTheme="minorEastAsia" w:hAnsiTheme="minorEastAsia" w:cstheme="minorEastAsia"/>
          <w:b/>
          <w:color w:val="auto"/>
          <w:sz w:val="24"/>
          <w:szCs w:val="24"/>
        </w:rPr>
      </w:pPr>
    </w:p>
    <w:p>
      <w:pPr>
        <w:spacing w:line="360" w:lineRule="auto"/>
        <w:rPr>
          <w:rFonts w:asciiTheme="minorEastAsia" w:hAnsiTheme="minorEastAsia" w:cstheme="minorEastAsia"/>
          <w:b/>
          <w:color w:val="auto"/>
          <w:sz w:val="24"/>
          <w:szCs w:val="24"/>
        </w:rPr>
      </w:pPr>
    </w:p>
    <w:p>
      <w:pPr>
        <w:spacing w:line="360" w:lineRule="auto"/>
        <w:rPr>
          <w:rFonts w:asciiTheme="minorEastAsia" w:hAnsiTheme="minorEastAsia" w:cstheme="minorEastAsia"/>
          <w:b/>
          <w:color w:val="auto"/>
          <w:sz w:val="24"/>
          <w:szCs w:val="24"/>
        </w:rPr>
      </w:pPr>
    </w:p>
    <w:p>
      <w:pPr>
        <w:spacing w:line="360" w:lineRule="auto"/>
        <w:jc w:val="center"/>
        <w:rPr>
          <w:rFonts w:asciiTheme="minorEastAsia" w:hAnsiTheme="minorEastAsia" w:cstheme="minorEastAsia"/>
          <w:b/>
          <w:color w:val="auto"/>
          <w:sz w:val="24"/>
          <w:szCs w:val="24"/>
        </w:rPr>
        <w:sectPr>
          <w:headerReference r:id="rId25" w:type="default"/>
          <w:footerReference r:id="rId26" w:type="default"/>
          <w:pgSz w:w="11906" w:h="16838"/>
          <w:pgMar w:top="1417" w:right="1191" w:bottom="1474" w:left="1474" w:header="0" w:footer="992" w:gutter="0"/>
          <w:pgNumType w:fmt="decimal" w:start="1"/>
          <w:cols w:space="0" w:num="1"/>
          <w:docGrid w:type="lines" w:linePitch="312" w:charSpace="0"/>
        </w:sectPr>
      </w:pPr>
    </w:p>
    <w:p>
      <w:pPr>
        <w:spacing w:line="360" w:lineRule="auto"/>
        <w:ind w:firstLine="3373" w:firstLineChars="1200"/>
        <w:rPr>
          <w:rFonts w:ascii="黑体" w:hAnsi="黑体" w:eastAsia="黑体" w:cs="黑体"/>
          <w:color w:val="auto"/>
          <w:sz w:val="28"/>
          <w:szCs w:val="28"/>
        </w:rPr>
      </w:pPr>
      <w:r>
        <w:rPr>
          <w:rFonts w:hint="eastAsia" w:ascii="黑体" w:hAnsi="黑体" w:eastAsia="黑体" w:cs="黑体"/>
          <w:b/>
          <w:color w:val="auto"/>
          <w:sz w:val="28"/>
          <w:szCs w:val="28"/>
        </w:rPr>
        <w:t>资料管理员职责</w:t>
      </w:r>
    </w:p>
    <w:p>
      <w:pPr>
        <w:numPr>
          <w:ilvl w:val="0"/>
          <w:numId w:val="2"/>
        </w:numPr>
        <w:spacing w:line="360" w:lineRule="auto"/>
        <w:ind w:left="480" w:hanging="480" w:hanging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在临床试验机构办公室主任管理下负责机构所有文件，档案的整理保存工作。</w:t>
      </w:r>
    </w:p>
    <w:p>
      <w:pPr>
        <w:numPr>
          <w:ilvl w:val="0"/>
          <w:numId w:val="2"/>
        </w:numPr>
        <w:spacing w:line="360" w:lineRule="auto"/>
        <w:ind w:left="480" w:hanging="480" w:hanging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认真贯彻执行上级管理部门的各项法规和政策，接受过GCP培训，熟悉NMPA的相关法规政策及我院临床试验机构制度及标准操作规程（SOP）。</w:t>
      </w:r>
    </w:p>
    <w:p>
      <w:pPr>
        <w:numPr>
          <w:ilvl w:val="0"/>
          <w:numId w:val="2"/>
        </w:numPr>
        <w:spacing w:line="360" w:lineRule="auto"/>
        <w:ind w:left="480" w:hanging="480" w:hanging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按照《研究文件管理制度》和《档案管理制度》对所有文件和档案进行接收、登记、保管。</w:t>
      </w:r>
    </w:p>
    <w:p>
      <w:pPr>
        <w:numPr>
          <w:ilvl w:val="0"/>
          <w:numId w:val="2"/>
        </w:numPr>
        <w:spacing w:line="360" w:lineRule="auto"/>
        <w:ind w:left="480" w:hanging="480" w:hanging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在研项目资料、现行制度及SOP、机构管理人员相关材料，分类存放在机构办公室文件柜中上锁保存，并将文件夹（盒)做好标识便于查找，归档资料保存于机构档案室中并做好档案室登记相关工作。</w:t>
      </w:r>
    </w:p>
    <w:p>
      <w:pPr>
        <w:numPr>
          <w:ilvl w:val="0"/>
          <w:numId w:val="2"/>
        </w:numPr>
        <w:spacing w:line="360" w:lineRule="auto"/>
        <w:ind w:left="480" w:hanging="480" w:hanging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负责收集院内研究者培训证书，扫描后保存电子版。</w:t>
      </w:r>
    </w:p>
    <w:p>
      <w:pPr>
        <w:numPr>
          <w:ilvl w:val="0"/>
          <w:numId w:val="2"/>
        </w:numPr>
        <w:spacing w:line="360" w:lineRule="auto"/>
        <w:ind w:left="480" w:hanging="480" w:hanging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配合申办者派遣的监查员和稽查员的监查、稽查及药品监督部门的</w:t>
      </w:r>
      <w:r>
        <w:rPr>
          <w:rFonts w:hint="eastAsia" w:asciiTheme="minorEastAsia" w:hAnsiTheme="minorEastAsia" w:cstheme="minorEastAsia"/>
          <w:color w:val="auto"/>
          <w:sz w:val="24"/>
          <w:szCs w:val="24"/>
          <w:lang w:eastAsia="zh-CN"/>
        </w:rPr>
        <w:t>检查</w:t>
      </w:r>
      <w:r>
        <w:rPr>
          <w:rFonts w:hint="eastAsia" w:asciiTheme="minorEastAsia" w:hAnsiTheme="minorEastAsia" w:cstheme="minorEastAsia"/>
          <w:color w:val="auto"/>
          <w:sz w:val="24"/>
          <w:szCs w:val="24"/>
        </w:rPr>
        <w:t>。</w:t>
      </w:r>
    </w:p>
    <w:p>
      <w:pPr>
        <w:numPr>
          <w:ilvl w:val="0"/>
          <w:numId w:val="2"/>
        </w:numPr>
        <w:spacing w:line="360" w:lineRule="auto"/>
        <w:ind w:left="480" w:hanging="480" w:hanging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试验结束后再次核对需要保存的文件，核对无误后移至临床试验档案室存档。</w:t>
      </w:r>
    </w:p>
    <w:p>
      <w:pPr>
        <w:numPr>
          <w:ilvl w:val="0"/>
          <w:numId w:val="2"/>
        </w:numPr>
        <w:spacing w:line="360" w:lineRule="auto"/>
        <w:ind w:left="480" w:hanging="480" w:hanging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严格执行《保密管理制度》确保保存的资料不外泄。</w:t>
      </w:r>
    </w:p>
    <w:p>
      <w:pPr>
        <w:numPr>
          <w:ilvl w:val="0"/>
          <w:numId w:val="2"/>
        </w:numPr>
        <w:spacing w:line="360" w:lineRule="auto"/>
        <w:ind w:left="480" w:hanging="480" w:hanging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定期查看档案资料室的文件保存条件，如防虫、防火、防盗措施是否到位。</w:t>
      </w:r>
    </w:p>
    <w:p>
      <w:pPr>
        <w:numPr>
          <w:ilvl w:val="0"/>
          <w:numId w:val="2"/>
        </w:numPr>
        <w:spacing w:line="360" w:lineRule="auto"/>
        <w:ind w:left="480" w:hanging="480" w:hanging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按照《临床试验文件资料查阅/复印的SOP》做好文档的查阅/复印登记工作。</w:t>
      </w:r>
    </w:p>
    <w:p>
      <w:pPr>
        <w:pStyle w:val="24"/>
        <w:spacing w:before="0" w:beforeAutospacing="0" w:after="0" w:afterAutospacing="0" w:line="450" w:lineRule="atLeast"/>
        <w:rPr>
          <w:rFonts w:hint="eastAsia" w:asciiTheme="minorEastAsia" w:hAnsiTheme="minorEastAsia" w:eastAsiaTheme="minorEastAsia" w:cstheme="minorEastAsia"/>
          <w:b/>
          <w:bCs/>
          <w:color w:val="auto"/>
          <w:shd w:val="clear" w:color="auto" w:fill="FFFFFF"/>
        </w:rPr>
      </w:pPr>
      <w:r>
        <w:rPr>
          <w:rFonts w:hint="eastAsia" w:asciiTheme="minorEastAsia" w:hAnsiTheme="minorEastAsia" w:eastAsiaTheme="minorEastAsia" w:cstheme="minorEastAsia"/>
          <w:b/>
          <w:bCs/>
          <w:color w:val="auto"/>
          <w:shd w:val="clear" w:color="auto" w:fill="FFFFFF"/>
        </w:rPr>
        <w:t>参考文献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[1]国家药监局 国家卫生健康委. 关于发布药物临床试验质量管理规范的公告（2020年第57号）[EB/OL].[2020-04-26]. https://www.nmpa.gov.cn/zhuanti/ypzhcglbf/ypzhcglbfzhcwj/20200426162401243.html.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[2]国家药品监督管理局，国家卫生健康委员会. 关于发布《医疗器械临床试验质量管理规范》的公告（2022年第28号）.[2022-03-31]. https://www.nmpa.gov.cn/xxgk/ggtg/qtggtg/20220331144903101.html.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[3]国家药监局 国家卫生健康委关于发布药物临床试验机构管理规定的公告(2019年第101号)[EB/OL].[2019-11-29]. https://www.nmpa.gov.cn/xxgk/ggtg/qtggtg/20191129174401214.html.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[4]国家食品药品监督管理总局 国家卫生和计划生育委员会关于发布医疗器械临床试验机构条件和备案管理办法的公告（2017年第145号）[EB/OL].[2019-11-29].https://www.nmpa.gov.cn/xxgk/ggtg/qtggtg/20171124123401917.html.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[5]国家药监局综合司关于印发医疗器械临床试验检查要点及判定原则的通知(药监综械注〔2018〕45号)[EB/OL].https://www.nmpa.gov.cn/directory/web/nmpa/xxgk/fgwj/gzwj/gzwjylqx/20181128142501830.html.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[6]国家食品药品监督管理总局关于发布药物临床试验数据现场核查要点的公告（2015年第228号）[EB/OL].[2015-11-10]. https://www.nmpa.gov.cn/xxgk/ggtg/qtggtg/20151110203701981.html.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[7]国家药品监督管理局食品药品审核查验中心关于发布《药品注册核查工作程序（试行）》等5个文件的通告（2021年第30号）[EB/OL].[2021-12-20]. https://www.cfdi.org.cn/resource/news/14199.html.</w:t>
      </w:r>
    </w:p>
    <w:p>
      <w:pPr>
        <w:pStyle w:val="24"/>
        <w:spacing w:before="0" w:beforeAutospacing="0" w:after="0" w:afterAutospacing="0" w:line="450" w:lineRule="atLeast"/>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[8]曹玉，元唯安. 药物临床试验实践 [M].北京：中国医药科技出版社，2021.</w:t>
      </w:r>
    </w:p>
    <w:p>
      <w:pPr>
        <w:pStyle w:val="24"/>
        <w:spacing w:before="0" w:beforeAutospacing="0" w:after="0" w:afterAutospacing="0" w:line="450" w:lineRule="atLeast"/>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[9]王白璐</w:t>
      </w:r>
      <w:r>
        <w:rPr>
          <w:rFonts w:hint="eastAsia" w:asciiTheme="minorEastAsia" w:hAnsiTheme="minorEastAsia" w:eastAsiaTheme="minorEastAsia" w:cstheme="minorEastAsia"/>
          <w:color w:val="auto"/>
          <w:shd w:val="clear" w:color="auto" w:fill="FFFFFF"/>
          <w:lang w:val="en-US" w:eastAsia="zh-CN"/>
        </w:rPr>
        <w:t xml:space="preserve">. </w:t>
      </w:r>
      <w:r>
        <w:rPr>
          <w:rFonts w:hint="eastAsia" w:asciiTheme="minorEastAsia" w:hAnsiTheme="minorEastAsia" w:eastAsiaTheme="minorEastAsia" w:cstheme="minorEastAsia"/>
          <w:color w:val="auto"/>
          <w:shd w:val="clear" w:color="auto" w:fill="FFFFFF"/>
        </w:rPr>
        <w:t>医疗器械临床试验机构操作手册 [M]. 北京：人民卫生出版社，2022.</w:t>
      </w:r>
    </w:p>
    <w:p>
      <w:pPr>
        <w:pStyle w:val="24"/>
        <w:spacing w:before="0" w:beforeAutospacing="0" w:after="0" w:afterAutospacing="0" w:line="450" w:lineRule="atLeast"/>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[10]高荣，吕术超，李秀丽，等. 从药物临床试验数据核查看研究者的职责履行情况. 中国新药杂志，2019,28（20）：25</w:t>
      </w:r>
      <w:r>
        <w:rPr>
          <w:rFonts w:hint="eastAsia" w:asciiTheme="minorEastAsia" w:hAnsiTheme="minorEastAsia" w:eastAsiaTheme="minorEastAsia" w:cstheme="minorEastAsia"/>
          <w:color w:val="auto"/>
          <w:shd w:val="clear" w:color="auto" w:fill="FFFFFF"/>
          <w:lang w:val="en-US" w:eastAsia="zh-CN"/>
        </w:rPr>
        <w:t>0</w:t>
      </w:r>
      <w:r>
        <w:rPr>
          <w:rFonts w:hint="eastAsia" w:asciiTheme="minorEastAsia" w:hAnsiTheme="minorEastAsia" w:eastAsiaTheme="minorEastAsia" w:cstheme="minorEastAsia"/>
          <w:color w:val="auto"/>
          <w:shd w:val="clear" w:color="auto" w:fill="FFFFFF"/>
        </w:rPr>
        <w:t>8-25</w:t>
      </w:r>
      <w:r>
        <w:rPr>
          <w:rFonts w:hint="eastAsia" w:asciiTheme="minorEastAsia" w:hAnsiTheme="minorEastAsia" w:eastAsiaTheme="minorEastAsia" w:cstheme="minorEastAsia"/>
          <w:color w:val="auto"/>
          <w:shd w:val="clear" w:color="auto" w:fill="FFFFFF"/>
          <w:lang w:val="en-US" w:eastAsia="zh-CN"/>
        </w:rPr>
        <w:t>12</w:t>
      </w:r>
      <w:r>
        <w:rPr>
          <w:rFonts w:hint="eastAsia" w:asciiTheme="minorEastAsia" w:hAnsiTheme="minorEastAsia" w:eastAsiaTheme="minorEastAsia" w:cstheme="minorEastAsia"/>
          <w:color w:val="auto"/>
          <w:shd w:val="clear" w:color="auto" w:fill="FFFFFF"/>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906"/>
        <w:gridCol w:w="915"/>
        <w:gridCol w:w="2459"/>
        <w:gridCol w:w="2853"/>
        <w:gridCol w:w="1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lang w:val="en-US" w:eastAsia="zh-CN"/>
              </w:rPr>
              <w:t>序</w:t>
            </w:r>
            <w:r>
              <w:rPr>
                <w:rFonts w:hint="eastAsia" w:ascii="宋体" w:hAnsi="宋体"/>
                <w:color w:val="auto"/>
                <w:sz w:val="21"/>
                <w:szCs w:val="21"/>
              </w:rPr>
              <w:t>号</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kern w:val="2"/>
                <w:sz w:val="21"/>
                <w:szCs w:val="21"/>
                <w:lang w:val="en-US" w:eastAsia="zh-CN" w:bidi="ar-SA"/>
              </w:rPr>
            </w:pPr>
            <w:r>
              <w:rPr>
                <w:rFonts w:hint="eastAsia" w:ascii="宋体" w:hAnsi="宋体"/>
                <w:color w:val="auto"/>
                <w:sz w:val="21"/>
                <w:szCs w:val="21"/>
                <w:lang w:val="en-US" w:eastAsia="zh-CN"/>
              </w:rPr>
              <w:t>修订前版本号</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宋体"/>
                <w:color w:val="auto"/>
                <w:kern w:val="2"/>
                <w:sz w:val="21"/>
                <w:szCs w:val="21"/>
                <w:lang w:val="en-US" w:eastAsia="zh-CN" w:bidi="ar-SA"/>
              </w:rPr>
            </w:pPr>
            <w:r>
              <w:rPr>
                <w:rFonts w:hint="eastAsia" w:ascii="宋体" w:hAnsi="宋体"/>
                <w:color w:val="auto"/>
                <w:sz w:val="21"/>
                <w:szCs w:val="21"/>
                <w:lang w:val="en-US" w:eastAsia="zh-CN"/>
              </w:rPr>
              <w:t>修订后版本号</w:t>
            </w:r>
          </w:p>
        </w:tc>
        <w:tc>
          <w:tcPr>
            <w:tcW w:w="2459"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修订原因、依据</w:t>
            </w:r>
          </w:p>
        </w:tc>
        <w:tc>
          <w:tcPr>
            <w:tcW w:w="2853"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修订内容</w:t>
            </w:r>
          </w:p>
        </w:tc>
        <w:tc>
          <w:tcPr>
            <w:tcW w:w="167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Theme="minorEastAsia"/>
                <w:color w:val="auto"/>
                <w:sz w:val="21"/>
                <w:szCs w:val="21"/>
                <w:lang w:val="en-US" w:eastAsia="zh-CN"/>
              </w:rPr>
            </w:pPr>
            <w:r>
              <w:rPr>
                <w:rFonts w:hint="eastAsia" w:ascii="宋体" w:hAnsi="宋体"/>
                <w:color w:val="auto"/>
                <w:sz w:val="21"/>
                <w:szCs w:val="21"/>
                <w:lang w:val="en-US" w:eastAsia="zh-CN"/>
              </w:rPr>
              <w:t>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3.0</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3.1</w:t>
            </w:r>
          </w:p>
        </w:tc>
        <w:tc>
          <w:tcPr>
            <w:tcW w:w="24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为保证人员职责的严谨性，新增参考文献。</w:t>
            </w:r>
          </w:p>
        </w:tc>
        <w:tc>
          <w:tcPr>
            <w:tcW w:w="285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1.新增参考文献。</w:t>
            </w:r>
          </w:p>
        </w:tc>
        <w:tc>
          <w:tcPr>
            <w:tcW w:w="16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eastAsia" w:ascii="宋体" w:hAnsi="宋体"/>
                <w:color w:val="auto"/>
                <w:sz w:val="21"/>
                <w:szCs w:val="21"/>
                <w:lang w:val="en-US" w:eastAsia="zh-CN"/>
              </w:rPr>
            </w:pPr>
          </w:p>
        </w:tc>
      </w:tr>
    </w:tbl>
    <w:p>
      <w:pPr>
        <w:pStyle w:val="24"/>
        <w:spacing w:before="0" w:beforeAutospacing="0" w:after="0" w:afterAutospacing="0" w:line="450" w:lineRule="atLeast"/>
        <w:rPr>
          <w:rFonts w:hint="eastAsia" w:asciiTheme="minorEastAsia" w:hAnsiTheme="minorEastAsia" w:eastAsiaTheme="minorEastAsia" w:cstheme="minorEastAsia"/>
          <w:color w:val="auto"/>
          <w:shd w:val="clear" w:color="auto" w:fill="FFFFFF"/>
        </w:rPr>
      </w:pPr>
    </w:p>
    <w:p>
      <w:pPr>
        <w:pStyle w:val="36"/>
        <w:spacing w:line="360" w:lineRule="auto"/>
        <w:ind w:firstLine="0" w:firstLineChars="0"/>
        <w:rPr>
          <w:rFonts w:asciiTheme="minorEastAsia" w:hAnsiTheme="minorEastAsia"/>
          <w:color w:val="auto"/>
          <w:sz w:val="24"/>
          <w:szCs w:val="24"/>
        </w:rPr>
      </w:pPr>
    </w:p>
    <w:p>
      <w:pPr>
        <w:spacing w:line="360" w:lineRule="auto"/>
        <w:rPr>
          <w:rFonts w:asciiTheme="majorEastAsia" w:hAnsiTheme="majorEastAsia" w:eastAsiaTheme="majorEastAsia"/>
          <w:b/>
          <w:color w:val="auto"/>
          <w:sz w:val="24"/>
          <w:szCs w:val="24"/>
        </w:rPr>
      </w:pPr>
    </w:p>
    <w:p>
      <w:pPr>
        <w:spacing w:line="360" w:lineRule="auto"/>
        <w:rPr>
          <w:rFonts w:asciiTheme="majorEastAsia" w:hAnsiTheme="majorEastAsia" w:eastAsiaTheme="majorEastAsia"/>
          <w:b/>
          <w:color w:val="auto"/>
          <w:sz w:val="24"/>
          <w:szCs w:val="24"/>
        </w:rPr>
      </w:pPr>
    </w:p>
    <w:p>
      <w:pPr>
        <w:spacing w:line="360" w:lineRule="auto"/>
        <w:rPr>
          <w:rFonts w:asciiTheme="majorEastAsia" w:hAnsiTheme="majorEastAsia" w:eastAsiaTheme="majorEastAsia"/>
          <w:b/>
          <w:color w:val="auto"/>
          <w:sz w:val="24"/>
          <w:szCs w:val="24"/>
        </w:rPr>
      </w:pPr>
    </w:p>
    <w:p>
      <w:pPr>
        <w:spacing w:line="360" w:lineRule="auto"/>
        <w:rPr>
          <w:rFonts w:asciiTheme="majorEastAsia" w:hAnsiTheme="majorEastAsia" w:eastAsiaTheme="majorEastAsia"/>
          <w:b/>
          <w:color w:val="auto"/>
          <w:sz w:val="24"/>
          <w:szCs w:val="24"/>
        </w:rPr>
      </w:pPr>
    </w:p>
    <w:p>
      <w:pPr>
        <w:spacing w:line="360" w:lineRule="auto"/>
        <w:rPr>
          <w:rFonts w:asciiTheme="majorEastAsia" w:hAnsiTheme="majorEastAsia" w:eastAsiaTheme="majorEastAsia"/>
          <w:b/>
          <w:color w:val="auto"/>
          <w:sz w:val="24"/>
          <w:szCs w:val="24"/>
        </w:rPr>
      </w:pPr>
    </w:p>
    <w:p>
      <w:pPr>
        <w:spacing w:line="360" w:lineRule="auto"/>
        <w:rPr>
          <w:rFonts w:asciiTheme="majorEastAsia" w:hAnsiTheme="majorEastAsia" w:eastAsiaTheme="majorEastAsia"/>
          <w:b/>
          <w:color w:val="auto"/>
          <w:sz w:val="24"/>
          <w:szCs w:val="24"/>
        </w:rPr>
      </w:pPr>
    </w:p>
    <w:p>
      <w:pPr>
        <w:spacing w:line="360" w:lineRule="auto"/>
        <w:rPr>
          <w:rFonts w:asciiTheme="majorEastAsia" w:hAnsiTheme="majorEastAsia" w:eastAsiaTheme="majorEastAsia"/>
          <w:b/>
          <w:color w:val="auto"/>
          <w:sz w:val="24"/>
          <w:szCs w:val="24"/>
        </w:rPr>
      </w:pPr>
    </w:p>
    <w:p>
      <w:pPr>
        <w:spacing w:line="360" w:lineRule="auto"/>
        <w:rPr>
          <w:rFonts w:asciiTheme="majorEastAsia" w:hAnsiTheme="majorEastAsia" w:eastAsiaTheme="majorEastAsia"/>
          <w:b/>
          <w:color w:val="auto"/>
          <w:sz w:val="24"/>
          <w:szCs w:val="24"/>
        </w:rPr>
      </w:pPr>
    </w:p>
    <w:p>
      <w:pPr>
        <w:spacing w:line="360" w:lineRule="auto"/>
        <w:rPr>
          <w:rFonts w:asciiTheme="majorEastAsia" w:hAnsiTheme="majorEastAsia" w:eastAsiaTheme="majorEastAsia"/>
          <w:b/>
          <w:color w:val="auto"/>
          <w:sz w:val="24"/>
          <w:szCs w:val="24"/>
        </w:rPr>
      </w:pPr>
    </w:p>
    <w:p>
      <w:pPr>
        <w:spacing w:line="360" w:lineRule="auto"/>
        <w:rPr>
          <w:rFonts w:asciiTheme="majorEastAsia" w:hAnsiTheme="majorEastAsia" w:eastAsiaTheme="majorEastAsia"/>
          <w:b/>
          <w:color w:val="auto"/>
          <w:sz w:val="24"/>
          <w:szCs w:val="24"/>
        </w:rPr>
      </w:pPr>
    </w:p>
    <w:p>
      <w:pPr>
        <w:spacing w:line="360" w:lineRule="auto"/>
        <w:rPr>
          <w:rFonts w:asciiTheme="majorEastAsia" w:hAnsiTheme="majorEastAsia" w:eastAsiaTheme="majorEastAsia"/>
          <w:b/>
          <w:color w:val="auto"/>
          <w:sz w:val="24"/>
          <w:szCs w:val="24"/>
        </w:rPr>
      </w:pPr>
    </w:p>
    <w:p>
      <w:pPr>
        <w:spacing w:line="360" w:lineRule="auto"/>
        <w:ind w:firstLine="3373" w:firstLineChars="1200"/>
        <w:rPr>
          <w:rFonts w:ascii="黑体" w:hAnsi="黑体" w:eastAsia="黑体" w:cs="黑体"/>
          <w:b/>
          <w:color w:val="auto"/>
          <w:sz w:val="28"/>
          <w:szCs w:val="28"/>
        </w:rPr>
        <w:sectPr>
          <w:headerReference r:id="rId27" w:type="default"/>
          <w:footerReference r:id="rId28" w:type="default"/>
          <w:pgSz w:w="11906" w:h="16838"/>
          <w:pgMar w:top="1417" w:right="1191" w:bottom="1474" w:left="1474" w:header="0" w:footer="992" w:gutter="0"/>
          <w:pgNumType w:fmt="decimal" w:start="1"/>
          <w:cols w:space="0" w:num="1"/>
          <w:docGrid w:type="lines" w:linePitch="312" w:charSpace="0"/>
        </w:sectPr>
      </w:pPr>
    </w:p>
    <w:p>
      <w:pPr>
        <w:spacing w:line="360" w:lineRule="auto"/>
        <w:ind w:firstLine="3373" w:firstLineChars="1200"/>
        <w:rPr>
          <w:rFonts w:ascii="黑体" w:hAnsi="黑体" w:eastAsia="黑体" w:cs="黑体"/>
          <w:color w:val="auto"/>
          <w:sz w:val="28"/>
          <w:szCs w:val="28"/>
        </w:rPr>
      </w:pPr>
      <w:r>
        <w:rPr>
          <w:rFonts w:hint="eastAsia" w:ascii="黑体" w:hAnsi="黑体" w:eastAsia="黑体" w:cs="黑体"/>
          <w:b/>
          <w:color w:val="auto"/>
          <w:sz w:val="28"/>
          <w:szCs w:val="28"/>
        </w:rPr>
        <w:t>质量管理员职责</w:t>
      </w:r>
    </w:p>
    <w:p>
      <w:pPr>
        <w:numPr>
          <w:ilvl w:val="0"/>
          <w:numId w:val="3"/>
        </w:numPr>
        <w:spacing w:line="360" w:lineRule="auto"/>
        <w:rPr>
          <w:rFonts w:ascii="宋体" w:hAnsi="宋体" w:eastAsia="宋体" w:cs="宋体"/>
          <w:color w:val="auto"/>
          <w:sz w:val="24"/>
          <w:szCs w:val="24"/>
        </w:rPr>
      </w:pPr>
      <w:r>
        <w:rPr>
          <w:rFonts w:hint="eastAsia" w:ascii="宋体" w:hAnsi="宋体" w:eastAsia="宋体" w:cs="宋体"/>
          <w:color w:val="auto"/>
          <w:sz w:val="24"/>
          <w:szCs w:val="24"/>
        </w:rPr>
        <w:t>具有医药专业本科以上学历，接受过GCP相关培训，熟悉我院临床试验制度和标准操作规程（SOP）。</w:t>
      </w:r>
    </w:p>
    <w:p>
      <w:pPr>
        <w:numPr>
          <w:ilvl w:val="0"/>
          <w:numId w:val="3"/>
        </w:numPr>
        <w:spacing w:line="360" w:lineRule="auto"/>
        <w:rPr>
          <w:rFonts w:ascii="宋体" w:hAnsi="宋体" w:eastAsia="宋体" w:cs="宋体"/>
          <w:color w:val="auto"/>
          <w:sz w:val="24"/>
          <w:szCs w:val="24"/>
        </w:rPr>
      </w:pPr>
      <w:r>
        <w:rPr>
          <w:rFonts w:hint="eastAsia" w:ascii="宋体" w:hAnsi="宋体" w:eastAsia="宋体" w:cs="宋体"/>
          <w:color w:val="auto"/>
          <w:sz w:val="24"/>
          <w:szCs w:val="24"/>
        </w:rPr>
        <w:t>制定机构质量控制制度和机构对各专业控制的SOP，确保有可操作性。</w:t>
      </w:r>
    </w:p>
    <w:p>
      <w:pPr>
        <w:numPr>
          <w:ilvl w:val="0"/>
          <w:numId w:val="3"/>
        </w:numPr>
        <w:spacing w:line="360" w:lineRule="auto"/>
        <w:rPr>
          <w:rFonts w:ascii="宋体" w:hAnsi="宋体" w:eastAsia="宋体" w:cs="宋体"/>
          <w:color w:val="auto"/>
          <w:sz w:val="24"/>
          <w:szCs w:val="24"/>
        </w:rPr>
      </w:pPr>
      <w:r>
        <w:rPr>
          <w:rFonts w:hint="eastAsia" w:ascii="宋体" w:hAnsi="宋体" w:eastAsia="宋体" w:cs="宋体"/>
          <w:color w:val="auto"/>
          <w:sz w:val="24"/>
          <w:szCs w:val="24"/>
        </w:rPr>
        <w:t>配合项目负责人对开展的临床试验项目进行质量监督检查，提高临床试验的质量。</w:t>
      </w:r>
    </w:p>
    <w:p>
      <w:pPr>
        <w:numPr>
          <w:ilvl w:val="0"/>
          <w:numId w:val="3"/>
        </w:numPr>
        <w:spacing w:line="360" w:lineRule="auto"/>
        <w:rPr>
          <w:rFonts w:ascii="宋体" w:hAnsi="宋体" w:eastAsia="宋体" w:cs="宋体"/>
          <w:color w:val="auto"/>
          <w:sz w:val="24"/>
          <w:szCs w:val="24"/>
        </w:rPr>
      </w:pPr>
      <w:r>
        <w:rPr>
          <w:rFonts w:hint="eastAsia" w:ascii="宋体" w:hAnsi="宋体" w:eastAsia="宋体" w:cs="宋体"/>
          <w:color w:val="auto"/>
          <w:sz w:val="24"/>
          <w:szCs w:val="24"/>
        </w:rPr>
        <w:t>机构质控员根据项目研究方案制定具体的质控检查计划，在参加分中心启动会时书面提交PI和申办方，并对项目组成员进行GCP培训。</w:t>
      </w:r>
    </w:p>
    <w:p>
      <w:pPr>
        <w:numPr>
          <w:ilvl w:val="0"/>
          <w:numId w:val="3"/>
        </w:numPr>
        <w:spacing w:line="360" w:lineRule="auto"/>
        <w:rPr>
          <w:rFonts w:ascii="宋体" w:hAnsi="宋体" w:eastAsia="宋体" w:cs="宋体"/>
          <w:color w:val="auto"/>
          <w:sz w:val="24"/>
          <w:szCs w:val="24"/>
        </w:rPr>
      </w:pPr>
      <w:r>
        <w:rPr>
          <w:rFonts w:hint="eastAsia" w:ascii="宋体" w:hAnsi="宋体" w:eastAsia="宋体" w:cs="宋体"/>
          <w:color w:val="auto"/>
          <w:sz w:val="24"/>
          <w:szCs w:val="24"/>
        </w:rPr>
        <w:t>在试验过程中，质控检查前机构质控员通知项目组提前准备相关文件，机构质控员现场根据早期和中后期</w:t>
      </w:r>
      <w:r>
        <w:rPr>
          <w:rFonts w:hint="eastAsia" w:ascii="宋体" w:hAnsi="宋体" w:cs="宋体"/>
          <w:color w:val="auto"/>
          <w:sz w:val="24"/>
          <w:szCs w:val="24"/>
        </w:rPr>
        <w:t>《药物/医疗器械</w:t>
      </w:r>
      <w:r>
        <w:rPr>
          <w:rFonts w:hint="eastAsia" w:ascii="宋体" w:hAnsi="宋体" w:eastAsia="宋体" w:cs="宋体"/>
          <w:color w:val="auto"/>
          <w:sz w:val="24"/>
          <w:szCs w:val="24"/>
        </w:rPr>
        <w:t>临床试验质控检查表</w:t>
      </w:r>
      <w:r>
        <w:rPr>
          <w:rFonts w:hint="eastAsia" w:ascii="宋体" w:hAnsi="宋体" w:cs="宋体"/>
          <w:color w:val="auto"/>
          <w:sz w:val="24"/>
          <w:szCs w:val="24"/>
        </w:rPr>
        <w:t>》</w:t>
      </w:r>
      <w:r>
        <w:rPr>
          <w:rFonts w:hint="eastAsia" w:ascii="宋体" w:hAnsi="宋体" w:eastAsia="宋体" w:cs="宋体"/>
          <w:color w:val="auto"/>
          <w:sz w:val="24"/>
          <w:szCs w:val="24"/>
        </w:rPr>
        <w:t>内容进行质控检查，试验用药物/试验用医疗器械管理的质控根据</w:t>
      </w:r>
      <w:r>
        <w:rPr>
          <w:rFonts w:hint="eastAsia" w:ascii="宋体" w:hAnsi="宋体" w:cs="宋体"/>
          <w:color w:val="auto"/>
          <w:sz w:val="24"/>
          <w:szCs w:val="24"/>
        </w:rPr>
        <w:t>《</w:t>
      </w:r>
      <w:r>
        <w:rPr>
          <w:rFonts w:hint="eastAsia" w:ascii="宋体" w:hAnsi="宋体" w:eastAsia="宋体" w:cs="宋体"/>
          <w:color w:val="auto"/>
          <w:sz w:val="24"/>
          <w:szCs w:val="24"/>
        </w:rPr>
        <w:t>试验用药物/试验用医疗器械质控检查表</w:t>
      </w:r>
      <w:r>
        <w:rPr>
          <w:rFonts w:hint="eastAsia" w:ascii="宋体" w:hAnsi="宋体" w:cs="宋体"/>
          <w:color w:val="auto"/>
          <w:sz w:val="24"/>
          <w:szCs w:val="24"/>
        </w:rPr>
        <w:t>》</w:t>
      </w:r>
      <w:r>
        <w:rPr>
          <w:rFonts w:hint="eastAsia" w:ascii="宋体" w:hAnsi="宋体" w:eastAsia="宋体" w:cs="宋体"/>
          <w:color w:val="auto"/>
          <w:sz w:val="24"/>
          <w:szCs w:val="24"/>
        </w:rPr>
        <w:t>内容每月对在研项目的试验药物/试验医疗器械管理进行质控检查，检查前通知药物管理员/医疗器械管理员。</w:t>
      </w:r>
    </w:p>
    <w:p>
      <w:pPr>
        <w:numPr>
          <w:ilvl w:val="0"/>
          <w:numId w:val="3"/>
        </w:numPr>
        <w:spacing w:line="360" w:lineRule="auto"/>
        <w:rPr>
          <w:rFonts w:ascii="宋体" w:hAnsi="宋体" w:eastAsia="宋体" w:cs="宋体"/>
          <w:color w:val="auto"/>
          <w:sz w:val="24"/>
          <w:szCs w:val="24"/>
        </w:rPr>
      </w:pPr>
      <w:r>
        <w:rPr>
          <w:rFonts w:hint="eastAsia" w:ascii="宋体" w:hAnsi="宋体" w:eastAsia="宋体" w:cs="宋体"/>
          <w:color w:val="auto"/>
          <w:sz w:val="24"/>
          <w:szCs w:val="24"/>
        </w:rPr>
        <w:t>在检查过程中发现问题，填写</w:t>
      </w:r>
      <w:r>
        <w:rPr>
          <w:rFonts w:hint="eastAsia" w:ascii="宋体" w:hAnsi="宋体" w:cs="宋体"/>
          <w:color w:val="auto"/>
          <w:sz w:val="24"/>
          <w:szCs w:val="24"/>
        </w:rPr>
        <w:t>《药物/医疗器械</w:t>
      </w:r>
      <w:r>
        <w:rPr>
          <w:rFonts w:hint="eastAsia" w:ascii="宋体" w:hAnsi="宋体" w:eastAsia="宋体" w:cs="宋体"/>
          <w:color w:val="auto"/>
          <w:sz w:val="24"/>
          <w:szCs w:val="24"/>
        </w:rPr>
        <w:t>临床试验质控检查结果反馈表</w:t>
      </w:r>
      <w:r>
        <w:rPr>
          <w:rFonts w:hint="eastAsia" w:ascii="宋体" w:hAnsi="宋体" w:cs="宋体"/>
          <w:color w:val="auto"/>
          <w:sz w:val="24"/>
          <w:szCs w:val="24"/>
        </w:rPr>
        <w:t>》</w:t>
      </w:r>
      <w:r>
        <w:rPr>
          <w:rFonts w:hint="eastAsia" w:ascii="宋体" w:hAnsi="宋体" w:eastAsia="宋体" w:cs="宋体"/>
          <w:color w:val="auto"/>
          <w:sz w:val="24"/>
          <w:szCs w:val="24"/>
        </w:rPr>
        <w:t>并交与研究者，要求质控检查后一周内对质控检查中发现的问题进行反馈或改正，机构质控员将对既往质控检查中发现的问题的落实情况进行追踪。</w:t>
      </w:r>
    </w:p>
    <w:p>
      <w:pPr>
        <w:numPr>
          <w:ilvl w:val="0"/>
          <w:numId w:val="3"/>
        </w:numPr>
        <w:spacing w:line="360" w:lineRule="auto"/>
        <w:rPr>
          <w:rFonts w:ascii="宋体" w:hAnsi="宋体" w:eastAsia="宋体" w:cs="宋体"/>
          <w:color w:val="auto"/>
          <w:sz w:val="24"/>
          <w:szCs w:val="24"/>
        </w:rPr>
      </w:pPr>
      <w:r>
        <w:rPr>
          <w:rFonts w:hint="eastAsia" w:ascii="宋体" w:hAnsi="宋体" w:eastAsia="宋体" w:cs="宋体"/>
          <w:color w:val="auto"/>
          <w:sz w:val="24"/>
          <w:szCs w:val="24"/>
        </w:rPr>
        <w:t>在试验结束后，质控员根据结题的</w:t>
      </w:r>
      <w:r>
        <w:rPr>
          <w:rFonts w:hint="eastAsia" w:ascii="宋体" w:hAnsi="宋体" w:cs="宋体"/>
          <w:color w:val="auto"/>
          <w:sz w:val="24"/>
          <w:szCs w:val="24"/>
        </w:rPr>
        <w:t>《药物/医疗器械</w:t>
      </w:r>
      <w:r>
        <w:rPr>
          <w:rFonts w:hint="eastAsia" w:ascii="宋体" w:hAnsi="宋体" w:eastAsia="宋体" w:cs="宋体"/>
          <w:color w:val="auto"/>
          <w:sz w:val="24"/>
          <w:szCs w:val="24"/>
        </w:rPr>
        <w:t>临床试验质控检查表</w:t>
      </w:r>
      <w:r>
        <w:rPr>
          <w:rFonts w:hint="eastAsia" w:ascii="宋体" w:hAnsi="宋体" w:cs="宋体"/>
          <w:color w:val="auto"/>
          <w:sz w:val="24"/>
          <w:szCs w:val="24"/>
        </w:rPr>
        <w:t>》</w:t>
      </w:r>
      <w:r>
        <w:rPr>
          <w:rFonts w:hint="eastAsia" w:ascii="宋体" w:hAnsi="宋体" w:eastAsia="宋体" w:cs="宋体"/>
          <w:color w:val="auto"/>
          <w:sz w:val="24"/>
          <w:szCs w:val="24"/>
        </w:rPr>
        <w:t>内容做结题审查，确认所有存在的问题得到解决后，质控员填写《</w:t>
      </w:r>
      <w:r>
        <w:rPr>
          <w:rFonts w:hint="eastAsia" w:ascii="宋体" w:hAnsi="宋体" w:cs="宋体"/>
          <w:color w:val="auto"/>
          <w:sz w:val="24"/>
          <w:szCs w:val="24"/>
        </w:rPr>
        <w:t>药物/医疗器械</w:t>
      </w:r>
      <w:r>
        <w:rPr>
          <w:rFonts w:hint="eastAsia" w:ascii="宋体" w:hAnsi="宋体" w:eastAsia="宋体" w:cs="宋体"/>
          <w:color w:val="auto"/>
          <w:sz w:val="24"/>
          <w:szCs w:val="24"/>
        </w:rPr>
        <w:t>临床试验质控检查总结表》并提交机构办公室主任审核签名。</w:t>
      </w:r>
    </w:p>
    <w:p>
      <w:pPr>
        <w:numPr>
          <w:ilvl w:val="0"/>
          <w:numId w:val="3"/>
        </w:numPr>
        <w:spacing w:line="360" w:lineRule="auto"/>
        <w:rPr>
          <w:rFonts w:ascii="宋体" w:hAnsi="宋体" w:eastAsia="宋体" w:cs="宋体"/>
          <w:color w:val="auto"/>
          <w:sz w:val="24"/>
          <w:szCs w:val="24"/>
        </w:rPr>
      </w:pPr>
      <w:r>
        <w:rPr>
          <w:rFonts w:hint="eastAsia" w:ascii="宋体" w:hAnsi="宋体" w:eastAsia="宋体" w:cs="宋体"/>
          <w:color w:val="auto"/>
          <w:sz w:val="24"/>
          <w:szCs w:val="24"/>
        </w:rPr>
        <w:t>配合监管部门的检查，</w:t>
      </w:r>
      <w:r>
        <w:rPr>
          <w:rFonts w:hint="eastAsia" w:ascii="宋体" w:hAnsi="宋体" w:eastAsia="宋体" w:cs="宋体"/>
          <w:color w:val="auto"/>
          <w:sz w:val="24"/>
          <w:szCs w:val="24"/>
          <w:lang w:eastAsia="zh-CN"/>
        </w:rPr>
        <w:t>及</w:t>
      </w:r>
      <w:r>
        <w:rPr>
          <w:rFonts w:hint="eastAsia" w:ascii="宋体" w:hAnsi="宋体" w:eastAsia="宋体" w:cs="宋体"/>
          <w:color w:val="auto"/>
          <w:sz w:val="24"/>
          <w:szCs w:val="24"/>
        </w:rPr>
        <w:t>申办方/第三方的稽查。</w:t>
      </w:r>
    </w:p>
    <w:p>
      <w:pPr>
        <w:pStyle w:val="24"/>
        <w:spacing w:before="0" w:beforeAutospacing="0" w:after="0" w:afterAutospacing="0" w:line="450" w:lineRule="atLeast"/>
        <w:rPr>
          <w:rFonts w:hint="eastAsia" w:asciiTheme="minorEastAsia" w:hAnsiTheme="minorEastAsia" w:eastAsiaTheme="minorEastAsia" w:cstheme="minorEastAsia"/>
          <w:b/>
          <w:bCs/>
          <w:color w:val="auto"/>
          <w:shd w:val="clear" w:color="auto" w:fill="FFFFFF"/>
        </w:rPr>
      </w:pPr>
      <w:r>
        <w:rPr>
          <w:rFonts w:hint="eastAsia" w:asciiTheme="minorEastAsia" w:hAnsiTheme="minorEastAsia" w:eastAsiaTheme="minorEastAsia" w:cstheme="minorEastAsia"/>
          <w:b/>
          <w:bCs/>
          <w:color w:val="auto"/>
          <w:shd w:val="clear" w:color="auto" w:fill="FFFFFF"/>
        </w:rPr>
        <w:t>参考文献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[1]国家药监局 国家卫生健康委. 关于发布药物临床试验质量管理规范的公告（2020年第57号）[EB/OL].[2020-04-26]. https://www.nmpa.gov.cn/zhuanti/ypzhcglbf/ypzhcglbfzhcwj/20200426162401243.html.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[2]国家药品监督管理局，国家卫生健康委员会. 关于发布《医疗器械临床试验质量管理规范》的公告（2022年第28号）.[2022-03-31]. https://www.nmpa.gov.cn/xxgk/ggtg/qtggtg/20220331144903101.html.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[3]国家药监局 国家卫生健康委关于发布药物临床试验机构管理规定的公告(2019年第101号)[EB/OL].[2019-11-29]. https://www.nmpa.gov.cn/xxgk/ggtg/qtggtg/20191129174401214.html.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[4]国家食品药品监督管理总局 国家卫生和计划生育委员会关于发布医疗器械临床试验机构条件和备案管理办法的公告（2017年第145号）[EB/OL].[2019-11-29].https://www.nmpa.gov.cn/xxgk/ggtg/qtggtg/20171124123401917.html.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[5]国家药监局综合司关于印发医疗器械临床试验检查要点及判定原则的通知(药监综械注〔2018〕45号)[EB/OL].https://www.nmpa.gov.cn/directory/web/nmpa/xxgk/fgwj/gzwj/gzwjylqx/20181128142501830.html.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[6]国家食品药品监督管理总局关于发布药物临床试验数据现场核查要点的公告（2015年第228号）[EB/OL].[2015-11-10]. https://www.nmpa.gov.cn/xxgk/ggtg/qtggtg/20151110203701981.html.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[7]国家药品监督管理局食品药品审核查验中心关于发布《药品注册核查工作程序（试行）》等5个文件的通告（2021年第30号）[EB/OL].[2021-12-20]. https://www.cfdi.org.cn/resource/news/14199.html.</w:t>
      </w:r>
    </w:p>
    <w:p>
      <w:pPr>
        <w:pStyle w:val="24"/>
        <w:spacing w:before="0" w:beforeAutospacing="0" w:after="0" w:afterAutospacing="0" w:line="450" w:lineRule="atLeast"/>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[8]曹玉，元唯安. 药物临床试验实践 [M].北京：中国医药科技出版社，2021.</w:t>
      </w:r>
    </w:p>
    <w:p>
      <w:pPr>
        <w:pStyle w:val="24"/>
        <w:spacing w:before="0" w:beforeAutospacing="0" w:after="0" w:afterAutospacing="0" w:line="450" w:lineRule="atLeast"/>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[9]王白璐医疗器械临床试验机构操作手册 [M]. 北京：人民卫生出版社，2022.</w:t>
      </w:r>
    </w:p>
    <w:p>
      <w:pPr>
        <w:pStyle w:val="24"/>
        <w:spacing w:before="0" w:beforeAutospacing="0" w:after="0" w:afterAutospacing="0" w:line="450" w:lineRule="atLeast"/>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[10]高荣，吕术超，李秀丽，等. 从药物临床试验数据核查看研究者的职责履行情况. 中国新药杂志，2019,28（20）：25</w:t>
      </w:r>
      <w:r>
        <w:rPr>
          <w:rFonts w:hint="eastAsia" w:asciiTheme="minorEastAsia" w:hAnsiTheme="minorEastAsia" w:eastAsiaTheme="minorEastAsia" w:cstheme="minorEastAsia"/>
          <w:color w:val="auto"/>
          <w:shd w:val="clear" w:color="auto" w:fill="FFFFFF"/>
          <w:lang w:val="en-US" w:eastAsia="zh-CN"/>
        </w:rPr>
        <w:t>0</w:t>
      </w:r>
      <w:r>
        <w:rPr>
          <w:rFonts w:hint="eastAsia" w:asciiTheme="minorEastAsia" w:hAnsiTheme="minorEastAsia" w:eastAsiaTheme="minorEastAsia" w:cstheme="minorEastAsia"/>
          <w:color w:val="auto"/>
          <w:shd w:val="clear" w:color="auto" w:fill="FFFFFF"/>
        </w:rPr>
        <w:t>8-25</w:t>
      </w:r>
      <w:r>
        <w:rPr>
          <w:rFonts w:hint="eastAsia" w:asciiTheme="minorEastAsia" w:hAnsiTheme="minorEastAsia" w:eastAsiaTheme="minorEastAsia" w:cstheme="minorEastAsia"/>
          <w:color w:val="auto"/>
          <w:shd w:val="clear" w:color="auto" w:fill="FFFFFF"/>
          <w:lang w:val="en-US" w:eastAsia="zh-CN"/>
        </w:rPr>
        <w:t>12</w:t>
      </w:r>
      <w:r>
        <w:rPr>
          <w:rFonts w:hint="eastAsia" w:asciiTheme="minorEastAsia" w:hAnsiTheme="minorEastAsia" w:eastAsiaTheme="minorEastAsia" w:cstheme="minorEastAsia"/>
          <w:color w:val="auto"/>
          <w:shd w:val="clear" w:color="auto" w:fill="FFFFFF"/>
        </w:rPr>
        <w:t>.</w:t>
      </w:r>
    </w:p>
    <w:p>
      <w:pPr>
        <w:spacing w:line="360" w:lineRule="auto"/>
        <w:rPr>
          <w:rFonts w:hint="default"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[11]国家药监局关于发布药物临床试验必备文件保存指导原则的通告（2020年第37号）[EB/OL].[2020-06-08].https://www.nmpa.gov.cn/yaopin/ypggtg/ypqtgg/20200608094301326.html.</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906"/>
        <w:gridCol w:w="915"/>
        <w:gridCol w:w="2459"/>
        <w:gridCol w:w="2853"/>
        <w:gridCol w:w="1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lang w:val="en-US" w:eastAsia="zh-CN"/>
              </w:rPr>
              <w:t>序</w:t>
            </w:r>
            <w:r>
              <w:rPr>
                <w:rFonts w:hint="eastAsia" w:ascii="宋体" w:hAnsi="宋体"/>
                <w:color w:val="auto"/>
                <w:sz w:val="21"/>
                <w:szCs w:val="21"/>
              </w:rPr>
              <w:t>号</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kern w:val="2"/>
                <w:sz w:val="21"/>
                <w:szCs w:val="21"/>
                <w:lang w:val="en-US" w:eastAsia="zh-CN" w:bidi="ar-SA"/>
              </w:rPr>
            </w:pPr>
            <w:r>
              <w:rPr>
                <w:rFonts w:hint="eastAsia" w:ascii="宋体" w:hAnsi="宋体"/>
                <w:color w:val="auto"/>
                <w:sz w:val="21"/>
                <w:szCs w:val="21"/>
                <w:lang w:val="en-US" w:eastAsia="zh-CN"/>
              </w:rPr>
              <w:t>修订前版本号</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宋体"/>
                <w:color w:val="auto"/>
                <w:kern w:val="2"/>
                <w:sz w:val="21"/>
                <w:szCs w:val="21"/>
                <w:lang w:val="en-US" w:eastAsia="zh-CN" w:bidi="ar-SA"/>
              </w:rPr>
            </w:pPr>
            <w:r>
              <w:rPr>
                <w:rFonts w:hint="eastAsia" w:ascii="宋体" w:hAnsi="宋体"/>
                <w:color w:val="auto"/>
                <w:sz w:val="21"/>
                <w:szCs w:val="21"/>
                <w:lang w:val="en-US" w:eastAsia="zh-CN"/>
              </w:rPr>
              <w:t>修订后版本号</w:t>
            </w:r>
          </w:p>
        </w:tc>
        <w:tc>
          <w:tcPr>
            <w:tcW w:w="2459"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修订原因、依据</w:t>
            </w:r>
          </w:p>
        </w:tc>
        <w:tc>
          <w:tcPr>
            <w:tcW w:w="2853"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修订内容</w:t>
            </w:r>
          </w:p>
        </w:tc>
        <w:tc>
          <w:tcPr>
            <w:tcW w:w="167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Theme="minorEastAsia"/>
                <w:color w:val="auto"/>
                <w:sz w:val="21"/>
                <w:szCs w:val="21"/>
                <w:lang w:val="en-US" w:eastAsia="zh-CN"/>
              </w:rPr>
            </w:pPr>
            <w:r>
              <w:rPr>
                <w:rFonts w:hint="eastAsia" w:ascii="宋体" w:hAnsi="宋体"/>
                <w:color w:val="auto"/>
                <w:sz w:val="21"/>
                <w:szCs w:val="21"/>
                <w:lang w:val="en-US" w:eastAsia="zh-CN"/>
              </w:rPr>
              <w:t>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3.0</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3.1</w:t>
            </w:r>
          </w:p>
        </w:tc>
        <w:tc>
          <w:tcPr>
            <w:tcW w:w="24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为保证人员职责的严谨性，新增参考文献。</w:t>
            </w:r>
          </w:p>
        </w:tc>
        <w:tc>
          <w:tcPr>
            <w:tcW w:w="285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1.新增参考文献。</w:t>
            </w:r>
          </w:p>
        </w:tc>
        <w:tc>
          <w:tcPr>
            <w:tcW w:w="16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eastAsia" w:ascii="宋体" w:hAnsi="宋体"/>
                <w:color w:val="auto"/>
                <w:sz w:val="21"/>
                <w:szCs w:val="21"/>
                <w:lang w:val="en-US" w:eastAsia="zh-CN"/>
              </w:rPr>
            </w:pPr>
          </w:p>
        </w:tc>
      </w:tr>
    </w:tbl>
    <w:p>
      <w:pPr>
        <w:spacing w:line="360" w:lineRule="auto"/>
        <w:rPr>
          <w:rFonts w:asciiTheme="majorEastAsia" w:hAnsiTheme="majorEastAsia" w:eastAsiaTheme="majorEastAsia"/>
          <w:b/>
          <w:color w:val="auto"/>
          <w:sz w:val="24"/>
          <w:szCs w:val="24"/>
        </w:rPr>
      </w:pPr>
    </w:p>
    <w:p>
      <w:pPr>
        <w:spacing w:line="360" w:lineRule="auto"/>
        <w:ind w:firstLine="2650" w:firstLineChars="1100"/>
        <w:rPr>
          <w:rFonts w:asciiTheme="majorEastAsia" w:hAnsiTheme="majorEastAsia" w:eastAsiaTheme="majorEastAsia"/>
          <w:b/>
          <w:color w:val="auto"/>
          <w:sz w:val="24"/>
          <w:szCs w:val="24"/>
        </w:rPr>
      </w:pPr>
    </w:p>
    <w:p>
      <w:pPr>
        <w:spacing w:line="360" w:lineRule="auto"/>
        <w:ind w:firstLine="2650" w:firstLineChars="1100"/>
        <w:rPr>
          <w:rFonts w:asciiTheme="majorEastAsia" w:hAnsiTheme="majorEastAsia" w:eastAsiaTheme="majorEastAsia"/>
          <w:b/>
          <w:color w:val="auto"/>
          <w:sz w:val="24"/>
          <w:szCs w:val="24"/>
        </w:rPr>
      </w:pPr>
    </w:p>
    <w:p>
      <w:pPr>
        <w:spacing w:line="360" w:lineRule="auto"/>
        <w:ind w:firstLine="2650" w:firstLineChars="1100"/>
        <w:rPr>
          <w:rFonts w:asciiTheme="majorEastAsia" w:hAnsiTheme="majorEastAsia" w:eastAsiaTheme="majorEastAsia"/>
          <w:b/>
          <w:color w:val="auto"/>
          <w:sz w:val="24"/>
          <w:szCs w:val="24"/>
        </w:rPr>
      </w:pPr>
    </w:p>
    <w:p>
      <w:pPr>
        <w:spacing w:line="360" w:lineRule="auto"/>
        <w:ind w:firstLine="2650" w:firstLineChars="1100"/>
        <w:rPr>
          <w:rFonts w:asciiTheme="majorEastAsia" w:hAnsiTheme="majorEastAsia" w:eastAsiaTheme="majorEastAsia"/>
          <w:b/>
          <w:color w:val="auto"/>
          <w:sz w:val="24"/>
          <w:szCs w:val="24"/>
        </w:rPr>
      </w:pPr>
    </w:p>
    <w:p>
      <w:pPr>
        <w:spacing w:line="360" w:lineRule="auto"/>
        <w:ind w:firstLine="2650" w:firstLineChars="1100"/>
        <w:rPr>
          <w:rFonts w:asciiTheme="majorEastAsia" w:hAnsiTheme="majorEastAsia" w:eastAsiaTheme="majorEastAsia"/>
          <w:b/>
          <w:color w:val="auto"/>
          <w:sz w:val="24"/>
          <w:szCs w:val="24"/>
        </w:rPr>
      </w:pPr>
    </w:p>
    <w:p>
      <w:pPr>
        <w:spacing w:line="360" w:lineRule="auto"/>
        <w:ind w:firstLine="3373" w:firstLineChars="1200"/>
        <w:rPr>
          <w:rFonts w:ascii="黑体" w:hAnsi="黑体" w:eastAsia="黑体" w:cs="黑体"/>
          <w:b/>
          <w:color w:val="auto"/>
          <w:sz w:val="28"/>
          <w:szCs w:val="28"/>
        </w:rPr>
        <w:sectPr>
          <w:headerReference r:id="rId29" w:type="default"/>
          <w:footerReference r:id="rId30" w:type="default"/>
          <w:pgSz w:w="11906" w:h="16838"/>
          <w:pgMar w:top="1417" w:right="1191" w:bottom="1474" w:left="1474" w:header="0" w:footer="992" w:gutter="0"/>
          <w:pgNumType w:fmt="decimal" w:start="1"/>
          <w:cols w:space="0" w:num="1"/>
          <w:docGrid w:type="lines" w:linePitch="312" w:charSpace="0"/>
        </w:sectPr>
      </w:pPr>
    </w:p>
    <w:p>
      <w:pPr>
        <w:spacing w:line="360" w:lineRule="auto"/>
        <w:jc w:val="center"/>
        <w:rPr>
          <w:rFonts w:ascii="黑体" w:hAnsi="黑体" w:eastAsia="黑体" w:cs="黑体"/>
          <w:color w:val="auto"/>
          <w:sz w:val="28"/>
          <w:szCs w:val="28"/>
        </w:rPr>
      </w:pPr>
      <w:r>
        <w:rPr>
          <w:rFonts w:hint="eastAsia" w:ascii="黑体" w:hAnsi="黑体" w:eastAsia="黑体" w:cs="黑体"/>
          <w:b/>
          <w:color w:val="auto"/>
          <w:sz w:val="28"/>
          <w:szCs w:val="28"/>
        </w:rPr>
        <w:t>药物管理员职责</w:t>
      </w:r>
    </w:p>
    <w:p>
      <w:pPr>
        <w:spacing w:line="360" w:lineRule="auto"/>
        <w:ind w:firstLine="120" w:firstLineChars="50"/>
        <w:rPr>
          <w:rFonts w:asciiTheme="minorEastAsia" w:hAnsiTheme="minorEastAsia"/>
          <w:color w:val="auto"/>
          <w:sz w:val="24"/>
          <w:szCs w:val="24"/>
        </w:rPr>
      </w:pPr>
      <w:r>
        <w:rPr>
          <w:rFonts w:hint="eastAsia" w:asciiTheme="minorEastAsia" w:hAnsiTheme="minorEastAsia"/>
          <w:color w:val="auto"/>
          <w:sz w:val="24"/>
          <w:szCs w:val="24"/>
        </w:rPr>
        <w:t>一、临床试验用药物管理人员必须接受过《药物临床试验质量管理规范》培训，保证</w:t>
      </w:r>
    </w:p>
    <w:p>
      <w:pPr>
        <w:spacing w:line="360" w:lineRule="auto"/>
        <w:ind w:firstLine="120" w:firstLineChars="50"/>
        <w:rPr>
          <w:rFonts w:asciiTheme="minorEastAsia" w:hAnsiTheme="minorEastAsia"/>
          <w:color w:val="auto"/>
          <w:sz w:val="24"/>
          <w:szCs w:val="24"/>
        </w:rPr>
      </w:pPr>
      <w:r>
        <w:rPr>
          <w:rFonts w:hint="eastAsia" w:asciiTheme="minorEastAsia" w:hAnsiTheme="minorEastAsia"/>
          <w:color w:val="auto"/>
          <w:sz w:val="24"/>
          <w:szCs w:val="24"/>
        </w:rPr>
        <w:t>试验用药物的管理符合《药物临床试验质量管理规范》。</w:t>
      </w:r>
    </w:p>
    <w:p>
      <w:pPr>
        <w:spacing w:line="360" w:lineRule="auto"/>
        <w:ind w:left="720" w:leftChars="57" w:hanging="600" w:hangingChars="250"/>
        <w:rPr>
          <w:rFonts w:asciiTheme="minorEastAsia" w:hAnsiTheme="minorEastAsia"/>
          <w:color w:val="auto"/>
          <w:sz w:val="24"/>
          <w:szCs w:val="24"/>
        </w:rPr>
      </w:pPr>
      <w:r>
        <w:rPr>
          <w:rFonts w:hint="eastAsia" w:asciiTheme="minorEastAsia" w:hAnsiTheme="minorEastAsia"/>
          <w:color w:val="auto"/>
          <w:sz w:val="24"/>
          <w:szCs w:val="24"/>
        </w:rPr>
        <w:t>二、熟悉临床试验方案中对试验用药物管理的要求和注意事项，并参加项目启动会，</w:t>
      </w:r>
    </w:p>
    <w:p>
      <w:pPr>
        <w:spacing w:line="360" w:lineRule="auto"/>
        <w:ind w:left="719" w:leftChars="114" w:hanging="480" w:hangingChars="200"/>
        <w:rPr>
          <w:rFonts w:asciiTheme="minorEastAsia" w:hAnsiTheme="minorEastAsia"/>
          <w:color w:val="auto"/>
          <w:sz w:val="24"/>
          <w:szCs w:val="24"/>
        </w:rPr>
      </w:pPr>
      <w:r>
        <w:rPr>
          <w:rFonts w:hint="eastAsia" w:asciiTheme="minorEastAsia" w:hAnsiTheme="minorEastAsia"/>
          <w:color w:val="auto"/>
          <w:sz w:val="24"/>
          <w:szCs w:val="24"/>
        </w:rPr>
        <w:t>接受相关培训。</w:t>
      </w:r>
    </w:p>
    <w:p>
      <w:pPr>
        <w:spacing w:line="360" w:lineRule="auto"/>
        <w:ind w:left="720" w:leftChars="57" w:hanging="600" w:hangingChars="250"/>
        <w:rPr>
          <w:rFonts w:asciiTheme="minorEastAsia" w:hAnsiTheme="minorEastAsia"/>
          <w:color w:val="auto"/>
          <w:sz w:val="24"/>
          <w:szCs w:val="24"/>
        </w:rPr>
      </w:pPr>
      <w:r>
        <w:rPr>
          <w:rFonts w:hint="eastAsia" w:asciiTheme="minorEastAsia" w:hAnsiTheme="minorEastAsia"/>
          <w:color w:val="auto"/>
          <w:sz w:val="24"/>
          <w:szCs w:val="24"/>
        </w:rPr>
        <w:t>三、负责临床试验用药物的接收工作，接收药物时应核对以下项目：</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1、核查运货单和试验用药物的质量检验报告；</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2、检查药物在运送过程中是否符合保存条件以及药物包装是否完好；</w:t>
      </w:r>
    </w:p>
    <w:p>
      <w:pPr>
        <w:spacing w:line="360" w:lineRule="auto"/>
        <w:ind w:left="719" w:leftChars="114" w:hanging="480" w:hangingChars="200"/>
        <w:rPr>
          <w:rFonts w:asciiTheme="minorEastAsia" w:hAnsiTheme="minorEastAsia"/>
          <w:color w:val="auto"/>
          <w:sz w:val="24"/>
          <w:szCs w:val="24"/>
        </w:rPr>
      </w:pPr>
      <w:r>
        <w:rPr>
          <w:rFonts w:hint="eastAsia" w:asciiTheme="minorEastAsia" w:hAnsiTheme="minorEastAsia"/>
          <w:color w:val="auto"/>
          <w:sz w:val="24"/>
          <w:szCs w:val="24"/>
        </w:rPr>
        <w:t>3、清点计数，做好临床试验药物接收登记以及项目药物库存更新的记录，签字并注</w:t>
      </w:r>
    </w:p>
    <w:p>
      <w:pPr>
        <w:spacing w:line="360" w:lineRule="auto"/>
        <w:ind w:left="719" w:leftChars="114" w:hanging="480" w:hangingChars="200"/>
        <w:rPr>
          <w:rFonts w:asciiTheme="minorEastAsia" w:hAnsiTheme="minorEastAsia"/>
          <w:color w:val="auto"/>
          <w:sz w:val="24"/>
          <w:szCs w:val="24"/>
        </w:rPr>
      </w:pPr>
      <w:r>
        <w:rPr>
          <w:rFonts w:hint="eastAsia" w:asciiTheme="minorEastAsia" w:hAnsiTheme="minorEastAsia"/>
          <w:color w:val="auto"/>
          <w:sz w:val="24"/>
          <w:szCs w:val="24"/>
        </w:rPr>
        <w:t>明时间。</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四、负责临床试验用药物的保管工作。</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1、按照现行法规和方案的要求储存试验用药物，专柜加锁存放。</w:t>
      </w:r>
    </w:p>
    <w:p>
      <w:pPr>
        <w:spacing w:line="360" w:lineRule="auto"/>
        <w:ind w:left="239" w:leftChars="114"/>
        <w:rPr>
          <w:rFonts w:asciiTheme="minorEastAsia" w:hAnsiTheme="minorEastAsia"/>
          <w:color w:val="auto"/>
          <w:sz w:val="24"/>
          <w:szCs w:val="24"/>
        </w:rPr>
      </w:pPr>
      <w:r>
        <w:rPr>
          <w:rFonts w:hint="eastAsia" w:asciiTheme="minorEastAsia" w:hAnsiTheme="minorEastAsia"/>
          <w:color w:val="auto"/>
          <w:sz w:val="24"/>
          <w:szCs w:val="24"/>
        </w:rPr>
        <w:t>2、</w:t>
      </w:r>
      <w:r>
        <w:rPr>
          <w:rFonts w:hint="eastAsia" w:asciiTheme="minorEastAsia" w:hAnsiTheme="minorEastAsia"/>
          <w:color w:val="auto"/>
          <w:sz w:val="24"/>
          <w:szCs w:val="24"/>
          <w:lang w:val="en-US" w:eastAsia="zh-CN"/>
        </w:rPr>
        <w:t>GCP中心药房设有实时温湿度</w:t>
      </w:r>
      <w:r>
        <w:rPr>
          <w:rFonts w:hint="eastAsia" w:asciiTheme="minorEastAsia" w:hAnsiTheme="minorEastAsia"/>
          <w:color w:val="auto"/>
          <w:sz w:val="24"/>
          <w:szCs w:val="24"/>
        </w:rPr>
        <w:t>监控管理系统监控</w:t>
      </w:r>
      <w:r>
        <w:rPr>
          <w:rFonts w:hint="eastAsia" w:asciiTheme="minorEastAsia" w:hAnsiTheme="minorEastAsia"/>
          <w:color w:val="auto"/>
          <w:sz w:val="24"/>
          <w:szCs w:val="24"/>
          <w:lang w:val="en-US" w:eastAsia="zh-CN"/>
        </w:rPr>
        <w:t>温湿度</w:t>
      </w:r>
      <w:r>
        <w:rPr>
          <w:rFonts w:hint="eastAsia" w:asciiTheme="minorEastAsia" w:hAnsiTheme="minorEastAsia"/>
          <w:color w:val="auto"/>
          <w:sz w:val="24"/>
          <w:szCs w:val="24"/>
        </w:rPr>
        <w:t>，若收到超温报警短信，药物管理人员需要及时赶回药房，查看超温原因并及时处理</w:t>
      </w:r>
      <w:r>
        <w:rPr>
          <w:rFonts w:hint="eastAsia" w:asciiTheme="minorEastAsia" w:hAnsiTheme="minorEastAsia"/>
          <w:color w:val="auto"/>
          <w:sz w:val="24"/>
          <w:szCs w:val="24"/>
          <w:lang w:eastAsia="zh-CN"/>
        </w:rPr>
        <w:t>，</w:t>
      </w:r>
      <w:r>
        <w:rPr>
          <w:rFonts w:hint="eastAsia" w:asciiTheme="minorEastAsia" w:hAnsiTheme="minorEastAsia"/>
          <w:color w:val="auto"/>
          <w:sz w:val="24"/>
          <w:szCs w:val="24"/>
          <w:lang w:val="en-US" w:eastAsia="zh-CN"/>
        </w:rPr>
        <w:t>每月定期导出温湿度数据打印存档</w:t>
      </w:r>
      <w:r>
        <w:rPr>
          <w:rFonts w:hint="eastAsia" w:asciiTheme="minorEastAsia" w:hAnsiTheme="minorEastAsia"/>
          <w:color w:val="auto"/>
          <w:sz w:val="24"/>
          <w:szCs w:val="24"/>
        </w:rPr>
        <w:t>。</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3、定期检查试验用药物的有效期。</w:t>
      </w:r>
    </w:p>
    <w:p>
      <w:pPr>
        <w:spacing w:line="360" w:lineRule="auto"/>
        <w:ind w:firstLine="240" w:firstLineChars="100"/>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五、负责临床试验用药物的分发与回收工作。</w:t>
      </w:r>
    </w:p>
    <w:p>
      <w:pPr>
        <w:spacing w:line="360" w:lineRule="auto"/>
        <w:ind w:left="317" w:leftChars="151"/>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1、根据研究者开具的处方</w:t>
      </w:r>
      <w:r>
        <w:rPr>
          <w:rFonts w:hint="eastAsia" w:asciiTheme="minorEastAsia" w:hAnsiTheme="minorEastAsia"/>
          <w:color w:val="auto"/>
          <w:sz w:val="24"/>
          <w:szCs w:val="24"/>
          <w:highlight w:val="none"/>
          <w:lang w:val="en-US" w:eastAsia="zh-CN"/>
        </w:rPr>
        <w:t>或《试验用药物请领单》</w:t>
      </w:r>
      <w:r>
        <w:rPr>
          <w:rFonts w:hint="eastAsia" w:asciiTheme="minorEastAsia" w:hAnsiTheme="minorEastAsia"/>
          <w:color w:val="auto"/>
          <w:sz w:val="24"/>
          <w:szCs w:val="24"/>
          <w:highlight w:val="none"/>
        </w:rPr>
        <w:t>进行试验用药物的分发，及时做好药物库存记录及受试者发药记录。</w:t>
      </w:r>
    </w:p>
    <w:p>
      <w:pPr>
        <w:spacing w:line="360" w:lineRule="auto"/>
        <w:ind w:left="78" w:leftChars="37" w:firstLine="240" w:firstLineChars="100"/>
        <w:rPr>
          <w:rFonts w:asciiTheme="minorEastAsia" w:hAnsiTheme="minorEastAsia"/>
          <w:color w:val="auto"/>
          <w:sz w:val="24"/>
          <w:szCs w:val="24"/>
        </w:rPr>
      </w:pPr>
      <w:r>
        <w:rPr>
          <w:rFonts w:hint="eastAsia" w:asciiTheme="minorEastAsia" w:hAnsiTheme="minorEastAsia"/>
          <w:color w:val="auto"/>
          <w:sz w:val="24"/>
          <w:szCs w:val="24"/>
        </w:rPr>
        <w:t>2、回收剩余的药物及空包装，及时做好药物回收记录。</w:t>
      </w:r>
    </w:p>
    <w:p>
      <w:pPr>
        <w:spacing w:line="360" w:lineRule="auto"/>
        <w:ind w:left="239" w:leftChars="114" w:firstLine="0" w:firstLineChars="0"/>
        <w:rPr>
          <w:rFonts w:asciiTheme="minorEastAsia" w:hAnsiTheme="minorEastAsia"/>
          <w:color w:val="auto"/>
          <w:sz w:val="24"/>
          <w:szCs w:val="24"/>
        </w:rPr>
      </w:pPr>
      <w:r>
        <w:rPr>
          <w:rFonts w:hint="eastAsia" w:asciiTheme="minorEastAsia" w:hAnsiTheme="minorEastAsia"/>
          <w:color w:val="auto"/>
          <w:sz w:val="24"/>
          <w:szCs w:val="24"/>
        </w:rPr>
        <w:t>六、临床试验药物仅用于该临床试验的受试者，不得转交，转卖试验用药物，不得向受试者收取任何费用。</w:t>
      </w:r>
    </w:p>
    <w:p>
      <w:pPr>
        <w:spacing w:line="360" w:lineRule="auto"/>
        <w:ind w:left="239" w:leftChars="114"/>
        <w:rPr>
          <w:rFonts w:asciiTheme="minorEastAsia" w:hAnsiTheme="minorEastAsia"/>
          <w:color w:val="auto"/>
          <w:sz w:val="24"/>
          <w:szCs w:val="24"/>
          <w:highlight w:val="none"/>
        </w:rPr>
      </w:pPr>
      <w:r>
        <w:rPr>
          <w:rFonts w:hint="eastAsia" w:asciiTheme="minorEastAsia" w:hAnsiTheme="minorEastAsia"/>
          <w:color w:val="auto"/>
          <w:sz w:val="24"/>
          <w:szCs w:val="24"/>
        </w:rPr>
        <w:t>七、熟悉每个临床试验项目用药情况，当发现药物库存不足时，应及时通知项目监查员、研究者和申办者，并按要求及时补充药物。</w:t>
      </w:r>
    </w:p>
    <w:p>
      <w:pPr>
        <w:spacing w:line="360" w:lineRule="auto"/>
        <w:ind w:left="239" w:leftChars="114"/>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八、每月对试验用药物进行盘点，清点品种数目，并与对应项目库存记录表进行核对，若有不一致，应立即向研究者和申办者报告，并做好相应的记录。</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九、协助监查员的监查工作，接受申办者、研究者或有关部门的不定期检查。</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十、根据法规和机构要求，适时对相关SOP进行更新和修订。</w:t>
      </w:r>
    </w:p>
    <w:p>
      <w:pPr>
        <w:spacing w:line="360" w:lineRule="auto"/>
        <w:ind w:firstLine="240" w:firstLineChars="100"/>
        <w:rPr>
          <w:rFonts w:ascii="黑体" w:hAnsi="黑体" w:eastAsia="黑体" w:cs="黑体"/>
          <w:b/>
          <w:color w:val="auto"/>
          <w:sz w:val="28"/>
          <w:szCs w:val="28"/>
        </w:rPr>
      </w:pPr>
      <w:r>
        <w:rPr>
          <w:rFonts w:hint="eastAsia" w:asciiTheme="minorEastAsia" w:hAnsiTheme="minorEastAsia"/>
          <w:color w:val="auto"/>
          <w:sz w:val="24"/>
          <w:szCs w:val="24"/>
        </w:rPr>
        <w:t>十一、做好药房内安全、防火防盗工作，定期检查药房的冰箱、电源是否安全和正常工作。</w:t>
      </w:r>
    </w:p>
    <w:p>
      <w:pPr>
        <w:pStyle w:val="33"/>
        <w:rPr>
          <w:color w:val="auto"/>
        </w:rPr>
        <w:sectPr>
          <w:headerReference r:id="rId31" w:type="default"/>
          <w:footerReference r:id="rId32" w:type="default"/>
          <w:pgSz w:w="11906" w:h="16838"/>
          <w:pgMar w:top="1417" w:right="1191" w:bottom="1474" w:left="1474" w:header="0" w:footer="992" w:gutter="0"/>
          <w:pgNumType w:fmt="decimal" w:start="1"/>
          <w:cols w:space="0" w:num="1"/>
          <w:rtlGutter w:val="0"/>
          <w:docGrid w:type="lines" w:linePitch="312" w:charSpace="0"/>
        </w:sectPr>
      </w:pPr>
    </w:p>
    <w:p>
      <w:pPr>
        <w:spacing w:line="360" w:lineRule="auto"/>
        <w:ind w:firstLine="3373" w:firstLineChars="1200"/>
        <w:rPr>
          <w:rFonts w:ascii="黑体" w:hAnsi="黑体" w:eastAsia="黑体" w:cs="黑体"/>
          <w:b/>
          <w:bCs/>
          <w:color w:val="auto"/>
          <w:sz w:val="28"/>
          <w:szCs w:val="28"/>
          <w:highlight w:val="none"/>
        </w:rPr>
      </w:pPr>
      <w:r>
        <w:rPr>
          <w:rFonts w:hint="eastAsia" w:ascii="黑体" w:hAnsi="黑体" w:eastAsia="黑体" w:cs="黑体"/>
          <w:b/>
          <w:bCs/>
          <w:color w:val="auto"/>
          <w:sz w:val="28"/>
          <w:szCs w:val="28"/>
          <w:highlight w:val="none"/>
        </w:rPr>
        <w:t>医疗器械管理员职责</w:t>
      </w:r>
    </w:p>
    <w:p>
      <w:pPr>
        <w:spacing w:line="360" w:lineRule="auto"/>
        <w:ind w:firstLine="120" w:firstLineChars="50"/>
        <w:rPr>
          <w:rFonts w:asciiTheme="minorEastAsia" w:hAnsiTheme="minorEastAsia"/>
          <w:color w:val="auto"/>
          <w:sz w:val="24"/>
          <w:szCs w:val="24"/>
        </w:rPr>
      </w:pPr>
      <w:r>
        <w:rPr>
          <w:rFonts w:hint="eastAsia" w:asciiTheme="minorEastAsia" w:hAnsiTheme="minorEastAsia"/>
          <w:color w:val="auto"/>
          <w:sz w:val="24"/>
          <w:szCs w:val="24"/>
        </w:rPr>
        <w:t>一、临床试验用医疗器械管理人员必须接受过《医疗器械临床试验质量管理规范》培训，保证试验用医疗器械的管理符合《医疗器械临床试验质量管理规范》。</w:t>
      </w:r>
    </w:p>
    <w:p>
      <w:pPr>
        <w:spacing w:line="360" w:lineRule="auto"/>
        <w:ind w:left="720" w:leftChars="57" w:hanging="600" w:hangingChars="250"/>
        <w:rPr>
          <w:rFonts w:asciiTheme="minorEastAsia" w:hAnsiTheme="minorEastAsia"/>
          <w:color w:val="auto"/>
          <w:sz w:val="24"/>
          <w:szCs w:val="24"/>
        </w:rPr>
      </w:pPr>
      <w:r>
        <w:rPr>
          <w:rFonts w:hint="eastAsia" w:asciiTheme="minorEastAsia" w:hAnsiTheme="minorEastAsia"/>
          <w:color w:val="auto"/>
          <w:sz w:val="24"/>
          <w:szCs w:val="24"/>
        </w:rPr>
        <w:t>二、熟悉临床试验方案中对试验用医疗器械管理的要求和注意事项，并参加项目启动会，</w:t>
      </w:r>
    </w:p>
    <w:p>
      <w:pPr>
        <w:spacing w:line="360" w:lineRule="auto"/>
        <w:ind w:left="719" w:leftChars="114" w:hanging="480" w:hangingChars="200"/>
        <w:rPr>
          <w:rFonts w:asciiTheme="minorEastAsia" w:hAnsiTheme="minorEastAsia"/>
          <w:color w:val="auto"/>
          <w:sz w:val="24"/>
          <w:szCs w:val="24"/>
        </w:rPr>
      </w:pPr>
      <w:r>
        <w:rPr>
          <w:rFonts w:hint="eastAsia" w:asciiTheme="minorEastAsia" w:hAnsiTheme="minorEastAsia"/>
          <w:color w:val="auto"/>
          <w:sz w:val="24"/>
          <w:szCs w:val="24"/>
        </w:rPr>
        <w:t>接受相关培训。</w:t>
      </w:r>
    </w:p>
    <w:p>
      <w:pPr>
        <w:spacing w:line="360" w:lineRule="auto"/>
        <w:ind w:left="720" w:leftChars="57" w:hanging="600" w:hangingChars="250"/>
        <w:rPr>
          <w:rFonts w:asciiTheme="minorEastAsia" w:hAnsiTheme="minorEastAsia"/>
          <w:color w:val="auto"/>
          <w:sz w:val="24"/>
          <w:szCs w:val="24"/>
        </w:rPr>
      </w:pPr>
      <w:r>
        <w:rPr>
          <w:rFonts w:hint="eastAsia" w:asciiTheme="minorEastAsia" w:hAnsiTheme="minorEastAsia"/>
          <w:color w:val="auto"/>
          <w:sz w:val="24"/>
          <w:szCs w:val="24"/>
        </w:rPr>
        <w:t>三、负责临床试验用医疗器械的接收工作，接收医疗器械时应核对以下项目：</w:t>
      </w:r>
    </w:p>
    <w:p>
      <w:pPr>
        <w:spacing w:line="360" w:lineRule="auto"/>
        <w:ind w:left="239" w:leftChars="114" w:firstLine="0" w:firstLineChars="0"/>
        <w:rPr>
          <w:rFonts w:asciiTheme="minorEastAsia" w:hAnsiTheme="minorEastAsia"/>
          <w:strike/>
          <w:dstrike w:val="0"/>
          <w:color w:val="auto"/>
          <w:sz w:val="24"/>
          <w:szCs w:val="24"/>
        </w:rPr>
      </w:pPr>
      <w:r>
        <w:rPr>
          <w:rFonts w:hint="eastAsia" w:asciiTheme="minorEastAsia" w:hAnsiTheme="minorEastAsia"/>
          <w:color w:val="auto"/>
          <w:sz w:val="24"/>
          <w:szCs w:val="24"/>
        </w:rPr>
        <w:t>1、核查运货单和基于产品技术要求的产品检验报告</w:t>
      </w:r>
      <w:r>
        <w:rPr>
          <w:rFonts w:hint="eastAsia" w:asciiTheme="minorEastAsia" w:hAnsiTheme="minorEastAsia"/>
          <w:color w:val="auto"/>
          <w:sz w:val="24"/>
          <w:szCs w:val="24"/>
          <w:lang w:eastAsia="zh-CN"/>
        </w:rPr>
        <w:t>，产品检验报告应当符合国务院药品监督管理部门的要求，可以是医疗器械注册申请人、备案人的自检报告，也可以是委托有资质的医疗器械检验机构出具的检验报告。</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2、检查医疗器械在运送过程中是否符合保存条件以及其包装是否完好；</w:t>
      </w:r>
    </w:p>
    <w:p>
      <w:pPr>
        <w:spacing w:line="360" w:lineRule="auto"/>
        <w:ind w:left="719" w:leftChars="114" w:hanging="480" w:hangingChars="200"/>
        <w:rPr>
          <w:rFonts w:hint="eastAsia" w:asciiTheme="minorEastAsia" w:hAnsiTheme="minorEastAsia"/>
          <w:color w:val="auto"/>
          <w:sz w:val="24"/>
          <w:szCs w:val="24"/>
        </w:rPr>
      </w:pPr>
      <w:r>
        <w:rPr>
          <w:rFonts w:hint="eastAsia" w:asciiTheme="minorEastAsia" w:hAnsiTheme="minorEastAsia"/>
          <w:color w:val="auto"/>
          <w:sz w:val="24"/>
          <w:szCs w:val="24"/>
        </w:rPr>
        <w:t>3、清点计数，做好临床试验用医疗器械接收登记以及库存更新的记录，签字并注明</w:t>
      </w:r>
    </w:p>
    <w:p>
      <w:pPr>
        <w:spacing w:line="360" w:lineRule="auto"/>
        <w:ind w:left="719" w:leftChars="114" w:hanging="480" w:hangingChars="200"/>
        <w:rPr>
          <w:rFonts w:asciiTheme="minorEastAsia" w:hAnsiTheme="minorEastAsia"/>
          <w:color w:val="auto"/>
          <w:sz w:val="24"/>
          <w:szCs w:val="24"/>
        </w:rPr>
      </w:pPr>
      <w:r>
        <w:rPr>
          <w:rFonts w:hint="eastAsia" w:asciiTheme="minorEastAsia" w:hAnsiTheme="minorEastAsia"/>
          <w:color w:val="auto"/>
          <w:sz w:val="24"/>
          <w:szCs w:val="24"/>
        </w:rPr>
        <w:t>时间。</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四、负责临床试验用医疗器械的保管工作。</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1、按照现行法规和方案的要求储存试验用医疗器械，专柜加锁存放。</w:t>
      </w:r>
    </w:p>
    <w:p>
      <w:pPr>
        <w:spacing w:line="360" w:lineRule="auto"/>
        <w:ind w:left="239" w:leftChars="114"/>
        <w:rPr>
          <w:rFonts w:hint="eastAsia" w:asciiTheme="minorEastAsia" w:hAnsiTheme="minorEastAsia"/>
          <w:color w:val="auto"/>
          <w:sz w:val="24"/>
          <w:szCs w:val="24"/>
          <w:lang w:val="en-US" w:eastAsia="zh-CN"/>
        </w:rPr>
      </w:pPr>
      <w:r>
        <w:rPr>
          <w:rFonts w:hint="eastAsia" w:asciiTheme="minorEastAsia" w:hAnsiTheme="minorEastAsia"/>
          <w:color w:val="auto"/>
          <w:sz w:val="24"/>
          <w:szCs w:val="24"/>
        </w:rPr>
        <w:t>2、</w:t>
      </w:r>
      <w:r>
        <w:rPr>
          <w:rFonts w:hint="eastAsia" w:asciiTheme="minorEastAsia" w:hAnsiTheme="minorEastAsia"/>
          <w:color w:val="auto"/>
          <w:sz w:val="24"/>
          <w:szCs w:val="24"/>
          <w:lang w:eastAsia="zh-CN"/>
        </w:rPr>
        <w:t>若有特殊温湿度要求的</w:t>
      </w:r>
      <w:r>
        <w:rPr>
          <w:rFonts w:hint="eastAsia" w:asciiTheme="minorEastAsia" w:hAnsiTheme="minorEastAsia"/>
          <w:color w:val="auto"/>
          <w:sz w:val="24"/>
          <w:szCs w:val="24"/>
          <w:lang w:val="en-US" w:eastAsia="zh-CN"/>
        </w:rPr>
        <w:t>试验用医疗器械应按方案要求配备实时温湿度监控设施，监控温湿度，若收到超温报警短信，医疗器械管理人员需要及时赶回医疗器械储藏室，查看超温原因并及时处理，每月定期导出温湿度数据打印存档。</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3、定期检查试验用医疗器械的有效期。</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五、负责临床试验用医疗器械的分发与回收工作。</w:t>
      </w:r>
    </w:p>
    <w:p>
      <w:pPr>
        <w:spacing w:line="360" w:lineRule="auto"/>
        <w:ind w:left="317" w:leftChars="151"/>
        <w:rPr>
          <w:rFonts w:asciiTheme="minorEastAsia" w:hAnsiTheme="minorEastAsia"/>
          <w:color w:val="auto"/>
          <w:sz w:val="24"/>
          <w:szCs w:val="24"/>
        </w:rPr>
      </w:pPr>
      <w:r>
        <w:rPr>
          <w:rFonts w:hint="eastAsia" w:asciiTheme="minorEastAsia" w:hAnsiTheme="minorEastAsia"/>
          <w:color w:val="auto"/>
          <w:sz w:val="24"/>
          <w:szCs w:val="24"/>
        </w:rPr>
        <w:t>1、门诊受试者凭研究者</w:t>
      </w:r>
      <w:r>
        <w:rPr>
          <w:rFonts w:hint="eastAsia" w:asciiTheme="minorEastAsia" w:hAnsiTheme="minorEastAsia"/>
          <w:color w:val="auto"/>
          <w:sz w:val="24"/>
          <w:szCs w:val="24"/>
          <w:highlight w:val="none"/>
        </w:rPr>
        <w:t>签名的医疗器械处置单，住院受试者凭医嘱单上试验用医疗器械医嘱由医疗器械管理员</w:t>
      </w:r>
      <w:r>
        <w:rPr>
          <w:rFonts w:hint="eastAsia" w:asciiTheme="minorEastAsia" w:hAnsiTheme="minorEastAsia"/>
          <w:color w:val="auto"/>
          <w:sz w:val="24"/>
          <w:szCs w:val="24"/>
        </w:rPr>
        <w:t>进行试验用医疗器械的分发，及时做好试验用医疗器械库存记录及受试者试验用医疗器械发放记录。</w:t>
      </w:r>
    </w:p>
    <w:p>
      <w:pPr>
        <w:spacing w:line="360" w:lineRule="auto"/>
        <w:ind w:left="78" w:leftChars="37" w:firstLine="240" w:firstLineChars="100"/>
        <w:rPr>
          <w:rFonts w:asciiTheme="minorEastAsia" w:hAnsiTheme="minorEastAsia"/>
          <w:color w:val="auto"/>
          <w:sz w:val="24"/>
          <w:szCs w:val="24"/>
        </w:rPr>
      </w:pPr>
      <w:r>
        <w:rPr>
          <w:rFonts w:hint="eastAsia" w:asciiTheme="minorEastAsia" w:hAnsiTheme="minorEastAsia"/>
          <w:color w:val="auto"/>
          <w:sz w:val="24"/>
          <w:szCs w:val="24"/>
        </w:rPr>
        <w:t>2、回收剩余的试验用医疗器械及空包装，及时做好回收记录。</w:t>
      </w:r>
    </w:p>
    <w:p>
      <w:pPr>
        <w:spacing w:line="360" w:lineRule="auto"/>
        <w:ind w:left="239" w:leftChars="114" w:firstLine="0" w:firstLineChars="0"/>
        <w:rPr>
          <w:rFonts w:asciiTheme="minorEastAsia" w:hAnsiTheme="minorEastAsia"/>
          <w:color w:val="auto"/>
          <w:sz w:val="24"/>
          <w:szCs w:val="24"/>
        </w:rPr>
      </w:pPr>
      <w:r>
        <w:rPr>
          <w:rFonts w:hint="eastAsia" w:asciiTheme="minorEastAsia" w:hAnsiTheme="minorEastAsia"/>
          <w:color w:val="auto"/>
          <w:sz w:val="24"/>
          <w:szCs w:val="24"/>
        </w:rPr>
        <w:t>六、临床试验用器械仅用于该临床试验的受试者，不得转交，转卖，不得向受试者收取任何费用。</w:t>
      </w:r>
    </w:p>
    <w:p>
      <w:pPr>
        <w:spacing w:line="360" w:lineRule="auto"/>
        <w:ind w:left="239" w:leftChars="114"/>
        <w:rPr>
          <w:rFonts w:asciiTheme="minorEastAsia" w:hAnsiTheme="minorEastAsia"/>
          <w:color w:val="auto"/>
          <w:sz w:val="24"/>
          <w:szCs w:val="24"/>
        </w:rPr>
      </w:pPr>
      <w:r>
        <w:rPr>
          <w:rFonts w:hint="eastAsia" w:asciiTheme="minorEastAsia" w:hAnsiTheme="minorEastAsia"/>
          <w:color w:val="auto"/>
          <w:sz w:val="24"/>
          <w:szCs w:val="24"/>
        </w:rPr>
        <w:t>七、熟悉每个临床试验项目试验用医疗器械使用情况，当发现库存不足时，应及时通知项目监查员、研究者和申办者，并按要求及时补充。</w:t>
      </w:r>
    </w:p>
    <w:p>
      <w:pPr>
        <w:spacing w:line="360" w:lineRule="auto"/>
        <w:ind w:left="239" w:leftChars="114"/>
        <w:rPr>
          <w:rFonts w:asciiTheme="minorEastAsia" w:hAnsiTheme="minorEastAsia"/>
          <w:color w:val="auto"/>
          <w:sz w:val="24"/>
          <w:szCs w:val="24"/>
        </w:rPr>
      </w:pPr>
      <w:r>
        <w:rPr>
          <w:rFonts w:hint="eastAsia" w:asciiTheme="minorEastAsia" w:hAnsiTheme="minorEastAsia"/>
          <w:color w:val="auto"/>
          <w:sz w:val="24"/>
          <w:szCs w:val="24"/>
        </w:rPr>
        <w:t>八、每月对试验用医疗器械进行盘点，清点品种数目，并与对应项目库存记录表进行核对，若有不一致，应立即向研究者和申办者报告，并做好相应的记录。</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九、协助监查员的监查工作，接受申办者、研究者或有关部门的不定期检查。</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十、根据法规和机构要求，适时对相关SOP进行更新和修订。</w:t>
      </w:r>
    </w:p>
    <w:p>
      <w:pPr>
        <w:spacing w:line="360" w:lineRule="auto"/>
        <w:ind w:firstLine="240" w:firstLineChars="100"/>
        <w:rPr>
          <w:rFonts w:hint="eastAsia" w:asciiTheme="minorEastAsia" w:hAnsiTheme="minorEastAsia"/>
          <w:color w:val="auto"/>
          <w:sz w:val="24"/>
          <w:szCs w:val="24"/>
        </w:rPr>
      </w:pPr>
      <w:r>
        <w:rPr>
          <w:rFonts w:hint="eastAsia" w:asciiTheme="minorEastAsia" w:hAnsiTheme="minorEastAsia"/>
          <w:color w:val="auto"/>
          <w:sz w:val="24"/>
          <w:szCs w:val="24"/>
        </w:rPr>
        <w:t>十一、做好试验用医疗器械储藏室内安全、防火防盗工作，定期检查储藏室内冰箱、电源是否安全和正常工作。</w:t>
      </w:r>
    </w:p>
    <w:p>
      <w:pPr>
        <w:pStyle w:val="24"/>
        <w:spacing w:before="0" w:beforeAutospacing="0" w:after="0" w:afterAutospacing="0" w:line="450" w:lineRule="atLeast"/>
        <w:rPr>
          <w:rFonts w:hint="eastAsia" w:asciiTheme="minorEastAsia" w:hAnsiTheme="minorEastAsia" w:eastAsiaTheme="minorEastAsia" w:cstheme="minorEastAsia"/>
          <w:b/>
          <w:bCs/>
          <w:color w:val="auto"/>
          <w:shd w:val="clear" w:color="auto" w:fill="FFFFFF"/>
        </w:rPr>
      </w:pPr>
      <w:r>
        <w:rPr>
          <w:rFonts w:hint="eastAsia" w:asciiTheme="minorEastAsia" w:hAnsiTheme="minorEastAsia" w:eastAsiaTheme="minorEastAsia" w:cstheme="minorEastAsia"/>
          <w:b/>
          <w:bCs/>
          <w:color w:val="auto"/>
          <w:shd w:val="clear" w:color="auto" w:fill="FFFFFF"/>
        </w:rPr>
        <w:t>参考文献</w:t>
      </w:r>
    </w:p>
    <w:p>
      <w:pPr>
        <w:pStyle w:val="24"/>
        <w:keepNext w:val="0"/>
        <w:keepLines w:val="0"/>
        <w:pageBreakBefore w:val="0"/>
        <w:widowControl/>
        <w:numPr>
          <w:ilvl w:val="0"/>
          <w:numId w:val="4"/>
        </w:numPr>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 xml:space="preserve">国家药品监督管理局，国家卫生健康委员会. 关于发布《医疗器械临床试验质量管理规范》的公告（2022年第28号）.[2022-03-31]. </w:t>
      </w:r>
      <w:r>
        <w:rPr>
          <w:rFonts w:hint="eastAsia" w:asciiTheme="minorEastAsia" w:hAnsiTheme="minorEastAsia" w:eastAsiaTheme="minorEastAsia" w:cstheme="minorEastAsia"/>
          <w:color w:val="auto"/>
          <w:u w:val="none"/>
          <w:shd w:val="clear" w:color="auto" w:fill="FFFFFF"/>
        </w:rPr>
        <w:t>https://www.nmpa.gov.cn/xxgk/ggtg/qtggtg/20220331144903101.html.</w:t>
      </w:r>
    </w:p>
    <w:p>
      <w:pPr>
        <w:pStyle w:val="24"/>
        <w:keepNext w:val="0"/>
        <w:keepLines w:val="0"/>
        <w:pageBreakBefore w:val="0"/>
        <w:widowControl/>
        <w:numPr>
          <w:ilvl w:val="0"/>
          <w:numId w:val="4"/>
        </w:numPr>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lang w:val="en-US" w:eastAsia="zh-CN"/>
        </w:rPr>
      </w:pPr>
      <w:r>
        <w:rPr>
          <w:rFonts w:hint="eastAsia" w:asciiTheme="minorEastAsia" w:hAnsiTheme="minorEastAsia" w:eastAsiaTheme="minorEastAsia" w:cstheme="minorEastAsia"/>
          <w:color w:val="auto"/>
          <w:shd w:val="clear" w:color="auto" w:fill="FFFFFF"/>
        </w:rPr>
        <w:t>中华人民共和国国务院</w:t>
      </w:r>
      <w:r>
        <w:rPr>
          <w:rFonts w:hint="eastAsia" w:asciiTheme="minorEastAsia" w:hAnsiTheme="minorEastAsia" w:eastAsiaTheme="minorEastAsia" w:cstheme="minorEastAsia"/>
          <w:color w:val="auto"/>
          <w:shd w:val="clear" w:color="auto" w:fill="FFFFFF"/>
          <w:lang w:val="en-US" w:eastAsia="zh-CN"/>
        </w:rPr>
        <w:t xml:space="preserve">. </w:t>
      </w:r>
      <w:r>
        <w:rPr>
          <w:rFonts w:hint="eastAsia" w:asciiTheme="minorEastAsia" w:hAnsiTheme="minorEastAsia" w:eastAsiaTheme="minorEastAsia" w:cstheme="minorEastAsia"/>
          <w:color w:val="auto"/>
          <w:shd w:val="clear" w:color="auto" w:fill="FFFFFF"/>
        </w:rPr>
        <w:t>医疗器械监督管理条例</w:t>
      </w:r>
      <w:r>
        <w:rPr>
          <w:rFonts w:hint="eastAsia" w:asciiTheme="minorEastAsia" w:hAnsiTheme="minorEastAsia" w:eastAsiaTheme="minorEastAsia" w:cstheme="minorEastAsia"/>
          <w:color w:val="auto"/>
          <w:shd w:val="clear" w:color="auto" w:fill="FFFFFF"/>
          <w:lang w:val="en-US" w:eastAsia="zh-CN"/>
        </w:rPr>
        <w:t xml:space="preserve">（中华人民共和国国务院令第739号）. </w:t>
      </w:r>
      <w:r>
        <w:rPr>
          <w:rFonts w:hint="eastAsia" w:asciiTheme="minorEastAsia" w:hAnsiTheme="minorEastAsia" w:eastAsiaTheme="minorEastAsia" w:cstheme="minorEastAsia"/>
          <w:color w:val="auto"/>
          <w:shd w:val="clear" w:color="auto" w:fill="FFFFFF"/>
        </w:rPr>
        <w:t>[202</w:t>
      </w:r>
      <w:r>
        <w:rPr>
          <w:rFonts w:hint="eastAsia" w:asciiTheme="minorEastAsia" w:hAnsiTheme="minorEastAsia" w:eastAsiaTheme="minorEastAsia" w:cstheme="minorEastAsia"/>
          <w:color w:val="auto"/>
          <w:shd w:val="clear" w:color="auto" w:fill="FFFFFF"/>
          <w:lang w:val="en-US" w:eastAsia="zh-CN"/>
        </w:rPr>
        <w:t>1</w:t>
      </w:r>
      <w:r>
        <w:rPr>
          <w:rFonts w:hint="eastAsia" w:asciiTheme="minorEastAsia" w:hAnsiTheme="minorEastAsia" w:eastAsiaTheme="minorEastAsia" w:cstheme="minorEastAsia"/>
          <w:color w:val="auto"/>
          <w:shd w:val="clear" w:color="auto" w:fill="FFFFFF"/>
        </w:rPr>
        <w:t>-03-</w:t>
      </w:r>
      <w:r>
        <w:rPr>
          <w:rFonts w:hint="eastAsia" w:asciiTheme="minorEastAsia" w:hAnsiTheme="minorEastAsia" w:eastAsiaTheme="minorEastAsia" w:cstheme="minorEastAsia"/>
          <w:color w:val="auto"/>
          <w:shd w:val="clear" w:color="auto" w:fill="FFFFFF"/>
          <w:lang w:val="en-US" w:eastAsia="zh-CN"/>
        </w:rPr>
        <w:t>18</w:t>
      </w:r>
      <w:r>
        <w:rPr>
          <w:rFonts w:hint="eastAsia" w:asciiTheme="minorEastAsia" w:hAnsiTheme="minorEastAsia" w:eastAsiaTheme="minorEastAsia" w:cstheme="minorEastAsia"/>
          <w:color w:val="auto"/>
          <w:shd w:val="clear" w:color="auto" w:fill="FFFFFF"/>
        </w:rPr>
        <w:t>]</w:t>
      </w:r>
      <w:r>
        <w:rPr>
          <w:rFonts w:hint="eastAsia" w:asciiTheme="minorEastAsia" w:hAnsiTheme="minorEastAsia" w:eastAsiaTheme="minorEastAsia" w:cstheme="minorEastAsia"/>
          <w:color w:val="auto"/>
          <w:shd w:val="clear" w:color="auto" w:fill="FFFFFF"/>
          <w:lang w:val="en-US" w:eastAsia="zh-CN"/>
        </w:rPr>
        <w:t>. https://www.gov.cn/zhengce/content/2021-03/18/content_5593739.htm</w:t>
      </w:r>
    </w:p>
    <w:p>
      <w:pPr>
        <w:pStyle w:val="24"/>
        <w:spacing w:before="0" w:beforeAutospacing="0" w:after="0" w:afterAutospacing="0" w:line="450" w:lineRule="atLeast"/>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w:t>
      </w:r>
      <w:r>
        <w:rPr>
          <w:rFonts w:hint="eastAsia" w:asciiTheme="minorEastAsia" w:hAnsiTheme="minorEastAsia" w:eastAsiaTheme="minorEastAsia" w:cstheme="minorEastAsia"/>
          <w:color w:val="auto"/>
          <w:shd w:val="clear" w:color="auto" w:fill="FFFFFF"/>
          <w:lang w:val="en-US" w:eastAsia="zh-CN"/>
        </w:rPr>
        <w:t>3</w:t>
      </w:r>
      <w:r>
        <w:rPr>
          <w:rFonts w:hint="eastAsia" w:asciiTheme="minorEastAsia" w:hAnsiTheme="minorEastAsia" w:eastAsiaTheme="minorEastAsia" w:cstheme="minorEastAsia"/>
          <w:color w:val="auto"/>
          <w:shd w:val="clear" w:color="auto" w:fill="FFFFFF"/>
        </w:rPr>
        <w:t>]王白璐</w:t>
      </w:r>
      <w:r>
        <w:rPr>
          <w:rFonts w:hint="eastAsia" w:asciiTheme="minorEastAsia" w:hAnsiTheme="minorEastAsia" w:eastAsiaTheme="minorEastAsia" w:cstheme="minorEastAsia"/>
          <w:color w:val="auto"/>
          <w:shd w:val="clear" w:color="auto" w:fill="FFFFFF"/>
          <w:lang w:val="en-US" w:eastAsia="zh-CN"/>
        </w:rPr>
        <w:t xml:space="preserve">. </w:t>
      </w:r>
      <w:r>
        <w:rPr>
          <w:rFonts w:hint="eastAsia" w:asciiTheme="minorEastAsia" w:hAnsiTheme="minorEastAsia" w:eastAsiaTheme="minorEastAsia" w:cstheme="minorEastAsia"/>
          <w:color w:val="auto"/>
          <w:shd w:val="clear" w:color="auto" w:fill="FFFFFF"/>
        </w:rPr>
        <w:t>医疗器械临床试验机构操作手册 [M]. 北京：人民卫生出版社，2022.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906"/>
        <w:gridCol w:w="915"/>
        <w:gridCol w:w="2459"/>
        <w:gridCol w:w="2853"/>
        <w:gridCol w:w="1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lang w:val="en-US" w:eastAsia="zh-CN"/>
              </w:rPr>
              <w:t>序</w:t>
            </w:r>
            <w:r>
              <w:rPr>
                <w:rFonts w:hint="eastAsia" w:ascii="宋体" w:hAnsi="宋体"/>
                <w:color w:val="auto"/>
                <w:sz w:val="21"/>
                <w:szCs w:val="21"/>
              </w:rPr>
              <w:t>号</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kern w:val="2"/>
                <w:sz w:val="21"/>
                <w:szCs w:val="21"/>
                <w:lang w:val="en-US" w:eastAsia="zh-CN" w:bidi="ar-SA"/>
              </w:rPr>
            </w:pPr>
            <w:r>
              <w:rPr>
                <w:rFonts w:hint="eastAsia" w:ascii="宋体" w:hAnsi="宋体"/>
                <w:color w:val="auto"/>
                <w:sz w:val="21"/>
                <w:szCs w:val="21"/>
                <w:lang w:val="en-US" w:eastAsia="zh-CN"/>
              </w:rPr>
              <w:t>修订前版本号</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宋体"/>
                <w:color w:val="auto"/>
                <w:kern w:val="2"/>
                <w:sz w:val="21"/>
                <w:szCs w:val="21"/>
                <w:lang w:val="en-US" w:eastAsia="zh-CN" w:bidi="ar-SA"/>
              </w:rPr>
            </w:pPr>
            <w:r>
              <w:rPr>
                <w:rFonts w:hint="eastAsia" w:ascii="宋体" w:hAnsi="宋体"/>
                <w:color w:val="auto"/>
                <w:sz w:val="21"/>
                <w:szCs w:val="21"/>
                <w:lang w:val="en-US" w:eastAsia="zh-CN"/>
              </w:rPr>
              <w:t>修订后版本号</w:t>
            </w:r>
          </w:p>
        </w:tc>
        <w:tc>
          <w:tcPr>
            <w:tcW w:w="2459"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修订原因、依据</w:t>
            </w:r>
          </w:p>
        </w:tc>
        <w:tc>
          <w:tcPr>
            <w:tcW w:w="2853"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修订内容</w:t>
            </w:r>
          </w:p>
        </w:tc>
        <w:tc>
          <w:tcPr>
            <w:tcW w:w="167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Theme="minorEastAsia"/>
                <w:color w:val="auto"/>
                <w:sz w:val="21"/>
                <w:szCs w:val="21"/>
                <w:lang w:val="en-US" w:eastAsia="zh-CN"/>
              </w:rPr>
            </w:pPr>
            <w:r>
              <w:rPr>
                <w:rFonts w:hint="eastAsia" w:ascii="宋体" w:hAnsi="宋体"/>
                <w:color w:val="auto"/>
                <w:sz w:val="21"/>
                <w:szCs w:val="21"/>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3.0</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3.1</w:t>
            </w:r>
          </w:p>
        </w:tc>
        <w:tc>
          <w:tcPr>
            <w:tcW w:w="24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1.修订试验医疗器械接收时对产品检验报告的相关要求和规定。</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2.为保证人员职责的严谨性，新增参考文献。</w:t>
            </w:r>
          </w:p>
        </w:tc>
        <w:tc>
          <w:tcPr>
            <w:tcW w:w="285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1.修订第3项第2条相关试验医疗器械产品检验报告的规定。</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2.新增参考文献。</w:t>
            </w:r>
          </w:p>
        </w:tc>
        <w:tc>
          <w:tcPr>
            <w:tcW w:w="16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eastAsia" w:ascii="宋体" w:hAnsi="宋体"/>
                <w:color w:val="auto"/>
                <w:sz w:val="21"/>
                <w:szCs w:val="21"/>
                <w:lang w:val="en-US" w:eastAsia="zh-CN"/>
              </w:rPr>
            </w:pPr>
          </w:p>
        </w:tc>
      </w:tr>
    </w:tbl>
    <w:p>
      <w:pPr>
        <w:rPr>
          <w:rFonts w:hint="eastAsia"/>
          <w:color w:val="auto"/>
        </w:rPr>
        <w:sectPr>
          <w:headerReference r:id="rId33" w:type="default"/>
          <w:footerReference r:id="rId34" w:type="default"/>
          <w:pgSz w:w="11906" w:h="16838"/>
          <w:pgMar w:top="1417" w:right="1191" w:bottom="1474" w:left="1474" w:header="0" w:footer="992" w:gutter="0"/>
          <w:pgNumType w:fmt="decimal" w:start="1"/>
          <w:cols w:space="0" w:num="1"/>
          <w:rtlGutter w:val="0"/>
          <w:docGrid w:type="lines" w:linePitch="312" w:charSpace="0"/>
        </w:sectPr>
      </w:pPr>
    </w:p>
    <w:p>
      <w:pPr>
        <w:pStyle w:val="36"/>
        <w:tabs>
          <w:tab w:val="left" w:pos="2790"/>
        </w:tabs>
        <w:spacing w:line="360" w:lineRule="auto"/>
        <w:ind w:left="142" w:firstLine="2811" w:firstLineChars="1000"/>
        <w:rPr>
          <w:rFonts w:ascii="黑体" w:hAnsi="黑体" w:eastAsia="黑体" w:cs="黑体"/>
          <w:b/>
          <w:color w:val="auto"/>
          <w:sz w:val="28"/>
          <w:szCs w:val="28"/>
        </w:rPr>
      </w:pPr>
      <w:r>
        <w:rPr>
          <w:rFonts w:hint="eastAsia" w:ascii="黑体" w:hAnsi="黑体" w:eastAsia="黑体" w:cs="黑体"/>
          <w:b/>
          <w:color w:val="auto"/>
          <w:sz w:val="28"/>
          <w:szCs w:val="28"/>
        </w:rPr>
        <w:t>机构办公室副主任职责</w:t>
      </w:r>
    </w:p>
    <w:p>
      <w:pPr>
        <w:pStyle w:val="2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0" w:firstLineChars="0"/>
        <w:textAlignment w:val="auto"/>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一、分管临床试验机构办公室的部分日常工作；</w:t>
      </w:r>
    </w:p>
    <w:p>
      <w:pPr>
        <w:pStyle w:val="2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0" w:firstLineChars="0"/>
        <w:textAlignment w:val="auto"/>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二、 协助办公室主任组织管理制度及SOP的制定、修改等；</w:t>
      </w:r>
    </w:p>
    <w:p>
      <w:pPr>
        <w:pStyle w:val="2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0" w:firstLineChars="0"/>
        <w:textAlignment w:val="auto"/>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三、审查临床试验的合同内容，确保合同的职责分明，具有公平性、明确性以及可实施性，协助临床试验机构负责人与申办者临床试验实施的合同签署。</w:t>
      </w:r>
    </w:p>
    <w:p>
      <w:pPr>
        <w:pStyle w:val="2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0" w:firstLineChars="0"/>
        <w:textAlignment w:val="auto"/>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四、协助办公室主任对临床试验项目的合同履行情况进行监控。</w:t>
      </w:r>
    </w:p>
    <w:p>
      <w:pPr>
        <w:pStyle w:val="2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0" w:firstLineChars="0"/>
        <w:textAlignment w:val="auto"/>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五、协助办公室主任对临床试验项目的进度进行监控</w:t>
      </w:r>
    </w:p>
    <w:p>
      <w:pPr>
        <w:pStyle w:val="2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0" w:firstLineChars="0"/>
        <w:textAlignment w:val="auto"/>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六、负责接收审核临床试验合同，协助临床试验机构负责人与申办者临床试验实施的合同签署，合同审核通过后呈主管副院长签署、签章。</w:t>
      </w:r>
    </w:p>
    <w:p>
      <w:pPr>
        <w:pStyle w:val="2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0" w:firstLineChars="0"/>
        <w:textAlignment w:val="auto"/>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七、负责确认临床试验受试者相关费用的报销。</w:t>
      </w:r>
    </w:p>
    <w:p>
      <w:pPr>
        <w:pStyle w:val="2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0" w:firstLineChars="0"/>
        <w:textAlignment w:val="auto"/>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八、负责与PI或研究助理一起核对结题项目的临床试验经费到账情况。</w:t>
      </w:r>
    </w:p>
    <w:p>
      <w:pPr>
        <w:pStyle w:val="2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0" w:firstLineChars="0"/>
        <w:textAlignment w:val="auto"/>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九、协助机构</w:t>
      </w:r>
      <w:r>
        <w:rPr>
          <w:rFonts w:hint="eastAsia" w:cs="宋体"/>
          <w:color w:val="auto"/>
          <w:sz w:val="24"/>
          <w:szCs w:val="24"/>
          <w:shd w:val="clear" w:color="auto" w:fill="FFFFFF"/>
          <w:lang w:val="en-US" w:eastAsia="zh-CN"/>
        </w:rPr>
        <w:t>办公室</w:t>
      </w:r>
      <w:r>
        <w:rPr>
          <w:rFonts w:hint="eastAsia" w:ascii="宋体" w:hAnsi="宋体" w:eastAsia="宋体" w:cs="宋体"/>
          <w:color w:val="auto"/>
          <w:sz w:val="24"/>
          <w:szCs w:val="24"/>
          <w:shd w:val="clear" w:color="auto" w:fill="FFFFFF"/>
        </w:rPr>
        <w:t>主任审核临床试验劳务费分配情况。</w:t>
      </w:r>
    </w:p>
    <w:p>
      <w:pPr>
        <w:pStyle w:val="2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0" w:firstLineChars="0"/>
        <w:textAlignment w:val="auto"/>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十、协助办公室主任做好科室工作人员的考勤记录、假期登记。</w:t>
      </w:r>
    </w:p>
    <w:p>
      <w:pPr>
        <w:pStyle w:val="24"/>
        <w:spacing w:before="0" w:beforeAutospacing="0" w:after="0" w:afterAutospacing="0" w:line="450" w:lineRule="atLeast"/>
        <w:rPr>
          <w:rFonts w:hint="eastAsia" w:ascii="宋体" w:hAnsi="宋体" w:eastAsia="宋体" w:cs="宋体"/>
          <w:b/>
          <w:bCs/>
          <w:color w:val="auto"/>
          <w:sz w:val="24"/>
          <w:szCs w:val="24"/>
          <w:shd w:val="clear" w:color="auto" w:fill="FFFFFF"/>
        </w:rPr>
      </w:pPr>
      <w:r>
        <w:rPr>
          <w:rFonts w:hint="eastAsia" w:ascii="宋体" w:hAnsi="宋体" w:eastAsia="宋体" w:cs="宋体"/>
          <w:b/>
          <w:bCs/>
          <w:color w:val="auto"/>
          <w:sz w:val="24"/>
          <w:szCs w:val="24"/>
          <w:shd w:val="clear" w:color="auto" w:fill="FFFFFF"/>
        </w:rPr>
        <w:t>参考文献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[1]国家药监局 国家卫生健康委. 关于发布药物临床试验质量管理规范的公告（2020年第57号）[EB/OL].[2020-04-26]. https://www.nmpa.gov.cn/zhuanti/ypzhcglbf/ypzhcglbfzhcwj/20200426162401243.html.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[2]国家药品监督管理局，国家卫生健康委员会. 关于发布《医疗器械临床试验质量管理规范》的公告（2022年第28号）.[2022-03-31]. https://www.nmpa.gov.cn/xxgk/ggtg/qtggtg/20220331144903101.html.</w:t>
      </w:r>
    </w:p>
    <w:p>
      <w:pPr>
        <w:pStyle w:val="24"/>
        <w:spacing w:before="0" w:beforeAutospacing="0" w:after="0" w:afterAutospacing="0" w:line="450" w:lineRule="atLeast"/>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w:t>
      </w:r>
      <w:r>
        <w:rPr>
          <w:rFonts w:hint="eastAsia" w:cs="宋体"/>
          <w:color w:val="auto"/>
          <w:sz w:val="24"/>
          <w:szCs w:val="24"/>
          <w:shd w:val="clear" w:color="auto" w:fill="FFFFFF"/>
          <w:lang w:val="en-US" w:eastAsia="zh-CN"/>
        </w:rPr>
        <w:t>3</w:t>
      </w:r>
      <w:r>
        <w:rPr>
          <w:rFonts w:hint="eastAsia" w:ascii="宋体" w:hAnsi="宋体" w:eastAsia="宋体" w:cs="宋体"/>
          <w:color w:val="auto"/>
          <w:sz w:val="24"/>
          <w:szCs w:val="24"/>
          <w:shd w:val="clear" w:color="auto" w:fill="FFFFFF"/>
        </w:rPr>
        <w:t>]高 荣，宁靖，王安娜，等. 从药物临床试验数据核查看药物临床试验机构的职责履行情况. 中国新药杂志，2019,28（20）：2518-2523.</w:t>
      </w:r>
    </w:p>
    <w:p>
      <w:pPr>
        <w:spacing w:line="360" w:lineRule="auto"/>
        <w:jc w:val="center"/>
        <w:rPr>
          <w:rFonts w:hint="eastAsia" w:ascii="黑体" w:hAnsi="黑体" w:eastAsia="黑体" w:cs="黑体"/>
          <w:b/>
          <w:bCs/>
          <w:color w:val="auto"/>
          <w:sz w:val="28"/>
          <w:szCs w:val="28"/>
        </w:rPr>
        <w:sectPr>
          <w:headerReference r:id="rId35" w:type="default"/>
          <w:footerReference r:id="rId36" w:type="default"/>
          <w:pgSz w:w="11906" w:h="16838"/>
          <w:pgMar w:top="1417" w:right="1191" w:bottom="1474" w:left="1474" w:header="0" w:footer="992" w:gutter="0"/>
          <w:pgNumType w:fmt="decimal" w:start="1"/>
          <w:cols w:space="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highlight w:val="none"/>
          <w:lang w:val="en-US" w:eastAsia="zh-CN"/>
        </w:rPr>
      </w:pPr>
      <w:r>
        <w:rPr>
          <w:rFonts w:hint="eastAsia" w:ascii="黑体" w:hAnsi="黑体" w:eastAsia="黑体" w:cs="黑体"/>
          <w:color w:val="auto"/>
          <w:sz w:val="28"/>
          <w:szCs w:val="28"/>
          <w:highlight w:val="none"/>
        </w:rPr>
        <w:t>临床</w:t>
      </w:r>
      <w:r>
        <w:rPr>
          <w:rFonts w:hint="eastAsia" w:ascii="黑体" w:hAnsi="黑体" w:eastAsia="黑体" w:cs="黑体"/>
          <w:color w:val="auto"/>
          <w:sz w:val="28"/>
          <w:szCs w:val="28"/>
          <w:highlight w:val="none"/>
          <w:lang w:val="en-US" w:eastAsia="zh-CN"/>
        </w:rPr>
        <w:t>研究</w:t>
      </w:r>
      <w:r>
        <w:rPr>
          <w:rFonts w:hint="eastAsia" w:ascii="黑体" w:hAnsi="黑体" w:eastAsia="黑体" w:cs="黑体"/>
          <w:color w:val="auto"/>
          <w:sz w:val="28"/>
          <w:szCs w:val="28"/>
          <w:highlight w:val="none"/>
        </w:rPr>
        <w:t>协调员（CRC）</w:t>
      </w:r>
      <w:r>
        <w:rPr>
          <w:rFonts w:hint="eastAsia" w:ascii="黑体" w:hAnsi="黑体" w:eastAsia="黑体" w:cs="黑体"/>
          <w:color w:val="auto"/>
          <w:sz w:val="28"/>
          <w:szCs w:val="28"/>
          <w:highlight w:val="none"/>
          <w:lang w:val="en-US" w:eastAsia="zh-CN"/>
        </w:rPr>
        <w:t>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临床研究协调员(CRC)是临床试验实施过程中的参与者与协调者，在主要研究者授权下协助研究者进行工作，但不能替代研究者进行医学判断类及未授权工作。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1.临床试验开始前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协助跟进立项资料准备及进展，及时反馈给申办者/CRO。</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协助研究者完成伦理审查申请材料递交，跟进伦理审查结果并领取伦理审查意见，及时将审查结果告知申办者/CRO。</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协助研究者完成人类遗传资源管理办公室备案或审批所需材料的准备和递交。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协助跟进临床试验合同签署。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协调机构/研究者和申办者/CRO之间的启动会相关事宜。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协助跟进完成电子数据系统相关账号申请、培训等准备事宜。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val="en-US" w:eastAsia="zh-CN"/>
        </w:rPr>
        <w:t>熟悉临床试验方案，并且了解工作范围与内容。CRC需根据项目分工授权表中被授权的工作，明确自己的职责。CRC还需确认被授权的工作内容是否合理，如有疑问，及时与研究者和申办者/CRO沟通。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2.临床试验进行中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CRC根据项目制定的招募计划、招募方法协助研究者进行受试者</w:t>
      </w:r>
      <w:r>
        <w:rPr>
          <w:rFonts w:hint="eastAsia" w:ascii="宋体" w:hAnsi="宋体" w:cs="宋体"/>
          <w:color w:val="auto"/>
          <w:sz w:val="24"/>
          <w:szCs w:val="24"/>
          <w:lang w:val="en-US" w:eastAsia="zh-CN"/>
        </w:rPr>
        <w:t>招募</w:t>
      </w:r>
      <w:r>
        <w:rPr>
          <w:rFonts w:hint="eastAsia" w:ascii="宋体" w:hAnsi="宋体" w:eastAsia="宋体" w:cs="宋体"/>
          <w:color w:val="auto"/>
          <w:sz w:val="24"/>
          <w:szCs w:val="24"/>
          <w:lang w:val="en-US" w:eastAsia="zh-CN"/>
        </w:rPr>
        <w:t>并在临床试验过程中协助研究者完成受试者管理工作。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提醒研究者将临床试验过程中所有取得的数据准确、完整、清晰，及时地记录在源文件中，包括异常情况的记录。协助研究做好项目资料的保存与更新。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每次受试者随访后，CRC应在规定时间内将原始数据</w:t>
      </w:r>
      <w:r>
        <w:rPr>
          <w:rFonts w:hint="eastAsia" w:ascii="宋体" w:hAnsi="宋体" w:cs="宋体"/>
          <w:color w:val="auto"/>
          <w:sz w:val="24"/>
          <w:szCs w:val="24"/>
          <w:lang w:val="en-US" w:eastAsia="zh-CN"/>
        </w:rPr>
        <w:t>真</w:t>
      </w:r>
      <w:r>
        <w:rPr>
          <w:rFonts w:hint="eastAsia" w:ascii="宋体" w:hAnsi="宋体" w:eastAsia="宋体" w:cs="宋体"/>
          <w:color w:val="auto"/>
          <w:sz w:val="24"/>
          <w:szCs w:val="24"/>
          <w:lang w:val="en-US" w:eastAsia="zh-CN"/>
        </w:rPr>
        <w:t>实、准确、完整、及时地转录至病例报告表中，协助研究者回答非</w:t>
      </w:r>
      <w:r>
        <w:rPr>
          <w:rFonts w:hint="eastAsia" w:ascii="宋体" w:hAnsi="宋体" w:cs="宋体"/>
          <w:color w:val="auto"/>
          <w:sz w:val="24"/>
          <w:szCs w:val="24"/>
          <w:lang w:val="en-US" w:eastAsia="zh-CN"/>
        </w:rPr>
        <w:t>医</w:t>
      </w:r>
      <w:r>
        <w:rPr>
          <w:rFonts w:hint="eastAsia" w:ascii="宋体" w:hAnsi="宋体" w:eastAsia="宋体" w:cs="宋体"/>
          <w:color w:val="auto"/>
          <w:sz w:val="24"/>
          <w:szCs w:val="24"/>
          <w:lang w:val="en-US" w:eastAsia="zh-CN"/>
        </w:rPr>
        <w:t>学判断性质的数据质疑。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协助</w:t>
      </w:r>
      <w:r>
        <w:rPr>
          <w:rFonts w:hint="eastAsia" w:ascii="宋体" w:hAnsi="宋体" w:cs="宋体"/>
          <w:color w:val="auto"/>
          <w:sz w:val="24"/>
          <w:szCs w:val="24"/>
          <w:lang w:val="en-US" w:eastAsia="zh-CN"/>
        </w:rPr>
        <w:t>药物/</w:t>
      </w:r>
      <w:r>
        <w:rPr>
          <w:rFonts w:hint="eastAsia" w:ascii="宋体" w:hAnsi="宋体" w:eastAsia="宋体" w:cs="宋体"/>
          <w:color w:val="auto"/>
          <w:sz w:val="24"/>
          <w:szCs w:val="24"/>
          <w:lang w:val="en-US" w:eastAsia="zh-CN"/>
        </w:rPr>
        <w:t>医疗器械管理员完成</w:t>
      </w:r>
      <w:r>
        <w:rPr>
          <w:rFonts w:hint="eastAsia" w:ascii="宋体" w:hAnsi="宋体" w:cs="宋体"/>
          <w:color w:val="auto"/>
          <w:sz w:val="24"/>
          <w:szCs w:val="24"/>
          <w:lang w:val="en-US" w:eastAsia="zh-CN"/>
        </w:rPr>
        <w:t>药物/</w:t>
      </w:r>
      <w:r>
        <w:rPr>
          <w:rFonts w:hint="eastAsia" w:ascii="宋体" w:hAnsi="宋体" w:eastAsia="宋体" w:cs="宋体"/>
          <w:color w:val="auto"/>
          <w:sz w:val="24"/>
          <w:szCs w:val="24"/>
          <w:lang w:val="en-US" w:eastAsia="zh-CN"/>
        </w:rPr>
        <w:t>医疗器械的管理，并督促</w:t>
      </w:r>
      <w:r>
        <w:rPr>
          <w:rFonts w:hint="eastAsia" w:ascii="宋体" w:hAnsi="宋体" w:cs="宋体"/>
          <w:color w:val="auto"/>
          <w:sz w:val="24"/>
          <w:szCs w:val="24"/>
          <w:lang w:val="en-US" w:eastAsia="zh-CN"/>
        </w:rPr>
        <w:t>药物/</w:t>
      </w:r>
      <w:r>
        <w:rPr>
          <w:rFonts w:hint="eastAsia" w:ascii="宋体" w:hAnsi="宋体" w:eastAsia="宋体" w:cs="宋体"/>
          <w:color w:val="auto"/>
          <w:sz w:val="24"/>
          <w:szCs w:val="24"/>
          <w:lang w:val="en-US" w:eastAsia="zh-CN"/>
        </w:rPr>
        <w:t>医疗器械管理员完成相关记录。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协助研究者完成生物样本的管理工作。例如采集样本前的准备，样本的处理、保存和运送工作，并完成相应记录。及时清点耗材数量，按照项目组要求提前申请；定期核对耗材有效期，避免过期使用。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协助研究者做好试验相关物资管理，如各种表格文件、各种耗材接收与使用，仪器设备维护等。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val="en-US" w:eastAsia="zh-CN"/>
        </w:rPr>
        <w:t>协助主要研究者向伦理委员会提交跟踪审查资料，例如研究进展、严重不良事件、试验方案偏离或修订等报告或申请。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（8）</w:t>
      </w:r>
      <w:r>
        <w:rPr>
          <w:rFonts w:hint="eastAsia" w:ascii="宋体" w:hAnsi="宋体" w:eastAsia="宋体" w:cs="宋体"/>
          <w:color w:val="auto"/>
          <w:sz w:val="24"/>
          <w:szCs w:val="24"/>
          <w:lang w:val="en-US" w:eastAsia="zh-CN"/>
        </w:rPr>
        <w:t>协助研究者配合监查员监查、机构质控、第三方稽查和监管部门检查，及时跟进发现的问题，解决CRC授权范围内的工作。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（9）</w:t>
      </w:r>
      <w:r>
        <w:rPr>
          <w:rFonts w:hint="eastAsia" w:ascii="宋体" w:hAnsi="宋体" w:eastAsia="宋体" w:cs="宋体"/>
          <w:color w:val="auto"/>
          <w:sz w:val="24"/>
          <w:szCs w:val="24"/>
          <w:lang w:val="en-US" w:eastAsia="zh-CN"/>
        </w:rPr>
        <w:t>CRC协助研究者与受试者、临床试验机构、伦理委员会、辅助科室、申办者/CRO、第三方(例如稽查机构、中心实验室、独立阅片中心)等进行沟通协调。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根据临床试验项目具体要求，CRC还需协助研究者完成其他相关工作。</w:t>
      </w:r>
    </w:p>
    <w:p>
      <w:pPr>
        <w:keepNext w:val="0"/>
        <w:keepLines w:val="0"/>
        <w:pageBreakBefore w:val="0"/>
        <w:widowControl w:val="0"/>
        <w:tabs>
          <w:tab w:val="left" w:pos="6154"/>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3.临床试验结束时</w:t>
      </w:r>
      <w:r>
        <w:rPr>
          <w:rFonts w:hint="eastAsia" w:ascii="宋体" w:hAnsi="宋体" w:eastAsia="宋体" w:cs="宋体"/>
          <w:color w:val="auto"/>
          <w:sz w:val="24"/>
          <w:szCs w:val="24"/>
          <w:lang w:val="en-US" w:eastAsia="zh-CN"/>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协助清点、返还</w:t>
      </w:r>
      <w:r>
        <w:rPr>
          <w:rFonts w:hint="eastAsia" w:ascii="宋体" w:hAnsi="宋体" w:cs="宋体"/>
          <w:color w:val="auto"/>
          <w:sz w:val="24"/>
          <w:szCs w:val="24"/>
          <w:lang w:val="en-US" w:eastAsia="zh-CN"/>
        </w:rPr>
        <w:t>药物/</w:t>
      </w:r>
      <w:r>
        <w:rPr>
          <w:rFonts w:hint="eastAsia" w:ascii="宋体" w:hAnsi="宋体" w:eastAsia="宋体" w:cs="宋体"/>
          <w:color w:val="auto"/>
          <w:sz w:val="24"/>
          <w:szCs w:val="24"/>
          <w:lang w:val="en-US" w:eastAsia="zh-CN"/>
        </w:rPr>
        <w:t>医疗器械给申办者。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协助清点检查所有物资和仪器设备，按申办者/CRO要求和临床试验合同进行处理。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协助研究者向机构与伦理委员会递交试验结束相关资料。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协助整理和归档临床试验项目资料。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color w:val="auto"/>
          <w:sz w:val="24"/>
          <w:szCs w:val="24"/>
          <w:lang w:val="en-US" w:eastAsia="zh-CN"/>
        </w:rPr>
      </w:pPr>
      <w:r>
        <w:rPr>
          <w:rFonts w:hint="eastAsia"/>
          <w:b/>
          <w:bCs/>
          <w:color w:val="auto"/>
          <w:sz w:val="24"/>
          <w:szCs w:val="24"/>
          <w:lang w:val="en-US" w:eastAsia="zh-CN"/>
        </w:rPr>
        <w:t>参考文献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color w:val="auto"/>
          <w:shd w:val="clear" w:color="auto" w:fill="FFFFFF"/>
        </w:rPr>
      </w:pPr>
      <w:r>
        <w:rPr>
          <w:rFonts w:hint="eastAsia" w:ascii="宋体" w:hAnsi="宋体" w:eastAsia="宋体" w:cs="宋体"/>
          <w:color w:val="auto"/>
          <w:shd w:val="clear" w:color="auto" w:fill="FFFFFF"/>
        </w:rPr>
        <w:t>[1]国家药监局 国家卫生健康委. 关于发布药物临床试验质量管理规范的公告（2020年第57号）[EB/OL].[2020-04-26]. https://www.nmpa.gov.cn/zhuanti/ypzhcglbf/ypzhcglbfzhcwj/20200426162401243.html.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color w:val="auto"/>
          <w:shd w:val="clear" w:color="auto" w:fill="FFFFFF"/>
        </w:rPr>
      </w:pPr>
      <w:r>
        <w:rPr>
          <w:rFonts w:hint="eastAsia" w:ascii="宋体" w:hAnsi="宋体" w:eastAsia="宋体" w:cs="宋体"/>
          <w:color w:val="auto"/>
          <w:shd w:val="clear" w:color="auto" w:fill="FFFFFF"/>
        </w:rPr>
        <w:t>[2]国家药品监督管理局，国家卫生健康委员会. 关于发布《医疗器械临床试验质量管理规范》的公告（2022年第28号）.[2022-03-31]. https://www.nmpa.gov.cn/xxgk/ggtg/qtggtg/20220331144903101.html.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textAlignment w:val="auto"/>
        <w:rPr>
          <w:rFonts w:hint="default" w:ascii="宋体" w:hAnsi="宋体" w:eastAsia="宋体" w:cs="宋体"/>
          <w:color w:val="auto"/>
          <w:shd w:val="clear" w:color="auto" w:fill="FFFFFF"/>
          <w:lang w:val="en-US" w:eastAsia="zh-CN"/>
        </w:rPr>
      </w:pPr>
      <w:r>
        <w:rPr>
          <w:rFonts w:hint="default" w:ascii="宋体" w:hAnsi="宋体" w:eastAsia="宋体" w:cs="宋体"/>
          <w:color w:val="auto"/>
          <w:shd w:val="clear" w:color="auto" w:fill="FFFFFF"/>
          <w:lang w:val="en-US" w:eastAsia="zh-CN"/>
        </w:rPr>
        <w:t>[</w:t>
      </w:r>
      <w:r>
        <w:rPr>
          <w:rFonts w:hint="eastAsia" w:ascii="宋体" w:hAnsi="宋体" w:eastAsia="宋体" w:cs="宋体"/>
          <w:color w:val="auto"/>
          <w:shd w:val="clear" w:color="auto" w:fill="FFFFFF"/>
          <w:lang w:val="en-US" w:eastAsia="zh-CN"/>
        </w:rPr>
        <w:t>3</w:t>
      </w:r>
      <w:r>
        <w:rPr>
          <w:rFonts w:hint="default" w:ascii="宋体" w:hAnsi="宋体" w:eastAsia="宋体" w:cs="宋体"/>
          <w:color w:val="auto"/>
          <w:shd w:val="clear" w:color="auto" w:fill="FFFFFF"/>
          <w:lang w:val="en-US" w:eastAsia="zh-CN"/>
        </w:rPr>
        <w:t>]王白璐</w:t>
      </w:r>
      <w:r>
        <w:rPr>
          <w:rFonts w:hint="eastAsia" w:cs="宋体"/>
          <w:color w:val="auto"/>
          <w:shd w:val="clear" w:color="auto" w:fill="FFFFFF"/>
          <w:lang w:val="en-US" w:eastAsia="zh-CN"/>
        </w:rPr>
        <w:t xml:space="preserve">. </w:t>
      </w:r>
      <w:r>
        <w:rPr>
          <w:rFonts w:hint="default" w:ascii="宋体" w:hAnsi="宋体" w:eastAsia="宋体" w:cs="宋体"/>
          <w:color w:val="auto"/>
          <w:shd w:val="clear" w:color="auto" w:fill="FFFFFF"/>
          <w:lang w:val="en-US" w:eastAsia="zh-CN"/>
        </w:rPr>
        <w:t>医疗器械临床试验机构操作手册 [M]. 北京：人民卫生出版社，2022.</w:t>
      </w:r>
    </w:p>
    <w:p>
      <w:pPr>
        <w:keepNext w:val="0"/>
        <w:keepLines w:val="0"/>
        <w:pageBreakBefore w:val="0"/>
        <w:kinsoku/>
        <w:overflowPunct/>
        <w:topLinePunct w:val="0"/>
        <w:autoSpaceDE/>
        <w:autoSpaceDN/>
        <w:bidi w:val="0"/>
        <w:adjustRightInd/>
        <w:snapToGrid/>
        <w:spacing w:line="360" w:lineRule="auto"/>
        <w:textAlignment w:val="auto"/>
        <w:rPr>
          <w:rFonts w:hint="eastAsia"/>
          <w:color w:val="auto"/>
          <w:lang w:val="en-US" w:eastAsia="zh-CN"/>
        </w:rPr>
      </w:pPr>
    </w:p>
    <w:p>
      <w:pPr>
        <w:keepNext w:val="0"/>
        <w:keepLines w:val="0"/>
        <w:pageBreakBefore w:val="0"/>
        <w:kinsoku/>
        <w:overflowPunct/>
        <w:topLinePunct w:val="0"/>
        <w:autoSpaceDE/>
        <w:autoSpaceDN/>
        <w:bidi w:val="0"/>
        <w:adjustRightInd/>
        <w:snapToGrid/>
        <w:spacing w:line="360" w:lineRule="auto"/>
        <w:textAlignment w:val="auto"/>
        <w:rPr>
          <w:rFonts w:hint="eastAsia"/>
          <w:color w:val="auto"/>
        </w:rPr>
      </w:pPr>
    </w:p>
    <w:p>
      <w:pPr>
        <w:keepNext w:val="0"/>
        <w:keepLines w:val="0"/>
        <w:pageBreakBefore w:val="0"/>
        <w:kinsoku/>
        <w:overflowPunct/>
        <w:topLinePunct w:val="0"/>
        <w:autoSpaceDE/>
        <w:autoSpaceDN/>
        <w:bidi w:val="0"/>
        <w:adjustRightInd/>
        <w:snapToGrid/>
        <w:spacing w:line="360" w:lineRule="auto"/>
        <w:textAlignment w:val="auto"/>
        <w:rPr>
          <w:rFonts w:hint="eastAsia"/>
          <w:color w:val="auto"/>
        </w:rPr>
        <w:sectPr>
          <w:headerReference r:id="rId37" w:type="default"/>
          <w:footerReference r:id="rId38" w:type="default"/>
          <w:pgSz w:w="11906" w:h="16838"/>
          <w:pgMar w:top="1440" w:right="1191" w:bottom="1440" w:left="1474" w:header="851" w:footer="992" w:gutter="0"/>
          <w:pgNumType w:fmt="decimal" w:start="1"/>
          <w:cols w:space="720" w:num="1"/>
          <w:docGrid w:type="lines" w:linePitch="312" w:charSpace="0"/>
        </w:sectPr>
      </w:pPr>
    </w:p>
    <w:p>
      <w:pPr>
        <w:spacing w:line="360" w:lineRule="auto"/>
        <w:jc w:val="center"/>
        <w:rPr>
          <w:rFonts w:ascii="黑体" w:hAnsi="黑体" w:eastAsia="黑体" w:cs="黑体"/>
          <w:b/>
          <w:bCs/>
          <w:color w:val="auto"/>
          <w:sz w:val="28"/>
          <w:szCs w:val="28"/>
        </w:rPr>
      </w:pPr>
      <w:r>
        <w:rPr>
          <w:rFonts w:hint="eastAsia" w:ascii="黑体" w:hAnsi="黑体" w:eastAsia="黑体" w:cs="黑体"/>
          <w:b/>
          <w:bCs/>
          <w:color w:val="auto"/>
          <w:sz w:val="28"/>
          <w:szCs w:val="28"/>
        </w:rPr>
        <w:t>临床试验管理制度</w:t>
      </w:r>
    </w:p>
    <w:p>
      <w:pPr>
        <w:numPr>
          <w:ilvl w:val="0"/>
          <w:numId w:val="5"/>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目的</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所有在我院开展的药物</w:t>
      </w:r>
      <w:r>
        <w:rPr>
          <w:rFonts w:hint="eastAsia" w:asciiTheme="minorEastAsia" w:hAnsiTheme="minorEastAsia" w:cstheme="minorEastAsia"/>
          <w:color w:val="auto"/>
          <w:sz w:val="24"/>
          <w:szCs w:val="24"/>
          <w:lang w:eastAsia="zh-CN"/>
        </w:rPr>
        <w:t>或</w:t>
      </w:r>
      <w:r>
        <w:rPr>
          <w:rFonts w:hint="eastAsia" w:asciiTheme="minorEastAsia" w:hAnsiTheme="minorEastAsia" w:cstheme="minorEastAsia"/>
          <w:color w:val="auto"/>
          <w:sz w:val="24"/>
          <w:szCs w:val="24"/>
        </w:rPr>
        <w:t>医疗器械临床试验均应遵循法规、合法开展。</w:t>
      </w:r>
    </w:p>
    <w:p>
      <w:pPr>
        <w:numPr>
          <w:ilvl w:val="0"/>
          <w:numId w:val="5"/>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适用范围</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所有开展的药物</w:t>
      </w:r>
      <w:r>
        <w:rPr>
          <w:rFonts w:hint="eastAsia" w:asciiTheme="minorEastAsia" w:hAnsiTheme="minorEastAsia" w:cstheme="minorEastAsia"/>
          <w:color w:val="auto"/>
          <w:sz w:val="24"/>
          <w:szCs w:val="24"/>
          <w:lang w:eastAsia="zh-CN"/>
        </w:rPr>
        <w:t>或</w:t>
      </w:r>
      <w:r>
        <w:rPr>
          <w:rFonts w:hint="eastAsia" w:asciiTheme="minorEastAsia" w:hAnsiTheme="minorEastAsia" w:cstheme="minorEastAsia"/>
          <w:color w:val="auto"/>
          <w:sz w:val="24"/>
          <w:szCs w:val="24"/>
        </w:rPr>
        <w:t>医疗器械临床试验。</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三、制度</w:t>
      </w:r>
    </w:p>
    <w:p>
      <w:pPr>
        <w:numPr>
          <w:ilvl w:val="0"/>
          <w:numId w:val="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药物临床试验应遵循《药物临床试验质量管理规范（GCP）》，医疗器械临床试验应遵循《医疗器械</w:t>
      </w:r>
      <w:r>
        <w:rPr>
          <w:rFonts w:hint="eastAsia" w:asciiTheme="minorEastAsia" w:hAnsiTheme="minorEastAsia" w:cstheme="minorEastAsia"/>
          <w:color w:val="auto"/>
          <w:sz w:val="24"/>
          <w:szCs w:val="24"/>
          <w:lang w:eastAsia="zh-CN"/>
        </w:rPr>
        <w:t>临床</w:t>
      </w:r>
      <w:r>
        <w:rPr>
          <w:rFonts w:hint="eastAsia" w:asciiTheme="minorEastAsia" w:hAnsiTheme="minorEastAsia" w:cstheme="minorEastAsia"/>
          <w:color w:val="auto"/>
          <w:sz w:val="24"/>
          <w:szCs w:val="24"/>
        </w:rPr>
        <w:t>试验管理规范（GCP）》。</w:t>
      </w:r>
    </w:p>
    <w:p>
      <w:pPr>
        <w:numPr>
          <w:ilvl w:val="0"/>
          <w:numId w:val="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药物</w:t>
      </w:r>
      <w:r>
        <w:rPr>
          <w:rFonts w:hint="eastAsia" w:asciiTheme="minorEastAsia" w:hAnsiTheme="minorEastAsia" w:cstheme="minorEastAsia"/>
          <w:color w:val="auto"/>
          <w:sz w:val="24"/>
          <w:szCs w:val="24"/>
          <w:lang w:eastAsia="zh-CN"/>
        </w:rPr>
        <w:t>或</w:t>
      </w:r>
      <w:r>
        <w:rPr>
          <w:rFonts w:hint="eastAsia" w:asciiTheme="minorEastAsia" w:hAnsiTheme="minorEastAsia" w:cstheme="minorEastAsia"/>
          <w:color w:val="auto"/>
          <w:sz w:val="24"/>
          <w:szCs w:val="24"/>
        </w:rPr>
        <w:t>医疗器械临床试验机构备案后，按照相关法律法规和GCP要求，在备案地址和相应专业内开展药物</w:t>
      </w:r>
      <w:r>
        <w:rPr>
          <w:rFonts w:hint="eastAsia" w:asciiTheme="minorEastAsia" w:hAnsiTheme="minorEastAsia" w:cstheme="minorEastAsia"/>
          <w:color w:val="auto"/>
          <w:sz w:val="24"/>
          <w:szCs w:val="24"/>
          <w:lang w:eastAsia="zh-CN"/>
        </w:rPr>
        <w:t>或</w:t>
      </w:r>
      <w:r>
        <w:rPr>
          <w:rFonts w:hint="eastAsia" w:asciiTheme="minorEastAsia" w:hAnsiTheme="minorEastAsia" w:cstheme="minorEastAsia"/>
          <w:color w:val="auto"/>
          <w:sz w:val="24"/>
          <w:szCs w:val="24"/>
        </w:rPr>
        <w:t>医疗器械临床试验；</w:t>
      </w:r>
    </w:p>
    <w:p>
      <w:pPr>
        <w:numPr>
          <w:ilvl w:val="0"/>
          <w:numId w:val="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专业组在开展药物或医疗器械临床试验前，应向医院临床试验机构提出申请并获得批准，再报伦理委员会批准并签署各方协议后方可开展。</w:t>
      </w:r>
    </w:p>
    <w:p>
      <w:pPr>
        <w:numPr>
          <w:ilvl w:val="0"/>
          <w:numId w:val="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研究者应与申办者商定有关临床试验的费用，并在合同中写明。临床试验所需经费全部由申办者承担，所有试验经费统一归集到医院财务科。科室需按医院财务管理相关规定及合同约定合理使用临床试验经费。</w:t>
      </w:r>
    </w:p>
    <w:p>
      <w:pPr>
        <w:numPr>
          <w:ilvl w:val="0"/>
          <w:numId w:val="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临床试验应遵循GCP原则，严格按照研究方案执行，不能随意修改方案，若确需修改研究方案，应再报临床试验机构、伦理委员会审批通过后才能执行。</w:t>
      </w:r>
    </w:p>
    <w:p>
      <w:pPr>
        <w:numPr>
          <w:ilvl w:val="0"/>
          <w:numId w:val="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专业组只能按本专业承担相应的临床试验，不能进行非本专业领域的临床试验。不能将所承担的临床试验工作转给未获准进行临床试验的专业组。</w:t>
      </w:r>
    </w:p>
    <w:p>
      <w:pPr>
        <w:numPr>
          <w:ilvl w:val="0"/>
          <w:numId w:val="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参加临床试验的专业组及人员，应当熟悉临床试验用药物或试验用医疗器械的性质、作用、疗效和安全性，了解研究者的责任和义务；获得由受试者自愿签署的知情同意书；及时、准确、真实地做好临床试验记录。项目负责人是临床试验项目质量的主要责任人。</w:t>
      </w:r>
    </w:p>
    <w:p>
      <w:pPr>
        <w:numPr>
          <w:ilvl w:val="0"/>
          <w:numId w:val="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研究者负责做出与临床试验相关的医疗决定，保证受试者在试验期间出现不良事件时得到适当的治疗。临床试验中发生不良事件，研究者应积极采取有效措施，保护受试者的安全，对发生的严重不良事件，应按GCP的要求在规定时间内报告相关部门。</w:t>
      </w:r>
    </w:p>
    <w:p>
      <w:pPr>
        <w:numPr>
          <w:ilvl w:val="0"/>
          <w:numId w:val="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研究者必须保证所有试验用药物或试验用医疗器械仅用于该临床试验的受试者，其使用方法应当符合研究方案。研究者不得把试验用药物或试验用医疗器械转交任何非临床试验参加者。临床试验用药物或试验用医疗器械不得销售，剩余的试验用药物或试验用医疗器械退回申办者。                           </w:t>
      </w:r>
    </w:p>
    <w:p>
      <w:pPr>
        <w:numPr>
          <w:ilvl w:val="0"/>
          <w:numId w:val="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项目负责人在试验期间，对于时间超过一年的药物或医疗器械临床试验，应向临床试验机构和伦理委员会提交临床试验年度报告。</w:t>
      </w:r>
    </w:p>
    <w:p>
      <w:pPr>
        <w:numPr>
          <w:ilvl w:val="0"/>
          <w:numId w:val="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试验结束后项目负责人应严格审核临床试验中心小结和总结报告。</w:t>
      </w:r>
    </w:p>
    <w:p>
      <w:pPr>
        <w:numPr>
          <w:ilvl w:val="0"/>
          <w:numId w:val="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为确保临床试验的质量，项目组应主动配合监查员、机构质控员及上级主管部门的检查。</w:t>
      </w:r>
    </w:p>
    <w:p>
      <w:pPr>
        <w:numPr>
          <w:ilvl w:val="0"/>
          <w:numId w:val="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研究者提前终止或暂停一项临床试验</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strike w:val="0"/>
          <w:dstrike w:val="0"/>
          <w:color w:val="auto"/>
          <w:sz w:val="24"/>
          <w:szCs w:val="24"/>
        </w:rPr>
        <w:t>必须立即向专业组负责人、申办者、药物/医疗器械临床试验机构管理部门、伦理委员会报告，并提供详细的书面说明。及时通知受试者，并保证受试者得到适当治疗和随访。</w:t>
      </w:r>
    </w:p>
    <w:p>
      <w:pPr>
        <w:pStyle w:val="24"/>
        <w:spacing w:before="0" w:beforeAutospacing="0" w:after="0" w:afterAutospacing="0" w:line="450" w:lineRule="atLeast"/>
        <w:rPr>
          <w:rFonts w:hint="eastAsia" w:asciiTheme="minorEastAsia" w:hAnsiTheme="minorEastAsia" w:eastAsiaTheme="minorEastAsia" w:cstheme="minorEastAsia"/>
          <w:b/>
          <w:bCs/>
          <w:color w:val="auto"/>
          <w:shd w:val="clear" w:color="auto" w:fill="FFFFFF"/>
        </w:rPr>
      </w:pPr>
      <w:r>
        <w:rPr>
          <w:rFonts w:hint="eastAsia" w:asciiTheme="minorEastAsia" w:hAnsiTheme="minorEastAsia" w:eastAsiaTheme="minorEastAsia" w:cstheme="minorEastAsia"/>
          <w:b/>
          <w:bCs/>
          <w:color w:val="auto"/>
          <w:shd w:val="clear" w:color="auto" w:fill="FFFFFF"/>
        </w:rPr>
        <w:t>参考文献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[1]国家药监局 国家卫生健康委. 关于发布药物临床试验质量管理规范的公告（2020年第57号）[EB/OL].[2020-04-26]. https://www.nmpa.gov.cn/zhuanti/ypzhcglbf/ypzhcglbfzhcwj/20200426162401243.html.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[2]国家药品监督管理局，国家卫生健康委员会. 关于发布《医疗器械临床试验质量管理规范》的公告（2022年第28号）.[2022-03-31]. https://www.nmpa.gov.cn/xxgk/ggtg/qtggtg/20220331144903101.html.</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906"/>
        <w:gridCol w:w="915"/>
        <w:gridCol w:w="2459"/>
        <w:gridCol w:w="2853"/>
        <w:gridCol w:w="1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lang w:val="en-US" w:eastAsia="zh-CN"/>
              </w:rPr>
              <w:t>序</w:t>
            </w:r>
            <w:r>
              <w:rPr>
                <w:rFonts w:hint="eastAsia" w:ascii="宋体" w:hAnsi="宋体"/>
                <w:color w:val="auto"/>
                <w:sz w:val="21"/>
                <w:szCs w:val="21"/>
              </w:rPr>
              <w:t>号</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kern w:val="2"/>
                <w:sz w:val="21"/>
                <w:szCs w:val="21"/>
                <w:lang w:val="en-US" w:eastAsia="zh-CN" w:bidi="ar-SA"/>
              </w:rPr>
            </w:pPr>
            <w:r>
              <w:rPr>
                <w:rFonts w:hint="eastAsia" w:ascii="宋体" w:hAnsi="宋体"/>
                <w:color w:val="auto"/>
                <w:sz w:val="21"/>
                <w:szCs w:val="21"/>
                <w:lang w:val="en-US" w:eastAsia="zh-CN"/>
              </w:rPr>
              <w:t>修订前版本号</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宋体"/>
                <w:color w:val="auto"/>
                <w:kern w:val="2"/>
                <w:sz w:val="21"/>
                <w:szCs w:val="21"/>
                <w:lang w:val="en-US" w:eastAsia="zh-CN" w:bidi="ar-SA"/>
              </w:rPr>
            </w:pPr>
            <w:r>
              <w:rPr>
                <w:rFonts w:hint="eastAsia" w:ascii="宋体" w:hAnsi="宋体"/>
                <w:color w:val="auto"/>
                <w:sz w:val="21"/>
                <w:szCs w:val="21"/>
                <w:lang w:val="en-US" w:eastAsia="zh-CN"/>
              </w:rPr>
              <w:t>修订后版本号</w:t>
            </w:r>
          </w:p>
        </w:tc>
        <w:tc>
          <w:tcPr>
            <w:tcW w:w="2459"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修订原因、依据</w:t>
            </w:r>
          </w:p>
        </w:tc>
        <w:tc>
          <w:tcPr>
            <w:tcW w:w="2853"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修订内容</w:t>
            </w:r>
          </w:p>
        </w:tc>
        <w:tc>
          <w:tcPr>
            <w:tcW w:w="167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Theme="minorEastAsia"/>
                <w:color w:val="auto"/>
                <w:sz w:val="21"/>
                <w:szCs w:val="21"/>
                <w:lang w:val="en-US" w:eastAsia="zh-CN"/>
              </w:rPr>
            </w:pPr>
            <w:r>
              <w:rPr>
                <w:rFonts w:hint="eastAsia" w:ascii="宋体" w:hAnsi="宋体"/>
                <w:color w:val="auto"/>
                <w:sz w:val="21"/>
                <w:szCs w:val="21"/>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3.0</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3.1</w:t>
            </w:r>
          </w:p>
        </w:tc>
        <w:tc>
          <w:tcPr>
            <w:tcW w:w="24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t>1.根据现行版GCP，修订研究者提前终止或暂停试验相关规定和内容。</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2.为保证人员职责的严谨性，新增参考文献。</w:t>
            </w:r>
          </w:p>
        </w:tc>
        <w:tc>
          <w:tcPr>
            <w:tcW w:w="285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1.修订第13条研究者提前终止或暂停试验内容。</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2.新增参考文献。</w:t>
            </w:r>
          </w:p>
        </w:tc>
        <w:tc>
          <w:tcPr>
            <w:tcW w:w="16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eastAsia" w:ascii="宋体" w:hAnsi="宋体"/>
                <w:color w:val="auto"/>
                <w:sz w:val="21"/>
                <w:szCs w:val="21"/>
                <w:lang w:val="en-US" w:eastAsia="zh-CN"/>
              </w:rPr>
            </w:pPr>
          </w:p>
        </w:tc>
      </w:tr>
    </w:tbl>
    <w:p>
      <w:pPr>
        <w:spacing w:line="360" w:lineRule="auto"/>
        <w:rPr>
          <w:rFonts w:asciiTheme="minorEastAsia" w:hAnsiTheme="minorEastAsia" w:cstheme="minorEastAsia"/>
          <w:color w:val="auto"/>
          <w:sz w:val="24"/>
          <w:szCs w:val="24"/>
        </w:rPr>
      </w:pPr>
    </w:p>
    <w:p>
      <w:pPr>
        <w:spacing w:line="360" w:lineRule="auto"/>
        <w:ind w:firstLine="3092" w:firstLineChars="1100"/>
        <w:rPr>
          <w:rFonts w:ascii="黑体" w:hAnsi="黑体" w:eastAsia="黑体" w:cs="黑体"/>
          <w:b/>
          <w:color w:val="auto"/>
          <w:sz w:val="28"/>
          <w:szCs w:val="28"/>
        </w:rPr>
      </w:pPr>
    </w:p>
    <w:p>
      <w:pPr>
        <w:spacing w:line="360" w:lineRule="auto"/>
        <w:ind w:firstLine="3092" w:firstLineChars="1100"/>
        <w:rPr>
          <w:rFonts w:ascii="黑体" w:hAnsi="黑体" w:eastAsia="黑体" w:cs="黑体"/>
          <w:b/>
          <w:color w:val="auto"/>
          <w:sz w:val="28"/>
          <w:szCs w:val="28"/>
        </w:rPr>
      </w:pPr>
    </w:p>
    <w:p>
      <w:pPr>
        <w:spacing w:line="360" w:lineRule="auto"/>
        <w:ind w:firstLine="3092" w:firstLineChars="1100"/>
        <w:rPr>
          <w:rFonts w:ascii="黑体" w:hAnsi="黑体" w:eastAsia="黑体" w:cs="黑体"/>
          <w:b/>
          <w:color w:val="auto"/>
          <w:sz w:val="28"/>
          <w:szCs w:val="28"/>
        </w:rPr>
      </w:pPr>
    </w:p>
    <w:p>
      <w:pPr>
        <w:spacing w:line="360" w:lineRule="auto"/>
        <w:ind w:firstLine="3092" w:firstLineChars="1100"/>
        <w:rPr>
          <w:rFonts w:ascii="黑体" w:hAnsi="黑体" w:eastAsia="黑体" w:cs="黑体"/>
          <w:b/>
          <w:color w:val="auto"/>
          <w:sz w:val="28"/>
          <w:szCs w:val="28"/>
        </w:rPr>
      </w:pPr>
    </w:p>
    <w:p>
      <w:pPr>
        <w:spacing w:line="360" w:lineRule="auto"/>
        <w:ind w:firstLine="3092" w:firstLineChars="1100"/>
        <w:rPr>
          <w:rFonts w:ascii="黑体" w:hAnsi="黑体" w:eastAsia="黑体" w:cs="黑体"/>
          <w:b/>
          <w:color w:val="auto"/>
          <w:sz w:val="28"/>
          <w:szCs w:val="28"/>
        </w:rPr>
      </w:pPr>
    </w:p>
    <w:p>
      <w:pPr>
        <w:spacing w:line="480" w:lineRule="auto"/>
        <w:ind w:firstLine="2249" w:firstLineChars="800"/>
        <w:rPr>
          <w:rFonts w:ascii="黑体" w:hAnsi="黑体" w:eastAsia="黑体" w:cs="黑体"/>
          <w:b/>
          <w:color w:val="auto"/>
          <w:sz w:val="28"/>
          <w:szCs w:val="28"/>
        </w:rPr>
        <w:sectPr>
          <w:headerReference r:id="rId39" w:type="default"/>
          <w:footerReference r:id="rId40" w:type="default"/>
          <w:pgSz w:w="11906" w:h="16838"/>
          <w:pgMar w:top="1417" w:right="1191" w:bottom="1474" w:left="1474" w:header="0" w:footer="992" w:gutter="0"/>
          <w:pgNumType w:fmt="decimal" w:start="1"/>
          <w:cols w:space="0" w:num="1"/>
          <w:docGrid w:type="lines" w:linePitch="312" w:charSpace="0"/>
        </w:sectPr>
      </w:pPr>
    </w:p>
    <w:p>
      <w:pPr>
        <w:spacing w:line="0" w:lineRule="atLeast"/>
        <w:jc w:val="center"/>
        <w:rPr>
          <w:rFonts w:ascii="宋体" w:hAnsi="宋体" w:eastAsia="宋体"/>
          <w:b/>
          <w:color w:val="auto"/>
          <w:sz w:val="44"/>
        </w:rPr>
      </w:pPr>
      <w:r>
        <w:rPr>
          <w:rFonts w:hint="eastAsia" w:ascii="黑体" w:hAnsi="黑体" w:eastAsia="黑体" w:cs="黑体"/>
          <w:b/>
          <w:color w:val="auto"/>
          <w:sz w:val="28"/>
          <w:szCs w:val="28"/>
        </w:rPr>
        <w:t>临床试验运行管理制度</w:t>
      </w:r>
    </w:p>
    <w:p>
      <w:pPr>
        <w:numPr>
          <w:ilvl w:val="0"/>
          <w:numId w:val="7"/>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目的</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为进一步加强和规范我院临床试验机构的管理，促进机构建设，使机构管理规范化、制度化，提高我院临床研究质量，保证我院临床试验遵循赫尔辛基宣言，符合临床试验质量管理规范（GCP）的要求。</w:t>
      </w:r>
    </w:p>
    <w:p>
      <w:pPr>
        <w:numPr>
          <w:ilvl w:val="0"/>
          <w:numId w:val="7"/>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适用范围</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药物和医疗器械临床试验的全程管理。</w:t>
      </w:r>
    </w:p>
    <w:p>
      <w:pPr>
        <w:numPr>
          <w:ilvl w:val="0"/>
          <w:numId w:val="7"/>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制度</w:t>
      </w:r>
    </w:p>
    <w:p>
      <w:pPr>
        <w:numPr>
          <w:ilvl w:val="0"/>
          <w:numId w:val="8"/>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试验前</w:t>
      </w:r>
    </w:p>
    <w:p>
      <w:pPr>
        <w:numPr>
          <w:ilvl w:val="0"/>
          <w:numId w:val="9"/>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凡在我院进行的药物和医疗器械临床试验由本院临床试验机构负责组织实施，由机构办公室具体承办，实施项目准入审查，未经机构批准进行的临床试验，概不予认可。</w:t>
      </w:r>
    </w:p>
    <w:p>
      <w:pPr>
        <w:numPr>
          <w:ilvl w:val="0"/>
          <w:numId w:val="9"/>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试验申请及立项审核（具体参照《临床试验申请及立项审批SOP》）</w:t>
      </w:r>
    </w:p>
    <w:p>
      <w:pPr>
        <w:numPr>
          <w:ilvl w:val="0"/>
          <w:numId w:val="10"/>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申办者/CRO与临床试验机构或专业组联系，达成初步合作意向后机构秘书发出《药物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临床试验申请表》。</w:t>
      </w:r>
    </w:p>
    <w:p>
      <w:pPr>
        <w:numPr>
          <w:ilvl w:val="0"/>
          <w:numId w:val="10"/>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申办者和专业组负责人按《药物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临床试验申请表》要求将材料备齐后，秘书进行形式审查，基本符合要求后，将材料整理好转交机构办公室主任。</w:t>
      </w:r>
    </w:p>
    <w:p>
      <w:pPr>
        <w:numPr>
          <w:ilvl w:val="0"/>
          <w:numId w:val="10"/>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机构办公室主任进一步审核，</w:t>
      </w:r>
      <w:r>
        <w:rPr>
          <w:rFonts w:hint="eastAsia" w:asciiTheme="minorEastAsia" w:hAnsiTheme="minorEastAsia" w:cstheme="minorEastAsia"/>
          <w:color w:val="auto"/>
          <w:sz w:val="24"/>
          <w:szCs w:val="24"/>
          <w:lang w:val="en-US" w:eastAsia="zh-CN"/>
        </w:rPr>
        <w:t>并对专业科室进行立项评估，填写《临床试验立项评估表》，</w:t>
      </w:r>
      <w:r>
        <w:rPr>
          <w:rFonts w:hint="eastAsia" w:asciiTheme="minorEastAsia" w:hAnsiTheme="minorEastAsia" w:cstheme="minorEastAsia"/>
          <w:color w:val="auto"/>
          <w:sz w:val="24"/>
          <w:szCs w:val="24"/>
        </w:rPr>
        <w:t>必要时邀请相关专家参与审核，确定审批意见后，发出《药物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临床试验审批表》。</w:t>
      </w:r>
    </w:p>
    <w:p>
      <w:pPr>
        <w:numPr>
          <w:ilvl w:val="0"/>
          <w:numId w:val="10"/>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申办者和专业组负责人按《药物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临床试验审批表》意见将材料补充修改后，临床试验机构</w:t>
      </w:r>
      <w:r>
        <w:rPr>
          <w:rFonts w:hint="eastAsia" w:asciiTheme="minorEastAsia" w:hAnsiTheme="minorEastAsia" w:cstheme="minorEastAsia"/>
          <w:color w:val="auto"/>
          <w:sz w:val="24"/>
          <w:szCs w:val="24"/>
          <w:lang w:eastAsia="zh-CN"/>
        </w:rPr>
        <w:t>办公室主任</w:t>
      </w:r>
      <w:r>
        <w:rPr>
          <w:rFonts w:hint="eastAsia" w:asciiTheme="minorEastAsia" w:hAnsiTheme="minorEastAsia" w:cstheme="minorEastAsia"/>
          <w:color w:val="auto"/>
          <w:sz w:val="24"/>
          <w:szCs w:val="24"/>
        </w:rPr>
        <w:t>审核后，转报伦理委员会审批。</w:t>
      </w:r>
    </w:p>
    <w:p>
      <w:pPr>
        <w:numPr>
          <w:ilvl w:val="0"/>
          <w:numId w:val="10"/>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伦理委员会审核通过后，项目负责人、机构办公室与申办方/CRO按照《合同管理制度》商议拟订合同，按要求签署并加盖医院公章。合同生效后，试验正式开始。</w:t>
      </w:r>
    </w:p>
    <w:p>
      <w:pPr>
        <w:numPr>
          <w:ilvl w:val="0"/>
          <w:numId w:val="11"/>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试验中</w:t>
      </w:r>
    </w:p>
    <w:p>
      <w:pPr>
        <w:numPr>
          <w:ilvl w:val="0"/>
          <w:numId w:val="12"/>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项目组召开启动会，明确试验小组各人员分工，具体参照《临床试验启动会召开的SOP》</w:t>
      </w:r>
      <w:r>
        <w:rPr>
          <w:rFonts w:hint="eastAsia" w:asciiTheme="minorEastAsia" w:hAnsiTheme="minorEastAsia" w:cstheme="minorEastAsia"/>
          <w:color w:val="auto"/>
          <w:sz w:val="24"/>
          <w:szCs w:val="24"/>
          <w:lang w:val="en-US" w:eastAsia="zh-CN"/>
        </w:rPr>
        <w:t xml:space="preserve"> </w:t>
      </w:r>
    </w:p>
    <w:p>
      <w:pPr>
        <w:numPr>
          <w:ilvl w:val="0"/>
          <w:numId w:val="12"/>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申办者/CRO按照《试验用药物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的接收、保存、分发、回收、退还的SOP》将试验药物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交接给GCP药房，如有特殊保管要求的需报机构办公室</w:t>
      </w:r>
      <w:r>
        <w:rPr>
          <w:rFonts w:hint="eastAsia" w:asciiTheme="minorEastAsia" w:hAnsiTheme="minorEastAsia" w:cstheme="minorEastAsia"/>
          <w:color w:val="auto"/>
          <w:sz w:val="24"/>
          <w:szCs w:val="24"/>
          <w:lang w:eastAsia="zh-CN"/>
        </w:rPr>
        <w:t>。</w:t>
      </w:r>
    </w:p>
    <w:p>
      <w:pPr>
        <w:numPr>
          <w:ilvl w:val="0"/>
          <w:numId w:val="12"/>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申办者/CRO将试验材料和物资交予项目组。</w:t>
      </w:r>
    </w:p>
    <w:p>
      <w:pPr>
        <w:numPr>
          <w:ilvl w:val="0"/>
          <w:numId w:val="12"/>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项目管理实行项目负责人（PI）负责制，PI对受试者安全、研究质量、进度负全责。</w:t>
      </w:r>
    </w:p>
    <w:p>
      <w:pPr>
        <w:numPr>
          <w:ilvl w:val="0"/>
          <w:numId w:val="12"/>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研究者应严格按照试验方案和各项标准操作规程开展试验，保证试验记录及时、真实、准确、完整。对临床试验中所有观察到的结果都要加以核实，保证数据的可靠性，以确保临床试验中所有结论来源于原始数据。</w:t>
      </w:r>
    </w:p>
    <w:p>
      <w:pPr>
        <w:numPr>
          <w:ilvl w:val="0"/>
          <w:numId w:val="12"/>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试验过程中，申办者/CRO、机构办公室、项目之间需保持密切联系，协调处理试验中出现的问题，保证试验质量并配合各项监查</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稽查和</w:t>
      </w:r>
      <w:r>
        <w:rPr>
          <w:rFonts w:hint="eastAsia" w:asciiTheme="minorEastAsia" w:hAnsiTheme="minorEastAsia" w:cstheme="minorEastAsia"/>
          <w:color w:val="auto"/>
          <w:sz w:val="24"/>
          <w:szCs w:val="24"/>
          <w:lang w:eastAsia="zh-CN"/>
        </w:rPr>
        <w:t>检查</w:t>
      </w:r>
      <w:r>
        <w:rPr>
          <w:rFonts w:hint="eastAsia" w:asciiTheme="minorEastAsia" w:hAnsiTheme="minorEastAsia" w:cstheme="minorEastAsia"/>
          <w:color w:val="auto"/>
          <w:sz w:val="24"/>
          <w:szCs w:val="24"/>
        </w:rPr>
        <w:t>。</w:t>
      </w:r>
    </w:p>
    <w:p>
      <w:pPr>
        <w:numPr>
          <w:ilvl w:val="0"/>
          <w:numId w:val="12"/>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临床试验过程中，试验方案、知情同意书等文件如需修改，必须再次通过伦理委员会审查和批准。</w:t>
      </w:r>
    </w:p>
    <w:p>
      <w:pPr>
        <w:numPr>
          <w:ilvl w:val="0"/>
          <w:numId w:val="12"/>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试验过程中，若发生不良事件，参照《不良事件及严重不良事件处理SOP》进行处理，如判断为严重不良事件，按照《严重不良事件报告SOP》及时上报。</w:t>
      </w:r>
    </w:p>
    <w:p>
      <w:pPr>
        <w:numPr>
          <w:ilvl w:val="0"/>
          <w:numId w:val="12"/>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机构质控员对试验项目进行质量检查，对存在的问题提出书面整改意见，研究者须予以整改并给与书面答复，具体可参照《临床试验质量控制的SOP》。对试验中出现违规行为并造成严重后果者，按照《临床试验中违规行为处理管理制度》处理。</w:t>
      </w:r>
    </w:p>
    <w:p>
      <w:pPr>
        <w:numPr>
          <w:ilvl w:val="0"/>
          <w:numId w:val="13"/>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试验后</w:t>
      </w:r>
    </w:p>
    <w:p>
      <w:pPr>
        <w:numPr>
          <w:ilvl w:val="0"/>
          <w:numId w:val="14"/>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项目结束后，按照《试验用药物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的接收、保存、分发、回收、退还的SOP》清点剩余试验药物或试验用医疗器械，退返申办者/CRO。</w:t>
      </w:r>
    </w:p>
    <w:p>
      <w:pPr>
        <w:numPr>
          <w:ilvl w:val="0"/>
          <w:numId w:val="14"/>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CRC/CRA、药物/器械管理员以及研究者整理相关文件送往临床试验机构办公室。</w:t>
      </w:r>
    </w:p>
    <w:p>
      <w:pPr>
        <w:numPr>
          <w:ilvl w:val="0"/>
          <w:numId w:val="14"/>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机构质控员安排项目结题前检查，具体参照《临床试验结题的SOP》</w:t>
      </w:r>
      <w:r>
        <w:rPr>
          <w:rFonts w:hint="eastAsia" w:asciiTheme="minorEastAsia" w:hAnsiTheme="minorEastAsia" w:cstheme="minorEastAsia"/>
          <w:color w:val="auto"/>
          <w:sz w:val="24"/>
          <w:szCs w:val="24"/>
          <w:lang w:eastAsia="zh-CN"/>
        </w:rPr>
        <w:t>。</w:t>
      </w:r>
    </w:p>
    <w:p>
      <w:pPr>
        <w:numPr>
          <w:ilvl w:val="0"/>
          <w:numId w:val="14"/>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highlight w:val="none"/>
        </w:rPr>
        <w:t>总结报告交至机构办公室秘书，由机构</w:t>
      </w:r>
      <w:r>
        <w:rPr>
          <w:rFonts w:hint="eastAsia" w:asciiTheme="minorEastAsia" w:hAnsiTheme="minorEastAsia" w:cstheme="minorEastAsia"/>
          <w:color w:val="auto"/>
          <w:sz w:val="24"/>
          <w:szCs w:val="24"/>
          <w:highlight w:val="none"/>
          <w:lang w:eastAsia="zh-CN"/>
        </w:rPr>
        <w:t>办主任</w:t>
      </w:r>
      <w:r>
        <w:rPr>
          <w:rFonts w:hint="eastAsia" w:asciiTheme="minorEastAsia" w:hAnsiTheme="minorEastAsia" w:cstheme="minorEastAsia"/>
          <w:color w:val="auto"/>
          <w:sz w:val="24"/>
          <w:szCs w:val="24"/>
          <w:highlight w:val="none"/>
        </w:rPr>
        <w:t>审议、签字，最后</w:t>
      </w:r>
      <w:r>
        <w:rPr>
          <w:rFonts w:hint="eastAsia" w:asciiTheme="minorEastAsia" w:hAnsiTheme="minorEastAsia" w:cstheme="minorEastAsia"/>
          <w:color w:val="auto"/>
          <w:sz w:val="24"/>
          <w:szCs w:val="24"/>
        </w:rPr>
        <w:t>加盖临床试验机构公章。</w:t>
      </w:r>
    </w:p>
    <w:p>
      <w:pPr>
        <w:numPr>
          <w:ilvl w:val="0"/>
          <w:numId w:val="14"/>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机构资料管理员清点所有资料，根据《档案管理制度》进行归档管理。</w:t>
      </w:r>
    </w:p>
    <w:p>
      <w:pPr>
        <w:numPr>
          <w:ilvl w:val="0"/>
          <w:numId w:val="0"/>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eastAsia="zh-CN"/>
        </w:rPr>
        <w:t>四、</w:t>
      </w:r>
      <w:r>
        <w:rPr>
          <w:rFonts w:hint="eastAsia" w:asciiTheme="minorEastAsia" w:hAnsiTheme="minorEastAsia" w:cstheme="minorEastAsia"/>
          <w:color w:val="auto"/>
          <w:sz w:val="24"/>
          <w:szCs w:val="24"/>
        </w:rPr>
        <w:t>附件</w:t>
      </w:r>
    </w:p>
    <w:p>
      <w:pPr>
        <w:spacing w:line="360" w:lineRule="auto"/>
        <w:ind w:firstLine="480" w:firstLineChars="200"/>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药物和医疗器械临床试验运行流程图</w:t>
      </w:r>
    </w:p>
    <w:p>
      <w:pPr>
        <w:numPr>
          <w:ilvl w:val="0"/>
          <w:numId w:val="0"/>
        </w:numPr>
        <w:spacing w:line="360" w:lineRule="auto"/>
        <w:rPr>
          <w:rFonts w:hint="default"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五、参考文献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00" w:lineRule="exac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[1]国家药监局 国家卫生健康委. 关于发布药物临床试验质量管理规范的公告（2020年第57号）[EB/OL].[2020-04-26]. https://www.nmpa.gov.cn/zhuanti/ypzhcglbf/ypzhcglbfzhcwj/20200426162401243.html.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00" w:lineRule="exac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 xml:space="preserve">[2]国家药品监督管理局，国家卫生健康委员会. 关于发布《医疗器械临床试验质量管理规范》的公告（2022年第28号）.[2022-03-31]. </w:t>
      </w:r>
      <w:r>
        <w:rPr>
          <w:rFonts w:hint="eastAsia" w:asciiTheme="minorEastAsia" w:hAnsiTheme="minorEastAsia" w:eastAsiaTheme="minorEastAsia" w:cstheme="minorEastAsia"/>
          <w:color w:val="auto"/>
          <w:u w:val="none"/>
          <w:shd w:val="clear" w:color="auto" w:fill="FFFFFF"/>
        </w:rPr>
        <w:t>https://www.nmpa.gov.cn/xxgk/ggtg/qtggtg/20220331144903101.html.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00" w:lineRule="exac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 xml:space="preserve">[3]国家药监局 国家卫生健康委关于发布药物临床试验机构管理规定的公告(2019年第101号)[EB/OL].[2019-11-29]. </w:t>
      </w:r>
      <w:r>
        <w:rPr>
          <w:rFonts w:hint="eastAsia" w:asciiTheme="minorEastAsia" w:hAnsiTheme="minorEastAsia" w:eastAsiaTheme="minorEastAsia" w:cstheme="minorEastAsia"/>
          <w:color w:val="auto"/>
          <w:u w:val="none"/>
          <w:shd w:val="clear" w:color="auto" w:fill="FFFFFF"/>
        </w:rPr>
        <w:t>https://www.nmpa.gov.cn/xxgk/ggtg/qtggtg/20191129174401214.html.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00" w:lineRule="exact"/>
        <w:textAlignment w:val="auto"/>
        <w:rPr>
          <w:rFonts w:hint="default" w:asciiTheme="minorEastAsia" w:hAnsiTheme="minorEastAsia" w:eastAsiaTheme="minorEastAsia" w:cstheme="minorEastAsia"/>
          <w:color w:val="auto"/>
          <w:shd w:val="clear" w:color="auto" w:fill="FFFFFF"/>
          <w:lang w:val="en-US" w:eastAsia="zh-CN"/>
        </w:rPr>
      </w:pPr>
      <w:r>
        <w:rPr>
          <w:rFonts w:hint="eastAsia" w:asciiTheme="minorEastAsia" w:hAnsiTheme="minorEastAsia" w:eastAsiaTheme="minorEastAsia" w:cstheme="minorEastAsia"/>
          <w:color w:val="auto"/>
          <w:shd w:val="clear" w:color="auto" w:fill="FFFFFF"/>
          <w:lang w:val="en-US" w:eastAsia="zh-CN"/>
        </w:rPr>
        <w:t>[4]国家药监局核查中心. 关于公开征求《药物临床试验机构监督检查要点和判定原则（征求意见稿）》意见的通知.</w:t>
      </w:r>
      <w:r>
        <w:rPr>
          <w:rFonts w:hint="eastAsia" w:asciiTheme="minorEastAsia" w:hAnsiTheme="minorEastAsia" w:eastAsiaTheme="minorEastAsia" w:cstheme="minorEastAsia"/>
          <w:color w:val="auto"/>
          <w:shd w:val="clear" w:color="auto" w:fill="FFFFFF"/>
        </w:rPr>
        <w:t>[EB/OL].</w:t>
      </w:r>
      <w:r>
        <w:rPr>
          <w:rFonts w:hint="eastAsia" w:asciiTheme="minorEastAsia" w:hAnsiTheme="minorEastAsia" w:eastAsiaTheme="minorEastAsia" w:cstheme="minorEastAsia"/>
          <w:color w:val="auto"/>
          <w:shd w:val="clear" w:color="auto" w:fill="FFFFFF"/>
          <w:lang w:val="en-US" w:eastAsia="zh-CN"/>
        </w:rPr>
        <w:t xml:space="preserve"> [2023-07-03]. https://www.cfdi.org.cn/resource/news/15515.html.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00" w:lineRule="exact"/>
        <w:textAlignment w:val="auto"/>
        <w:rPr>
          <w:rFonts w:hint="eastAsia" w:asciiTheme="minorEastAsia" w:hAnsiTheme="minorEastAsia" w:eastAsiaTheme="minorEastAsia" w:cstheme="minorEastAsia"/>
          <w:color w:val="auto"/>
          <w:shd w:val="clear" w:color="auto" w:fill="FFFFFF"/>
        </w:rPr>
      </w:pPr>
    </w:p>
    <w:p>
      <w:pPr>
        <w:spacing w:line="360" w:lineRule="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w:t>
      </w:r>
    </w:p>
    <w:p>
      <w:pPr>
        <w:pStyle w:val="5"/>
        <w:rPr>
          <w:rFonts w:hint="eastAsia" w:asciiTheme="minorEastAsia" w:hAnsiTheme="minorEastAsia" w:cstheme="minorEastAsia"/>
          <w:color w:val="auto"/>
          <w:sz w:val="24"/>
          <w:szCs w:val="24"/>
        </w:rPr>
      </w:pPr>
    </w:p>
    <w:p>
      <w:pPr>
        <w:rPr>
          <w:rFonts w:hint="eastAsia" w:asciiTheme="minorEastAsia" w:hAnsiTheme="minorEastAsia" w:cstheme="minorEastAsia"/>
          <w:color w:val="auto"/>
          <w:sz w:val="24"/>
          <w:szCs w:val="24"/>
        </w:rPr>
      </w:pPr>
    </w:p>
    <w:p>
      <w:pPr>
        <w:pStyle w:val="5"/>
        <w:rPr>
          <w:rFonts w:hint="eastAsia" w:asciiTheme="minorEastAsia" w:hAnsiTheme="minorEastAsia" w:cstheme="minorEastAsia"/>
          <w:color w:val="auto"/>
          <w:sz w:val="24"/>
          <w:szCs w:val="24"/>
        </w:rPr>
      </w:pPr>
    </w:p>
    <w:p>
      <w:pPr>
        <w:rPr>
          <w:rFonts w:hint="eastAsia" w:asciiTheme="minorEastAsia" w:hAnsiTheme="minorEastAsia" w:cstheme="minorEastAsia"/>
          <w:color w:val="auto"/>
          <w:sz w:val="24"/>
          <w:szCs w:val="24"/>
        </w:rPr>
      </w:pPr>
    </w:p>
    <w:p>
      <w:pPr>
        <w:pStyle w:val="5"/>
        <w:rPr>
          <w:rFonts w:hint="eastAsia" w:asciiTheme="minorEastAsia" w:hAnsiTheme="minorEastAsia" w:cstheme="minorEastAsia"/>
          <w:color w:val="auto"/>
          <w:sz w:val="24"/>
          <w:szCs w:val="24"/>
        </w:rPr>
      </w:pPr>
    </w:p>
    <w:p>
      <w:pPr>
        <w:rPr>
          <w:rFonts w:hint="eastAsia" w:asciiTheme="minorEastAsia" w:hAnsiTheme="minorEastAsia" w:cstheme="minorEastAsia"/>
          <w:color w:val="auto"/>
          <w:sz w:val="24"/>
          <w:szCs w:val="24"/>
        </w:rPr>
      </w:pPr>
    </w:p>
    <w:p>
      <w:pPr>
        <w:pStyle w:val="5"/>
        <w:rPr>
          <w:rFonts w:hint="eastAsia" w:asciiTheme="minorEastAsia" w:hAnsiTheme="minorEastAsia" w:cstheme="minorEastAsia"/>
          <w:color w:val="auto"/>
          <w:sz w:val="24"/>
          <w:szCs w:val="24"/>
        </w:rPr>
      </w:pPr>
    </w:p>
    <w:p>
      <w:pPr>
        <w:rPr>
          <w:rFonts w:hint="eastAsia" w:asciiTheme="minorEastAsia" w:hAnsiTheme="minorEastAsia" w:cstheme="minorEastAsia"/>
          <w:color w:val="auto"/>
          <w:sz w:val="24"/>
          <w:szCs w:val="24"/>
        </w:rPr>
      </w:pPr>
    </w:p>
    <w:p>
      <w:pPr>
        <w:pStyle w:val="5"/>
        <w:rPr>
          <w:rFonts w:hint="eastAsia" w:asciiTheme="minorEastAsia" w:hAnsiTheme="minorEastAsia" w:cstheme="minorEastAsia"/>
          <w:color w:val="auto"/>
          <w:sz w:val="24"/>
          <w:szCs w:val="24"/>
        </w:rPr>
      </w:pPr>
    </w:p>
    <w:p>
      <w:pPr>
        <w:rPr>
          <w:rFonts w:hint="eastAsia" w:asciiTheme="minorEastAsia" w:hAnsiTheme="minorEastAsia" w:cstheme="minorEastAsia"/>
          <w:color w:val="auto"/>
          <w:sz w:val="24"/>
          <w:szCs w:val="24"/>
        </w:rPr>
      </w:pPr>
    </w:p>
    <w:p>
      <w:pPr>
        <w:pStyle w:val="5"/>
        <w:rPr>
          <w:rFonts w:hint="eastAsia" w:asciiTheme="minorEastAsia" w:hAnsiTheme="minorEastAsia" w:cstheme="minorEastAsia"/>
          <w:color w:val="auto"/>
          <w:sz w:val="24"/>
          <w:szCs w:val="24"/>
        </w:rPr>
      </w:pPr>
    </w:p>
    <w:p>
      <w:pPr>
        <w:rPr>
          <w:rFonts w:hint="eastAsia" w:asciiTheme="minorEastAsia" w:hAnsiTheme="minorEastAsia" w:cstheme="minorEastAsia"/>
          <w:color w:val="auto"/>
          <w:sz w:val="24"/>
          <w:szCs w:val="24"/>
        </w:rPr>
      </w:pPr>
    </w:p>
    <w:p>
      <w:pPr>
        <w:pStyle w:val="5"/>
        <w:rPr>
          <w:rFonts w:hint="eastAsia" w:asciiTheme="minorEastAsia" w:hAnsiTheme="minorEastAsia" w:cstheme="minorEastAsia"/>
          <w:color w:val="auto"/>
          <w:sz w:val="24"/>
          <w:szCs w:val="24"/>
        </w:rPr>
      </w:pPr>
    </w:p>
    <w:p>
      <w:pPr>
        <w:rPr>
          <w:rFonts w:hint="eastAsia" w:asciiTheme="minorEastAsia" w:hAnsiTheme="minorEastAsia" w:cstheme="minorEastAsia"/>
          <w:color w:val="auto"/>
          <w:sz w:val="24"/>
          <w:szCs w:val="24"/>
        </w:rPr>
      </w:pPr>
    </w:p>
    <w:p>
      <w:pPr>
        <w:pStyle w:val="5"/>
        <w:rPr>
          <w:rFonts w:hint="eastAsia" w:asciiTheme="minorEastAsia" w:hAnsiTheme="minorEastAsia" w:cstheme="minorEastAsia"/>
          <w:color w:val="auto"/>
          <w:sz w:val="24"/>
          <w:szCs w:val="24"/>
        </w:rPr>
      </w:pPr>
    </w:p>
    <w:p>
      <w:pPr>
        <w:rPr>
          <w:rFonts w:hint="eastAsia" w:asciiTheme="minorEastAsia" w:hAnsiTheme="minorEastAsia" w:cstheme="minorEastAsia"/>
          <w:color w:val="auto"/>
          <w:sz w:val="24"/>
          <w:szCs w:val="24"/>
        </w:rPr>
      </w:pPr>
    </w:p>
    <w:p>
      <w:pPr>
        <w:pStyle w:val="5"/>
        <w:rPr>
          <w:rFonts w:hint="eastAsia" w:asciiTheme="minorEastAsia" w:hAnsiTheme="minorEastAsia" w:cstheme="minorEastAsia"/>
          <w:color w:val="auto"/>
          <w:sz w:val="24"/>
          <w:szCs w:val="24"/>
        </w:rPr>
      </w:pPr>
    </w:p>
    <w:p>
      <w:pPr>
        <w:rPr>
          <w:rFonts w:hint="eastAsia" w:asciiTheme="minorEastAsia" w:hAnsiTheme="minorEastAsia" w:cstheme="minorEastAsia"/>
          <w:color w:val="auto"/>
          <w:sz w:val="24"/>
          <w:szCs w:val="24"/>
        </w:rPr>
      </w:pPr>
    </w:p>
    <w:p>
      <w:pPr>
        <w:pStyle w:val="5"/>
        <w:rPr>
          <w:rFonts w:hint="eastAsia" w:asciiTheme="minorEastAsia" w:hAnsiTheme="minorEastAsia" w:cstheme="minorEastAsia"/>
          <w:color w:val="auto"/>
          <w:sz w:val="24"/>
          <w:szCs w:val="24"/>
        </w:rPr>
      </w:pPr>
    </w:p>
    <w:p>
      <w:pPr>
        <w:rPr>
          <w:rFonts w:hint="eastAsia"/>
          <w:color w:val="auto"/>
        </w:rPr>
      </w:pPr>
    </w:p>
    <w:p>
      <w:pPr>
        <w:rPr>
          <w:rFonts w:hint="eastAsia"/>
          <w:bCs/>
          <w:color w:val="auto"/>
        </w:rPr>
      </w:pPr>
      <w:r>
        <w:rPr>
          <w:bCs/>
          <w:color w:val="auto"/>
        </w:rPr>
        <mc:AlternateContent>
          <mc:Choice Requires="wps">
            <w:drawing>
              <wp:anchor distT="0" distB="0" distL="114300" distR="114300" simplePos="0" relativeHeight="251796480" behindDoc="0" locked="0" layoutInCell="1" allowOverlap="1">
                <wp:simplePos x="0" y="0"/>
                <wp:positionH relativeFrom="column">
                  <wp:posOffset>2951480</wp:posOffset>
                </wp:positionH>
                <wp:positionV relativeFrom="paragraph">
                  <wp:posOffset>175895</wp:posOffset>
                </wp:positionV>
                <wp:extent cx="1162050" cy="495935"/>
                <wp:effectExtent l="12700" t="12700" r="13970" b="24765"/>
                <wp:wrapNone/>
                <wp:docPr id="74" name="椭圆 2"/>
                <wp:cNvGraphicFramePr/>
                <a:graphic xmlns:a="http://schemas.openxmlformats.org/drawingml/2006/main">
                  <a:graphicData uri="http://schemas.microsoft.com/office/word/2010/wordprocessingShape">
                    <wps:wsp>
                      <wps:cNvSpPr/>
                      <wps:spPr>
                        <a:xfrm>
                          <a:off x="0" y="0"/>
                          <a:ext cx="1162050" cy="495935"/>
                        </a:xfrm>
                        <a:prstGeom prst="ellipse">
                          <a:avLst/>
                        </a:prstGeom>
                        <a:solidFill>
                          <a:srgbClr val="FFFFFF"/>
                        </a:solidFill>
                        <a:ln w="25400" cap="flat" cmpd="sng" algn="ctr">
                          <a:solidFill>
                            <a:srgbClr val="000000"/>
                          </a:solidFill>
                          <a:prstDash val="solid"/>
                        </a:ln>
                        <a:effectLst/>
                      </wps:spPr>
                      <wps:txbx>
                        <w:txbxContent>
                          <w:p>
                            <w:pPr>
                              <w:jc w:val="center"/>
                            </w:pPr>
                            <w:r>
                              <w:rPr>
                                <w:rFonts w:hint="eastAsia"/>
                              </w:rPr>
                              <w:t>专业组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 o:spid="_x0000_s1026" o:spt="3" type="#_x0000_t3" style="position:absolute;left:0pt;margin-left:232.4pt;margin-top:13.85pt;height:39.05pt;width:91.5pt;z-index:251796480;v-text-anchor:middle;mso-width-relative:page;mso-height-relative:page;" fillcolor="#FFFFFF" filled="t" stroked="t" coordsize="21600,21600" o:gfxdata="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GIYrbNgAAAAKAQAADwAAAAAAAAABACAAAAAiAAAAZHJzL2Rv&#10;d25yZXYueG1sUEsBAhQAFAAAAAgAh07iQL3cfetzAgAA+gQAAA4AAAAAAAAAAQAgAAAAJwEAAGRy&#10;cy9lMm9Eb2MueG1sUEsFBgAAAAAGAAYAWQEAAAwGAAAAAA==&#10;">
                <v:fill on="t" focussize="0,0"/>
                <v:stroke weight="2pt" color="#000000" joinstyle="round"/>
                <v:imagedata o:title=""/>
                <o:lock v:ext="edit" aspectratio="f"/>
                <v:textbox>
                  <w:txbxContent>
                    <w:p>
                      <w:pPr>
                        <w:jc w:val="center"/>
                      </w:pPr>
                      <w:r>
                        <w:rPr>
                          <w:rFonts w:hint="eastAsia"/>
                        </w:rPr>
                        <w:t>专业组</w:t>
                      </w:r>
                    </w:p>
                  </w:txbxContent>
                </v:textbox>
              </v:shape>
            </w:pict>
          </mc:Fallback>
        </mc:AlternateContent>
      </w:r>
    </w:p>
    <w:p>
      <w:pPr>
        <w:rPr>
          <w:bCs/>
          <w:color w:val="auto"/>
          <w:szCs w:val="24"/>
        </w:rPr>
      </w:pPr>
      <w:r>
        <w:rPr>
          <w:bCs/>
          <w:color w:val="auto"/>
        </w:rPr>
        <mc:AlternateContent>
          <mc:Choice Requires="wps">
            <w:drawing>
              <wp:anchor distT="0" distB="0" distL="114300" distR="114300" simplePos="0" relativeHeight="251795456" behindDoc="0" locked="0" layoutInCell="1" allowOverlap="1">
                <wp:simplePos x="0" y="0"/>
                <wp:positionH relativeFrom="column">
                  <wp:posOffset>494030</wp:posOffset>
                </wp:positionH>
                <wp:positionV relativeFrom="paragraph">
                  <wp:posOffset>6350</wp:posOffset>
                </wp:positionV>
                <wp:extent cx="1162050" cy="505460"/>
                <wp:effectExtent l="12700" t="12700" r="13970" b="15240"/>
                <wp:wrapNone/>
                <wp:docPr id="73" name="椭圆 3"/>
                <wp:cNvGraphicFramePr/>
                <a:graphic xmlns:a="http://schemas.openxmlformats.org/drawingml/2006/main">
                  <a:graphicData uri="http://schemas.microsoft.com/office/word/2010/wordprocessingShape">
                    <wps:wsp>
                      <wps:cNvSpPr/>
                      <wps:spPr>
                        <a:xfrm>
                          <a:off x="1217930" y="1830070"/>
                          <a:ext cx="1162050" cy="505460"/>
                        </a:xfrm>
                        <a:prstGeom prst="ellipse">
                          <a:avLst/>
                        </a:prstGeom>
                        <a:solidFill>
                          <a:srgbClr val="FFFFFF"/>
                        </a:solidFill>
                        <a:ln w="25400" cap="flat" cmpd="sng" algn="ctr">
                          <a:solidFill>
                            <a:srgbClr val="000000"/>
                          </a:solidFill>
                          <a:prstDash val="solid"/>
                        </a:ln>
                        <a:effectLst/>
                      </wps:spPr>
                      <wps:txbx>
                        <w:txbxContent>
                          <w:p>
                            <w:pPr>
                              <w:jc w:val="center"/>
                            </w:pPr>
                            <w:r>
                              <w:rPr>
                                <w:rFonts w:hint="eastAsia"/>
                              </w:rPr>
                              <w:t>申办者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3" o:spid="_x0000_s1026" o:spt="3" type="#_x0000_t3" style="position:absolute;left:0pt;margin-left:38.9pt;margin-top:0.5pt;height:39.8pt;width:91.5pt;z-index:251795456;v-text-anchor:middle;mso-width-relative:page;mso-height-relative:page;" fillcolor="#FFFFFF" filled="t" stroked="t" coordsize="21600,21600" o:gfxdata="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50TCNUAAAAHAQAADwAAAAAAAAABACAAAAAi&#10;AAAAZHJzL2Rvd25yZXYueG1sUEsBAhQAFAAAAAgAh07iQAq2NN9/AgAABgUAAA4AAAAAAAAAAQAg&#10;AAAAJAEAAGRycy9lMm9Eb2MueG1sUEsFBgAAAAAGAAYAWQEAABUGAAAAAA==&#10;">
                <v:fill on="t" focussize="0,0"/>
                <v:stroke weight="2pt" color="#000000" joinstyle="round"/>
                <v:imagedata o:title=""/>
                <o:lock v:ext="edit" aspectratio="f"/>
                <v:textbox>
                  <w:txbxContent>
                    <w:p>
                      <w:pPr>
                        <w:jc w:val="center"/>
                      </w:pPr>
                      <w:r>
                        <w:rPr>
                          <w:rFonts w:hint="eastAsia"/>
                        </w:rPr>
                        <w:t>申办者</w:t>
                      </w:r>
                    </w:p>
                  </w:txbxContent>
                </v:textbox>
              </v:shape>
            </w:pict>
          </mc:Fallback>
        </mc:AlternateContent>
      </w:r>
      <w:r>
        <w:rPr>
          <w:rFonts w:hint="eastAsia"/>
          <w:bCs/>
          <w:color w:val="auto"/>
        </w:rPr>
        <w:t xml:space="preserve">                            </w:t>
      </w:r>
      <w:r>
        <w:rPr>
          <w:rFonts w:hint="eastAsia"/>
          <w:bCs/>
          <w:color w:val="auto"/>
          <w:szCs w:val="24"/>
        </w:rPr>
        <w:t>初步接洽</w:t>
      </w:r>
    </w:p>
    <w:p>
      <w:pPr>
        <w:rPr>
          <w:bCs/>
          <w:color w:val="auto"/>
          <w:szCs w:val="24"/>
        </w:rPr>
      </w:pPr>
      <w:r>
        <w:rPr>
          <w:bCs/>
          <w:color w:val="auto"/>
        </w:rPr>
        <mc:AlternateContent>
          <mc:Choice Requires="wps">
            <w:drawing>
              <wp:anchor distT="0" distB="0" distL="114300" distR="114300" simplePos="0" relativeHeight="251798528" behindDoc="0" locked="0" layoutInCell="1" allowOverlap="1">
                <wp:simplePos x="0" y="0"/>
                <wp:positionH relativeFrom="column">
                  <wp:posOffset>1773555</wp:posOffset>
                </wp:positionH>
                <wp:positionV relativeFrom="paragraph">
                  <wp:posOffset>109220</wp:posOffset>
                </wp:positionV>
                <wp:extent cx="907415" cy="6350"/>
                <wp:effectExtent l="33655" t="69850" r="34290" b="106680"/>
                <wp:wrapNone/>
                <wp:docPr id="76" name="直接箭头连接符 4"/>
                <wp:cNvGraphicFramePr/>
                <a:graphic xmlns:a="http://schemas.openxmlformats.org/drawingml/2006/main">
                  <a:graphicData uri="http://schemas.microsoft.com/office/word/2010/wordprocessingShape">
                    <wps:wsp>
                      <wps:cNvCnPr/>
                      <wps:spPr>
                        <a:xfrm flipH="1" flipV="1">
                          <a:off x="2941955" y="2344420"/>
                          <a:ext cx="907415" cy="6350"/>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4" o:spid="_x0000_s1026" o:spt="32" type="#_x0000_t32" style="position:absolute;left:0pt;flip:x y;margin-left:139.65pt;margin-top:8.6pt;height:0.5pt;width:71.45pt;z-index:251798528;mso-width-relative:page;mso-height-relative:page;" filled="f" stroked="t" coordsize="21600,21600" o:gfxdata="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vGYTX1QAAAAkBAAAPAAAAAAAAAAEAIAAAACIAAABkcnMvZG93bnJldi54bWxQSwECFAAU&#10;AAAACACHTuJA09PApmYCAACpBAAADgAAAAAAAAABACAAAAAkAQAAZHJzL2Uyb0RvYy54bWxQSwUG&#10;AAAAAAYABgBZAQAA/AU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bCs/>
          <w:color w:val="auto"/>
        </w:rPr>
        <mc:AlternateContent>
          <mc:Choice Requires="wps">
            <w:drawing>
              <wp:anchor distT="0" distB="0" distL="114300" distR="114300" simplePos="0" relativeHeight="251797504" behindDoc="0" locked="0" layoutInCell="1" allowOverlap="1">
                <wp:simplePos x="0" y="0"/>
                <wp:positionH relativeFrom="column">
                  <wp:posOffset>1789430</wp:posOffset>
                </wp:positionH>
                <wp:positionV relativeFrom="paragraph">
                  <wp:posOffset>10795</wp:posOffset>
                </wp:positionV>
                <wp:extent cx="933450" cy="0"/>
                <wp:effectExtent l="33655" t="71120" r="38735" b="111760"/>
                <wp:wrapNone/>
                <wp:docPr id="75" name="直接箭头连接符 5"/>
                <wp:cNvGraphicFramePr/>
                <a:graphic xmlns:a="http://schemas.openxmlformats.org/drawingml/2006/main">
                  <a:graphicData uri="http://schemas.microsoft.com/office/word/2010/wordprocessingShape">
                    <wps:wsp>
                      <wps:cNvCnPr/>
                      <wps:spPr>
                        <a:xfrm>
                          <a:off x="2875280" y="2058670"/>
                          <a:ext cx="933450" cy="0"/>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5" o:spid="_x0000_s1026" o:spt="32" type="#_x0000_t32" style="position:absolute;left:0pt;margin-left:140.9pt;margin-top:0.85pt;height:0pt;width:73.5pt;z-index:251797504;mso-width-relative:page;mso-height-relative:page;" filled="f" stroked="t" coordsize="21600,21600" o:gfxdata="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8dX3h0QAAAAcBAAAP&#10;AAAAAAAAAAEAIAAAACIAAABkcnMvZG93bnJldi54bWxQSwECFAAUAAAACACHTuJAJfzEkFgCAACS&#10;BAAADgAAAAAAAAABACAAAAAgAQAAZHJzL2Uyb0RvYy54bWxQSwUGAAAAAAYABgBZAQAA6gU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rPr>
          <w:bCs/>
          <w:color w:val="auto"/>
          <w:szCs w:val="24"/>
        </w:rPr>
      </w:pPr>
      <w:r>
        <w:rPr>
          <w:bCs/>
          <w:color w:val="auto"/>
        </w:rPr>
        <mc:AlternateContent>
          <mc:Choice Requires="wps">
            <w:drawing>
              <wp:anchor distT="0" distB="0" distL="114300" distR="114300" simplePos="0" relativeHeight="251801600" behindDoc="0" locked="0" layoutInCell="1" allowOverlap="1">
                <wp:simplePos x="0" y="0"/>
                <wp:positionH relativeFrom="column">
                  <wp:posOffset>2999105</wp:posOffset>
                </wp:positionH>
                <wp:positionV relativeFrom="paragraph">
                  <wp:posOffset>115570</wp:posOffset>
                </wp:positionV>
                <wp:extent cx="576580" cy="533400"/>
                <wp:effectExtent l="33655" t="22860" r="45085" b="68580"/>
                <wp:wrapNone/>
                <wp:docPr id="79" name="直接箭头连接符 7"/>
                <wp:cNvGraphicFramePr/>
                <a:graphic xmlns:a="http://schemas.openxmlformats.org/drawingml/2006/main">
                  <a:graphicData uri="http://schemas.microsoft.com/office/word/2010/wordprocessingShape">
                    <wps:wsp>
                      <wps:cNvCnPr/>
                      <wps:spPr>
                        <a:xfrm flipH="1">
                          <a:off x="3761105" y="2525395"/>
                          <a:ext cx="576580" cy="533400"/>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7" o:spid="_x0000_s1026" o:spt="32" type="#_x0000_t32" style="position:absolute;left:0pt;flip:x;margin-left:236.15pt;margin-top:9.1pt;height:42pt;width:45.4pt;z-index:251801600;mso-width-relative:page;mso-height-relative:page;" filled="f" stroked="t" coordsize="21600,21600" o:gfxdata="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BrEIdUAAAAKAQAADwAAAAAAAAABACAAAAAiAAAAZHJzL2Rvd25yZXYueG1sUEsBAhQAFAAA&#10;AAgAh07iQIttQgBkAgAAoQQAAA4AAAAAAAAAAQAgAAAAJAEAAGRycy9lMm9Eb2MueG1sUEsFBgAA&#10;AAAGAAYAWQEAAPoFA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bCs/>
          <w:color w:val="auto"/>
        </w:rPr>
        <mc:AlternateContent>
          <mc:Choice Requires="wps">
            <w:drawing>
              <wp:anchor distT="0" distB="0" distL="114300" distR="114300" simplePos="0" relativeHeight="251800576" behindDoc="0" locked="0" layoutInCell="1" allowOverlap="1">
                <wp:simplePos x="0" y="0"/>
                <wp:positionH relativeFrom="column">
                  <wp:posOffset>1108710</wp:posOffset>
                </wp:positionH>
                <wp:positionV relativeFrom="paragraph">
                  <wp:posOffset>163195</wp:posOffset>
                </wp:positionV>
                <wp:extent cx="366395" cy="495300"/>
                <wp:effectExtent l="43815" t="21590" r="46990" b="62230"/>
                <wp:wrapNone/>
                <wp:docPr id="78" name="直接箭头连接符 6"/>
                <wp:cNvGraphicFramePr/>
                <a:graphic xmlns:a="http://schemas.openxmlformats.org/drawingml/2006/main">
                  <a:graphicData uri="http://schemas.microsoft.com/office/word/2010/wordprocessingShape">
                    <wps:wsp>
                      <wps:cNvCnPr/>
                      <wps:spPr>
                        <a:xfrm>
                          <a:off x="2294255" y="2487295"/>
                          <a:ext cx="366395" cy="495300"/>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6" o:spid="_x0000_s1026" o:spt="32" type="#_x0000_t32" style="position:absolute;left:0pt;margin-left:87.3pt;margin-top:12.85pt;height:39pt;width:28.85pt;z-index:251800576;mso-width-relative:page;mso-height-relative:page;" filled="f" stroked="t" coordsize="21600,21600" o:gfxdata="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jLF&#10;vtYAAAAKAQAADwAAAAAAAAABACAAAAAiAAAAZHJzL2Rvd25yZXYueG1sUEsBAhQAFAAAAAgAh07i&#10;QOfIZkJdAgAAlwQAAA4AAAAAAAAAAQAgAAAAJQEAAGRycy9lMm9Eb2MueG1sUEsFBgAAAAAGAAYA&#10;WQEAAPQFA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rPr>
          <w:bCs/>
          <w:color w:val="auto"/>
          <w:szCs w:val="24"/>
        </w:rPr>
      </w:pPr>
    </w:p>
    <w:p>
      <w:pPr>
        <w:tabs>
          <w:tab w:val="center" w:pos="4153"/>
        </w:tabs>
        <w:ind w:firstLine="630" w:firstLineChars="300"/>
        <w:rPr>
          <w:bCs/>
          <w:color w:val="auto"/>
          <w:szCs w:val="24"/>
        </w:rPr>
      </w:pPr>
      <w:r>
        <w:rPr>
          <w:rFonts w:hint="eastAsia"/>
          <w:bCs/>
          <w:color w:val="auto"/>
          <w:szCs w:val="24"/>
        </w:rPr>
        <w:t>递交申请材料</w:t>
      </w:r>
      <w:r>
        <w:rPr>
          <w:rFonts w:hint="eastAsia"/>
          <w:bCs/>
          <w:color w:val="auto"/>
          <w:szCs w:val="24"/>
        </w:rPr>
        <w:tab/>
      </w:r>
      <w:r>
        <w:rPr>
          <w:rFonts w:hint="eastAsia"/>
          <w:bCs/>
          <w:color w:val="auto"/>
          <w:szCs w:val="24"/>
        </w:rPr>
        <w:t xml:space="preserve">                            递交申请材料</w:t>
      </w:r>
    </w:p>
    <w:p>
      <w:pPr>
        <w:rPr>
          <w:bCs/>
          <w:color w:val="auto"/>
          <w:szCs w:val="24"/>
        </w:rPr>
      </w:pPr>
      <w:r>
        <w:rPr>
          <w:bCs/>
          <w:color w:val="auto"/>
        </w:rPr>
        <mc:AlternateContent>
          <mc:Choice Requires="wps">
            <w:drawing>
              <wp:anchor distT="0" distB="0" distL="114300" distR="114300" simplePos="0" relativeHeight="251799552" behindDoc="0" locked="0" layoutInCell="1" allowOverlap="1">
                <wp:simplePos x="0" y="0"/>
                <wp:positionH relativeFrom="column">
                  <wp:posOffset>894715</wp:posOffset>
                </wp:positionH>
                <wp:positionV relativeFrom="paragraph">
                  <wp:posOffset>77470</wp:posOffset>
                </wp:positionV>
                <wp:extent cx="2990215" cy="400685"/>
                <wp:effectExtent l="12700" t="12700" r="14605" b="13335"/>
                <wp:wrapNone/>
                <wp:docPr id="77" name="椭圆 8"/>
                <wp:cNvGraphicFramePr/>
                <a:graphic xmlns:a="http://schemas.openxmlformats.org/drawingml/2006/main">
                  <a:graphicData uri="http://schemas.microsoft.com/office/word/2010/wordprocessingShape">
                    <wps:wsp>
                      <wps:cNvSpPr/>
                      <wps:spPr>
                        <a:xfrm>
                          <a:off x="2427605" y="3535045"/>
                          <a:ext cx="2990215" cy="400685"/>
                        </a:xfrm>
                        <a:prstGeom prst="ellipse">
                          <a:avLst/>
                        </a:prstGeom>
                        <a:solidFill>
                          <a:srgbClr val="FFFFFF"/>
                        </a:solidFill>
                        <a:ln w="25400" cap="flat" cmpd="sng" algn="ctr">
                          <a:solidFill>
                            <a:srgbClr val="000000"/>
                          </a:solidFill>
                          <a:prstDash val="solid"/>
                        </a:ln>
                        <a:effectLst/>
                      </wps:spPr>
                      <wps:txbx>
                        <w:txbxContent>
                          <w:p>
                            <w:pPr>
                              <w:jc w:val="center"/>
                            </w:pPr>
                            <w:r>
                              <w:rPr>
                                <w:rFonts w:hint="eastAsia"/>
                              </w:rPr>
                              <w:t>临床试验机构办公室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8" o:spid="_x0000_s1026" o:spt="3" type="#_x0000_t3" style="position:absolute;left:0pt;margin-left:70.45pt;margin-top:6.1pt;height:31.55pt;width:235.45pt;z-index:251799552;v-text-anchor:middle;mso-width-relative:page;mso-height-relative:page;" fillcolor="#FFFFFF" filled="t" stroked="t" coordsize="21600,21600" o:gfxdata="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Iy+jNYAAAAJAQAADwAAAAAAAAABACAA&#10;AAAiAAAAZHJzL2Rvd25yZXYueG1sUEsBAhQAFAAAAAgAh07iQC9aOVKBAgAABgUAAA4AAAAAAAAA&#10;AQAgAAAAJQEAAGRycy9lMm9Eb2MueG1sUEsFBgAAAAAGAAYAWQEAABgGAAAAAA==&#10;">
                <v:fill on="t" focussize="0,0"/>
                <v:stroke weight="2pt" color="#000000" joinstyle="round"/>
                <v:imagedata o:title=""/>
                <o:lock v:ext="edit" aspectratio="f"/>
                <v:textbox>
                  <w:txbxContent>
                    <w:p>
                      <w:pPr>
                        <w:jc w:val="center"/>
                      </w:pPr>
                      <w:r>
                        <w:rPr>
                          <w:rFonts w:hint="eastAsia"/>
                        </w:rPr>
                        <w:t>临床试验机构办公室</w:t>
                      </w:r>
                    </w:p>
                  </w:txbxContent>
                </v:textbox>
              </v:shape>
            </w:pict>
          </mc:Fallback>
        </mc:AlternateContent>
      </w:r>
    </w:p>
    <w:p>
      <w:pPr>
        <w:rPr>
          <w:bCs/>
          <w:color w:val="auto"/>
          <w:szCs w:val="24"/>
        </w:rPr>
      </w:pPr>
    </w:p>
    <w:p>
      <w:pPr>
        <w:rPr>
          <w:bCs/>
          <w:color w:val="auto"/>
          <w:szCs w:val="24"/>
        </w:rPr>
      </w:pPr>
      <w:r>
        <w:rPr>
          <w:color w:val="auto"/>
          <w:sz w:val="21"/>
        </w:rPr>
        <mc:AlternateContent>
          <mc:Choice Requires="wps">
            <w:drawing>
              <wp:anchor distT="0" distB="0" distL="114300" distR="114300" simplePos="0" relativeHeight="251851776" behindDoc="0" locked="0" layoutInCell="1" allowOverlap="1">
                <wp:simplePos x="0" y="0"/>
                <wp:positionH relativeFrom="column">
                  <wp:posOffset>2360295</wp:posOffset>
                </wp:positionH>
                <wp:positionV relativeFrom="paragraph">
                  <wp:posOffset>170180</wp:posOffset>
                </wp:positionV>
                <wp:extent cx="556260" cy="328295"/>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556260"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bCs/>
                                <w:color w:val="auto"/>
                                <w:szCs w:val="24"/>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85pt;margin-top:13.4pt;height:25.85pt;width:43.8pt;z-index:251851776;mso-width-relative:page;mso-height-relative:page;" filled="f" stroked="f" coordsize="21600,21600" o:gfxdata="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&#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p2JtsAAAAJAQAADwAAAAAAAAABACAAAAAiAAAA&#10;ZHJzL2Rvd25yZXYueG1sUEsBAhQAFAAAAAgAh07iQHsBJic9AgAAaQQAAA4AAAAAAAAAAQAgAAAA&#10;KgEAAGRycy9lMm9Eb2MueG1sUEsFBgAAAAAGAAYAWQEAANkFAAAAAA==&#10;">
                <v:fill on="f" focussize="0,0"/>
                <v:stroke on="f" weight="0.5pt"/>
                <v:imagedata o:title=""/>
                <o:lock v:ext="edit" aspectratio="f"/>
                <v:textbox>
                  <w:txbxContent>
                    <w:p>
                      <w:r>
                        <w:rPr>
                          <w:rFonts w:hint="eastAsia"/>
                          <w:bCs/>
                          <w:color w:val="auto"/>
                          <w:szCs w:val="24"/>
                        </w:rPr>
                        <w:t>通过</w:t>
                      </w:r>
                    </w:p>
                  </w:txbxContent>
                </v:textbox>
              </v:shape>
            </w:pict>
          </mc:Fallback>
        </mc:AlternateContent>
      </w:r>
      <w:r>
        <w:rPr>
          <w:bCs/>
          <w:color w:val="auto"/>
        </w:rPr>
        <mc:AlternateContent>
          <mc:Choice Requires="wps">
            <w:drawing>
              <wp:anchor distT="0" distB="0" distL="114300" distR="114300" simplePos="0" relativeHeight="251802624" behindDoc="0" locked="0" layoutInCell="1" allowOverlap="1">
                <wp:simplePos x="0" y="0"/>
                <wp:positionH relativeFrom="column">
                  <wp:posOffset>2339975</wp:posOffset>
                </wp:positionH>
                <wp:positionV relativeFrom="paragraph">
                  <wp:posOffset>106045</wp:posOffset>
                </wp:positionV>
                <wp:extent cx="9525" cy="447675"/>
                <wp:effectExtent l="88900" t="13970" r="84455" b="56515"/>
                <wp:wrapNone/>
                <wp:docPr id="80" name="直接箭头连接符 9"/>
                <wp:cNvGraphicFramePr/>
                <a:graphic xmlns:a="http://schemas.openxmlformats.org/drawingml/2006/main">
                  <a:graphicData uri="http://schemas.microsoft.com/office/word/2010/wordprocessingShape">
                    <wps:wsp>
                      <wps:cNvCnPr/>
                      <wps:spPr>
                        <a:xfrm flipH="1">
                          <a:off x="3227705" y="4077970"/>
                          <a:ext cx="9525" cy="44767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9" o:spid="_x0000_s1026" o:spt="32" type="#_x0000_t32" style="position:absolute;left:0pt;flip:x;margin-left:184.25pt;margin-top:8.35pt;height:35.25pt;width:0.75pt;z-index:251802624;mso-width-relative:page;mso-height-relative:page;" filled="f" stroked="t" coordsize="21600,21600" o:gfxdata="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5sLEPVAAAACQEAAA8AAAAAAAAAAQAgAAAAIgAAAGRycy9kb3ducmV2LnhtbFBLAQIUABQAAAAI&#10;AIdO4kCHYi2yYgIAAJ8EAAAOAAAAAAAAAAEAIAAAACQBAABkcnMvZTJvRG9jLnhtbFBLBQYAAAAA&#10;BgAGAFkBAAD4BQ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rPr>
          <w:bCs/>
          <w:color w:val="auto"/>
          <w:szCs w:val="24"/>
        </w:rPr>
      </w:pPr>
    </w:p>
    <w:p>
      <w:pPr>
        <w:tabs>
          <w:tab w:val="left" w:pos="3628"/>
        </w:tabs>
        <w:rPr>
          <w:bCs/>
          <w:color w:val="auto"/>
          <w:szCs w:val="24"/>
        </w:rPr>
      </w:pPr>
      <w:r>
        <w:rPr>
          <w:bCs/>
          <w:color w:val="auto"/>
        </w:rPr>
        <mc:AlternateContent>
          <mc:Choice Requires="wps">
            <w:drawing>
              <wp:anchor distT="0" distB="0" distL="114300" distR="114300" simplePos="0" relativeHeight="251803648" behindDoc="0" locked="0" layoutInCell="1" allowOverlap="1">
                <wp:simplePos x="0" y="0"/>
                <wp:positionH relativeFrom="column">
                  <wp:posOffset>1551305</wp:posOffset>
                </wp:positionH>
                <wp:positionV relativeFrom="paragraph">
                  <wp:posOffset>171450</wp:posOffset>
                </wp:positionV>
                <wp:extent cx="1495425" cy="409575"/>
                <wp:effectExtent l="12700" t="12700" r="15875" b="19685"/>
                <wp:wrapNone/>
                <wp:docPr id="81" name="矩形 10"/>
                <wp:cNvGraphicFramePr/>
                <a:graphic xmlns:a="http://schemas.openxmlformats.org/drawingml/2006/main">
                  <a:graphicData uri="http://schemas.microsoft.com/office/word/2010/wordprocessingShape">
                    <wps:wsp>
                      <wps:cNvSpPr/>
                      <wps:spPr>
                        <a:xfrm>
                          <a:off x="2303780" y="4166235"/>
                          <a:ext cx="1495425" cy="409575"/>
                        </a:xfrm>
                        <a:prstGeom prst="rect">
                          <a:avLst/>
                        </a:prstGeom>
                        <a:solidFill>
                          <a:srgbClr val="FFFFFF"/>
                        </a:solidFill>
                        <a:ln w="25400" cap="flat" cmpd="sng" algn="ctr">
                          <a:solidFill>
                            <a:srgbClr val="000000"/>
                          </a:solidFill>
                          <a:prstDash val="solid"/>
                        </a:ln>
                        <a:effectLst/>
                      </wps:spPr>
                      <wps:txbx>
                        <w:txbxContent>
                          <w:p>
                            <w:pPr>
                              <w:jc w:val="center"/>
                            </w:pPr>
                            <w:r>
                              <w:rPr>
                                <w:rFonts w:hint="eastAsia"/>
                              </w:rPr>
                              <w:t>机构审核申请材料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122.15pt;margin-top:13.5pt;height:32.25pt;width:117.75pt;z-index:251803648;v-text-anchor:middle;mso-width-relative:page;mso-height-relative:page;" fillcolor="#FFFFFF" filled="t" stroked="t" coordsize="21600,21600" o:gfxdata="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GaOg61wAAAAkBAAAPAAAAAAAAAAEAIAAA&#10;ACIAAABkcnMvZG93bnJldi54bWxQSwECFAAUAAAACACHTuJAkKRb038CAAAEBQAADgAAAAAAAAAB&#10;ACAAAAAmAQAAZHJzL2Uyb0RvYy54bWxQSwUGAAAAAAYABgBZAQAAFwYAAAAA&#10;">
                <v:fill on="t" focussize="0,0"/>
                <v:stroke weight="2pt" color="#000000" joinstyle="round"/>
                <v:imagedata o:title=""/>
                <o:lock v:ext="edit" aspectratio="f"/>
                <v:textbox>
                  <w:txbxContent>
                    <w:p>
                      <w:pPr>
                        <w:jc w:val="center"/>
                      </w:pPr>
                      <w:r>
                        <w:rPr>
                          <w:rFonts w:hint="eastAsia"/>
                        </w:rPr>
                        <w:t>机构审核申请材料</w:t>
                      </w:r>
                    </w:p>
                  </w:txbxContent>
                </v:textbox>
              </v:rect>
            </w:pict>
          </mc:Fallback>
        </mc:AlternateContent>
      </w:r>
      <w:r>
        <w:rPr>
          <w:bCs/>
          <w:color w:val="auto"/>
        </w:rPr>
        <mc:AlternateContent>
          <mc:Choice Requires="wps">
            <w:drawing>
              <wp:anchor distT="0" distB="0" distL="114300" distR="114300" simplePos="0" relativeHeight="251804672" behindDoc="0" locked="0" layoutInCell="1" allowOverlap="1">
                <wp:simplePos x="0" y="0"/>
                <wp:positionH relativeFrom="column">
                  <wp:posOffset>3770630</wp:posOffset>
                </wp:positionH>
                <wp:positionV relativeFrom="paragraph">
                  <wp:posOffset>161925</wp:posOffset>
                </wp:positionV>
                <wp:extent cx="1495425" cy="504825"/>
                <wp:effectExtent l="12700" t="12700" r="15875" b="15875"/>
                <wp:wrapNone/>
                <wp:docPr id="82" name="矩形 11"/>
                <wp:cNvGraphicFramePr/>
                <a:graphic xmlns:a="http://schemas.openxmlformats.org/drawingml/2006/main">
                  <a:graphicData uri="http://schemas.microsoft.com/office/word/2010/wordprocessingShape">
                    <wps:wsp>
                      <wps:cNvSpPr/>
                      <wps:spPr>
                        <a:xfrm>
                          <a:off x="0" y="0"/>
                          <a:ext cx="1495425" cy="504825"/>
                        </a:xfrm>
                        <a:prstGeom prst="rect">
                          <a:avLst/>
                        </a:prstGeom>
                        <a:solidFill>
                          <a:srgbClr val="FFFFFF"/>
                        </a:solidFill>
                        <a:ln w="25400" cap="flat" cmpd="sng" algn="ctr">
                          <a:solidFill>
                            <a:srgbClr val="000000"/>
                          </a:solidFill>
                          <a:prstDash val="solid"/>
                        </a:ln>
                        <a:effectLst/>
                      </wps:spPr>
                      <wps:txbx>
                        <w:txbxContent>
                          <w:p>
                            <w:pPr>
                              <w:jc w:val="center"/>
                            </w:pPr>
                            <w:r>
                              <w:rPr>
                                <w:rFonts w:hint="eastAsia"/>
                              </w:rPr>
                              <w:t>申办者及研究者补充修改申请材料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296.9pt;margin-top:12.75pt;height:39.75pt;width:117.75pt;z-index:251804672;v-text-anchor:middle;mso-width-relative:page;mso-height-relative:page;" fillcolor="#FFFFFF" filled="t" stroked="t" coordsize="21600,21600" o:gfxdata="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taJUfYAAAACgEAAA8AAAAAAAAAAQAgAAAAIgAAAGRycy9kb3du&#10;cmV2LnhtbFBLAQIUABQAAAAIAIdO4kBXM7UEcQIAAPgEAAAOAAAAAAAAAAEAIAAAACcBAABkcnMv&#10;ZTJvRG9jLnhtbFBLBQYAAAAABgAGAFkBAAAKBgAAAAA=&#10;">
                <v:fill on="t" focussize="0,0"/>
                <v:stroke weight="2pt" color="#000000" joinstyle="round"/>
                <v:imagedata o:title=""/>
                <o:lock v:ext="edit" aspectratio="f"/>
                <v:textbox>
                  <w:txbxContent>
                    <w:p>
                      <w:pPr>
                        <w:jc w:val="center"/>
                      </w:pPr>
                      <w:r>
                        <w:rPr>
                          <w:rFonts w:hint="eastAsia"/>
                        </w:rPr>
                        <w:t>申办者及研究者补充修改申请材料</w:t>
                      </w:r>
                    </w:p>
                  </w:txbxContent>
                </v:textbox>
              </v:rect>
            </w:pict>
          </mc:Fallback>
        </mc:AlternateContent>
      </w:r>
      <w:r>
        <w:rPr>
          <w:rFonts w:hint="eastAsia"/>
          <w:bCs/>
          <w:color w:val="auto"/>
          <w:szCs w:val="24"/>
        </w:rPr>
        <w:tab/>
      </w:r>
    </w:p>
    <w:p>
      <w:pPr>
        <w:tabs>
          <w:tab w:val="left" w:pos="5143"/>
        </w:tabs>
        <w:ind w:firstLine="4830" w:firstLineChars="2300"/>
        <w:jc w:val="left"/>
        <w:rPr>
          <w:bCs/>
          <w:color w:val="auto"/>
          <w:szCs w:val="24"/>
        </w:rPr>
      </w:pPr>
      <w:r>
        <w:rPr>
          <w:bCs/>
          <w:color w:val="auto"/>
        </w:rPr>
        <mc:AlternateContent>
          <mc:Choice Requires="wps">
            <w:drawing>
              <wp:anchor distT="0" distB="0" distL="114300" distR="114300" simplePos="0" relativeHeight="251805696" behindDoc="0" locked="0" layoutInCell="1" allowOverlap="1">
                <wp:simplePos x="0" y="0"/>
                <wp:positionH relativeFrom="column">
                  <wp:posOffset>3113405</wp:posOffset>
                </wp:positionH>
                <wp:positionV relativeFrom="paragraph">
                  <wp:posOffset>190500</wp:posOffset>
                </wp:positionV>
                <wp:extent cx="581025" cy="9525"/>
                <wp:effectExtent l="33655" t="53975" r="40640" b="104140"/>
                <wp:wrapNone/>
                <wp:docPr id="83" name="直接箭头连接符 12"/>
                <wp:cNvGraphicFramePr/>
                <a:graphic xmlns:a="http://schemas.openxmlformats.org/drawingml/2006/main">
                  <a:graphicData uri="http://schemas.microsoft.com/office/word/2010/wordprocessingShape">
                    <wps:wsp>
                      <wps:cNvCnPr/>
                      <wps:spPr>
                        <a:xfrm flipV="1">
                          <a:off x="4218305" y="4051935"/>
                          <a:ext cx="581025" cy="952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12" o:spid="_x0000_s1026" o:spt="32" type="#_x0000_t32" style="position:absolute;left:0pt;flip:y;margin-left:245.15pt;margin-top:15pt;height:0.75pt;width:45.75pt;z-index:251805696;mso-width-relative:page;mso-height-relative:page;" filled="f" stroked="t" coordsize="21600,21600" o:gfxdata="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h6rJNQAAAAJAQAADwAAAAAAAAABACAAAAAiAAAAZHJzL2Rvd25yZXYueG1sUEsBAhQAFAAAAAgA&#10;h07iQD3Q5nViAgAAoAQAAA4AAAAAAAAAAQAgAAAAIwEAAGRycy9lMm9Eb2MueG1sUEsFBgAAAAAG&#10;AAYAWQEAAPcFA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rFonts w:hint="eastAsia"/>
          <w:bCs/>
          <w:color w:val="auto"/>
          <w:szCs w:val="24"/>
        </w:rPr>
        <w:t>不通过</w:t>
      </w:r>
    </w:p>
    <w:p>
      <w:pPr>
        <w:tabs>
          <w:tab w:val="left" w:pos="1438"/>
        </w:tabs>
        <w:jc w:val="left"/>
        <w:rPr>
          <w:bCs/>
          <w:color w:val="auto"/>
          <w:szCs w:val="24"/>
        </w:rPr>
      </w:pPr>
      <w:r>
        <w:rPr>
          <w:bCs/>
          <w:color w:val="auto"/>
        </w:rPr>
        <mc:AlternateContent>
          <mc:Choice Requires="wps">
            <w:drawing>
              <wp:anchor distT="0" distB="0" distL="114300" distR="114300" simplePos="0" relativeHeight="251809792" behindDoc="0" locked="0" layoutInCell="1" allowOverlap="1">
                <wp:simplePos x="0" y="0"/>
                <wp:positionH relativeFrom="column">
                  <wp:posOffset>2332355</wp:posOffset>
                </wp:positionH>
                <wp:positionV relativeFrom="paragraph">
                  <wp:posOffset>187960</wp:posOffset>
                </wp:positionV>
                <wp:extent cx="9525" cy="431800"/>
                <wp:effectExtent l="88265" t="13970" r="85090" b="57150"/>
                <wp:wrapNone/>
                <wp:docPr id="87" name="直接箭头连接符 16"/>
                <wp:cNvGraphicFramePr/>
                <a:graphic xmlns:a="http://schemas.openxmlformats.org/drawingml/2006/main">
                  <a:graphicData uri="http://schemas.microsoft.com/office/word/2010/wordprocessingShape">
                    <wps:wsp>
                      <wps:cNvCnPr/>
                      <wps:spPr>
                        <a:xfrm flipH="1">
                          <a:off x="0" y="0"/>
                          <a:ext cx="9525" cy="431800"/>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16" o:spid="_x0000_s1026" o:spt="32" type="#_x0000_t32" style="position:absolute;left:0pt;flip:x;margin-left:183.65pt;margin-top:14.8pt;height:34pt;width:0.75pt;z-index:251809792;mso-width-relative:page;mso-height-relative:page;" filled="f" stroked="t" coordsize="21600,21600" o:gfxdata="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qAK6V1gAAAAkB&#10;AAAPAAAAAAAAAAEAIAAAACIAAABkcnMvZG93bnJldi54bWxQSwECFAAUAAAACACHTuJABxNuPFYC&#10;AACUBAAADgAAAAAAAAABACAAAAAlAQAAZHJzL2Uyb0RvYy54bWxQSwUGAAAAAAYABgBZAQAA7QUA&#10;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bCs/>
          <w:color w:val="auto"/>
        </w:rPr>
        <mc:AlternateContent>
          <mc:Choice Requires="wps">
            <w:drawing>
              <wp:anchor distT="0" distB="0" distL="114300" distR="114300" simplePos="0" relativeHeight="251806720" behindDoc="0" locked="0" layoutInCell="1" allowOverlap="1">
                <wp:simplePos x="0" y="0"/>
                <wp:positionH relativeFrom="column">
                  <wp:posOffset>3094355</wp:posOffset>
                </wp:positionH>
                <wp:positionV relativeFrom="paragraph">
                  <wp:posOffset>76200</wp:posOffset>
                </wp:positionV>
                <wp:extent cx="523875" cy="0"/>
                <wp:effectExtent l="33655" t="71120" r="36830" b="111760"/>
                <wp:wrapNone/>
                <wp:docPr id="84" name="直接箭头连接符 13"/>
                <wp:cNvGraphicFramePr/>
                <a:graphic xmlns:a="http://schemas.openxmlformats.org/drawingml/2006/main">
                  <a:graphicData uri="http://schemas.microsoft.com/office/word/2010/wordprocessingShape">
                    <wps:wsp>
                      <wps:cNvCnPr/>
                      <wps:spPr>
                        <a:xfrm flipH="1">
                          <a:off x="4265930" y="4337685"/>
                          <a:ext cx="523875" cy="0"/>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13" o:spid="_x0000_s1026" o:spt="32" type="#_x0000_t32" style="position:absolute;left:0pt;flip:x;margin-left:243.65pt;margin-top:6pt;height:0pt;width:41.25pt;z-index:251806720;mso-width-relative:page;mso-height-relative:page;" filled="f" stroked="t" coordsize="21600,21600" o:gfxdata="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O5&#10;ZtrTAAAACQEAAA8AAAAAAAAAAQAgAAAAIgAAAGRycy9kb3ducmV2LnhtbFBLAQIUABQAAAAIAIdO&#10;4kCaz4dZYQIAAJ0EAAAOAAAAAAAAAAEAIAAAACIBAABkcnMvZTJvRG9jLnhtbFBLBQYAAAAABgAG&#10;AFkBAAD1BQ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tabs>
          <w:tab w:val="left" w:pos="1438"/>
        </w:tabs>
        <w:jc w:val="left"/>
        <w:rPr>
          <w:bCs/>
          <w:color w:val="auto"/>
          <w:szCs w:val="24"/>
        </w:rPr>
      </w:pPr>
      <w:r>
        <w:rPr>
          <w:color w:val="auto"/>
          <w:sz w:val="21"/>
        </w:rPr>
        <mc:AlternateContent>
          <mc:Choice Requires="wps">
            <w:drawing>
              <wp:anchor distT="0" distB="0" distL="114300" distR="114300" simplePos="0" relativeHeight="251850752" behindDoc="0" locked="0" layoutInCell="1" allowOverlap="1">
                <wp:simplePos x="0" y="0"/>
                <wp:positionH relativeFrom="column">
                  <wp:posOffset>2345055</wp:posOffset>
                </wp:positionH>
                <wp:positionV relativeFrom="paragraph">
                  <wp:posOffset>33020</wp:posOffset>
                </wp:positionV>
                <wp:extent cx="556260" cy="328295"/>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556260"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bCs/>
                                <w:color w:val="auto"/>
                                <w:szCs w:val="24"/>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65pt;margin-top:2.6pt;height:25.85pt;width:43.8pt;z-index:251850752;mso-width-relative:page;mso-height-relative:page;" filled="f" stroked="f" coordsize="21600,21600" o:gfxdata="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lAkR7ZAAAACAEAAA8AAAAAAAAAAQAgAAAAIgAAAGRy&#10;cy9kb3ducmV2LnhtbFBLAQIUABQAAAAIAIdO4kD2Dj4RPQIAAGkEAAAOAAAAAAAAAAEAIAAAACgB&#10;AABkcnMvZTJvRG9jLnhtbFBLBQYAAAAABgAGAFkBAADXBQAAAAA=&#10;">
                <v:fill on="f" focussize="0,0"/>
                <v:stroke on="f" weight="0.5pt"/>
                <v:imagedata o:title=""/>
                <o:lock v:ext="edit" aspectratio="f"/>
                <v:textbox>
                  <w:txbxContent>
                    <w:p>
                      <w:r>
                        <w:rPr>
                          <w:rFonts w:hint="eastAsia"/>
                          <w:bCs/>
                          <w:color w:val="auto"/>
                          <w:szCs w:val="24"/>
                        </w:rPr>
                        <w:t>通过</w:t>
                      </w:r>
                    </w:p>
                  </w:txbxContent>
                </v:textbox>
              </v:shape>
            </w:pict>
          </mc:Fallback>
        </mc:AlternateContent>
      </w:r>
    </w:p>
    <w:p>
      <w:pPr>
        <w:tabs>
          <w:tab w:val="left" w:pos="3628"/>
        </w:tabs>
        <w:ind w:firstLine="3570" w:firstLineChars="1700"/>
        <w:rPr>
          <w:bCs/>
          <w:color w:val="auto"/>
          <w:szCs w:val="24"/>
        </w:rPr>
      </w:pPr>
      <w:r>
        <w:rPr>
          <w:bCs/>
          <w:color w:val="auto"/>
        </w:rPr>
        <mc:AlternateContent>
          <mc:Choice Requires="wps">
            <w:drawing>
              <wp:anchor distT="0" distB="0" distL="114300" distR="114300" simplePos="0" relativeHeight="251808768" behindDoc="0" locked="0" layoutInCell="1" allowOverlap="1">
                <wp:simplePos x="0" y="0"/>
                <wp:positionH relativeFrom="column">
                  <wp:posOffset>3694430</wp:posOffset>
                </wp:positionH>
                <wp:positionV relativeFrom="paragraph">
                  <wp:posOffset>198120</wp:posOffset>
                </wp:positionV>
                <wp:extent cx="1495425" cy="504825"/>
                <wp:effectExtent l="12700" t="12700" r="15875" b="15875"/>
                <wp:wrapNone/>
                <wp:docPr id="86" name="矩形 15"/>
                <wp:cNvGraphicFramePr/>
                <a:graphic xmlns:a="http://schemas.openxmlformats.org/drawingml/2006/main">
                  <a:graphicData uri="http://schemas.microsoft.com/office/word/2010/wordprocessingShape">
                    <wps:wsp>
                      <wps:cNvSpPr/>
                      <wps:spPr>
                        <a:xfrm>
                          <a:off x="0" y="0"/>
                          <a:ext cx="1495425" cy="504825"/>
                        </a:xfrm>
                        <a:prstGeom prst="rect">
                          <a:avLst/>
                        </a:prstGeom>
                        <a:solidFill>
                          <a:srgbClr val="FFFFFF"/>
                        </a:solidFill>
                        <a:ln w="25400" cap="flat" cmpd="sng" algn="ctr">
                          <a:solidFill>
                            <a:srgbClr val="000000"/>
                          </a:solidFill>
                          <a:prstDash val="solid"/>
                        </a:ln>
                        <a:effectLst/>
                      </wps:spPr>
                      <wps:txbx>
                        <w:txbxContent>
                          <w:p>
                            <w:pPr>
                              <w:jc w:val="center"/>
                            </w:pPr>
                            <w:r>
                              <w:rPr>
                                <w:rFonts w:hint="eastAsia"/>
                              </w:rPr>
                              <w:t>申办者及研究者补充修改申请材料</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5" o:spid="_x0000_s1026" o:spt="1" style="position:absolute;left:0pt;margin-left:290.9pt;margin-top:15.6pt;height:39.75pt;width:117.75pt;z-index:251808768;v-text-anchor:middle;mso-width-relative:page;mso-height-relative:page;" fillcolor="#FFFFFF" filled="t" stroked="t" coordsize="21600,21600" o:gfxdata="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wRtnXYAAAACgEAAA8AAAAAAAAAAQAgAAAAIgAAAGRycy9kb3du&#10;cmV2LnhtbFBLAQIUABQAAAAIAIdO4kDaDk7ecQIAAPgEAAAOAAAAAAAAAAEAIAAAACcBAABkcnMv&#10;ZTJvRG9jLnhtbFBLBQYAAAAABgAGAFkBAAAKBgAAAAA=&#10;">
                <v:fill on="t" focussize="0,0"/>
                <v:stroke weight="2pt" color="#000000" joinstyle="round"/>
                <v:imagedata o:title=""/>
                <o:lock v:ext="edit" aspectratio="f"/>
                <v:textbox>
                  <w:txbxContent>
                    <w:p>
                      <w:pPr>
                        <w:jc w:val="center"/>
                      </w:pPr>
                      <w:r>
                        <w:rPr>
                          <w:rFonts w:hint="eastAsia"/>
                        </w:rPr>
                        <w:t>申办者及研究者补充修改申请材料</w:t>
                      </w:r>
                    </w:p>
                    <w:p>
                      <w:pPr>
                        <w:jc w:val="center"/>
                      </w:pPr>
                    </w:p>
                  </w:txbxContent>
                </v:textbox>
              </v:rect>
            </w:pict>
          </mc:Fallback>
        </mc:AlternateContent>
      </w:r>
    </w:p>
    <w:p>
      <w:pPr>
        <w:tabs>
          <w:tab w:val="left" w:pos="4993"/>
        </w:tabs>
        <w:ind w:firstLine="4830" w:firstLineChars="2300"/>
        <w:jc w:val="left"/>
        <w:rPr>
          <w:bCs/>
          <w:color w:val="auto"/>
          <w:szCs w:val="24"/>
        </w:rPr>
      </w:pPr>
      <w:r>
        <w:rPr>
          <w:bCs/>
          <w:color w:val="auto"/>
        </w:rPr>
        <mc:AlternateContent>
          <mc:Choice Requires="wps">
            <w:drawing>
              <wp:anchor distT="0" distB="0" distL="114300" distR="114300" simplePos="0" relativeHeight="251807744" behindDoc="0" locked="0" layoutInCell="1" allowOverlap="1">
                <wp:simplePos x="0" y="0"/>
                <wp:positionH relativeFrom="column">
                  <wp:posOffset>1532255</wp:posOffset>
                </wp:positionH>
                <wp:positionV relativeFrom="paragraph">
                  <wp:posOffset>27940</wp:posOffset>
                </wp:positionV>
                <wp:extent cx="1495425" cy="410210"/>
                <wp:effectExtent l="12700" t="12700" r="15875" b="19050"/>
                <wp:wrapNone/>
                <wp:docPr id="85" name="矩形 14"/>
                <wp:cNvGraphicFramePr/>
                <a:graphic xmlns:a="http://schemas.openxmlformats.org/drawingml/2006/main">
                  <a:graphicData uri="http://schemas.microsoft.com/office/word/2010/wordprocessingShape">
                    <wps:wsp>
                      <wps:cNvSpPr/>
                      <wps:spPr>
                        <a:xfrm>
                          <a:off x="0" y="0"/>
                          <a:ext cx="1495425" cy="410210"/>
                        </a:xfrm>
                        <a:prstGeom prst="rect">
                          <a:avLst/>
                        </a:prstGeom>
                        <a:solidFill>
                          <a:srgbClr val="FFFFFF"/>
                        </a:solidFill>
                        <a:ln w="25400" cap="flat" cmpd="sng" algn="ctr">
                          <a:solidFill>
                            <a:srgbClr val="000000"/>
                          </a:solidFill>
                          <a:prstDash val="solid"/>
                        </a:ln>
                        <a:effectLst/>
                      </wps:spPr>
                      <wps:txbx>
                        <w:txbxContent>
                          <w:p>
                            <w:pPr>
                              <w:jc w:val="center"/>
                            </w:pPr>
                            <w:r>
                              <w:rPr>
                                <w:rFonts w:hint="eastAsia"/>
                              </w:rPr>
                              <w:t>伦理委员会审核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4" o:spid="_x0000_s1026" o:spt="1" style="position:absolute;left:0pt;margin-left:120.65pt;margin-top:2.2pt;height:32.3pt;width:117.75pt;z-index:251807744;v-text-anchor:middle;mso-width-relative:page;mso-height-relative:page;" fillcolor="#FFFFFF" filled="t" stroked="t" coordsize="21600,21600" o:gfxdata="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N1mITXAAAACAEAAA8AAAAAAAAAAQAgAAAAIgAAAGRycy9kb3du&#10;cmV2LnhtbFBLAQIUABQAAAAIAIdO4kBh6ybucgIAAPgEAAAOAAAAAAAAAAEAIAAAACYBAABkcnMv&#10;ZTJvRG9jLnhtbFBLBQYAAAAABgAGAFkBAAAKBgAAAAA=&#10;">
                <v:fill on="t" focussize="0,0"/>
                <v:stroke weight="2pt" color="#000000" joinstyle="round"/>
                <v:imagedata o:title=""/>
                <o:lock v:ext="edit" aspectratio="f"/>
                <v:textbox>
                  <w:txbxContent>
                    <w:p>
                      <w:pPr>
                        <w:jc w:val="center"/>
                      </w:pPr>
                      <w:r>
                        <w:rPr>
                          <w:rFonts w:hint="eastAsia"/>
                        </w:rPr>
                        <w:t>伦理委员会审核</w:t>
                      </w:r>
                    </w:p>
                  </w:txbxContent>
                </v:textbox>
              </v:rect>
            </w:pict>
          </mc:Fallback>
        </mc:AlternateContent>
      </w:r>
      <w:r>
        <w:rPr>
          <w:bCs/>
          <w:color w:val="auto"/>
        </w:rPr>
        <mc:AlternateContent>
          <mc:Choice Requires="wps">
            <w:drawing>
              <wp:anchor distT="0" distB="0" distL="114300" distR="114300" simplePos="0" relativeHeight="251810816" behindDoc="0" locked="0" layoutInCell="1" allowOverlap="1">
                <wp:simplePos x="0" y="0"/>
                <wp:positionH relativeFrom="column">
                  <wp:posOffset>3056255</wp:posOffset>
                </wp:positionH>
                <wp:positionV relativeFrom="paragraph">
                  <wp:posOffset>182880</wp:posOffset>
                </wp:positionV>
                <wp:extent cx="581025" cy="9525"/>
                <wp:effectExtent l="33655" t="53975" r="40640" b="104140"/>
                <wp:wrapNone/>
                <wp:docPr id="88" name="直接箭头连接符 17"/>
                <wp:cNvGraphicFramePr/>
                <a:graphic xmlns:a="http://schemas.openxmlformats.org/drawingml/2006/main">
                  <a:graphicData uri="http://schemas.microsoft.com/office/word/2010/wordprocessingShape">
                    <wps:wsp>
                      <wps:cNvCnPr/>
                      <wps:spPr>
                        <a:xfrm flipV="1">
                          <a:off x="0" y="0"/>
                          <a:ext cx="581025" cy="952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17" o:spid="_x0000_s1026" o:spt="32" type="#_x0000_t32" style="position:absolute;left:0pt;flip:y;margin-left:240.65pt;margin-top:14.4pt;height:0.75pt;width:45.75pt;z-index:251810816;mso-width-relative:page;mso-height-relative:page;" filled="f" stroked="t" coordsize="21600,21600" o:gfxdata="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relf9UAAAAJAQAA&#10;DwAAAAAAAAABACAAAAAiAAAAZHJzL2Rvd25yZXYueG1sUEsBAhQAFAAAAAgAh07iQEP4uUBVAgAA&#10;lAQAAA4AAAAAAAAAAQAgAAAAJAEAAGRycy9lMm9Eb2MueG1sUEsFBgAAAAAGAAYAWQEAAOsFAAAA&#10;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rFonts w:hint="eastAsia"/>
          <w:bCs/>
          <w:color w:val="auto"/>
          <w:szCs w:val="24"/>
        </w:rPr>
        <w:t>不通过</w:t>
      </w:r>
    </w:p>
    <w:p>
      <w:pPr>
        <w:tabs>
          <w:tab w:val="left" w:pos="1438"/>
        </w:tabs>
        <w:jc w:val="left"/>
        <w:rPr>
          <w:bCs/>
          <w:color w:val="auto"/>
          <w:szCs w:val="24"/>
        </w:rPr>
      </w:pPr>
      <w:r>
        <w:rPr>
          <w:bCs/>
          <w:color w:val="auto"/>
        </w:rPr>
        <mc:AlternateContent>
          <mc:Choice Requires="wps">
            <w:drawing>
              <wp:anchor distT="0" distB="0" distL="114300" distR="114300" simplePos="0" relativeHeight="251811840" behindDoc="0" locked="0" layoutInCell="1" allowOverlap="1">
                <wp:simplePos x="0" y="0"/>
                <wp:positionH relativeFrom="column">
                  <wp:posOffset>3075305</wp:posOffset>
                </wp:positionH>
                <wp:positionV relativeFrom="paragraph">
                  <wp:posOffset>91440</wp:posOffset>
                </wp:positionV>
                <wp:extent cx="523875" cy="0"/>
                <wp:effectExtent l="33655" t="71120" r="36830" b="111760"/>
                <wp:wrapNone/>
                <wp:docPr id="89" name="直接箭头连接符 18"/>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18" o:spid="_x0000_s1026" o:spt="32" type="#_x0000_t32" style="position:absolute;left:0pt;flip:x;margin-left:242.15pt;margin-top:7.2pt;height:0pt;width:41.25pt;z-index:251811840;mso-width-relative:page;mso-height-relative:page;" filled="f" stroked="t" coordsize="21600,21600" o:gfxdata="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9atIN1AAAAAkBAAAPAAAA&#10;AAAAAAEAIAAAACIAAABkcnMvZG93bnJldi54bWxQSwECFAAUAAAACACHTuJA56iS6VICAACRBAAA&#10;DgAAAAAAAAABACAAAAAjAQAAZHJzL2Uyb0RvYy54bWxQSwUGAAAAAAYABgBZAQAA5wU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tabs>
          <w:tab w:val="left" w:pos="1438"/>
        </w:tabs>
        <w:jc w:val="left"/>
        <w:rPr>
          <w:bCs/>
          <w:color w:val="auto"/>
          <w:szCs w:val="24"/>
        </w:rPr>
      </w:pPr>
      <w:r>
        <w:rPr>
          <w:color w:val="auto"/>
          <w:sz w:val="21"/>
        </w:rPr>
        <mc:AlternateContent>
          <mc:Choice Requires="wps">
            <w:drawing>
              <wp:anchor distT="0" distB="0" distL="114300" distR="114300" simplePos="0" relativeHeight="251849728" behindDoc="0" locked="0" layoutInCell="1" allowOverlap="1">
                <wp:simplePos x="0" y="0"/>
                <wp:positionH relativeFrom="column">
                  <wp:posOffset>2322195</wp:posOffset>
                </wp:positionH>
                <wp:positionV relativeFrom="paragraph">
                  <wp:posOffset>86360</wp:posOffset>
                </wp:positionV>
                <wp:extent cx="556260" cy="328295"/>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556260"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bCs/>
                                <w:color w:val="auto"/>
                                <w:szCs w:val="24"/>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85pt;margin-top:6.8pt;height:25.85pt;width:43.8pt;z-index:251849728;mso-width-relative:page;mso-height-relative:page;" filled="f" stroked="f" coordsize="21600,21600" o:gfxdata="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&#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AUcwa2gAAAAkBAAAPAAAAAAAAAAEAIAAAACIAAABk&#10;cnMvZG93bnJldi54bWxQSwECFAAUAAAACACHTuJAVSB2kz0CAABpBAAADgAAAAAAAAABACAAAAAp&#10;AQAAZHJzL2Uyb0RvYy54bWxQSwUGAAAAAAYABgBZAQAA2AUAAAAA&#10;">
                <v:fill on="f" focussize="0,0"/>
                <v:stroke on="f" weight="0.5pt"/>
                <v:imagedata o:title=""/>
                <o:lock v:ext="edit" aspectratio="f"/>
                <v:textbox>
                  <w:txbxContent>
                    <w:p>
                      <w:r>
                        <w:rPr>
                          <w:rFonts w:hint="eastAsia"/>
                          <w:bCs/>
                          <w:color w:val="auto"/>
                          <w:szCs w:val="24"/>
                        </w:rPr>
                        <w:t>通过</w:t>
                      </w:r>
                    </w:p>
                  </w:txbxContent>
                </v:textbox>
              </v:shape>
            </w:pict>
          </mc:Fallback>
        </mc:AlternateContent>
      </w:r>
      <w:r>
        <w:rPr>
          <w:bCs/>
          <w:color w:val="auto"/>
        </w:rPr>
        <mc:AlternateContent>
          <mc:Choice Requires="wps">
            <w:drawing>
              <wp:anchor distT="0" distB="0" distL="114300" distR="114300" simplePos="0" relativeHeight="251812864" behindDoc="0" locked="0" layoutInCell="1" allowOverlap="1">
                <wp:simplePos x="0" y="0"/>
                <wp:positionH relativeFrom="column">
                  <wp:posOffset>2332355</wp:posOffset>
                </wp:positionH>
                <wp:positionV relativeFrom="paragraph">
                  <wp:posOffset>31750</wp:posOffset>
                </wp:positionV>
                <wp:extent cx="8890" cy="432435"/>
                <wp:effectExtent l="88900" t="13970" r="92710" b="67945"/>
                <wp:wrapNone/>
                <wp:docPr id="90" name="直接箭头连接符 19"/>
                <wp:cNvGraphicFramePr/>
                <a:graphic xmlns:a="http://schemas.openxmlformats.org/drawingml/2006/main">
                  <a:graphicData uri="http://schemas.microsoft.com/office/word/2010/wordprocessingShape">
                    <wps:wsp>
                      <wps:cNvCnPr/>
                      <wps:spPr>
                        <a:xfrm flipH="1">
                          <a:off x="0" y="0"/>
                          <a:ext cx="8890" cy="43243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19" o:spid="_x0000_s1026" o:spt="32" type="#_x0000_t32" style="position:absolute;left:0pt;flip:x;margin-left:183.65pt;margin-top:2.5pt;height:34.05pt;width:0.7pt;z-index:251812864;mso-width-relative:page;mso-height-relative:page;" filled="f" stroked="t" coordsize="21600,21600" o:gfxdata="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nYz281QAAAAgBAAAP&#10;AAAAAAAAAAEAIAAAACIAAABkcnMvZG93bnJldi54bWxQSwECFAAUAAAACACHTuJAyvKQD1QCAACU&#10;BAAADgAAAAAAAAABACAAAAAkAQAAZHJzL2Uyb0RvYy54bWxQSwUGAAAAAAYABgBZAQAA6gU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tabs>
          <w:tab w:val="left" w:pos="1438"/>
        </w:tabs>
        <w:ind w:firstLine="3570" w:firstLineChars="1700"/>
        <w:jc w:val="left"/>
        <w:rPr>
          <w:bCs/>
          <w:color w:val="auto"/>
          <w:szCs w:val="24"/>
        </w:rPr>
      </w:pPr>
    </w:p>
    <w:p>
      <w:pPr>
        <w:tabs>
          <w:tab w:val="left" w:pos="1438"/>
        </w:tabs>
        <w:jc w:val="left"/>
        <w:rPr>
          <w:bCs/>
          <w:color w:val="auto"/>
          <w:szCs w:val="24"/>
        </w:rPr>
      </w:pPr>
      <w:r>
        <w:rPr>
          <w:bCs/>
          <w:color w:val="auto"/>
        </w:rPr>
        <mc:AlternateContent>
          <mc:Choice Requires="wps">
            <w:drawing>
              <wp:anchor distT="0" distB="0" distL="114300" distR="114300" simplePos="0" relativeHeight="251813888" behindDoc="0" locked="0" layoutInCell="1" allowOverlap="1">
                <wp:simplePos x="0" y="0"/>
                <wp:positionH relativeFrom="column">
                  <wp:posOffset>1627505</wp:posOffset>
                </wp:positionH>
                <wp:positionV relativeFrom="paragraph">
                  <wp:posOffset>74295</wp:posOffset>
                </wp:positionV>
                <wp:extent cx="1495425" cy="466725"/>
                <wp:effectExtent l="12700" t="12700" r="15875" b="23495"/>
                <wp:wrapNone/>
                <wp:docPr id="91" name="矩形 20"/>
                <wp:cNvGraphicFramePr/>
                <a:graphic xmlns:a="http://schemas.openxmlformats.org/drawingml/2006/main">
                  <a:graphicData uri="http://schemas.microsoft.com/office/word/2010/wordprocessingShape">
                    <wps:wsp>
                      <wps:cNvSpPr/>
                      <wps:spPr>
                        <a:xfrm>
                          <a:off x="0" y="0"/>
                          <a:ext cx="1495425" cy="466725"/>
                        </a:xfrm>
                        <a:prstGeom prst="rect">
                          <a:avLst/>
                        </a:prstGeom>
                        <a:solidFill>
                          <a:srgbClr val="FFFFFF"/>
                        </a:solidFill>
                        <a:ln w="25400" cap="flat" cmpd="sng" algn="ctr">
                          <a:solidFill>
                            <a:srgbClr val="000000"/>
                          </a:solidFill>
                          <a:prstDash val="solid"/>
                        </a:ln>
                        <a:effectLst/>
                      </wps:spPr>
                      <wps:txbx>
                        <w:txbxContent>
                          <w:p>
                            <w:pPr>
                              <w:jc w:val="center"/>
                            </w:pPr>
                            <w:r>
                              <w:rPr>
                                <w:rFonts w:hint="eastAsia"/>
                              </w:rPr>
                              <w:t>审核签署临床试验合同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0" o:spid="_x0000_s1026" o:spt="1" style="position:absolute;left:0pt;margin-left:128.15pt;margin-top:5.85pt;height:36.75pt;width:117.75pt;z-index:251813888;v-text-anchor:middle;mso-width-relative:page;mso-height-relative:page;" fillcolor="#FFFFFF" filled="t" stroked="t" coordsize="21600,21600" o:gfxdata="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eb91dgAAAAJAQAADwAAAAAAAAABACAAAAAiAAAAZHJzL2Rvd25y&#10;ZXYueG1sUEsBAhQAFAAAAAgAh07iQB4nbcxwAgAA+AQAAA4AAAAAAAAAAQAgAAAAJwEAAGRycy9l&#10;Mm9Eb2MueG1sUEsFBgAAAAAGAAYAWQEAAAkGAAAAAA==&#10;">
                <v:fill on="t" focussize="0,0"/>
                <v:stroke weight="2pt" color="#000000" joinstyle="round"/>
                <v:imagedata o:title=""/>
                <o:lock v:ext="edit" aspectratio="f"/>
                <v:textbox>
                  <w:txbxContent>
                    <w:p>
                      <w:pPr>
                        <w:jc w:val="center"/>
                      </w:pPr>
                      <w:r>
                        <w:rPr>
                          <w:rFonts w:hint="eastAsia"/>
                        </w:rPr>
                        <w:t>审核签署临床试验合同</w:t>
                      </w:r>
                    </w:p>
                  </w:txbxContent>
                </v:textbox>
              </v:rect>
            </w:pict>
          </mc:Fallback>
        </mc:AlternateContent>
      </w:r>
      <w:r>
        <w:rPr>
          <w:rFonts w:hint="eastAsia"/>
          <w:bCs/>
          <w:color w:val="auto"/>
          <w:szCs w:val="24"/>
        </w:rPr>
        <w:tab/>
      </w:r>
    </w:p>
    <w:p>
      <w:pPr>
        <w:tabs>
          <w:tab w:val="left" w:pos="3613"/>
        </w:tabs>
        <w:jc w:val="left"/>
        <w:rPr>
          <w:bCs/>
          <w:color w:val="auto"/>
          <w:szCs w:val="24"/>
        </w:rPr>
      </w:pPr>
    </w:p>
    <w:p>
      <w:pPr>
        <w:tabs>
          <w:tab w:val="left" w:pos="1438"/>
        </w:tabs>
        <w:jc w:val="left"/>
        <w:rPr>
          <w:bCs/>
          <w:color w:val="auto"/>
          <w:szCs w:val="24"/>
        </w:rPr>
      </w:pPr>
      <w:r>
        <w:rPr>
          <w:bCs/>
          <w:color w:val="auto"/>
        </w:rPr>
        <mc:AlternateContent>
          <mc:Choice Requires="wps">
            <w:drawing>
              <wp:anchor distT="0" distB="0" distL="114300" distR="114300" simplePos="0" relativeHeight="251814912" behindDoc="0" locked="0" layoutInCell="1" allowOverlap="1">
                <wp:simplePos x="0" y="0"/>
                <wp:positionH relativeFrom="column">
                  <wp:posOffset>2327910</wp:posOffset>
                </wp:positionH>
                <wp:positionV relativeFrom="paragraph">
                  <wp:posOffset>156210</wp:posOffset>
                </wp:positionV>
                <wp:extent cx="4445" cy="201295"/>
                <wp:effectExtent l="88900" t="13970" r="89535" b="59055"/>
                <wp:wrapNone/>
                <wp:docPr id="92" name="直接箭头连接符 21"/>
                <wp:cNvGraphicFramePr/>
                <a:graphic xmlns:a="http://schemas.openxmlformats.org/drawingml/2006/main">
                  <a:graphicData uri="http://schemas.microsoft.com/office/word/2010/wordprocessingShape">
                    <wps:wsp>
                      <wps:cNvCnPr/>
                      <wps:spPr>
                        <a:xfrm>
                          <a:off x="0" y="0"/>
                          <a:ext cx="4445" cy="20129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21" o:spid="_x0000_s1026" o:spt="32" type="#_x0000_t32" style="position:absolute;left:0pt;margin-left:183.3pt;margin-top:12.3pt;height:15.85pt;width:0.35pt;z-index:251814912;mso-width-relative:page;mso-height-relative:page;" filled="f" stroked="t" coordsize="21600,21600" o:gfxdata="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xfe561gAAAAkBAAAPAAAAAAAA&#10;AAEAIAAAACIAAABkcnMvZG93bnJldi54bWxQSwECFAAUAAAACACHTuJAaAGBXE0CAACKBAAADgAA&#10;AAAAAAABACAAAAAlAQAAZHJzL2Uyb0RvYy54bWxQSwUGAAAAAAYABgBZAQAA5AU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tabs>
          <w:tab w:val="left" w:pos="1438"/>
        </w:tabs>
        <w:jc w:val="left"/>
        <w:rPr>
          <w:bCs/>
          <w:color w:val="auto"/>
          <w:szCs w:val="24"/>
        </w:rPr>
      </w:pPr>
      <w:r>
        <w:rPr>
          <w:bCs/>
          <w:color w:val="auto"/>
        </w:rPr>
        <mc:AlternateContent>
          <mc:Choice Requires="wps">
            <w:drawing>
              <wp:anchor distT="0" distB="0" distL="114300" distR="114300" simplePos="0" relativeHeight="251815936" behindDoc="0" locked="0" layoutInCell="1" allowOverlap="1">
                <wp:simplePos x="0" y="0"/>
                <wp:positionH relativeFrom="column">
                  <wp:posOffset>3761105</wp:posOffset>
                </wp:positionH>
                <wp:positionV relativeFrom="paragraph">
                  <wp:posOffset>98425</wp:posOffset>
                </wp:positionV>
                <wp:extent cx="1495425" cy="553085"/>
                <wp:effectExtent l="12700" t="12700" r="15875" b="13335"/>
                <wp:wrapNone/>
                <wp:docPr id="93" name="矩形 22"/>
                <wp:cNvGraphicFramePr/>
                <a:graphic xmlns:a="http://schemas.openxmlformats.org/drawingml/2006/main">
                  <a:graphicData uri="http://schemas.microsoft.com/office/word/2010/wordprocessingShape">
                    <wps:wsp>
                      <wps:cNvSpPr/>
                      <wps:spPr>
                        <a:xfrm>
                          <a:off x="0" y="0"/>
                          <a:ext cx="1495425" cy="553085"/>
                        </a:xfrm>
                        <a:prstGeom prst="rect">
                          <a:avLst/>
                        </a:prstGeom>
                        <a:solidFill>
                          <a:srgbClr val="FFFFFF"/>
                        </a:solidFill>
                        <a:ln w="25400" cap="flat" cmpd="sng" algn="ctr">
                          <a:solidFill>
                            <a:srgbClr val="000000"/>
                          </a:solidFill>
                          <a:prstDash val="solid"/>
                        </a:ln>
                        <a:effectLst/>
                      </wps:spPr>
                      <wps:txbx>
                        <w:txbxContent>
                          <w:p>
                            <w:pPr>
                              <w:jc w:val="center"/>
                            </w:pPr>
                            <w:r>
                              <w:rPr>
                                <w:rFonts w:hint="eastAsia"/>
                              </w:rPr>
                              <w:t>试验药物/器械及相关物资交换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2" o:spid="_x0000_s1026" o:spt="1" style="position:absolute;left:0pt;margin-left:296.15pt;margin-top:7.75pt;height:43.55pt;width:117.75pt;z-index:251815936;v-text-anchor:middle;mso-width-relative:page;mso-height-relative:page;" fillcolor="#FFFFFF" filled="t" stroked="t" coordsize="21600,21600" o:gfxdata="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FpQ6E2AAAAAoBAAAPAAAAAAAAAAEAIAAAACIAAABkcnMvZG93&#10;bnJldi54bWxQSwECFAAUAAAACACHTuJAkeKRQHICAAD4BAAADgAAAAAAAAABACAAAAAnAQAAZHJz&#10;L2Uyb0RvYy54bWxQSwUGAAAAAAYABgBZAQAACwYAAAAA&#10;">
                <v:fill on="t" focussize="0,0"/>
                <v:stroke weight="2pt" color="#000000" joinstyle="round"/>
                <v:imagedata o:title=""/>
                <o:lock v:ext="edit" aspectratio="f"/>
                <v:textbox>
                  <w:txbxContent>
                    <w:p>
                      <w:pPr>
                        <w:jc w:val="center"/>
                      </w:pPr>
                      <w:r>
                        <w:rPr>
                          <w:rFonts w:hint="eastAsia"/>
                        </w:rPr>
                        <w:t>试验药物/器械及相关物资交换</w:t>
                      </w:r>
                    </w:p>
                  </w:txbxContent>
                </v:textbox>
              </v:rect>
            </w:pict>
          </mc:Fallback>
        </mc:AlternateContent>
      </w:r>
      <w:r>
        <w:rPr>
          <w:bCs/>
          <w:color w:val="auto"/>
        </w:rPr>
        <mc:AlternateContent>
          <mc:Choice Requires="wps">
            <w:drawing>
              <wp:anchor distT="0" distB="0" distL="114300" distR="114300" simplePos="0" relativeHeight="251816960" behindDoc="0" locked="0" layoutInCell="1" allowOverlap="1">
                <wp:simplePos x="0" y="0"/>
                <wp:positionH relativeFrom="column">
                  <wp:posOffset>1598930</wp:posOffset>
                </wp:positionH>
                <wp:positionV relativeFrom="paragraph">
                  <wp:posOffset>164465</wp:posOffset>
                </wp:positionV>
                <wp:extent cx="1495425" cy="401320"/>
                <wp:effectExtent l="12700" t="12700" r="15875" b="12700"/>
                <wp:wrapNone/>
                <wp:docPr id="94" name="矩形 23"/>
                <wp:cNvGraphicFramePr/>
                <a:graphic xmlns:a="http://schemas.openxmlformats.org/drawingml/2006/main">
                  <a:graphicData uri="http://schemas.microsoft.com/office/word/2010/wordprocessingShape">
                    <wps:wsp>
                      <wps:cNvSpPr/>
                      <wps:spPr>
                        <a:xfrm>
                          <a:off x="0" y="0"/>
                          <a:ext cx="1495425" cy="401320"/>
                        </a:xfrm>
                        <a:prstGeom prst="rect">
                          <a:avLst/>
                        </a:prstGeom>
                        <a:solidFill>
                          <a:srgbClr val="FFFFFF"/>
                        </a:solidFill>
                        <a:ln w="25400" cap="flat" cmpd="sng" algn="ctr">
                          <a:solidFill>
                            <a:srgbClr val="000000"/>
                          </a:solidFill>
                          <a:prstDash val="solid"/>
                        </a:ln>
                        <a:effectLst/>
                      </wps:spPr>
                      <wps:txbx>
                        <w:txbxContent>
                          <w:p>
                            <w:pPr>
                              <w:jc w:val="center"/>
                            </w:pPr>
                            <w:r>
                              <w:rPr>
                                <w:rFonts w:hint="eastAsia"/>
                              </w:rPr>
                              <w:t>召开临床试验启动会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3" o:spid="_x0000_s1026" o:spt="1" style="position:absolute;left:0pt;margin-left:125.9pt;margin-top:12.95pt;height:31.6pt;width:117.75pt;z-index:251816960;v-text-anchor:middle;mso-width-relative:page;mso-height-relative:page;" fillcolor="#FFFFFF" filled="t" stroked="t" coordsize="21600,21600" o:gfxdata="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c5owDYAAAACQEAAA8AAAAAAAAAAQAgAAAAIgAAAGRycy9k&#10;b3ducmV2LnhtbFBLAQIUABQAAAAIAIdO4kDBnPeldAIAAPgEAAAOAAAAAAAAAAEAIAAAACcBAABk&#10;cnMvZTJvRG9jLnhtbFBLBQYAAAAABgAGAFkBAAANBgAAAAA=&#10;">
                <v:fill on="t" focussize="0,0"/>
                <v:stroke weight="2pt" color="#000000" joinstyle="round"/>
                <v:imagedata o:title=""/>
                <o:lock v:ext="edit" aspectratio="f"/>
                <v:textbox>
                  <w:txbxContent>
                    <w:p>
                      <w:pPr>
                        <w:jc w:val="center"/>
                      </w:pPr>
                      <w:r>
                        <w:rPr>
                          <w:rFonts w:hint="eastAsia"/>
                        </w:rPr>
                        <w:t>召开临床试验启动会</w:t>
                      </w:r>
                    </w:p>
                  </w:txbxContent>
                </v:textbox>
              </v:rect>
            </w:pict>
          </mc:Fallback>
        </mc:AlternateContent>
      </w:r>
      <w:r>
        <w:rPr>
          <w:bCs/>
          <w:color w:val="auto"/>
        </w:rPr>
        <mc:AlternateContent>
          <mc:Choice Requires="wps">
            <w:drawing>
              <wp:anchor distT="0" distB="0" distL="114300" distR="114300" simplePos="0" relativeHeight="251817984" behindDoc="0" locked="0" layoutInCell="1" allowOverlap="1">
                <wp:simplePos x="0" y="0"/>
                <wp:positionH relativeFrom="column">
                  <wp:posOffset>-515620</wp:posOffset>
                </wp:positionH>
                <wp:positionV relativeFrom="paragraph">
                  <wp:posOffset>118110</wp:posOffset>
                </wp:positionV>
                <wp:extent cx="1495425" cy="552450"/>
                <wp:effectExtent l="12700" t="12700" r="15875" b="13970"/>
                <wp:wrapNone/>
                <wp:docPr id="95" name="矩形 24"/>
                <wp:cNvGraphicFramePr/>
                <a:graphic xmlns:a="http://schemas.openxmlformats.org/drawingml/2006/main">
                  <a:graphicData uri="http://schemas.microsoft.com/office/word/2010/wordprocessingShape">
                    <wps:wsp>
                      <wps:cNvSpPr/>
                      <wps:spPr>
                        <a:xfrm>
                          <a:off x="0" y="0"/>
                          <a:ext cx="1495425" cy="552450"/>
                        </a:xfrm>
                        <a:prstGeom prst="rect">
                          <a:avLst/>
                        </a:prstGeom>
                        <a:solidFill>
                          <a:srgbClr val="FFFFFF"/>
                        </a:solidFill>
                        <a:ln w="25400" cap="flat" cmpd="sng" algn="ctr">
                          <a:solidFill>
                            <a:srgbClr val="000000"/>
                          </a:solidFill>
                          <a:prstDash val="solid"/>
                        </a:ln>
                        <a:effectLst/>
                      </wps:spPr>
                      <wps:txbx>
                        <w:txbxContent>
                          <w:p>
                            <w:pPr>
                              <w:jc w:val="center"/>
                            </w:pPr>
                            <w:r>
                              <w:rPr>
                                <w:rFonts w:hint="eastAsia"/>
                              </w:rPr>
                              <w:t>培训研究者</w:t>
                            </w:r>
                          </w:p>
                          <w:p>
                            <w:pPr>
                              <w:jc w:val="center"/>
                            </w:pPr>
                            <w:r>
                              <w:rPr>
                                <w:rFonts w:hint="eastAsia"/>
                              </w:rPr>
                              <w:t>招募受试者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4" o:spid="_x0000_s1026" o:spt="1" style="position:absolute;left:0pt;margin-left:-40.6pt;margin-top:9.3pt;height:43.5pt;width:117.75pt;z-index:251817984;v-text-anchor:middle;mso-width-relative:page;mso-height-relative:page;" fillcolor="#FFFFFF" filled="t" stroked="t" coordsize="21600,21600" o:gfxdata="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GtGKdgAAAAKAQAADwAAAAAAAAABACAAAAAiAAAAZHJzL2Rv&#10;d25yZXYueG1sUEsBAhQAFAAAAAgAh07iQHcC+FNzAgAA+AQAAA4AAAAAAAAAAQAgAAAAJwEAAGRy&#10;cy9lMm9Eb2MueG1sUEsFBgAAAAAGAAYAWQEAAAwGAAAAAA==&#10;">
                <v:fill on="t" focussize="0,0"/>
                <v:stroke weight="2pt" color="#000000" joinstyle="round"/>
                <v:imagedata o:title=""/>
                <o:lock v:ext="edit" aspectratio="f"/>
                <v:textbox>
                  <w:txbxContent>
                    <w:p>
                      <w:pPr>
                        <w:jc w:val="center"/>
                      </w:pPr>
                      <w:r>
                        <w:rPr>
                          <w:rFonts w:hint="eastAsia"/>
                        </w:rPr>
                        <w:t>培训研究者</w:t>
                      </w:r>
                    </w:p>
                    <w:p>
                      <w:pPr>
                        <w:jc w:val="center"/>
                      </w:pPr>
                      <w:r>
                        <w:rPr>
                          <w:rFonts w:hint="eastAsia"/>
                        </w:rPr>
                        <w:t>招募受试者</w:t>
                      </w:r>
                    </w:p>
                  </w:txbxContent>
                </v:textbox>
              </v:rect>
            </w:pict>
          </mc:Fallback>
        </mc:AlternateContent>
      </w:r>
    </w:p>
    <w:p>
      <w:pPr>
        <w:tabs>
          <w:tab w:val="left" w:pos="1438"/>
        </w:tabs>
        <w:jc w:val="left"/>
        <w:rPr>
          <w:bCs/>
          <w:color w:val="auto"/>
          <w:szCs w:val="24"/>
        </w:rPr>
      </w:pPr>
      <w:r>
        <w:rPr>
          <w:bCs/>
          <w:color w:val="auto"/>
        </w:rPr>
        <mc:AlternateContent>
          <mc:Choice Requires="wps">
            <w:drawing>
              <wp:anchor distT="0" distB="0" distL="114300" distR="114300" simplePos="0" relativeHeight="251826176" behindDoc="0" locked="0" layoutInCell="1" allowOverlap="1">
                <wp:simplePos x="0" y="0"/>
                <wp:positionH relativeFrom="column">
                  <wp:posOffset>979805</wp:posOffset>
                </wp:positionH>
                <wp:positionV relativeFrom="paragraph">
                  <wp:posOffset>91440</wp:posOffset>
                </wp:positionV>
                <wp:extent cx="581025" cy="9525"/>
                <wp:effectExtent l="33655" t="53975" r="40640" b="104140"/>
                <wp:wrapNone/>
                <wp:docPr id="103" name="直接箭头连接符 33"/>
                <wp:cNvGraphicFramePr/>
                <a:graphic xmlns:a="http://schemas.openxmlformats.org/drawingml/2006/main">
                  <a:graphicData uri="http://schemas.microsoft.com/office/word/2010/wordprocessingShape">
                    <wps:wsp>
                      <wps:cNvCnPr/>
                      <wps:spPr>
                        <a:xfrm flipV="1">
                          <a:off x="0" y="0"/>
                          <a:ext cx="581025" cy="952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33" o:spid="_x0000_s1026" o:spt="32" type="#_x0000_t32" style="position:absolute;left:0pt;flip:y;margin-left:77.15pt;margin-top:7.2pt;height:0.75pt;width:45.75pt;z-index:251826176;mso-width-relative:page;mso-height-relative:page;" filled="f" stroked="t" coordsize="21600,21600" o:gfxdata="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96xKtIAAAAJAQAADwAA&#10;AAAAAAABACAAAAAiAAAAZHJzL2Rvd25yZXYueG1sUEsBAhQAFAAAAAgAh07iQCW6kTBVAgAAlQQA&#10;AA4AAAAAAAAAAQAgAAAAIQEAAGRycy9lMm9Eb2MueG1sUEsFBgAAAAAGAAYAWQEAAOgFA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bCs/>
          <w:color w:val="auto"/>
        </w:rPr>
        <mc:AlternateContent>
          <mc:Choice Requires="wps">
            <w:drawing>
              <wp:anchor distT="0" distB="0" distL="114300" distR="114300" simplePos="0" relativeHeight="251827200" behindDoc="0" locked="0" layoutInCell="1" allowOverlap="1">
                <wp:simplePos x="0" y="0"/>
                <wp:positionH relativeFrom="column">
                  <wp:posOffset>3141980</wp:posOffset>
                </wp:positionH>
                <wp:positionV relativeFrom="paragraph">
                  <wp:posOffset>81915</wp:posOffset>
                </wp:positionV>
                <wp:extent cx="581025" cy="9525"/>
                <wp:effectExtent l="33655" t="53975" r="40640" b="104140"/>
                <wp:wrapNone/>
                <wp:docPr id="104" name="直接箭头连接符 34"/>
                <wp:cNvGraphicFramePr/>
                <a:graphic xmlns:a="http://schemas.openxmlformats.org/drawingml/2006/main">
                  <a:graphicData uri="http://schemas.microsoft.com/office/word/2010/wordprocessingShape">
                    <wps:wsp>
                      <wps:cNvCnPr/>
                      <wps:spPr>
                        <a:xfrm flipV="1">
                          <a:off x="0" y="0"/>
                          <a:ext cx="581025" cy="952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34" o:spid="_x0000_s1026" o:spt="32" type="#_x0000_t32" style="position:absolute;left:0pt;flip:y;margin-left:247.4pt;margin-top:6.45pt;height:0.75pt;width:45.75pt;z-index:251827200;mso-width-relative:page;mso-height-relative:page;" filled="f" stroked="t" coordsize="21600,21600" o:gfxdata="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9G6odUAAAAJAQAA&#10;DwAAAAAAAAABACAAAAAiAAAAZHJzL2Rvd25yZXYueG1sUEsBAhQAFAAAAAgAh07iQGFITxZVAgAA&#10;lQQAAA4AAAAAAAAAAQAgAAAAJAEAAGRycy9lMm9Eb2MueG1sUEsFBgAAAAAGAAYAWQEAAOsFAAAA&#10;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tabs>
          <w:tab w:val="left" w:pos="1468"/>
        </w:tabs>
        <w:ind w:firstLine="1470" w:firstLineChars="700"/>
        <w:jc w:val="left"/>
        <w:rPr>
          <w:bCs/>
          <w:color w:val="auto"/>
          <w:szCs w:val="24"/>
        </w:rPr>
      </w:pPr>
      <w:r>
        <w:rPr>
          <w:bCs/>
          <w:color w:val="auto"/>
        </w:rPr>
        <mc:AlternateContent>
          <mc:Choice Requires="wps">
            <w:drawing>
              <wp:anchor distT="0" distB="0" distL="114300" distR="114300" simplePos="0" relativeHeight="251822080" behindDoc="0" locked="0" layoutInCell="1" allowOverlap="1">
                <wp:simplePos x="0" y="0"/>
                <wp:positionH relativeFrom="column">
                  <wp:posOffset>1017905</wp:posOffset>
                </wp:positionH>
                <wp:positionV relativeFrom="paragraph">
                  <wp:posOffset>102870</wp:posOffset>
                </wp:positionV>
                <wp:extent cx="523875" cy="0"/>
                <wp:effectExtent l="33655" t="71120" r="36830" b="111760"/>
                <wp:wrapNone/>
                <wp:docPr id="99" name="直接箭头连接符 28"/>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28" o:spid="_x0000_s1026" o:spt="32" type="#_x0000_t32" style="position:absolute;left:0pt;flip:x;margin-left:80.15pt;margin-top:8.1pt;height:0pt;width:41.25pt;z-index:251822080;mso-width-relative:page;mso-height-relative:page;" filled="f" stroked="t" coordsize="21600,21600" o:gfxdata="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yMmW9IAAAAJAQAADwAAAAAA&#10;AAABACAAAAAiAAAAZHJzL2Rvd25yZXYueG1sUEsBAhQAFAAAAAgAh07iQJg/d3VSAgAAkQQAAA4A&#10;AAAAAAAAAQAgAAAAIQEAAGRycy9lMm9Eb2MueG1sUEsFBgAAAAAGAAYAWQEAAOUFA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bCs/>
          <w:color w:val="auto"/>
        </w:rPr>
        <mc:AlternateContent>
          <mc:Choice Requires="wps">
            <w:drawing>
              <wp:anchor distT="0" distB="0" distL="114300" distR="114300" simplePos="0" relativeHeight="251823104" behindDoc="0" locked="0" layoutInCell="1" allowOverlap="1">
                <wp:simplePos x="0" y="0"/>
                <wp:positionH relativeFrom="column">
                  <wp:posOffset>3151505</wp:posOffset>
                </wp:positionH>
                <wp:positionV relativeFrom="paragraph">
                  <wp:posOffset>74295</wp:posOffset>
                </wp:positionV>
                <wp:extent cx="523875" cy="0"/>
                <wp:effectExtent l="33655" t="71120" r="36830" b="111760"/>
                <wp:wrapNone/>
                <wp:docPr id="100" name="直接箭头连接符 29"/>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29" o:spid="_x0000_s1026" o:spt="32" type="#_x0000_t32" style="position:absolute;left:0pt;flip:x;margin-left:248.15pt;margin-top:5.85pt;height:0pt;width:41.25pt;z-index:251823104;mso-width-relative:page;mso-height-relative:page;" filled="f" stroked="t" coordsize="21600,21600" o:gfxdata="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30zYfUAAAACQEAAA8AAAAA&#10;AAAAAQAgAAAAIgAAAGRycy9kb3ducmV2LnhtbFBLAQIUABQAAAAIAIdO4kAOtgvGUQIAAJIEAAAO&#10;AAAAAAAAAAEAIAAAACMBAABkcnMvZTJvRG9jLnhtbFBLBQYAAAAABgAGAFkBAADmBQ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bCs/>
          <w:color w:val="auto"/>
        </w:rPr>
        <mc:AlternateContent>
          <mc:Choice Requires="wps">
            <w:drawing>
              <wp:anchor distT="0" distB="0" distL="114300" distR="114300" simplePos="0" relativeHeight="251825152" behindDoc="0" locked="0" layoutInCell="1" allowOverlap="1">
                <wp:simplePos x="0" y="0"/>
                <wp:positionH relativeFrom="column">
                  <wp:posOffset>2341880</wp:posOffset>
                </wp:positionH>
                <wp:positionV relativeFrom="paragraph">
                  <wp:posOffset>165100</wp:posOffset>
                </wp:positionV>
                <wp:extent cx="5080" cy="321945"/>
                <wp:effectExtent l="88900" t="13970" r="88900" b="60325"/>
                <wp:wrapNone/>
                <wp:docPr id="102" name="直接箭头连接符 32"/>
                <wp:cNvGraphicFramePr/>
                <a:graphic xmlns:a="http://schemas.openxmlformats.org/drawingml/2006/main">
                  <a:graphicData uri="http://schemas.microsoft.com/office/word/2010/wordprocessingShape">
                    <wps:wsp>
                      <wps:cNvCnPr/>
                      <wps:spPr>
                        <a:xfrm flipH="1">
                          <a:off x="0" y="0"/>
                          <a:ext cx="5080" cy="32194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32" o:spid="_x0000_s1026" o:spt="32" type="#_x0000_t32" style="position:absolute;left:0pt;flip:x;margin-left:184.4pt;margin-top:13pt;height:25.35pt;width:0.4pt;z-index:251825152;mso-width-relative:page;mso-height-relative:page;" filled="f" stroked="t" coordsize="21600,21600" o:gfxdata="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7cJ7WAAAACQEA&#10;AA8AAAAAAAAAAQAgAAAAIgAAAGRycy9kb3ducmV2LnhtbFBLAQIUABQAAAAIAIdO4kCJ/HNnVQIA&#10;AJUEAAAOAAAAAAAAAAEAIAAAACUBAABkcnMvZTJvRG9jLnhtbFBLBQYAAAAABgAGAFkBAADsBQAA&#10;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tabs>
          <w:tab w:val="left" w:pos="1438"/>
        </w:tabs>
        <w:jc w:val="left"/>
        <w:rPr>
          <w:bCs/>
          <w:color w:val="auto"/>
          <w:szCs w:val="24"/>
        </w:rPr>
      </w:pPr>
    </w:p>
    <w:p>
      <w:pPr>
        <w:tabs>
          <w:tab w:val="left" w:pos="1438"/>
        </w:tabs>
        <w:ind w:firstLine="1470" w:firstLineChars="700"/>
        <w:jc w:val="left"/>
        <w:rPr>
          <w:bCs/>
          <w:color w:val="auto"/>
          <w:szCs w:val="24"/>
        </w:rPr>
      </w:pPr>
      <w:r>
        <w:rPr>
          <w:bCs/>
          <w:color w:val="auto"/>
        </w:rPr>
        <mc:AlternateContent>
          <mc:Choice Requires="wps">
            <w:drawing>
              <wp:anchor distT="0" distB="0" distL="114300" distR="114300" simplePos="0" relativeHeight="251821056" behindDoc="0" locked="0" layoutInCell="1" allowOverlap="1">
                <wp:simplePos x="0" y="0"/>
                <wp:positionH relativeFrom="column">
                  <wp:posOffset>-582295</wp:posOffset>
                </wp:positionH>
                <wp:positionV relativeFrom="paragraph">
                  <wp:posOffset>106045</wp:posOffset>
                </wp:positionV>
                <wp:extent cx="1495425" cy="514985"/>
                <wp:effectExtent l="12700" t="12700" r="15875" b="20955"/>
                <wp:wrapNone/>
                <wp:docPr id="98" name="矩形 27"/>
                <wp:cNvGraphicFramePr/>
                <a:graphic xmlns:a="http://schemas.openxmlformats.org/drawingml/2006/main">
                  <a:graphicData uri="http://schemas.microsoft.com/office/word/2010/wordprocessingShape">
                    <wps:wsp>
                      <wps:cNvSpPr/>
                      <wps:spPr>
                        <a:xfrm>
                          <a:off x="0" y="0"/>
                          <a:ext cx="1495425" cy="514985"/>
                        </a:xfrm>
                        <a:prstGeom prst="rect">
                          <a:avLst/>
                        </a:prstGeom>
                        <a:solidFill>
                          <a:srgbClr val="FFFFFF"/>
                        </a:solidFill>
                        <a:ln w="25400" cap="flat" cmpd="sng" algn="ctr">
                          <a:solidFill>
                            <a:srgbClr val="000000"/>
                          </a:solidFill>
                          <a:prstDash val="solid"/>
                        </a:ln>
                        <a:effectLst/>
                      </wps:spPr>
                      <wps:txbx>
                        <w:txbxContent>
                          <w:p>
                            <w:pPr>
                              <w:ind w:firstLine="420" w:firstLineChars="200"/>
                            </w:pPr>
                            <w:r>
                              <w:rPr>
                                <w:rFonts w:hint="eastAsia"/>
                              </w:rPr>
                              <w:t>申办者、CRO</w:t>
                            </w:r>
                          </w:p>
                          <w:p>
                            <w:pPr>
                              <w:jc w:val="center"/>
                            </w:pPr>
                            <w:r>
                              <w:rPr>
                                <w:rFonts w:hint="eastAsia"/>
                              </w:rPr>
                              <w:t>机构办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7" o:spid="_x0000_s1026" o:spt="1" style="position:absolute;left:0pt;margin-left:-45.85pt;margin-top:8.35pt;height:40.55pt;width:117.75pt;z-index:251821056;v-text-anchor:middle;mso-width-relative:page;mso-height-relative:page;" fillcolor="#FFFFFF" filled="t" stroked="t" coordsize="21600,21600" o:gfxdata="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c67nNgAAAAJAQAADwAAAAAAAAABACAAAAAiAAAAZHJzL2Rvd25y&#10;ZXYueG1sUEsBAhQAFAAAAAgAh07iQFzRvHBwAgAA+AQAAA4AAAAAAAAAAQAgAAAAJwEAAGRycy9l&#10;Mm9Eb2MueG1sUEsFBgAAAAAGAAYAWQEAAAkGAAAAAA==&#10;">
                <v:fill on="t" focussize="0,0"/>
                <v:stroke weight="2pt" color="#000000" joinstyle="round"/>
                <v:imagedata o:title=""/>
                <o:lock v:ext="edit" aspectratio="f"/>
                <v:textbox>
                  <w:txbxContent>
                    <w:p>
                      <w:pPr>
                        <w:ind w:firstLine="420" w:firstLineChars="200"/>
                      </w:pPr>
                      <w:r>
                        <w:rPr>
                          <w:rFonts w:hint="eastAsia"/>
                        </w:rPr>
                        <w:t>申办者、CRO</w:t>
                      </w:r>
                    </w:p>
                    <w:p>
                      <w:pPr>
                        <w:jc w:val="center"/>
                      </w:pPr>
                      <w:r>
                        <w:rPr>
                          <w:rFonts w:hint="eastAsia"/>
                        </w:rPr>
                        <w:t>机构办</w:t>
                      </w:r>
                    </w:p>
                  </w:txbxContent>
                </v:textbox>
              </v:rect>
            </w:pict>
          </mc:Fallback>
        </mc:AlternateContent>
      </w:r>
      <w:r>
        <w:rPr>
          <w:bCs/>
          <w:color w:val="auto"/>
        </w:rPr>
        <mc:AlternateContent>
          <mc:Choice Requires="wps">
            <w:drawing>
              <wp:anchor distT="0" distB="0" distL="114300" distR="114300" simplePos="0" relativeHeight="251820032" behindDoc="0" locked="0" layoutInCell="1" allowOverlap="1">
                <wp:simplePos x="0" y="0"/>
                <wp:positionH relativeFrom="column">
                  <wp:posOffset>3770630</wp:posOffset>
                </wp:positionH>
                <wp:positionV relativeFrom="paragraph">
                  <wp:posOffset>59055</wp:posOffset>
                </wp:positionV>
                <wp:extent cx="1495425" cy="495300"/>
                <wp:effectExtent l="12700" t="12700" r="15875" b="25400"/>
                <wp:wrapNone/>
                <wp:docPr id="97" name="矩形 26"/>
                <wp:cNvGraphicFramePr/>
                <a:graphic xmlns:a="http://schemas.openxmlformats.org/drawingml/2006/main">
                  <a:graphicData uri="http://schemas.microsoft.com/office/word/2010/wordprocessingShape">
                    <wps:wsp>
                      <wps:cNvSpPr/>
                      <wps:spPr>
                        <a:xfrm>
                          <a:off x="0" y="0"/>
                          <a:ext cx="1495425" cy="495300"/>
                        </a:xfrm>
                        <a:prstGeom prst="rect">
                          <a:avLst/>
                        </a:prstGeom>
                        <a:solidFill>
                          <a:srgbClr val="FFFFFF"/>
                        </a:solidFill>
                        <a:ln w="25400" cap="flat" cmpd="sng" algn="ctr">
                          <a:solidFill>
                            <a:srgbClr val="000000"/>
                          </a:solidFill>
                          <a:prstDash val="solid"/>
                        </a:ln>
                        <a:effectLst/>
                      </wps:spPr>
                      <wps:txbx>
                        <w:txbxContent>
                          <w:p>
                            <w:pPr>
                              <w:jc w:val="center"/>
                            </w:pPr>
                            <w:r>
                              <w:rPr>
                                <w:rFonts w:hint="eastAsia"/>
                              </w:rPr>
                              <w:t>病例入组，定期访视填报SAE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296.9pt;margin-top:4.65pt;height:39pt;width:117.75pt;z-index:251820032;v-text-anchor:middle;mso-width-relative:page;mso-height-relative:page;" fillcolor="#FFFFFF" filled="t" stroked="t" coordsize="21600,21600" o:gfxdata="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nK+NtYAAAAIAQAADwAAAAAAAAABACAAAAAiAAAAZHJzL2Rvd25y&#10;ZXYueG1sUEsBAhQAFAAAAAgAh07iQNdDCgByAgAA+AQAAA4AAAAAAAAAAQAgAAAAJQEAAGRycy9l&#10;Mm9Eb2MueG1sUEsFBgAAAAAGAAYAWQEAAAkGAAAAAA==&#10;">
                <v:fill on="t" focussize="0,0"/>
                <v:stroke weight="2pt" color="#000000" joinstyle="round"/>
                <v:imagedata o:title=""/>
                <o:lock v:ext="edit" aspectratio="f"/>
                <v:textbox>
                  <w:txbxContent>
                    <w:p>
                      <w:pPr>
                        <w:jc w:val="center"/>
                      </w:pPr>
                      <w:r>
                        <w:rPr>
                          <w:rFonts w:hint="eastAsia"/>
                        </w:rPr>
                        <w:t>病例入组，定期访视填报SAE</w:t>
                      </w:r>
                    </w:p>
                  </w:txbxContent>
                </v:textbox>
              </v:rect>
            </w:pict>
          </mc:Fallback>
        </mc:AlternateContent>
      </w:r>
      <w:r>
        <w:rPr>
          <w:bCs/>
          <w:color w:val="auto"/>
        </w:rPr>
        <mc:AlternateContent>
          <mc:Choice Requires="wps">
            <w:drawing>
              <wp:anchor distT="0" distB="0" distL="114300" distR="114300" simplePos="0" relativeHeight="251819008" behindDoc="0" locked="0" layoutInCell="1" allowOverlap="1">
                <wp:simplePos x="0" y="0"/>
                <wp:positionH relativeFrom="column">
                  <wp:posOffset>1646555</wp:posOffset>
                </wp:positionH>
                <wp:positionV relativeFrom="paragraph">
                  <wp:posOffset>106680</wp:posOffset>
                </wp:positionV>
                <wp:extent cx="1495425" cy="428625"/>
                <wp:effectExtent l="12700" t="12700" r="15875" b="15875"/>
                <wp:wrapNone/>
                <wp:docPr id="96" name="矩形 25"/>
                <wp:cNvGraphicFramePr/>
                <a:graphic xmlns:a="http://schemas.openxmlformats.org/drawingml/2006/main">
                  <a:graphicData uri="http://schemas.microsoft.com/office/word/2010/wordprocessingShape">
                    <wps:wsp>
                      <wps:cNvSpPr/>
                      <wps:spPr>
                        <a:xfrm>
                          <a:off x="0" y="0"/>
                          <a:ext cx="1495425" cy="428625"/>
                        </a:xfrm>
                        <a:prstGeom prst="rect">
                          <a:avLst/>
                        </a:prstGeom>
                        <a:solidFill>
                          <a:srgbClr val="FFFFFF"/>
                        </a:solidFill>
                        <a:ln w="25400" cap="flat" cmpd="sng" algn="ctr">
                          <a:solidFill>
                            <a:srgbClr val="000000"/>
                          </a:solidFill>
                          <a:prstDash val="solid"/>
                        </a:ln>
                        <a:effectLst/>
                      </wps:spPr>
                      <wps:txbx>
                        <w:txbxContent>
                          <w:p>
                            <w:pPr>
                              <w:jc w:val="center"/>
                            </w:pPr>
                            <w:r>
                              <w:rPr>
                                <w:rFonts w:hint="eastAsia"/>
                              </w:rPr>
                              <w:t>临床试验的开展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5" o:spid="_x0000_s1026" o:spt="1" style="position:absolute;left:0pt;margin-left:129.65pt;margin-top:8.4pt;height:33.75pt;width:117.75pt;z-index:251819008;v-text-anchor:middle;mso-width-relative:page;mso-height-relative:page;" fillcolor="#FFFFFF" filled="t" stroked="t" coordsize="21600,21600" o:gfxdata="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yveuNgAAAAJAQAADwAAAAAAAAABACAAAAAiAAAAZHJzL2Rv&#10;d25yZXYueG1sUEsBAhQAFAAAAAgAh07iQD/EnVpzAgAA+AQAAA4AAAAAAAAAAQAgAAAAJwEAAGRy&#10;cy9lMm9Eb2MueG1sUEsFBgAAAAAGAAYAWQEAAAwGAAAAAA==&#10;">
                <v:fill on="t" focussize="0,0"/>
                <v:stroke weight="2pt" color="#000000" joinstyle="round"/>
                <v:imagedata o:title=""/>
                <o:lock v:ext="edit" aspectratio="f"/>
                <v:textbox>
                  <w:txbxContent>
                    <w:p>
                      <w:pPr>
                        <w:jc w:val="center"/>
                      </w:pPr>
                      <w:r>
                        <w:rPr>
                          <w:rFonts w:hint="eastAsia"/>
                        </w:rPr>
                        <w:t>临床试验的开展</w:t>
                      </w:r>
                    </w:p>
                  </w:txbxContent>
                </v:textbox>
              </v:rect>
            </w:pict>
          </mc:Fallback>
        </mc:AlternateContent>
      </w:r>
      <w:r>
        <w:rPr>
          <w:rFonts w:hint="eastAsia"/>
          <w:bCs/>
          <w:color w:val="auto"/>
          <w:szCs w:val="24"/>
        </w:rPr>
        <w:t>监查、稽查</w:t>
      </w:r>
    </w:p>
    <w:p>
      <w:pPr>
        <w:tabs>
          <w:tab w:val="left" w:pos="1438"/>
        </w:tabs>
        <w:jc w:val="left"/>
        <w:rPr>
          <w:bCs/>
          <w:color w:val="auto"/>
          <w:szCs w:val="24"/>
        </w:rPr>
      </w:pPr>
      <w:r>
        <w:rPr>
          <w:bCs/>
          <w:color w:val="auto"/>
        </w:rPr>
        <mc:AlternateContent>
          <mc:Choice Requires="wps">
            <w:drawing>
              <wp:anchor distT="0" distB="0" distL="114300" distR="114300" simplePos="0" relativeHeight="251828224" behindDoc="0" locked="0" layoutInCell="1" allowOverlap="1">
                <wp:simplePos x="0" y="0"/>
                <wp:positionH relativeFrom="column">
                  <wp:posOffset>989330</wp:posOffset>
                </wp:positionH>
                <wp:positionV relativeFrom="paragraph">
                  <wp:posOffset>68580</wp:posOffset>
                </wp:positionV>
                <wp:extent cx="581025" cy="9525"/>
                <wp:effectExtent l="33655" t="53975" r="40640" b="104140"/>
                <wp:wrapNone/>
                <wp:docPr id="105" name="直接箭头连接符 35"/>
                <wp:cNvGraphicFramePr/>
                <a:graphic xmlns:a="http://schemas.openxmlformats.org/drawingml/2006/main">
                  <a:graphicData uri="http://schemas.microsoft.com/office/word/2010/wordprocessingShape">
                    <wps:wsp>
                      <wps:cNvCnPr/>
                      <wps:spPr>
                        <a:xfrm flipV="1">
                          <a:off x="0" y="0"/>
                          <a:ext cx="581025" cy="952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35" o:spid="_x0000_s1026" o:spt="32" type="#_x0000_t32" style="position:absolute;left:0pt;flip:y;margin-left:77.9pt;margin-top:5.4pt;height:0.75pt;width:45.75pt;z-index:251828224;mso-width-relative:page;mso-height-relative:page;" filled="f" stroked="t" coordsize="21600,21600" o:gfxdata="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OeOC11AAAAAkBAAAP&#10;AAAAAAAAAAEAIAAAACIAAABkcnMvZG93bnJldi54bWxQSwECFAAUAAAACACHTuJA+7edkFUCAACV&#10;BAAADgAAAAAAAAABACAAAAAjAQAAZHJzL2Uyb0RvYy54bWxQSwUGAAAAAAYABgBZAQAA6gU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bCs/>
          <w:color w:val="auto"/>
        </w:rPr>
        <mc:AlternateContent>
          <mc:Choice Requires="wps">
            <w:drawing>
              <wp:anchor distT="0" distB="0" distL="114300" distR="114300" simplePos="0" relativeHeight="251844608" behindDoc="0" locked="0" layoutInCell="1" allowOverlap="1">
                <wp:simplePos x="0" y="0"/>
                <wp:positionH relativeFrom="column">
                  <wp:posOffset>-591820</wp:posOffset>
                </wp:positionH>
                <wp:positionV relativeFrom="paragraph">
                  <wp:posOffset>163830</wp:posOffset>
                </wp:positionV>
                <wp:extent cx="1495425" cy="0"/>
                <wp:effectExtent l="0" t="12700" r="13335" b="17780"/>
                <wp:wrapNone/>
                <wp:docPr id="122" name="直接连接符 56"/>
                <wp:cNvGraphicFramePr/>
                <a:graphic xmlns:a="http://schemas.openxmlformats.org/drawingml/2006/main">
                  <a:graphicData uri="http://schemas.microsoft.com/office/word/2010/wordprocessingShape">
                    <wps:wsp>
                      <wps:cNvCnPr/>
                      <wps:spPr>
                        <a:xfrm>
                          <a:off x="398780" y="9322435"/>
                          <a:ext cx="1495425" cy="0"/>
                        </a:xfrm>
                        <a:prstGeom prst="line">
                          <a:avLst/>
                        </a:prstGeom>
                        <a:noFill/>
                        <a:ln w="25400" cap="flat" cmpd="sng" algn="ctr">
                          <a:solidFill>
                            <a:srgbClr val="000000"/>
                          </a:solidFill>
                          <a:prstDash val="solid"/>
                        </a:ln>
                        <a:effectLst/>
                      </wps:spPr>
                      <wps:bodyPr/>
                    </wps:wsp>
                  </a:graphicData>
                </a:graphic>
              </wp:anchor>
            </w:drawing>
          </mc:Choice>
          <mc:Fallback>
            <w:pict>
              <v:line id="直接连接符 56" o:spid="_x0000_s1026" o:spt="20" style="position:absolute;left:0pt;margin-left:-46.6pt;margin-top:12.9pt;height:0pt;width:117.75pt;z-index:251844608;mso-width-relative:page;mso-height-relative:page;" filled="f" stroked="t" coordsize="21600,21600" o:gfxdata="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8FExNcAAAAJAQAADwAAAAAAAAABACAAAAAiAAAAZHJzL2Rvd25yZXYueG1sUEsBAhQAFAAA&#10;AAgAh07iQH2mWs7wAQAAtwMAAA4AAAAAAAAAAQAgAAAAJgEAAGRycy9lMm9Eb2MueG1sUEsFBgAA&#10;AAAGAAYAWQEAAIgFAAAAAA==&#10;">
                <v:fill on="f" focussize="0,0"/>
                <v:stroke weight="2pt" color="#000000" joinstyle="round"/>
                <v:imagedata o:title=""/>
                <o:lock v:ext="edit" aspectratio="f"/>
              </v:line>
            </w:pict>
          </mc:Fallback>
        </mc:AlternateContent>
      </w:r>
      <w:r>
        <w:rPr>
          <w:bCs/>
          <w:color w:val="auto"/>
        </w:rPr>
        <mc:AlternateContent>
          <mc:Choice Requires="wps">
            <w:drawing>
              <wp:anchor distT="0" distB="0" distL="114300" distR="114300" simplePos="0" relativeHeight="251845632" behindDoc="0" locked="0" layoutInCell="1" allowOverlap="1">
                <wp:simplePos x="0" y="0"/>
                <wp:positionH relativeFrom="column">
                  <wp:posOffset>3208655</wp:posOffset>
                </wp:positionH>
                <wp:positionV relativeFrom="paragraph">
                  <wp:posOffset>5715</wp:posOffset>
                </wp:positionV>
                <wp:extent cx="523875" cy="0"/>
                <wp:effectExtent l="33655" t="71120" r="36830" b="111760"/>
                <wp:wrapNone/>
                <wp:docPr id="123" name="直接箭头连接符 30"/>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30" o:spid="_x0000_s1026" o:spt="32" type="#_x0000_t32" style="position:absolute;left:0pt;flip:x;margin-left:252.65pt;margin-top:0.45pt;height:0pt;width:41.25pt;z-index:251845632;mso-width-relative:page;mso-height-relative:page;" filled="f" stroked="t" coordsize="21600,21600" o:gfxdata="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ckg2nRAAAABQEAAA8AAAAAAAAA&#10;AQAgAAAAIgAAAGRycy9kb3ducmV2LnhtbFBLAQIUABQAAAAIAIdO4kBGrkTmUQIAAJIEAAAOAAAA&#10;AAAAAAEAIAAAACABAABkcnMvZTJvRG9jLnhtbFBLBQYAAAAABgAGAFkBAADjBQ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bCs/>
          <w:color w:val="auto"/>
        </w:rPr>
        <mc:AlternateContent>
          <mc:Choice Requires="wps">
            <w:drawing>
              <wp:anchor distT="0" distB="0" distL="114300" distR="114300" simplePos="0" relativeHeight="251824128" behindDoc="0" locked="0" layoutInCell="1" allowOverlap="1">
                <wp:simplePos x="0" y="0"/>
                <wp:positionH relativeFrom="column">
                  <wp:posOffset>989330</wp:posOffset>
                </wp:positionH>
                <wp:positionV relativeFrom="paragraph">
                  <wp:posOffset>177165</wp:posOffset>
                </wp:positionV>
                <wp:extent cx="523875" cy="0"/>
                <wp:effectExtent l="33655" t="71120" r="36830" b="111760"/>
                <wp:wrapNone/>
                <wp:docPr id="101" name="直接箭头连接符 31"/>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31" o:spid="_x0000_s1026" o:spt="32" type="#_x0000_t32" style="position:absolute;left:0pt;flip:x;margin-left:77.9pt;margin-top:13.95pt;height:0pt;width:41.25pt;z-index:251824128;mso-width-relative:page;mso-height-relative:page;" filled="f" stroked="t" coordsize="21600,21600" o:gfxdata="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Z4Lj9UAAAAJAQAADwAA&#10;AAAAAAABACAAAAAiAAAAZHJzL2Rvd25yZXYueG1sUEsBAhQAFAAAAAgAh07iQGnf6N9SAgAAkgQA&#10;AA4AAAAAAAAAAQAgAAAAJAEAAGRycy9lMm9Eb2MueG1sUEsFBgAAAAAGAAYAWQEAAOgFA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tabs>
          <w:tab w:val="left" w:pos="1438"/>
        </w:tabs>
        <w:ind w:firstLine="1680" w:firstLineChars="800"/>
        <w:jc w:val="left"/>
        <w:rPr>
          <w:bCs/>
          <w:color w:val="auto"/>
          <w:szCs w:val="24"/>
        </w:rPr>
      </w:pPr>
      <w:r>
        <w:rPr>
          <w:bCs/>
          <w:color w:val="auto"/>
        </w:rPr>
        <mc:AlternateContent>
          <mc:Choice Requires="wps">
            <w:drawing>
              <wp:anchor distT="0" distB="0" distL="114300" distR="114300" simplePos="0" relativeHeight="251829248" behindDoc="0" locked="0" layoutInCell="1" allowOverlap="1">
                <wp:simplePos x="0" y="0"/>
                <wp:positionH relativeFrom="column">
                  <wp:posOffset>3199130</wp:posOffset>
                </wp:positionH>
                <wp:positionV relativeFrom="paragraph">
                  <wp:posOffset>3810</wp:posOffset>
                </wp:positionV>
                <wp:extent cx="581025" cy="9525"/>
                <wp:effectExtent l="33655" t="53975" r="40640" b="104140"/>
                <wp:wrapNone/>
                <wp:docPr id="106" name="直接箭头连接符 36"/>
                <wp:cNvGraphicFramePr/>
                <a:graphic xmlns:a="http://schemas.openxmlformats.org/drawingml/2006/main">
                  <a:graphicData uri="http://schemas.microsoft.com/office/word/2010/wordprocessingShape">
                    <wps:wsp>
                      <wps:cNvCnPr/>
                      <wps:spPr>
                        <a:xfrm flipV="1">
                          <a:off x="0" y="0"/>
                          <a:ext cx="581025" cy="952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36" o:spid="_x0000_s1026" o:spt="32" type="#_x0000_t32" style="position:absolute;left:0pt;flip:y;margin-left:251.9pt;margin-top:0.3pt;height:0.75pt;width:45.75pt;z-index:251829248;mso-width-relative:page;mso-height-relative:page;" filled="f" stroked="t" coordsize="21600,21600" o:gfxdata="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DnUc/TAAAABgEAAA8A&#10;AAAAAAAAAQAgAAAAIgAAAGRycy9kb3ducmV2LnhtbFBLAQIUABQAAAAIAIdO4kAUsZvAVQIAAJUE&#10;AAAOAAAAAAAAAAEAIAAAACIBAABkcnMvZTJvRG9jLnhtbFBLBQYAAAAABgAGAFkBAADpBQ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bCs/>
          <w:color w:val="auto"/>
        </w:rPr>
        <mc:AlternateContent>
          <mc:Choice Requires="wps">
            <w:drawing>
              <wp:anchor distT="0" distB="0" distL="114300" distR="114300" simplePos="0" relativeHeight="251833344" behindDoc="0" locked="0" layoutInCell="1" allowOverlap="1">
                <wp:simplePos x="0" y="0"/>
                <wp:positionH relativeFrom="column">
                  <wp:posOffset>2337435</wp:posOffset>
                </wp:positionH>
                <wp:positionV relativeFrom="paragraph">
                  <wp:posOffset>123825</wp:posOffset>
                </wp:positionV>
                <wp:extent cx="4445" cy="247015"/>
                <wp:effectExtent l="88265" t="13970" r="90170" b="59055"/>
                <wp:wrapNone/>
                <wp:docPr id="110" name="直接箭头连接符 45"/>
                <wp:cNvGraphicFramePr/>
                <a:graphic xmlns:a="http://schemas.openxmlformats.org/drawingml/2006/main">
                  <a:graphicData uri="http://schemas.microsoft.com/office/word/2010/wordprocessingShape">
                    <wps:wsp>
                      <wps:cNvCnPr/>
                      <wps:spPr>
                        <a:xfrm>
                          <a:off x="0" y="0"/>
                          <a:ext cx="4445" cy="24701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45" o:spid="_x0000_s1026" o:spt="32" type="#_x0000_t32" style="position:absolute;left:0pt;margin-left:184.05pt;margin-top:9.75pt;height:19.45pt;width:0.35pt;z-index:251833344;mso-width-relative:page;mso-height-relative:page;" filled="f" stroked="t" coordsize="21600,21600" o:gfxdata="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889/9QAAAAJAQAADwAAAAAAAAAB&#10;ACAAAAAiAAAAZHJzL2Rvd25yZXYueG1sUEsBAhQAFAAAAAgAh07iQMhc7x5NAgAAiwQAAA4AAAAA&#10;AAAAAQAgAAAAIwEAAGRycy9lMm9Eb2MueG1sUEsFBgAAAAAGAAYAWQEAAOIFA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rFonts w:hint="eastAsia"/>
          <w:bCs/>
          <w:color w:val="auto"/>
          <w:szCs w:val="24"/>
        </w:rPr>
        <w:t xml:space="preserve"> 质控</w:t>
      </w:r>
    </w:p>
    <w:p>
      <w:pPr>
        <w:tabs>
          <w:tab w:val="left" w:pos="1641"/>
        </w:tabs>
        <w:jc w:val="left"/>
        <w:rPr>
          <w:bCs/>
          <w:color w:val="auto"/>
          <w:szCs w:val="24"/>
        </w:rPr>
      </w:pPr>
      <w:r>
        <w:rPr>
          <w:bCs/>
          <w:color w:val="auto"/>
        </w:rPr>
        <mc:AlternateContent>
          <mc:Choice Requires="wps">
            <w:drawing>
              <wp:anchor distT="0" distB="0" distL="114300" distR="114300" simplePos="0" relativeHeight="251847680" behindDoc="0" locked="0" layoutInCell="1" allowOverlap="1">
                <wp:simplePos x="0" y="0"/>
                <wp:positionH relativeFrom="column">
                  <wp:posOffset>3799205</wp:posOffset>
                </wp:positionH>
                <wp:positionV relativeFrom="paragraph">
                  <wp:posOffset>90805</wp:posOffset>
                </wp:positionV>
                <wp:extent cx="1461135" cy="471170"/>
                <wp:effectExtent l="12700" t="12700" r="19685" b="19050"/>
                <wp:wrapNone/>
                <wp:docPr id="125" name="矩形 41"/>
                <wp:cNvGraphicFramePr/>
                <a:graphic xmlns:a="http://schemas.openxmlformats.org/drawingml/2006/main">
                  <a:graphicData uri="http://schemas.microsoft.com/office/word/2010/wordprocessingShape">
                    <wps:wsp>
                      <wps:cNvSpPr/>
                      <wps:spPr>
                        <a:xfrm>
                          <a:off x="0" y="0"/>
                          <a:ext cx="1495425" cy="400685"/>
                        </a:xfrm>
                        <a:prstGeom prst="rect">
                          <a:avLst/>
                        </a:prstGeom>
                        <a:solidFill>
                          <a:srgbClr val="FFFFFF"/>
                        </a:solidFill>
                        <a:ln w="25400" cap="flat" cmpd="sng" algn="ctr">
                          <a:solidFill>
                            <a:srgbClr val="000000"/>
                          </a:solidFill>
                          <a:prstDash val="solid"/>
                        </a:ln>
                        <a:effectLst/>
                      </wps:spPr>
                      <wps:txbx>
                        <w:txbxContent>
                          <w:p>
                            <w:pPr>
                              <w:jc w:val="center"/>
                            </w:pPr>
                            <w:r>
                              <w:rPr>
                                <w:rFonts w:hint="eastAsia"/>
                              </w:rPr>
                              <w:t>试验药物/器械及物资回收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1" o:spid="_x0000_s1026" o:spt="1" style="position:absolute;left:0pt;margin-left:299.15pt;margin-top:7.15pt;height:37.1pt;width:115.05pt;z-index:251847680;v-text-anchor:middle;mso-width-relative:page;mso-height-relative:page;" fillcolor="#FFFFFF" filled="t" stroked="t" coordsize="21600,21600" o:gfxdata="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nEDljXAAAACQEAAA8AAAAAAAAAAQAgAAAAIgAAAGRycy9kb3ducmV2&#10;LnhtbFBLAQIUABQAAAAIAIdO4kAgK7AtbwIAAPkEAAAOAAAAAAAAAAEAIAAAACYBAABkcnMvZTJv&#10;RG9jLnhtbFBLBQYAAAAABgAGAFkBAAAHBgAAAAA=&#10;">
                <v:fill on="t" focussize="0,0"/>
                <v:stroke weight="2pt" color="#000000" joinstyle="round"/>
                <v:imagedata o:title=""/>
                <o:lock v:ext="edit" aspectratio="f"/>
                <v:textbox>
                  <w:txbxContent>
                    <w:p>
                      <w:pPr>
                        <w:jc w:val="center"/>
                      </w:pPr>
                      <w:r>
                        <w:rPr>
                          <w:rFonts w:hint="eastAsia"/>
                        </w:rPr>
                        <w:t>试验药物/器械及物资回收</w:t>
                      </w:r>
                    </w:p>
                  </w:txbxContent>
                </v:textbox>
              </v:rect>
            </w:pict>
          </mc:Fallback>
        </mc:AlternateContent>
      </w:r>
      <w:r>
        <w:rPr>
          <w:bCs/>
          <w:color w:val="auto"/>
        </w:rPr>
        <mc:AlternateContent>
          <mc:Choice Requires="wps">
            <w:drawing>
              <wp:anchor distT="0" distB="0" distL="114300" distR="114300" simplePos="0" relativeHeight="251846656" behindDoc="0" locked="0" layoutInCell="1" allowOverlap="1">
                <wp:simplePos x="0" y="0"/>
                <wp:positionH relativeFrom="column">
                  <wp:posOffset>1665605</wp:posOffset>
                </wp:positionH>
                <wp:positionV relativeFrom="paragraph">
                  <wp:posOffset>148590</wp:posOffset>
                </wp:positionV>
                <wp:extent cx="1495425" cy="419100"/>
                <wp:effectExtent l="12700" t="12700" r="15875" b="25400"/>
                <wp:wrapNone/>
                <wp:docPr id="124" name="矩形 38"/>
                <wp:cNvGraphicFramePr/>
                <a:graphic xmlns:a="http://schemas.openxmlformats.org/drawingml/2006/main">
                  <a:graphicData uri="http://schemas.microsoft.com/office/word/2010/wordprocessingShape">
                    <wps:wsp>
                      <wps:cNvSpPr/>
                      <wps:spPr>
                        <a:xfrm>
                          <a:off x="0" y="0"/>
                          <a:ext cx="1495425" cy="419100"/>
                        </a:xfrm>
                        <a:prstGeom prst="rect">
                          <a:avLst/>
                        </a:prstGeom>
                        <a:solidFill>
                          <a:srgbClr val="FFFFFF"/>
                        </a:solidFill>
                        <a:ln w="25400" cap="flat" cmpd="sng" algn="ctr">
                          <a:solidFill>
                            <a:srgbClr val="000000"/>
                          </a:solidFill>
                          <a:prstDash val="solid"/>
                        </a:ln>
                        <a:effectLst/>
                      </wps:spPr>
                      <wps:txbx>
                        <w:txbxContent>
                          <w:p>
                            <w:pPr>
                              <w:jc w:val="center"/>
                            </w:pPr>
                            <w:r>
                              <w:rPr>
                                <w:rFonts w:hint="eastAsia"/>
                              </w:rPr>
                              <w:t>临床试验结束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8" o:spid="_x0000_s1026" o:spt="1" style="position:absolute;left:0pt;margin-left:131.15pt;margin-top:11.7pt;height:33pt;width:117.75pt;z-index:251846656;v-text-anchor:middle;mso-width-relative:page;mso-height-relative:page;" fillcolor="#FFFFFF" filled="t" stroked="t" coordsize="21600,21600" o:gfxdata="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Kow7YAAAACQEAAA8AAAAAAAAAAQAgAAAAIgAAAGRycy9k&#10;b3ducmV2LnhtbFBLAQIUABQAAAAIAIdO4kAYKrZWdAIAAPkEAAAOAAAAAAAAAAEAIAAAACcBAABk&#10;cnMvZTJvRG9jLnhtbFBLBQYAAAAABgAGAFkBAAANBgAAAAA=&#10;">
                <v:fill on="t" focussize="0,0"/>
                <v:stroke weight="2pt" color="#000000" joinstyle="round"/>
                <v:imagedata o:title=""/>
                <o:lock v:ext="edit" aspectratio="f"/>
                <v:textbox>
                  <w:txbxContent>
                    <w:p>
                      <w:pPr>
                        <w:jc w:val="center"/>
                      </w:pPr>
                      <w:r>
                        <w:rPr>
                          <w:rFonts w:hint="eastAsia"/>
                        </w:rPr>
                        <w:t>临床试验结束</w:t>
                      </w:r>
                    </w:p>
                  </w:txbxContent>
                </v:textbox>
              </v:rect>
            </w:pict>
          </mc:Fallback>
        </mc:AlternateContent>
      </w:r>
    </w:p>
    <w:p>
      <w:pPr>
        <w:tabs>
          <w:tab w:val="left" w:pos="1438"/>
        </w:tabs>
        <w:jc w:val="left"/>
        <w:rPr>
          <w:bCs/>
          <w:color w:val="auto"/>
          <w:szCs w:val="24"/>
        </w:rPr>
      </w:pPr>
      <w:r>
        <w:rPr>
          <w:bCs/>
          <w:color w:val="auto"/>
        </w:rPr>
        <mc:AlternateContent>
          <mc:Choice Requires="wps">
            <w:drawing>
              <wp:anchor distT="0" distB="0" distL="114300" distR="114300" simplePos="0" relativeHeight="251831296" behindDoc="0" locked="0" layoutInCell="1" allowOverlap="1">
                <wp:simplePos x="0" y="0"/>
                <wp:positionH relativeFrom="column">
                  <wp:posOffset>3218180</wp:posOffset>
                </wp:positionH>
                <wp:positionV relativeFrom="paragraph">
                  <wp:posOffset>76200</wp:posOffset>
                </wp:positionV>
                <wp:extent cx="581025" cy="9525"/>
                <wp:effectExtent l="33655" t="53975" r="40640" b="104140"/>
                <wp:wrapNone/>
                <wp:docPr id="108" name="直接箭头连接符 39"/>
                <wp:cNvGraphicFramePr/>
                <a:graphic xmlns:a="http://schemas.openxmlformats.org/drawingml/2006/main">
                  <a:graphicData uri="http://schemas.microsoft.com/office/word/2010/wordprocessingShape">
                    <wps:wsp>
                      <wps:cNvCnPr/>
                      <wps:spPr>
                        <a:xfrm flipV="1">
                          <a:off x="0" y="0"/>
                          <a:ext cx="581025" cy="952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39" o:spid="_x0000_s1026" o:spt="32" type="#_x0000_t32" style="position:absolute;left:0pt;flip:y;margin-left:253.4pt;margin-top:6pt;height:0.75pt;width:45.75pt;z-index:251831296;mso-width-relative:page;mso-height-relative:page;" filled="f" stroked="t" coordsize="21600,21600" o:gfxdata="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Lub29UAAAAJAQAA&#10;DwAAAAAAAAABACAAAAAiAAAAZHJzL2Rvd25yZXYueG1sUEsBAhQAFAAAAAgAh07iQOzWkUBVAgAA&#10;lQQAAA4AAAAAAAAAAQAgAAAAJAEAAGRycy9lMm9Eb2MueG1sUEsFBgAAAAAGAAYAWQEAAOsFAAAA&#10;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tabs>
          <w:tab w:val="left" w:pos="1438"/>
        </w:tabs>
        <w:ind w:firstLine="1470" w:firstLineChars="700"/>
        <w:jc w:val="left"/>
        <w:rPr>
          <w:bCs/>
          <w:color w:val="auto"/>
          <w:szCs w:val="24"/>
        </w:rPr>
      </w:pPr>
      <w:r>
        <w:rPr>
          <w:bCs/>
          <w:color w:val="auto"/>
        </w:rPr>
        <mc:AlternateContent>
          <mc:Choice Requires="wps">
            <w:drawing>
              <wp:anchor distT="0" distB="0" distL="114300" distR="114300" simplePos="0" relativeHeight="251832320" behindDoc="0" locked="0" layoutInCell="1" allowOverlap="1">
                <wp:simplePos x="0" y="0"/>
                <wp:positionH relativeFrom="column">
                  <wp:posOffset>3218180</wp:posOffset>
                </wp:positionH>
                <wp:positionV relativeFrom="paragraph">
                  <wp:posOffset>20955</wp:posOffset>
                </wp:positionV>
                <wp:extent cx="523875" cy="0"/>
                <wp:effectExtent l="33655" t="71120" r="36830" b="111760"/>
                <wp:wrapNone/>
                <wp:docPr id="109" name="直接箭头连接符 40"/>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40" o:spid="_x0000_s1026" o:spt="32" type="#_x0000_t32" style="position:absolute;left:0pt;flip:x;margin-left:253.4pt;margin-top:1.65pt;height:0pt;width:41.25pt;z-index:251832320;mso-width-relative:page;mso-height-relative:page;" filled="f" stroked="t" coordsize="21600,21600" o:gfxdata="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kJGeNIAAAAHAQAADwAAAAAA&#10;AAABACAAAAAiAAAAZHJzL2Rvd25yZXYueG1sUEsBAhQAFAAAAAgAh07iQLesMxNSAgAAkgQAAA4A&#10;AAAAAAAAAQAgAAAAIQEAAGRycy9lMm9Eb2MueG1sUEsFBgAAAAAGAAYAWQEAAOUFA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tabs>
          <w:tab w:val="left" w:pos="1438"/>
        </w:tabs>
        <w:jc w:val="left"/>
        <w:rPr>
          <w:bCs/>
          <w:color w:val="auto"/>
          <w:szCs w:val="24"/>
        </w:rPr>
      </w:pPr>
      <w:r>
        <w:rPr>
          <w:bCs/>
          <w:color w:val="auto"/>
        </w:rPr>
        <mc:AlternateContent>
          <mc:Choice Requires="wps">
            <w:drawing>
              <wp:anchor distT="0" distB="0" distL="114300" distR="114300" simplePos="0" relativeHeight="251830272" behindDoc="0" locked="0" layoutInCell="1" allowOverlap="1">
                <wp:simplePos x="0" y="0"/>
                <wp:positionH relativeFrom="column">
                  <wp:posOffset>2346960</wp:posOffset>
                </wp:positionH>
                <wp:positionV relativeFrom="paragraph">
                  <wp:posOffset>17145</wp:posOffset>
                </wp:positionV>
                <wp:extent cx="4445" cy="334645"/>
                <wp:effectExtent l="87630" t="13970" r="90805" b="62865"/>
                <wp:wrapNone/>
                <wp:docPr id="107" name="直接箭头连接符 37"/>
                <wp:cNvGraphicFramePr/>
                <a:graphic xmlns:a="http://schemas.openxmlformats.org/drawingml/2006/main">
                  <a:graphicData uri="http://schemas.microsoft.com/office/word/2010/wordprocessingShape">
                    <wps:wsp>
                      <wps:cNvCnPr/>
                      <wps:spPr>
                        <a:xfrm>
                          <a:off x="0" y="0"/>
                          <a:ext cx="4445" cy="33464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37" o:spid="_x0000_s1026" o:spt="32" type="#_x0000_t32" style="position:absolute;left:0pt;margin-left:184.8pt;margin-top:1.35pt;height:26.35pt;width:0.35pt;z-index:251830272;mso-width-relative:page;mso-height-relative:page;" filled="f" stroked="t" coordsize="21600,21600" o:gfxdata="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k45xtUAAAAIAQAADwAAAAAA&#10;AAABACAAAAAiAAAAZHJzL2Rvd25yZXYueG1sUEsBAhQAFAAAAAgAh07iQFqVUpRPAgAAiwQAAA4A&#10;AAAAAAAAAQAgAAAAJAEAAGRycy9lMm9Eb2MueG1sUEsFBgAAAAAGAAYAWQEAAOUFA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tabs>
          <w:tab w:val="left" w:pos="1438"/>
        </w:tabs>
        <w:jc w:val="left"/>
        <w:rPr>
          <w:bCs/>
          <w:color w:val="auto"/>
          <w:szCs w:val="24"/>
        </w:rPr>
      </w:pPr>
      <w:r>
        <w:rPr>
          <w:bCs/>
          <w:color w:val="auto"/>
        </w:rPr>
        <mc:AlternateContent>
          <mc:Choice Requires="wps">
            <w:drawing>
              <wp:anchor distT="0" distB="0" distL="114300" distR="114300" simplePos="0" relativeHeight="251835392" behindDoc="0" locked="0" layoutInCell="1" allowOverlap="1">
                <wp:simplePos x="0" y="0"/>
                <wp:positionH relativeFrom="column">
                  <wp:posOffset>-497205</wp:posOffset>
                </wp:positionH>
                <wp:positionV relativeFrom="paragraph">
                  <wp:posOffset>125730</wp:posOffset>
                </wp:positionV>
                <wp:extent cx="1048385" cy="751840"/>
                <wp:effectExtent l="12700" t="12700" r="20955" b="12700"/>
                <wp:wrapNone/>
                <wp:docPr id="112" name="矩形 47"/>
                <wp:cNvGraphicFramePr/>
                <a:graphic xmlns:a="http://schemas.openxmlformats.org/drawingml/2006/main">
                  <a:graphicData uri="http://schemas.microsoft.com/office/word/2010/wordprocessingShape">
                    <wps:wsp>
                      <wps:cNvSpPr/>
                      <wps:spPr>
                        <a:xfrm>
                          <a:off x="0" y="0"/>
                          <a:ext cx="1048385" cy="751840"/>
                        </a:xfrm>
                        <a:prstGeom prst="rect">
                          <a:avLst/>
                        </a:prstGeom>
                        <a:solidFill>
                          <a:srgbClr val="FFFFFF"/>
                        </a:solidFill>
                        <a:ln w="25400" cap="flat" cmpd="sng" algn="ctr">
                          <a:solidFill>
                            <a:srgbClr val="000000"/>
                          </a:solidFill>
                          <a:prstDash val="solid"/>
                        </a:ln>
                        <a:effectLst/>
                      </wps:spPr>
                      <wps:txbx>
                        <w:txbxContent>
                          <w:p>
                            <w:pPr>
                              <w:jc w:val="center"/>
                            </w:pPr>
                            <w:r>
                              <w:rPr>
                                <w:rFonts w:hint="eastAsia"/>
                              </w:rPr>
                              <w:t>申办者及研究者补充修改、答疑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7" o:spid="_x0000_s1026" o:spt="1" style="position:absolute;left:0pt;margin-left:-39.15pt;margin-top:9.9pt;height:59.2pt;width:82.55pt;z-index:251835392;v-text-anchor:middle;mso-width-relative:page;mso-height-relative:page;" fillcolor="#FFFFFF" filled="t" stroked="t" coordsize="21600,21600" o:gfxdata="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vF4fPXAAAACQEAAA8AAAAAAAAAAQAgAAAAIgAAAGRycy9k&#10;b3ducmV2LnhtbFBLAQIUABQAAAAIAIdO4kCdssB0dQIAAPkEAAAOAAAAAAAAAAEAIAAAACYBAABk&#10;cnMvZTJvRG9jLnhtbFBLBQYAAAAABgAGAFkBAAANBgAAAAA=&#10;">
                <v:fill on="t" focussize="0,0"/>
                <v:stroke weight="2pt" color="#000000" joinstyle="round"/>
                <v:imagedata o:title=""/>
                <o:lock v:ext="edit" aspectratio="f"/>
                <v:textbox>
                  <w:txbxContent>
                    <w:p>
                      <w:pPr>
                        <w:jc w:val="center"/>
                      </w:pPr>
                      <w:r>
                        <w:rPr>
                          <w:rFonts w:hint="eastAsia"/>
                        </w:rPr>
                        <w:t>申办者及研究者补充修改、答疑</w:t>
                      </w:r>
                    </w:p>
                  </w:txbxContent>
                </v:textbox>
              </v:rect>
            </w:pict>
          </mc:Fallback>
        </mc:AlternateContent>
      </w:r>
      <w:r>
        <w:rPr>
          <w:bCs/>
          <w:color w:val="auto"/>
        </w:rPr>
        <mc:AlternateContent>
          <mc:Choice Requires="wps">
            <w:drawing>
              <wp:anchor distT="0" distB="0" distL="114300" distR="114300" simplePos="0" relativeHeight="251834368" behindDoc="0" locked="0" layoutInCell="1" allowOverlap="1">
                <wp:simplePos x="0" y="0"/>
                <wp:positionH relativeFrom="column">
                  <wp:posOffset>1265555</wp:posOffset>
                </wp:positionH>
                <wp:positionV relativeFrom="paragraph">
                  <wp:posOffset>182245</wp:posOffset>
                </wp:positionV>
                <wp:extent cx="2600325" cy="619760"/>
                <wp:effectExtent l="12700" t="12700" r="23495" b="22860"/>
                <wp:wrapNone/>
                <wp:docPr id="111" name="矩形 46"/>
                <wp:cNvGraphicFramePr/>
                <a:graphic xmlns:a="http://schemas.openxmlformats.org/drawingml/2006/main">
                  <a:graphicData uri="http://schemas.microsoft.com/office/word/2010/wordprocessingShape">
                    <wps:wsp>
                      <wps:cNvSpPr/>
                      <wps:spPr>
                        <a:xfrm>
                          <a:off x="0" y="0"/>
                          <a:ext cx="2600325" cy="619760"/>
                        </a:xfrm>
                        <a:prstGeom prst="rect">
                          <a:avLst/>
                        </a:prstGeom>
                        <a:solidFill>
                          <a:srgbClr val="FFFFFF"/>
                        </a:solidFill>
                        <a:ln w="25400" cap="flat" cmpd="sng" algn="ctr">
                          <a:solidFill>
                            <a:srgbClr val="000000"/>
                          </a:solidFill>
                          <a:prstDash val="solid"/>
                        </a:ln>
                        <a:effectLst/>
                      </wps:spPr>
                      <wps:txbx>
                        <w:txbxContent>
                          <w:p>
                            <w:pPr>
                              <w:jc w:val="center"/>
                            </w:pPr>
                            <w:r>
                              <w:rPr>
                                <w:rFonts w:hint="eastAsia"/>
                              </w:rPr>
                              <w:t>项目负责人审核提交分中心小结/总结报告机构办结题审核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6" o:spid="_x0000_s1026" o:spt="1" style="position:absolute;left:0pt;margin-left:99.65pt;margin-top:14.35pt;height:48.8pt;width:204.75pt;z-index:251834368;v-text-anchor:middle;mso-width-relative:page;mso-height-relative:page;" fillcolor="#FFFFFF" filled="t" stroked="t" coordsize="21600,21600" o:gfxdata="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e/dkz1wAAAAoBAAAPAAAAAAAAAAEAIAAAACIAAABkcnMvZG93&#10;bnJldi54bWxQSwECFAAUAAAACACHTuJA58faGHMCAAD5BAAADgAAAAAAAAABACAAAAAmAQAAZHJz&#10;L2Uyb0RvYy54bWxQSwUGAAAAAAYABgBZAQAACwYAAAAA&#10;">
                <v:fill on="t" focussize="0,0"/>
                <v:stroke weight="2pt" color="#000000" joinstyle="round"/>
                <v:imagedata o:title=""/>
                <o:lock v:ext="edit" aspectratio="f"/>
                <v:textbox>
                  <w:txbxContent>
                    <w:p>
                      <w:pPr>
                        <w:jc w:val="center"/>
                      </w:pPr>
                      <w:r>
                        <w:rPr>
                          <w:rFonts w:hint="eastAsia"/>
                        </w:rPr>
                        <w:t>项目负责人审核提交分中心小结/总结报告机构办结题审核</w:t>
                      </w:r>
                    </w:p>
                  </w:txbxContent>
                </v:textbox>
              </v:rect>
            </w:pict>
          </mc:Fallback>
        </mc:AlternateContent>
      </w:r>
    </w:p>
    <w:p>
      <w:pPr>
        <w:tabs>
          <w:tab w:val="left" w:pos="1116"/>
        </w:tabs>
        <w:jc w:val="left"/>
        <w:rPr>
          <w:bCs/>
          <w:color w:val="auto"/>
        </w:rPr>
      </w:pPr>
      <w:r>
        <w:rPr>
          <w:rFonts w:hint="eastAsia"/>
          <w:bCs/>
          <w:color w:val="auto"/>
        </w:rPr>
        <w:tab/>
      </w:r>
      <w:r>
        <w:rPr>
          <w:rFonts w:hint="eastAsia"/>
          <w:bCs/>
          <w:color w:val="auto"/>
        </w:rPr>
        <w:t>不通过</w:t>
      </w:r>
    </w:p>
    <w:p>
      <w:pPr>
        <w:tabs>
          <w:tab w:val="left" w:pos="1206"/>
        </w:tabs>
        <w:jc w:val="left"/>
        <w:rPr>
          <w:bCs/>
          <w:color w:val="auto"/>
          <w:szCs w:val="24"/>
        </w:rPr>
      </w:pPr>
      <w:r>
        <w:rPr>
          <w:bCs/>
          <w:color w:val="auto"/>
        </w:rPr>
        <mc:AlternateContent>
          <mc:Choice Requires="wps">
            <w:drawing>
              <wp:anchor distT="0" distB="0" distL="114300" distR="114300" simplePos="0" relativeHeight="251837440" behindDoc="0" locked="0" layoutInCell="1" allowOverlap="1">
                <wp:simplePos x="0" y="0"/>
                <wp:positionH relativeFrom="column">
                  <wp:posOffset>655955</wp:posOffset>
                </wp:positionH>
                <wp:positionV relativeFrom="paragraph">
                  <wp:posOffset>116205</wp:posOffset>
                </wp:positionV>
                <wp:extent cx="523875" cy="0"/>
                <wp:effectExtent l="0" t="57150" r="9525" b="64770"/>
                <wp:wrapNone/>
                <wp:docPr id="114" name="直接箭头连接符 49"/>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noFill/>
                        <a:ln w="25400" cap="flat" cmpd="sng" algn="ctr">
                          <a:solidFill>
                            <a:srgbClr val="000000"/>
                          </a:solidFill>
                          <a:prstDash val="solid"/>
                          <a:tailEnd type="arrow" w="med" len="med"/>
                        </a:ln>
                        <a:effectLst/>
                      </wps:spPr>
                      <wps:bodyPr/>
                    </wps:wsp>
                  </a:graphicData>
                </a:graphic>
              </wp:anchor>
            </w:drawing>
          </mc:Choice>
          <mc:Fallback>
            <w:pict>
              <v:shape id="直接箭头连接符 49" o:spid="_x0000_s1026" o:spt="32" type="#_x0000_t32" style="position:absolute;left:0pt;flip:x;margin-left:51.65pt;margin-top:9.15pt;height:0pt;width:41.25pt;z-index:251837440;mso-width-relative:page;mso-height-relative:page;" filled="f" stroked="t" coordsize="21600,21600" o:gfxdata="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fC/0wAAAAkBAAAPAAAAAAAAAAEAIAAA&#10;ACIAAABkcnMvZG93bnJldi54bWxQSwECFAAUAAAACACHTuJAtTa5KhECAAD0AwAADgAAAAAAAAAB&#10;ACAAAAAiAQAAZHJzL2Uyb0RvYy54bWxQSwUGAAAAAAYABgBZAQAApQUAAAAA&#10;">
                <v:fill on="f" focussize="0,0"/>
                <v:stroke weight="2pt" color="#000000" joinstyle="round" endarrow="open"/>
                <v:imagedata o:title=""/>
                <o:lock v:ext="edit" aspectratio="f"/>
              </v:shape>
            </w:pict>
          </mc:Fallback>
        </mc:AlternateContent>
      </w:r>
      <w:r>
        <w:rPr>
          <w:bCs/>
          <w:color w:val="auto"/>
        </w:rPr>
        <mc:AlternateContent>
          <mc:Choice Requires="wps">
            <w:drawing>
              <wp:anchor distT="0" distB="0" distL="114300" distR="114300" simplePos="0" relativeHeight="251836416" behindDoc="0" locked="0" layoutInCell="1" allowOverlap="1">
                <wp:simplePos x="0" y="0"/>
                <wp:positionH relativeFrom="column">
                  <wp:posOffset>646430</wp:posOffset>
                </wp:positionH>
                <wp:positionV relativeFrom="paragraph">
                  <wp:posOffset>12700</wp:posOffset>
                </wp:positionV>
                <wp:extent cx="525145" cy="635"/>
                <wp:effectExtent l="0" t="57150" r="8255" b="64135"/>
                <wp:wrapNone/>
                <wp:docPr id="113" name="直接箭头连接符 48"/>
                <wp:cNvGraphicFramePr/>
                <a:graphic xmlns:a="http://schemas.openxmlformats.org/drawingml/2006/main">
                  <a:graphicData uri="http://schemas.microsoft.com/office/word/2010/wordprocessingShape">
                    <wps:wsp>
                      <wps:cNvCnPr/>
                      <wps:spPr>
                        <a:xfrm flipV="1">
                          <a:off x="0" y="0"/>
                          <a:ext cx="525145" cy="635"/>
                        </a:xfrm>
                        <a:prstGeom prst="straightConnector1">
                          <a:avLst/>
                        </a:prstGeom>
                        <a:noFill/>
                        <a:ln w="25400" cap="flat" cmpd="sng" algn="ctr">
                          <a:solidFill>
                            <a:srgbClr val="000000"/>
                          </a:solidFill>
                          <a:prstDash val="solid"/>
                          <a:tailEnd type="arrow" w="med" len="med"/>
                        </a:ln>
                        <a:effectLst/>
                      </wps:spPr>
                      <wps:bodyPr/>
                    </wps:wsp>
                  </a:graphicData>
                </a:graphic>
              </wp:anchor>
            </w:drawing>
          </mc:Choice>
          <mc:Fallback>
            <w:pict>
              <v:shape id="直接箭头连接符 48" o:spid="_x0000_s1026" o:spt="32" type="#_x0000_t32" style="position:absolute;left:0pt;flip:y;margin-left:50.9pt;margin-top:1pt;height:0.05pt;width:41.35pt;z-index:251836416;mso-width-relative:page;mso-height-relative:page;" filled="f" stroked="t" coordsize="21600,21600" o:gfxdata="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r8D71AAAAAcBAAAPAAAAAAAAAAEA&#10;IAAAACIAAABkcnMvZG93bnJldi54bWxQSwECFAAUAAAACACHTuJAt1Ql2xMCAAD2AwAADgAAAAAA&#10;AAABACAAAAAjAQAAZHJzL2Uyb0RvYy54bWxQSwUGAAAAAAYABgBZAQAAqAUAAAAA&#10;">
                <v:fill on="f" focussize="0,0"/>
                <v:stroke weight="2pt" color="#000000" joinstyle="round" endarrow="open"/>
                <v:imagedata o:title=""/>
                <o:lock v:ext="edit" aspectratio="f"/>
              </v:shape>
            </w:pict>
          </mc:Fallback>
        </mc:AlternateContent>
      </w:r>
    </w:p>
    <w:p>
      <w:pPr>
        <w:tabs>
          <w:tab w:val="left" w:pos="1438"/>
        </w:tabs>
        <w:jc w:val="left"/>
        <w:rPr>
          <w:bCs/>
          <w:color w:val="auto"/>
          <w:szCs w:val="24"/>
        </w:rPr>
      </w:pPr>
    </w:p>
    <w:p>
      <w:pPr>
        <w:tabs>
          <w:tab w:val="left" w:pos="3628"/>
        </w:tabs>
        <w:rPr>
          <w:bCs/>
          <w:color w:val="auto"/>
          <w:szCs w:val="24"/>
        </w:rPr>
      </w:pPr>
      <w:r>
        <w:rPr>
          <w:color w:val="auto"/>
          <w:sz w:val="21"/>
        </w:rPr>
        <mc:AlternateContent>
          <mc:Choice Requires="wps">
            <w:drawing>
              <wp:anchor distT="0" distB="0" distL="114300" distR="114300" simplePos="0" relativeHeight="251848704" behindDoc="0" locked="0" layoutInCell="1" allowOverlap="1">
                <wp:simplePos x="0" y="0"/>
                <wp:positionH relativeFrom="column">
                  <wp:posOffset>2375535</wp:posOffset>
                </wp:positionH>
                <wp:positionV relativeFrom="paragraph">
                  <wp:posOffset>33020</wp:posOffset>
                </wp:positionV>
                <wp:extent cx="556260" cy="328295"/>
                <wp:effectExtent l="0" t="0" r="0" b="0"/>
                <wp:wrapNone/>
                <wp:docPr id="132" name="文本框 132"/>
                <wp:cNvGraphicFramePr/>
                <a:graphic xmlns:a="http://schemas.openxmlformats.org/drawingml/2006/main">
                  <a:graphicData uri="http://schemas.microsoft.com/office/word/2010/wordprocessingShape">
                    <wps:wsp>
                      <wps:cNvSpPr txBox="1"/>
                      <wps:spPr>
                        <a:xfrm>
                          <a:off x="4557395" y="8316595"/>
                          <a:ext cx="556260"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bCs/>
                                <w:color w:val="auto"/>
                                <w:szCs w:val="24"/>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05pt;margin-top:2.6pt;height:25.85pt;width:43.8pt;z-index:251848704;mso-width-relative:page;mso-height-relative:page;" filled="f" stroked="f" coordsize="21600,21600" o:gfxdata="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KikLk2gAAAAgBAAAPAAAAAAAA&#10;AAEAIAAAACIAAABkcnMvZG93bnJldi54bWxQSwECFAAUAAAACACHTuJAeeFT0EkCAAB1BAAADgAA&#10;AAAAAAABACAAAAApAQAAZHJzL2Uyb0RvYy54bWxQSwUGAAAAAAYABgBZAQAA5AUAAAAA&#10;">
                <v:fill on="f" focussize="0,0"/>
                <v:stroke on="f" weight="0.5pt"/>
                <v:imagedata o:title=""/>
                <o:lock v:ext="edit" aspectratio="f"/>
                <v:textbox>
                  <w:txbxContent>
                    <w:p>
                      <w:r>
                        <w:rPr>
                          <w:rFonts w:hint="eastAsia"/>
                          <w:bCs/>
                          <w:color w:val="auto"/>
                          <w:szCs w:val="24"/>
                        </w:rPr>
                        <w:t>通过</w:t>
                      </w:r>
                    </w:p>
                  </w:txbxContent>
                </v:textbox>
              </v:shape>
            </w:pict>
          </mc:Fallback>
        </mc:AlternateContent>
      </w:r>
      <w:r>
        <w:rPr>
          <w:bCs/>
          <w:color w:val="auto"/>
        </w:rPr>
        <mc:AlternateContent>
          <mc:Choice Requires="wps">
            <w:drawing>
              <wp:anchor distT="0" distB="0" distL="114300" distR="114300" simplePos="0" relativeHeight="251838464" behindDoc="0" locked="0" layoutInCell="1" allowOverlap="1">
                <wp:simplePos x="0" y="0"/>
                <wp:positionH relativeFrom="column">
                  <wp:posOffset>2368550</wp:posOffset>
                </wp:positionH>
                <wp:positionV relativeFrom="paragraph">
                  <wp:posOffset>32385</wp:posOffset>
                </wp:positionV>
                <wp:extent cx="9525" cy="368935"/>
                <wp:effectExtent l="54610" t="635" r="57785" b="26670"/>
                <wp:wrapNone/>
                <wp:docPr id="115" name="直接箭头连接符 50"/>
                <wp:cNvGraphicFramePr/>
                <a:graphic xmlns:a="http://schemas.openxmlformats.org/drawingml/2006/main">
                  <a:graphicData uri="http://schemas.microsoft.com/office/word/2010/wordprocessingShape">
                    <wps:wsp>
                      <wps:cNvCnPr/>
                      <wps:spPr>
                        <a:xfrm flipH="1">
                          <a:off x="0" y="0"/>
                          <a:ext cx="9525" cy="368935"/>
                        </a:xfrm>
                        <a:prstGeom prst="straightConnector1">
                          <a:avLst/>
                        </a:prstGeom>
                        <a:ln w="25400" cap="flat" cmpd="sng">
                          <a:solidFill>
                            <a:srgbClr val="000000"/>
                          </a:solidFill>
                          <a:prstDash val="solid"/>
                          <a:headEnd type="none" w="med" len="med"/>
                          <a:tailEnd type="arrow" w="med" len="med"/>
                        </a:ln>
                        <a:effectLst>
                          <a:outerShdw dist="20000" dir="5400000" rotWithShape="0">
                            <a:srgbClr val="000000">
                              <a:alpha val="37999"/>
                            </a:srgbClr>
                          </a:outerShdw>
                        </a:effectLst>
                      </wps:spPr>
                      <wps:bodyPr/>
                    </wps:wsp>
                  </a:graphicData>
                </a:graphic>
              </wp:anchor>
            </w:drawing>
          </mc:Choice>
          <mc:Fallback>
            <w:pict>
              <v:shape id="直接箭头连接符 50" o:spid="_x0000_s1026" o:spt="32" type="#_x0000_t32" style="position:absolute;left:0pt;flip:x;margin-left:186.5pt;margin-top:2.55pt;height:29.05pt;width:0.75pt;z-index:251838464;mso-width-relative:page;mso-height-relative:page;" filled="f" stroked="t" coordsize="21600,21600" o:gfxdata="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2k6Ri1gAAAAgBAAAPAAAAAAAA&#10;AAEAIAAAACIAAABkcnMvZG93bnJldi54bWxQSwECFAAUAAAACACHTuJAu2gdlU0CAACZBAAADgAA&#10;AAAAAAABACAAAAAlAQAAZHJzL2Uyb0RvYy54bWxQSwUGAAAAAAYABgBZAQAA5AU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rFonts w:hint="eastAsia"/>
          <w:bCs/>
          <w:color w:val="auto"/>
          <w:szCs w:val="24"/>
        </w:rPr>
        <w:tab/>
      </w:r>
    </w:p>
    <w:p>
      <w:pPr>
        <w:tabs>
          <w:tab w:val="left" w:pos="1243"/>
        </w:tabs>
        <w:jc w:val="left"/>
        <w:rPr>
          <w:bCs/>
          <w:color w:val="auto"/>
        </w:rPr>
      </w:pPr>
      <w:r>
        <w:rPr>
          <w:rFonts w:hint="eastAsia"/>
          <w:bCs/>
          <w:color w:val="auto"/>
        </w:rPr>
        <w:t xml:space="preserve">         </w:t>
      </w:r>
    </w:p>
    <w:p>
      <w:pPr>
        <w:tabs>
          <w:tab w:val="left" w:pos="1243"/>
        </w:tabs>
        <w:ind w:firstLine="1050" w:firstLineChars="500"/>
        <w:jc w:val="left"/>
        <w:rPr>
          <w:bCs/>
          <w:color w:val="auto"/>
        </w:rPr>
      </w:pPr>
      <w:r>
        <w:rPr>
          <w:bCs/>
          <w:color w:val="auto"/>
        </w:rPr>
        <mc:AlternateContent>
          <mc:Choice Requires="wps">
            <w:drawing>
              <wp:anchor distT="0" distB="0" distL="114300" distR="114300" simplePos="0" relativeHeight="251839488" behindDoc="0" locked="0" layoutInCell="1" allowOverlap="1">
                <wp:simplePos x="0" y="0"/>
                <wp:positionH relativeFrom="column">
                  <wp:posOffset>1646555</wp:posOffset>
                </wp:positionH>
                <wp:positionV relativeFrom="paragraph">
                  <wp:posOffset>26670</wp:posOffset>
                </wp:positionV>
                <wp:extent cx="1495425" cy="478790"/>
                <wp:effectExtent l="12700" t="12700" r="15875" b="26670"/>
                <wp:wrapNone/>
                <wp:docPr id="116" name="矩形 51"/>
                <wp:cNvGraphicFramePr/>
                <a:graphic xmlns:a="http://schemas.openxmlformats.org/drawingml/2006/main">
                  <a:graphicData uri="http://schemas.microsoft.com/office/word/2010/wordprocessingShape">
                    <wps:wsp>
                      <wps:cNvSpPr/>
                      <wps:spPr>
                        <a:xfrm>
                          <a:off x="0" y="0"/>
                          <a:ext cx="1495425" cy="478790"/>
                        </a:xfrm>
                        <a:prstGeom prst="rect">
                          <a:avLst/>
                        </a:prstGeom>
                        <a:solidFill>
                          <a:srgbClr val="FFFFFF"/>
                        </a:solidFill>
                        <a:ln w="25400" cap="flat" cmpd="sng" algn="ctr">
                          <a:solidFill>
                            <a:srgbClr val="000000"/>
                          </a:solidFill>
                          <a:prstDash val="solid"/>
                        </a:ln>
                        <a:effectLst/>
                      </wps:spPr>
                      <wps:txbx>
                        <w:txbxContent>
                          <w:p>
                            <w:pPr>
                              <w:jc w:val="center"/>
                            </w:pPr>
                            <w:r>
                              <w:rPr>
                                <w:rFonts w:hint="eastAsia"/>
                              </w:rPr>
                              <w:t>总结报告</w:t>
                            </w:r>
                          </w:p>
                          <w:p>
                            <w:pPr>
                              <w:jc w:val="center"/>
                            </w:pPr>
                            <w:r>
                              <w:rPr>
                                <w:rFonts w:hint="eastAsia"/>
                              </w:rPr>
                              <w:t>机构盖章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1" o:spid="_x0000_s1026" o:spt="1" style="position:absolute;left:0pt;margin-left:129.65pt;margin-top:2.1pt;height:37.7pt;width:117.75pt;z-index:251839488;v-text-anchor:middle;mso-width-relative:page;mso-height-relative:page;" fillcolor="#FFFFFF" filled="t" stroked="t" coordsize="21600,21600" o:gfxdata="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gguWtcAAAAIAQAADwAAAAAAAAABACAAAAAiAAAAZHJzL2Rv&#10;d25yZXYueG1sUEsBAhQAFAAAAAgAh07iQFImrFt0AgAA+QQAAA4AAAAAAAAAAQAgAAAAJgEAAGRy&#10;cy9lMm9Eb2MueG1sUEsFBgAAAAAGAAYAWQEAAAwGAAAAAA==&#10;">
                <v:fill on="t" focussize="0,0"/>
                <v:stroke weight="2pt" color="#000000" joinstyle="round"/>
                <v:imagedata o:title=""/>
                <o:lock v:ext="edit" aspectratio="f"/>
                <v:textbox>
                  <w:txbxContent>
                    <w:p>
                      <w:pPr>
                        <w:jc w:val="center"/>
                      </w:pPr>
                      <w:r>
                        <w:rPr>
                          <w:rFonts w:hint="eastAsia"/>
                        </w:rPr>
                        <w:t>总结报告</w:t>
                      </w:r>
                    </w:p>
                    <w:p>
                      <w:pPr>
                        <w:jc w:val="center"/>
                      </w:pPr>
                      <w:r>
                        <w:rPr>
                          <w:rFonts w:hint="eastAsia"/>
                        </w:rPr>
                        <w:t>机构盖章</w:t>
                      </w:r>
                    </w:p>
                  </w:txbxContent>
                </v:textbox>
              </v:rect>
            </w:pict>
          </mc:Fallback>
        </mc:AlternateContent>
      </w:r>
      <w:r>
        <w:rPr>
          <w:bCs/>
          <w:color w:val="auto"/>
        </w:rPr>
        <mc:AlternateContent>
          <mc:Choice Requires="wps">
            <w:drawing>
              <wp:anchor distT="0" distB="0" distL="114300" distR="114300" simplePos="0" relativeHeight="251840512" behindDoc="0" locked="0" layoutInCell="1" allowOverlap="1">
                <wp:simplePos x="0" y="0"/>
                <wp:positionH relativeFrom="column">
                  <wp:posOffset>-458470</wp:posOffset>
                </wp:positionH>
                <wp:positionV relativeFrom="paragraph">
                  <wp:posOffset>17145</wp:posOffset>
                </wp:positionV>
                <wp:extent cx="1133475" cy="371475"/>
                <wp:effectExtent l="12700" t="12700" r="27305" b="27305"/>
                <wp:wrapNone/>
                <wp:docPr id="117" name="矩形 52"/>
                <wp:cNvGraphicFramePr/>
                <a:graphic xmlns:a="http://schemas.openxmlformats.org/drawingml/2006/main">
                  <a:graphicData uri="http://schemas.microsoft.com/office/word/2010/wordprocessingShape">
                    <wps:wsp>
                      <wps:cNvSpPr/>
                      <wps:spPr>
                        <a:xfrm>
                          <a:off x="0" y="0"/>
                          <a:ext cx="1133475" cy="371475"/>
                        </a:xfrm>
                        <a:prstGeom prst="rect">
                          <a:avLst/>
                        </a:prstGeom>
                        <a:solidFill>
                          <a:srgbClr val="FFFFFF"/>
                        </a:solidFill>
                        <a:ln w="25400" cap="flat" cmpd="sng" algn="ctr">
                          <a:solidFill>
                            <a:srgbClr val="000000"/>
                          </a:solidFill>
                          <a:prstDash val="solid"/>
                        </a:ln>
                        <a:effectLst/>
                      </wps:spPr>
                      <wps:txbx>
                        <w:txbxContent>
                          <w:p>
                            <w:pPr>
                              <w:jc w:val="center"/>
                            </w:pPr>
                            <w:r>
                              <w:rPr>
                                <w:rFonts w:hint="eastAsia"/>
                              </w:rPr>
                              <w:t>申办者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2" o:spid="_x0000_s1026" o:spt="1" style="position:absolute;left:0pt;margin-left:-36.1pt;margin-top:1.35pt;height:29.25pt;width:89.25pt;z-index:251840512;v-text-anchor:middle;mso-width-relative:page;mso-height-relative:page;" fillcolor="#FFFFFF" filled="t" stroked="t" coordsize="21600,21600" o:gfxdata="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sSRiI1gAAAAgBAAAPAAAAAAAAAAEAIAAAACIAAABkcnMvZG93bnJl&#10;di54bWxQSwECFAAUAAAACACHTuJApN8ofXECAAD5BAAADgAAAAAAAAABACAAAAAlAQAAZHJzL2Uy&#10;b0RvYy54bWxQSwUGAAAAAAYABgBZAQAACAYAAAAA&#10;">
                <v:fill on="t" focussize="0,0"/>
                <v:stroke weight="2pt" color="#000000" joinstyle="round"/>
                <v:imagedata o:title=""/>
                <o:lock v:ext="edit" aspectratio="f"/>
                <v:textbox>
                  <w:txbxContent>
                    <w:p>
                      <w:pPr>
                        <w:jc w:val="center"/>
                      </w:pPr>
                      <w:r>
                        <w:rPr>
                          <w:rFonts w:hint="eastAsia"/>
                        </w:rPr>
                        <w:t>申办者</w:t>
                      </w:r>
                    </w:p>
                  </w:txbxContent>
                </v:textbox>
              </v:rect>
            </w:pict>
          </mc:Fallback>
        </mc:AlternateContent>
      </w:r>
      <w:r>
        <w:rPr>
          <w:rFonts w:hint="eastAsia"/>
          <w:bCs/>
          <w:color w:val="auto"/>
        </w:rPr>
        <w:t>支付剩余试验费</w:t>
      </w:r>
    </w:p>
    <w:p>
      <w:pPr>
        <w:spacing w:line="360" w:lineRule="auto"/>
        <w:rPr>
          <w:bCs/>
          <w:color w:val="auto"/>
        </w:rPr>
      </w:pPr>
      <w:r>
        <w:rPr>
          <w:bCs/>
          <w:color w:val="auto"/>
        </w:rPr>
        <mc:AlternateContent>
          <mc:Choice Requires="wps">
            <w:drawing>
              <wp:anchor distT="0" distB="0" distL="114300" distR="114300" simplePos="0" relativeHeight="251841536" behindDoc="0" locked="0" layoutInCell="1" allowOverlap="1">
                <wp:simplePos x="0" y="0"/>
                <wp:positionH relativeFrom="column">
                  <wp:posOffset>836930</wp:posOffset>
                </wp:positionH>
                <wp:positionV relativeFrom="paragraph">
                  <wp:posOffset>27940</wp:posOffset>
                </wp:positionV>
                <wp:extent cx="555625" cy="2540"/>
                <wp:effectExtent l="0" t="56515" r="8255" b="62865"/>
                <wp:wrapNone/>
                <wp:docPr id="118" name="直接箭头连接符 42"/>
                <wp:cNvGraphicFramePr/>
                <a:graphic xmlns:a="http://schemas.openxmlformats.org/drawingml/2006/main">
                  <a:graphicData uri="http://schemas.microsoft.com/office/word/2010/wordprocessingShape">
                    <wps:wsp>
                      <wps:cNvCnPr/>
                      <wps:spPr>
                        <a:xfrm flipV="1">
                          <a:off x="0" y="0"/>
                          <a:ext cx="555625" cy="2540"/>
                        </a:xfrm>
                        <a:prstGeom prst="straightConnector1">
                          <a:avLst/>
                        </a:prstGeom>
                        <a:noFill/>
                        <a:ln w="25400" cap="flat" cmpd="sng" algn="ctr">
                          <a:solidFill>
                            <a:srgbClr val="000000"/>
                          </a:solidFill>
                          <a:prstDash val="solid"/>
                          <a:tailEnd type="arrow" w="med" len="med"/>
                        </a:ln>
                        <a:effectLst/>
                      </wps:spPr>
                      <wps:bodyPr/>
                    </wps:wsp>
                  </a:graphicData>
                </a:graphic>
              </wp:anchor>
            </w:drawing>
          </mc:Choice>
          <mc:Fallback>
            <w:pict>
              <v:shape id="直接箭头连接符 42" o:spid="_x0000_s1026" o:spt="32" type="#_x0000_t32" style="position:absolute;left:0pt;flip:y;margin-left:65.9pt;margin-top:2.2pt;height:0.2pt;width:43.75pt;z-index:251841536;mso-width-relative:page;mso-height-relative:page;" filled="f" stroked="t" coordsize="21600,21600" o:gfxdata="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RgHF1AAAAAcBAAAPAAAAAAAAAAEAIAAA&#10;ACIAAABkcnMvZG93bnJldi54bWxQSwECFAAUAAAACACHTuJALCNz3hACAAD3AwAADgAAAAAAAAAB&#10;ACAAAAAjAQAAZHJzL2Uyb0RvYy54bWxQSwUGAAAAAAYABgBZAQAApQUAAAAA&#10;">
                <v:fill on="f" focussize="0,0"/>
                <v:stroke weight="2pt" color="#000000" joinstyle="round" endarrow="open"/>
                <v:imagedata o:title=""/>
                <o:lock v:ext="edit" aspectratio="f"/>
              </v:shape>
            </w:pict>
          </mc:Fallback>
        </mc:AlternateContent>
      </w:r>
    </w:p>
    <w:p>
      <w:pPr>
        <w:spacing w:line="360" w:lineRule="auto"/>
        <w:rPr>
          <w:bCs/>
          <w:color w:val="auto"/>
        </w:rPr>
      </w:pPr>
      <w:r>
        <w:rPr>
          <w:bCs/>
          <w:color w:val="auto"/>
        </w:rPr>
        <mc:AlternateContent>
          <mc:Choice Requires="wps">
            <w:drawing>
              <wp:anchor distT="0" distB="0" distL="114300" distR="114300" simplePos="0" relativeHeight="251842560" behindDoc="0" locked="0" layoutInCell="1" allowOverlap="1">
                <wp:simplePos x="0" y="0"/>
                <wp:positionH relativeFrom="column">
                  <wp:posOffset>2401570</wp:posOffset>
                </wp:positionH>
                <wp:positionV relativeFrom="paragraph">
                  <wp:posOffset>11430</wp:posOffset>
                </wp:positionV>
                <wp:extent cx="4445" cy="285115"/>
                <wp:effectExtent l="88265" t="13970" r="90170" b="66675"/>
                <wp:wrapNone/>
                <wp:docPr id="120" name="直接箭头连接符 54"/>
                <wp:cNvGraphicFramePr/>
                <a:graphic xmlns:a="http://schemas.openxmlformats.org/drawingml/2006/main">
                  <a:graphicData uri="http://schemas.microsoft.com/office/word/2010/wordprocessingShape">
                    <wps:wsp>
                      <wps:cNvCnPr/>
                      <wps:spPr>
                        <a:xfrm>
                          <a:off x="0" y="0"/>
                          <a:ext cx="4445" cy="28511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直接箭头连接符 54" o:spid="_x0000_s1026" o:spt="32" type="#_x0000_t32" style="position:absolute;left:0pt;margin-left:189.1pt;margin-top:0.9pt;height:22.45pt;width:0.35pt;z-index:251842560;mso-width-relative:page;mso-height-relative:page;" filled="f" stroked="t" coordsize="21600,21600" o:gfxdata="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27Yf9MAAAAIAQAADwAAAAAAAAAB&#10;ACAAAAAiAAAAZHJzL2Rvd25yZXYueG1sUEsBAhQAFAAAAAgAh07iQITLYhZOAgAAiwQAAA4AAAAA&#10;AAAAAQAgAAAAIgEAAGRycy9lMm9Eb2MueG1sUEsFBgAAAAAGAAYAWQEAAOIFA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bCs/>
          <w:color w:val="auto"/>
        </w:rPr>
        <mc:AlternateContent>
          <mc:Choice Requires="wps">
            <w:drawing>
              <wp:anchor distT="0" distB="0" distL="114300" distR="114300" simplePos="0" relativeHeight="251843584" behindDoc="0" locked="0" layoutInCell="1" allowOverlap="1">
                <wp:simplePos x="0" y="0"/>
                <wp:positionH relativeFrom="column">
                  <wp:posOffset>1648460</wp:posOffset>
                </wp:positionH>
                <wp:positionV relativeFrom="paragraph">
                  <wp:posOffset>294005</wp:posOffset>
                </wp:positionV>
                <wp:extent cx="1495425" cy="491490"/>
                <wp:effectExtent l="12700" t="12700" r="15875" b="13970"/>
                <wp:wrapNone/>
                <wp:docPr id="121" name="矩形 55"/>
                <wp:cNvGraphicFramePr/>
                <a:graphic xmlns:a="http://schemas.openxmlformats.org/drawingml/2006/main">
                  <a:graphicData uri="http://schemas.microsoft.com/office/word/2010/wordprocessingShape">
                    <wps:wsp>
                      <wps:cNvSpPr/>
                      <wps:spPr>
                        <a:xfrm>
                          <a:off x="0" y="0"/>
                          <a:ext cx="1495425" cy="491490"/>
                        </a:xfrm>
                        <a:prstGeom prst="rect">
                          <a:avLst/>
                        </a:prstGeom>
                        <a:solidFill>
                          <a:srgbClr val="FFFFFF"/>
                        </a:solidFill>
                        <a:ln w="25400" cap="flat" cmpd="sng" algn="ctr">
                          <a:solidFill>
                            <a:srgbClr val="000000"/>
                          </a:solidFill>
                          <a:prstDash val="solid"/>
                        </a:ln>
                        <a:effectLst/>
                      </wps:spPr>
                      <wps:txbx>
                        <w:txbxContent>
                          <w:p>
                            <w:pPr>
                              <w:jc w:val="center"/>
                              <w:rPr>
                                <w:rFonts w:hint="eastAsia"/>
                              </w:rPr>
                            </w:pPr>
                            <w:r>
                              <w:rPr>
                                <w:rFonts w:hint="eastAsia"/>
                              </w:rPr>
                              <w:t>所有资料交机构办</w:t>
                            </w:r>
                          </w:p>
                          <w:p>
                            <w:pPr>
                              <w:jc w:val="center"/>
                            </w:pPr>
                            <w:r>
                              <w:rPr>
                                <w:rFonts w:hint="eastAsia"/>
                              </w:rPr>
                              <w:t>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5" o:spid="_x0000_s1026" o:spt="1" style="position:absolute;left:0pt;margin-left:129.8pt;margin-top:23.15pt;height:38.7pt;width:117.75pt;z-index:251843584;v-text-anchor:middle;mso-width-relative:page;mso-height-relative:page;" fillcolor="#FFFFFF" filled="t" stroked="t" coordsize="21600,21600" o:gfxdata="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ePtjF2QAAAAoBAAAPAAAAAAAAAAEAIAAAACIAAABkcnMvZG93&#10;bnJldi54bWxQSwECFAAUAAAACACHTuJAwpNqf3ECAAD5BAAADgAAAAAAAAABACAAAAAoAQAAZHJz&#10;L2Uyb0RvYy54bWxQSwUGAAAAAAYABgBZAQAACwYAAAAA&#10;">
                <v:fill on="t" focussize="0,0"/>
                <v:stroke weight="2pt" color="#000000" joinstyle="round"/>
                <v:imagedata o:title=""/>
                <o:lock v:ext="edit" aspectratio="f"/>
                <v:textbox>
                  <w:txbxContent>
                    <w:p>
                      <w:pPr>
                        <w:jc w:val="center"/>
                        <w:rPr>
                          <w:rFonts w:hint="eastAsia"/>
                        </w:rPr>
                      </w:pPr>
                      <w:r>
                        <w:rPr>
                          <w:rFonts w:hint="eastAsia"/>
                        </w:rPr>
                        <w:t>所有资料交机构办</w:t>
                      </w:r>
                    </w:p>
                    <w:p>
                      <w:pPr>
                        <w:jc w:val="center"/>
                      </w:pPr>
                      <w:r>
                        <w:rPr>
                          <w:rFonts w:hint="eastAsia"/>
                        </w:rPr>
                        <w:t>归档</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906"/>
        <w:gridCol w:w="915"/>
        <w:gridCol w:w="2459"/>
        <w:gridCol w:w="2853"/>
        <w:gridCol w:w="1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序</w:t>
            </w:r>
            <w:r>
              <w:rPr>
                <w:rFonts w:hint="eastAsia" w:ascii="宋体" w:hAnsi="宋体" w:eastAsia="宋体" w:cs="宋体"/>
                <w:color w:val="auto"/>
                <w:sz w:val="21"/>
                <w:szCs w:val="21"/>
              </w:rPr>
              <w:t>号</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修订前版本号</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修订后版本号</w:t>
            </w:r>
          </w:p>
        </w:tc>
        <w:tc>
          <w:tcPr>
            <w:tcW w:w="2459"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修订原因、依据</w:t>
            </w:r>
          </w:p>
        </w:tc>
        <w:tc>
          <w:tcPr>
            <w:tcW w:w="2853"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修订内容</w:t>
            </w:r>
          </w:p>
        </w:tc>
        <w:tc>
          <w:tcPr>
            <w:tcW w:w="167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t>修订人/修订</w:t>
            </w:r>
          </w:p>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Theme="minorEastAsia"/>
                <w:color w:val="auto"/>
                <w:sz w:val="21"/>
                <w:szCs w:val="21"/>
                <w:lang w:val="en-US" w:eastAsia="zh-CN"/>
              </w:rPr>
            </w:pPr>
            <w:r>
              <w:rPr>
                <w:rFonts w:hint="eastAsia" w:ascii="宋体" w:hAnsi="宋体"/>
                <w:color w:val="auto"/>
                <w:sz w:val="21"/>
                <w:szCs w:val="21"/>
                <w:lang w:val="en-US" w:eastAsia="zh-CN"/>
              </w:rPr>
              <w:t>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w:t>
            </w:r>
          </w:p>
        </w:tc>
        <w:tc>
          <w:tcPr>
            <w:tcW w:w="24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1.根据最新法规要求，修订立项评估相关内容。</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2.新增参考文献。</w:t>
            </w:r>
          </w:p>
        </w:tc>
        <w:tc>
          <w:tcPr>
            <w:tcW w:w="285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1.三、制度 项下第（一）条第3项新增：“机构办公室主任进一步审核，并对专业科室进行立项评估，填写《临床试验立项评估表》”内容。</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eastAsia" w:ascii="宋体" w:hAnsi="宋体" w:eastAsia="宋体" w:cs="宋体"/>
                <w:color w:val="auto"/>
                <w:lang w:val="en-US" w:eastAsia="zh-CN"/>
              </w:rPr>
            </w:pPr>
            <w:r>
              <w:rPr>
                <w:rFonts w:hint="eastAsia" w:ascii="宋体" w:hAnsi="宋体" w:eastAsia="宋体" w:cs="宋体"/>
                <w:color w:val="auto"/>
                <w:sz w:val="21"/>
                <w:szCs w:val="21"/>
                <w:lang w:val="en-US" w:eastAsia="zh-CN"/>
              </w:rPr>
              <w:t>2.新增参考文献。</w:t>
            </w:r>
          </w:p>
        </w:tc>
        <w:tc>
          <w:tcPr>
            <w:tcW w:w="16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eastAsia" w:ascii="宋体" w:hAnsi="宋体"/>
                <w:color w:val="auto"/>
                <w:sz w:val="21"/>
                <w:szCs w:val="21"/>
                <w:lang w:val="en-US" w:eastAsia="zh-CN"/>
              </w:rPr>
            </w:pPr>
          </w:p>
        </w:tc>
      </w:tr>
    </w:tbl>
    <w:p>
      <w:pPr>
        <w:spacing w:line="360" w:lineRule="auto"/>
        <w:rPr>
          <w:bCs/>
          <w:color w:val="auto"/>
        </w:rPr>
      </w:pPr>
    </w:p>
    <w:p>
      <w:pPr>
        <w:spacing w:line="360" w:lineRule="auto"/>
        <w:rPr>
          <w:bCs/>
          <w:color w:val="auto"/>
        </w:rPr>
      </w:pPr>
    </w:p>
    <w:p>
      <w:pPr>
        <w:spacing w:line="360" w:lineRule="auto"/>
        <w:jc w:val="center"/>
        <w:rPr>
          <w:rFonts w:hint="eastAsia" w:ascii="黑体" w:hAnsi="黑体" w:eastAsia="黑体" w:cs="黑体"/>
          <w:b/>
          <w:color w:val="auto"/>
          <w:sz w:val="28"/>
          <w:szCs w:val="28"/>
        </w:rPr>
        <w:sectPr>
          <w:headerReference r:id="rId41" w:type="default"/>
          <w:footerReference r:id="rId42" w:type="default"/>
          <w:pgSz w:w="11906" w:h="16838"/>
          <w:pgMar w:top="1417" w:right="1191" w:bottom="1474" w:left="1474" w:header="0" w:footer="992" w:gutter="0"/>
          <w:pgNumType w:fmt="decimal" w:start="1"/>
          <w:cols w:space="0" w:num="1"/>
          <w:docGrid w:type="lines" w:linePitch="312" w:charSpace="0"/>
        </w:sectPr>
      </w:pPr>
    </w:p>
    <w:p>
      <w:pPr>
        <w:spacing w:line="360" w:lineRule="auto"/>
        <w:jc w:val="center"/>
        <w:rPr>
          <w:rFonts w:ascii="黑体" w:hAnsi="黑体" w:eastAsia="黑体" w:cs="黑体"/>
          <w:color w:val="auto"/>
          <w:sz w:val="28"/>
          <w:szCs w:val="28"/>
        </w:rPr>
      </w:pPr>
      <w:r>
        <w:rPr>
          <w:rFonts w:hint="eastAsia" w:ascii="黑体" w:hAnsi="黑体" w:eastAsia="黑体" w:cs="黑体"/>
          <w:b/>
          <w:color w:val="auto"/>
          <w:sz w:val="28"/>
          <w:szCs w:val="28"/>
        </w:rPr>
        <w:t>机构办公室工作制度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bCs/>
          <w:color w:val="auto"/>
          <w:sz w:val="24"/>
        </w:rPr>
      </w:pPr>
      <w:r>
        <w:rPr>
          <w:rFonts w:hint="eastAsia"/>
          <w:bCs/>
          <w:color w:val="auto"/>
          <w:sz w:val="24"/>
        </w:rPr>
        <w:t>一、目的</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color w:val="auto"/>
          <w:sz w:val="24"/>
        </w:rPr>
      </w:pPr>
      <w:r>
        <w:rPr>
          <w:rFonts w:hint="eastAsia"/>
          <w:color w:val="auto"/>
          <w:sz w:val="24"/>
        </w:rPr>
        <w:t>用于临床试验机构办公室的日常管理工作。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bCs/>
          <w:color w:val="auto"/>
          <w:sz w:val="24"/>
        </w:rPr>
      </w:pPr>
      <w:r>
        <w:rPr>
          <w:rFonts w:hint="eastAsia"/>
          <w:bCs/>
          <w:color w:val="auto"/>
          <w:sz w:val="24"/>
        </w:rPr>
        <w:t>二、范围</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color w:val="auto"/>
          <w:sz w:val="24"/>
        </w:rPr>
      </w:pPr>
      <w:r>
        <w:rPr>
          <w:rFonts w:hint="eastAsia"/>
          <w:color w:val="auto"/>
          <w:sz w:val="24"/>
        </w:rPr>
        <w:t>药物和医疗器械临床试验机构办公室。</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bCs/>
          <w:color w:val="auto"/>
          <w:sz w:val="24"/>
        </w:rPr>
      </w:pPr>
      <w:r>
        <w:rPr>
          <w:rFonts w:hint="eastAsia"/>
          <w:bCs/>
          <w:color w:val="auto"/>
          <w:sz w:val="24"/>
        </w:rPr>
        <w:t>三、制度</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Ansi="宋体"/>
          <w:color w:val="auto"/>
          <w:sz w:val="24"/>
        </w:rPr>
      </w:pPr>
      <w:r>
        <w:rPr>
          <w:rFonts w:hint="eastAsia" w:hAnsi="宋体"/>
          <w:color w:val="auto"/>
          <w:sz w:val="24"/>
        </w:rPr>
        <w:t>1、</w:t>
      </w:r>
      <w:r>
        <w:rPr>
          <w:rFonts w:hAnsi="宋体"/>
          <w:color w:val="auto"/>
          <w:sz w:val="24"/>
        </w:rPr>
        <w:t>临床试验机构办公室受临床试验机构负责人的直接领导，负责机构的日常行政管理工作。</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Ansi="宋体"/>
          <w:color w:val="auto"/>
          <w:sz w:val="24"/>
        </w:rPr>
      </w:pPr>
      <w:r>
        <w:rPr>
          <w:rFonts w:hint="eastAsia" w:hAnsi="宋体"/>
          <w:color w:val="auto"/>
          <w:sz w:val="24"/>
        </w:rPr>
        <w:t>2、临床试验机构办公室设办公室主任一名，</w:t>
      </w:r>
      <w:r>
        <w:rPr>
          <w:rFonts w:hint="eastAsia" w:hAnsi="宋体"/>
          <w:color w:val="auto"/>
          <w:sz w:val="24"/>
          <w:lang w:val="en-US" w:eastAsia="zh-CN"/>
        </w:rPr>
        <w:t>办公室副主任一名，</w:t>
      </w:r>
      <w:r>
        <w:rPr>
          <w:rFonts w:hint="eastAsia" w:hAnsi="宋体"/>
          <w:color w:val="auto"/>
          <w:sz w:val="24"/>
        </w:rPr>
        <w:t>秘书一名，档案管理员一名</w:t>
      </w:r>
      <w:r>
        <w:rPr>
          <w:rFonts w:hint="eastAsia" w:hAnsi="宋体"/>
          <w:color w:val="auto"/>
          <w:sz w:val="24"/>
          <w:highlight w:val="none"/>
        </w:rPr>
        <w:t>，</w:t>
      </w:r>
      <w:r>
        <w:rPr>
          <w:rFonts w:hint="eastAsia" w:hAnsi="宋体"/>
          <w:color w:val="auto"/>
          <w:sz w:val="24"/>
          <w:highlight w:val="none"/>
          <w:lang w:val="en-US" w:eastAsia="zh-CN"/>
        </w:rPr>
        <w:t>药品管理员两名</w:t>
      </w:r>
      <w:r>
        <w:rPr>
          <w:rFonts w:hint="eastAsia" w:hAnsi="宋体"/>
          <w:color w:val="auto"/>
          <w:sz w:val="24"/>
          <w:lang w:val="en-US" w:eastAsia="zh-CN"/>
        </w:rPr>
        <w:t>，</w:t>
      </w:r>
      <w:r>
        <w:rPr>
          <w:rFonts w:hint="eastAsia" w:hAnsi="宋体"/>
          <w:color w:val="auto"/>
          <w:sz w:val="24"/>
        </w:rPr>
        <w:t>医疗器械管理员一名，专职质量管理员一名。</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hAnsi="宋体" w:eastAsiaTheme="minorEastAsia"/>
          <w:color w:val="auto"/>
          <w:sz w:val="24"/>
          <w:lang w:val="en-US" w:eastAsia="zh-CN"/>
        </w:rPr>
      </w:pPr>
      <w:r>
        <w:rPr>
          <w:rFonts w:hint="eastAsia" w:hAnsi="宋体"/>
          <w:color w:val="auto"/>
          <w:sz w:val="24"/>
        </w:rPr>
        <w:t>3、机构办公室的职责是对临床试验的监督和管理工作，</w:t>
      </w:r>
      <w:r>
        <w:rPr>
          <w:rFonts w:hAnsi="宋体"/>
          <w:color w:val="auto"/>
          <w:sz w:val="24"/>
        </w:rPr>
        <w:t>参与临床试验任务的接受、安排等行政组织工作。</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Ansi="宋体"/>
          <w:color w:val="auto"/>
          <w:sz w:val="24"/>
        </w:rPr>
      </w:pPr>
      <w:r>
        <w:rPr>
          <w:rFonts w:hint="eastAsia"/>
          <w:color w:val="auto"/>
          <w:sz w:val="24"/>
        </w:rPr>
        <w:t>4、总体协调临床试验项目管理流程并实施质量保证，包括建立临床试验的项目管理文件，负责协调工作，负责合同管理，对研究人员资格审核，组织安排试验相关人员培训，以及</w:t>
      </w:r>
      <w:r>
        <w:rPr>
          <w:rFonts w:hint="eastAsia"/>
          <w:color w:val="auto"/>
          <w:sz w:val="24"/>
          <w:highlight w:val="none"/>
        </w:rPr>
        <w:t>机构公章的使用登记。</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Ansi="宋体"/>
          <w:color w:val="auto"/>
          <w:sz w:val="24"/>
        </w:rPr>
      </w:pPr>
      <w:r>
        <w:rPr>
          <w:rFonts w:hint="eastAsia" w:hAnsi="宋体"/>
          <w:color w:val="auto"/>
          <w:sz w:val="24"/>
        </w:rPr>
        <w:t>5、</w:t>
      </w:r>
      <w:r>
        <w:rPr>
          <w:rFonts w:hAnsi="宋体"/>
          <w:color w:val="auto"/>
          <w:sz w:val="24"/>
        </w:rPr>
        <w:t>组织研究者及相关专家起草临床试验方案及其附属文件初稿；组织协调会议，对临床试验方案及其附属文件初稿进行讨论修订并最终完成定稿。</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Ansi="宋体"/>
          <w:color w:val="auto"/>
          <w:sz w:val="24"/>
          <w:highlight w:val="none"/>
        </w:rPr>
      </w:pPr>
      <w:r>
        <w:rPr>
          <w:rFonts w:hint="eastAsia" w:hAnsi="宋体"/>
          <w:color w:val="auto"/>
          <w:sz w:val="24"/>
        </w:rPr>
        <w:t>6、</w:t>
      </w:r>
      <w:r>
        <w:rPr>
          <w:rFonts w:hAnsi="宋体"/>
          <w:color w:val="auto"/>
          <w:sz w:val="24"/>
        </w:rPr>
        <w:t>协助研究者向伦理委员会递交临床试验方案、知情同意书、研究者履历等临床试验文件，并请示伦理委员会会议召开日期，经伦理委员会审核后，负责将伦理委员会批件送交申办者和各参研单位。</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Ansi="宋体"/>
          <w:color w:val="auto"/>
          <w:sz w:val="24"/>
          <w:highlight w:val="none"/>
        </w:rPr>
      </w:pPr>
      <w:r>
        <w:rPr>
          <w:rFonts w:hint="eastAsia" w:hAnsi="宋体"/>
          <w:color w:val="auto"/>
          <w:sz w:val="24"/>
          <w:highlight w:val="none"/>
        </w:rPr>
        <w:t>7、</w:t>
      </w:r>
      <w:r>
        <w:rPr>
          <w:rFonts w:hAnsi="宋体"/>
          <w:color w:val="auto"/>
          <w:sz w:val="24"/>
          <w:highlight w:val="none"/>
        </w:rPr>
        <w:t>负责临床试验实施前的技术准备工作：组织制订试验</w:t>
      </w:r>
      <w:r>
        <w:rPr>
          <w:rFonts w:hint="eastAsia" w:hAnsi="宋体"/>
          <w:color w:val="auto"/>
          <w:sz w:val="24"/>
          <w:highlight w:val="none"/>
          <w:lang w:val="en-US" w:eastAsia="zh-CN"/>
        </w:rPr>
        <w:t>项目</w:t>
      </w:r>
      <w:r>
        <w:rPr>
          <w:rFonts w:hAnsi="宋体"/>
          <w:color w:val="auto"/>
          <w:sz w:val="24"/>
          <w:highlight w:val="none"/>
        </w:rPr>
        <w:t>临床</w:t>
      </w:r>
      <w:r>
        <w:rPr>
          <w:rFonts w:hint="eastAsia" w:hAnsi="宋体"/>
          <w:color w:val="auto"/>
          <w:sz w:val="24"/>
          <w:highlight w:val="none"/>
          <w:lang w:val="en-US" w:eastAsia="zh-CN"/>
        </w:rPr>
        <w:t>及</w:t>
      </w:r>
      <w:r>
        <w:rPr>
          <w:rFonts w:hAnsi="宋体"/>
          <w:color w:val="auto"/>
          <w:sz w:val="24"/>
          <w:highlight w:val="none"/>
        </w:rPr>
        <w:t>实验室</w:t>
      </w:r>
      <w:r>
        <w:rPr>
          <w:rFonts w:hint="eastAsia" w:hAnsi="宋体"/>
          <w:color w:val="auto"/>
          <w:sz w:val="24"/>
          <w:highlight w:val="none"/>
          <w:lang w:val="en-US" w:eastAsia="zh-CN"/>
        </w:rPr>
        <w:t>相关</w:t>
      </w:r>
      <w:r>
        <w:rPr>
          <w:rFonts w:hAnsi="宋体"/>
          <w:color w:val="auto"/>
          <w:sz w:val="24"/>
          <w:highlight w:val="none"/>
        </w:rPr>
        <w:t>标准操作规程，检查完善临床试验所需的设备。</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Ansi="宋体"/>
          <w:color w:val="auto"/>
          <w:sz w:val="24"/>
        </w:rPr>
      </w:pPr>
      <w:r>
        <w:rPr>
          <w:rFonts w:hint="eastAsia" w:hAnsi="宋体"/>
          <w:color w:val="auto"/>
          <w:sz w:val="24"/>
        </w:rPr>
        <w:t>8、</w:t>
      </w:r>
      <w:r>
        <w:rPr>
          <w:rFonts w:hAnsi="宋体"/>
          <w:color w:val="auto"/>
          <w:sz w:val="24"/>
        </w:rPr>
        <w:t>负责与主要研究者</w:t>
      </w:r>
      <w:r>
        <w:rPr>
          <w:rFonts w:hint="eastAsia" w:hAnsi="宋体"/>
          <w:color w:val="auto"/>
          <w:sz w:val="24"/>
        </w:rPr>
        <w:t>PI</w:t>
      </w:r>
      <w:r>
        <w:rPr>
          <w:rFonts w:hAnsi="宋体"/>
          <w:color w:val="auto"/>
          <w:sz w:val="24"/>
        </w:rPr>
        <w:t>共同组织临床试验开始前的培训工作，对参与临床试验的</w:t>
      </w:r>
      <w:r>
        <w:rPr>
          <w:rFonts w:hint="eastAsia" w:hAnsi="宋体"/>
          <w:color w:val="auto"/>
          <w:sz w:val="24"/>
        </w:rPr>
        <w:t>相关</w:t>
      </w:r>
      <w:r>
        <w:rPr>
          <w:rFonts w:hAnsi="宋体"/>
          <w:color w:val="auto"/>
          <w:sz w:val="24"/>
        </w:rPr>
        <w:t>人员进行</w:t>
      </w:r>
      <w:r>
        <w:rPr>
          <w:color w:val="auto"/>
          <w:sz w:val="24"/>
        </w:rPr>
        <w:t>GCP</w:t>
      </w:r>
      <w:r>
        <w:rPr>
          <w:rFonts w:hAnsi="宋体"/>
          <w:color w:val="auto"/>
          <w:sz w:val="24"/>
        </w:rPr>
        <w:t>等有关法规、</w:t>
      </w:r>
      <w:r>
        <w:rPr>
          <w:rFonts w:hint="eastAsia" w:hAnsi="宋体"/>
          <w:color w:val="auto"/>
          <w:sz w:val="24"/>
        </w:rPr>
        <w:t>知情同意书、</w:t>
      </w:r>
      <w:r>
        <w:rPr>
          <w:rFonts w:hAnsi="宋体"/>
          <w:color w:val="auto"/>
          <w:sz w:val="24"/>
        </w:rPr>
        <w:t>试验方案及其标准操作规程、病历书写及病例报告表填写等培训，并做好培训记录。</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color w:val="auto"/>
          <w:sz w:val="24"/>
        </w:rPr>
      </w:pPr>
      <w:r>
        <w:rPr>
          <w:rFonts w:hint="eastAsia" w:hAnsi="宋体"/>
          <w:color w:val="auto"/>
          <w:sz w:val="24"/>
        </w:rPr>
        <w:t>9、</w:t>
      </w:r>
      <w:r>
        <w:rPr>
          <w:rFonts w:hAnsi="宋体"/>
          <w:color w:val="auto"/>
          <w:sz w:val="24"/>
        </w:rPr>
        <w:t>负责组织各专业</w:t>
      </w:r>
      <w:r>
        <w:rPr>
          <w:rFonts w:hint="eastAsia" w:hAnsi="宋体"/>
          <w:color w:val="auto"/>
          <w:sz w:val="24"/>
        </w:rPr>
        <w:t>组</w:t>
      </w:r>
      <w:r>
        <w:rPr>
          <w:rFonts w:hAnsi="宋体"/>
          <w:color w:val="auto"/>
          <w:sz w:val="24"/>
        </w:rPr>
        <w:t>实施临床试验并对各专业</w:t>
      </w:r>
      <w:r>
        <w:rPr>
          <w:rFonts w:hint="eastAsia" w:hAnsi="宋体"/>
          <w:color w:val="auto"/>
          <w:sz w:val="24"/>
        </w:rPr>
        <w:t>组</w:t>
      </w:r>
      <w:r>
        <w:rPr>
          <w:rFonts w:hAnsi="宋体"/>
          <w:color w:val="auto"/>
          <w:sz w:val="24"/>
        </w:rPr>
        <w:t>药物</w:t>
      </w:r>
      <w:r>
        <w:rPr>
          <w:rFonts w:hint="eastAsia" w:hAnsi="宋体"/>
          <w:color w:val="auto"/>
          <w:sz w:val="24"/>
          <w:lang w:eastAsia="zh-CN"/>
        </w:rPr>
        <w:t>或</w:t>
      </w:r>
      <w:r>
        <w:rPr>
          <w:rFonts w:hint="eastAsia" w:hAnsi="宋体"/>
          <w:color w:val="auto"/>
          <w:sz w:val="24"/>
        </w:rPr>
        <w:t>医疗器械</w:t>
      </w:r>
      <w:r>
        <w:rPr>
          <w:rFonts w:hAnsi="宋体"/>
          <w:color w:val="auto"/>
          <w:sz w:val="24"/>
        </w:rPr>
        <w:t>临床试验全过程进行监督，重点是</w:t>
      </w:r>
      <w:r>
        <w:rPr>
          <w:rFonts w:hint="eastAsia" w:hAnsi="宋体"/>
          <w:color w:val="auto"/>
          <w:sz w:val="24"/>
        </w:rPr>
        <w:t>知情同意书的获取、</w:t>
      </w:r>
      <w:r>
        <w:rPr>
          <w:rFonts w:hAnsi="宋体"/>
          <w:color w:val="auto"/>
          <w:sz w:val="24"/>
        </w:rPr>
        <w:t>试验方案和试验标准操作规程的执行、病历</w:t>
      </w:r>
      <w:r>
        <w:rPr>
          <w:rFonts w:hint="eastAsia" w:hAnsi="宋体"/>
          <w:color w:val="auto"/>
          <w:sz w:val="24"/>
        </w:rPr>
        <w:t>等原始资料</w:t>
      </w:r>
      <w:r>
        <w:rPr>
          <w:rFonts w:hAnsi="宋体"/>
          <w:color w:val="auto"/>
          <w:sz w:val="24"/>
        </w:rPr>
        <w:t>的书写、试验药物</w:t>
      </w:r>
      <w:r>
        <w:rPr>
          <w:rFonts w:hint="eastAsia" w:hAnsi="宋体"/>
          <w:color w:val="auto"/>
          <w:sz w:val="24"/>
        </w:rPr>
        <w:t>/医疗器械</w:t>
      </w:r>
      <w:r>
        <w:rPr>
          <w:rFonts w:hAnsi="宋体"/>
          <w:color w:val="auto"/>
          <w:sz w:val="24"/>
        </w:rPr>
        <w:t>的管理、不良事件</w:t>
      </w:r>
      <w:r>
        <w:rPr>
          <w:rFonts w:hint="eastAsia" w:hAnsi="宋体"/>
          <w:color w:val="auto"/>
          <w:sz w:val="24"/>
        </w:rPr>
        <w:t>与严重不良事件</w:t>
      </w:r>
      <w:r>
        <w:rPr>
          <w:rFonts w:hAnsi="宋体"/>
          <w:color w:val="auto"/>
          <w:sz w:val="24"/>
        </w:rPr>
        <w:t>的报告和处理等。</w:t>
      </w:r>
      <w:r>
        <w:rPr>
          <w:rFonts w:hint="eastAsia" w:hAnsi="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Ansi="宋体"/>
          <w:color w:val="auto"/>
          <w:sz w:val="24"/>
        </w:rPr>
      </w:pPr>
      <w:r>
        <w:rPr>
          <w:rFonts w:hint="eastAsia" w:hAnsi="宋体"/>
          <w:color w:val="auto"/>
          <w:sz w:val="24"/>
        </w:rPr>
        <w:t>10、根据《合同管理制度》，负责合同的管理工作。</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color w:val="auto"/>
          <w:sz w:val="24"/>
        </w:rPr>
      </w:pPr>
      <w:r>
        <w:rPr>
          <w:rFonts w:hint="eastAsia" w:hAnsi="宋体"/>
          <w:color w:val="auto"/>
          <w:sz w:val="24"/>
        </w:rPr>
        <w:t>11、</w:t>
      </w:r>
      <w:r>
        <w:rPr>
          <w:rFonts w:hAnsi="宋体"/>
          <w:color w:val="auto"/>
          <w:sz w:val="24"/>
        </w:rPr>
        <w:t>根据《</w:t>
      </w:r>
      <w:r>
        <w:rPr>
          <w:rFonts w:hint="eastAsia" w:hAnsi="宋体"/>
          <w:color w:val="auto"/>
          <w:sz w:val="24"/>
        </w:rPr>
        <w:t>研究</w:t>
      </w:r>
      <w:r>
        <w:rPr>
          <w:rFonts w:hAnsi="宋体"/>
          <w:color w:val="auto"/>
          <w:sz w:val="24"/>
        </w:rPr>
        <w:t>文件管理制度》，负责临床试验文件资料的管理工作。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b/>
          <w:color w:val="auto"/>
          <w:sz w:val="24"/>
        </w:rPr>
      </w:pPr>
      <w:r>
        <w:rPr>
          <w:rFonts w:hint="eastAsia" w:hAnsi="宋体"/>
          <w:color w:val="auto"/>
          <w:sz w:val="24"/>
        </w:rPr>
        <w:t>12、</w:t>
      </w:r>
      <w:r>
        <w:rPr>
          <w:rFonts w:hAnsi="宋体"/>
          <w:color w:val="auto"/>
          <w:sz w:val="24"/>
        </w:rPr>
        <w:t>根据《</w:t>
      </w:r>
      <w:r>
        <w:rPr>
          <w:rFonts w:hint="eastAsia" w:hAnsi="宋体"/>
          <w:color w:val="auto"/>
          <w:sz w:val="24"/>
        </w:rPr>
        <w:t>经费</w:t>
      </w:r>
      <w:r>
        <w:rPr>
          <w:rFonts w:hAnsi="宋体"/>
          <w:color w:val="auto"/>
          <w:sz w:val="24"/>
        </w:rPr>
        <w:t>管理制度》，负责试验经费的管理工作。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color w:val="auto"/>
          <w:shd w:val="clear" w:color="auto" w:fill="FFFFFF"/>
        </w:rPr>
      </w:pPr>
      <w:bookmarkStart w:id="0" w:name="_Hlt75934257"/>
      <w:bookmarkEnd w:id="0"/>
      <w:r>
        <w:rPr>
          <w:rFonts w:hint="eastAsia"/>
          <w:bCs/>
          <w:color w:val="auto"/>
          <w:sz w:val="24"/>
        </w:rPr>
        <w:t>四、参考</w:t>
      </w:r>
      <w:r>
        <w:rPr>
          <w:rFonts w:hint="eastAsia"/>
          <w:bCs/>
          <w:color w:val="auto"/>
          <w:sz w:val="24"/>
          <w:lang w:val="en-US" w:eastAsia="zh-CN"/>
        </w:rPr>
        <w:t>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[1]国家药监局 国家卫生健康委. 关于发布药物临床试验质量管理规范的公告（2020年第57号）[EB/OL].[2020-04-26]. https://www.nmpa.gov.cn/zhuanti/ypzhcglbf/ypzhcglbfzhcwj/20200426162401243.html.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[2]国家药品监督管理局，国家卫生健康委员会. 关于发布《医疗器械临床试验质量管理规范》的公告（2022年第28号）.[2022-03-31]. https://www.nmpa.gov.cn/xxgk/ggtg/qtggtg/20220331144903101.html.</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906"/>
        <w:gridCol w:w="915"/>
        <w:gridCol w:w="2459"/>
        <w:gridCol w:w="2853"/>
        <w:gridCol w:w="1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lang w:val="en-US" w:eastAsia="zh-CN"/>
              </w:rPr>
              <w:t>序</w:t>
            </w:r>
            <w:r>
              <w:rPr>
                <w:rFonts w:hint="eastAsia" w:ascii="宋体" w:hAnsi="宋体"/>
                <w:color w:val="auto"/>
                <w:sz w:val="21"/>
                <w:szCs w:val="21"/>
              </w:rPr>
              <w:t>号</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kern w:val="2"/>
                <w:sz w:val="21"/>
                <w:szCs w:val="21"/>
                <w:lang w:val="en-US" w:eastAsia="zh-CN" w:bidi="ar-SA"/>
              </w:rPr>
            </w:pPr>
            <w:r>
              <w:rPr>
                <w:rFonts w:hint="eastAsia" w:ascii="宋体" w:hAnsi="宋体"/>
                <w:color w:val="auto"/>
                <w:sz w:val="21"/>
                <w:szCs w:val="21"/>
                <w:lang w:val="en-US" w:eastAsia="zh-CN"/>
              </w:rPr>
              <w:t>修订前版本号</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宋体"/>
                <w:color w:val="auto"/>
                <w:kern w:val="2"/>
                <w:sz w:val="21"/>
                <w:szCs w:val="21"/>
                <w:lang w:val="en-US" w:eastAsia="zh-CN" w:bidi="ar-SA"/>
              </w:rPr>
            </w:pPr>
            <w:r>
              <w:rPr>
                <w:rFonts w:hint="eastAsia" w:ascii="宋体" w:hAnsi="宋体"/>
                <w:color w:val="auto"/>
                <w:sz w:val="21"/>
                <w:szCs w:val="21"/>
                <w:lang w:val="en-US" w:eastAsia="zh-CN"/>
              </w:rPr>
              <w:t>修订后版本号</w:t>
            </w:r>
          </w:p>
        </w:tc>
        <w:tc>
          <w:tcPr>
            <w:tcW w:w="2459"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修订原因、依据</w:t>
            </w:r>
          </w:p>
        </w:tc>
        <w:tc>
          <w:tcPr>
            <w:tcW w:w="2853"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修订内容</w:t>
            </w:r>
          </w:p>
        </w:tc>
        <w:tc>
          <w:tcPr>
            <w:tcW w:w="167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t>修订人/修订</w:t>
            </w:r>
          </w:p>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Theme="minorEastAsia"/>
                <w:color w:val="auto"/>
                <w:sz w:val="21"/>
                <w:szCs w:val="21"/>
                <w:lang w:val="en-US" w:eastAsia="zh-CN"/>
              </w:rPr>
            </w:pPr>
            <w:r>
              <w:rPr>
                <w:rFonts w:hint="eastAsia" w:ascii="宋体" w:hAnsi="宋体"/>
                <w:color w:val="auto"/>
                <w:sz w:val="21"/>
                <w:szCs w:val="21"/>
                <w:lang w:val="en-US" w:eastAsia="zh-CN"/>
              </w:rPr>
              <w:t>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3.0</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3.1</w:t>
            </w:r>
          </w:p>
        </w:tc>
        <w:tc>
          <w:tcPr>
            <w:tcW w:w="24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1.根据实际工作情况，修订相应内容。</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2.为保证人员职责的严谨性，新增参考文献。</w:t>
            </w:r>
          </w:p>
        </w:tc>
        <w:tc>
          <w:tcPr>
            <w:tcW w:w="285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1.机构办公室增设办公室副主任，药物管理员设置为两名。</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2.新增参考文献。</w:t>
            </w:r>
          </w:p>
        </w:tc>
        <w:tc>
          <w:tcPr>
            <w:tcW w:w="16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eastAsia" w:ascii="宋体" w:hAnsi="宋体"/>
                <w:color w:val="auto"/>
                <w:sz w:val="21"/>
                <w:szCs w:val="21"/>
                <w:lang w:val="en-US" w:eastAsia="zh-CN"/>
              </w:rPr>
            </w:pPr>
          </w:p>
        </w:tc>
      </w:tr>
    </w:tbl>
    <w:p>
      <w:pPr>
        <w:spacing w:line="360" w:lineRule="auto"/>
        <w:rPr>
          <w:rFonts w:asciiTheme="minorEastAsia" w:hAnsiTheme="minorEastAsia" w:cstheme="minorEastAsia"/>
          <w:color w:val="auto"/>
          <w:sz w:val="24"/>
          <w:szCs w:val="24"/>
        </w:rPr>
      </w:pPr>
    </w:p>
    <w:p>
      <w:pPr>
        <w:rPr>
          <w:color w:val="auto"/>
        </w:rPr>
      </w:pPr>
    </w:p>
    <w:p>
      <w:pPr>
        <w:spacing w:line="360" w:lineRule="auto"/>
        <w:ind w:firstLine="3197" w:firstLineChars="1327"/>
        <w:rPr>
          <w:rFonts w:asciiTheme="minorEastAsia" w:hAnsiTheme="minorEastAsia"/>
          <w:b/>
          <w:color w:val="auto"/>
          <w:sz w:val="24"/>
          <w:szCs w:val="24"/>
        </w:rPr>
      </w:pPr>
    </w:p>
    <w:p>
      <w:pPr>
        <w:spacing w:line="360" w:lineRule="auto"/>
        <w:ind w:firstLine="3373" w:firstLineChars="1200"/>
        <w:rPr>
          <w:rFonts w:ascii="黑体" w:hAnsi="黑体" w:eastAsia="黑体" w:cs="黑体"/>
          <w:b/>
          <w:bCs/>
          <w:color w:val="auto"/>
          <w:sz w:val="28"/>
          <w:szCs w:val="28"/>
        </w:rPr>
        <w:sectPr>
          <w:pgSz w:w="11906" w:h="16838"/>
          <w:pgMar w:top="1417" w:right="1191" w:bottom="1474" w:left="1474" w:header="0" w:footer="992" w:gutter="0"/>
          <w:pgNumType w:fmt="decimal" w:start="1"/>
          <w:cols w:space="0" w:num="1"/>
          <w:docGrid w:type="lines" w:linePitch="312" w:charSpace="0"/>
        </w:sectPr>
      </w:pPr>
    </w:p>
    <w:p>
      <w:pPr>
        <w:spacing w:line="360" w:lineRule="auto"/>
        <w:ind w:firstLine="3373" w:firstLineChars="1200"/>
        <w:rPr>
          <w:rFonts w:ascii="黑体" w:hAnsi="黑体" w:eastAsia="黑体" w:cs="黑体"/>
          <w:color w:val="auto"/>
          <w:sz w:val="28"/>
          <w:szCs w:val="28"/>
        </w:rPr>
      </w:pPr>
      <w:r>
        <w:rPr>
          <w:rFonts w:hint="eastAsia" w:ascii="黑体" w:hAnsi="黑体" w:eastAsia="黑体" w:cs="黑体"/>
          <w:b/>
          <w:bCs/>
          <w:color w:val="auto"/>
          <w:sz w:val="28"/>
          <w:szCs w:val="28"/>
        </w:rPr>
        <w:t>合同管理制度</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 目的</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规范临床试验合同的内容，规范合同的审核及签署流程。</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二、适用范围</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临床试验合同的签署。</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三、制度</w:t>
      </w:r>
    </w:p>
    <w:p>
      <w:pPr>
        <w:spacing w:line="360" w:lineRule="auto"/>
        <w:ind w:left="-420" w:leftChars="-200"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（一）合同的起草</w:t>
      </w:r>
    </w:p>
    <w:p>
      <w:pPr>
        <w:spacing w:line="360" w:lineRule="auto"/>
        <w:ind w:left="480" w:hanging="480" w:hanging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1、申办者/CRO和研究机构均可负责执笔、起草和拟订“合同模板”以供参照使用。</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合同起草应遵循《中华人民共和国合同法》、《药物临床试验质量管理规范》、《医疗器械临床试验质量管理规范》等相关法规的条款，并依据研究机构所在伦理委员会审批通过的临床试验方案，知情同意书等关键性文件来制定。</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3、合同需经过申办者/CRO和研究机构研究者的充分协商、共同讨论、各方均可对合同条款和经费提出建议和意见，最终达成一致。</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4、合同一般分为：主合同、补充合同、临床研究协调员（CRC）聘用合同、责任主体转让合同；其他类型：如申办者提供办公用品、耗材的合同、数据管理及统计服务合同等。</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（二）合同的内容</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合同的内容包括（但不限于）：</w:t>
      </w:r>
    </w:p>
    <w:p>
      <w:pPr>
        <w:numPr>
          <w:ilvl w:val="0"/>
          <w:numId w:val="15"/>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合同主体；包括如申办者、研究机构的名称、地址、联系方式和其它信息；</w:t>
      </w:r>
    </w:p>
    <w:p>
      <w:pPr>
        <w:spacing w:line="360" w:lineRule="auto"/>
        <w:ind w:left="240" w:hanging="240" w:hanging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2、试验项目名称、目的、方法、委托研究内容的详细描述、临床试验实施要求、研究物资供应；</w:t>
      </w:r>
    </w:p>
    <w:p>
      <w:pPr>
        <w:spacing w:line="360" w:lineRule="auto"/>
        <w:ind w:left="240" w:hanging="240" w:hanging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3、研究的预计进行时间、预计完成的有效病例数、有效病例数或完成病例的定义，筛选失败病例的处理等；</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4、申办者、研究机构、主要研究者应分别履行的职责、行使权益等；</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5、试验项目预算组成及相应计算方法、付费方式、分期付款时间、进度等；</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6、合同的生效起止时限，部分条款在委托研究完成后依然有效的界定和说明；</w:t>
      </w:r>
    </w:p>
    <w:p>
      <w:pPr>
        <w:spacing w:line="360" w:lineRule="auto"/>
        <w:ind w:left="240" w:hanging="240" w:hanging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7、违约责任，即明确定义申办者或研究机构哪些情况属于违约，何方需承担何种责任；</w:t>
      </w:r>
    </w:p>
    <w:p>
      <w:pPr>
        <w:spacing w:line="360" w:lineRule="auto"/>
        <w:ind w:left="240" w:hanging="240" w:hanging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8、争议解决方法，如出现履约中存在争议的情况，如何解决，如需诉讼/仲裁，诉讼/仲裁地的选取原则等；</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9、保密责任；</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10、知识产权归属及文章发表；</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11、临床试验责任保险，由试验所致受试者和研究者的损害、损失的相关赔偿和补偿；</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12、合同变更及其他有关协商事项。</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（三）合同的审核</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合同需由项目负责人、临床试验机构办公室合同管理人员、机构办主任以及医院法律顾问共同审核、最后由机构</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副</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主任审核签署，审核要点包括（但不限于）：</w:t>
      </w:r>
    </w:p>
    <w:p>
      <w:pPr>
        <w:numPr>
          <w:ilvl w:val="0"/>
          <w:numId w:val="1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形式审查</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合同格式、签署部分应符合双方单位的基本要求：合同名称、试验项目名称的一致性；履行合同的责任方：明确甲方为申</w:t>
      </w:r>
      <w:r>
        <w:rPr>
          <w:rFonts w:hint="eastAsia" w:asciiTheme="minorEastAsia" w:hAnsiTheme="minorEastAsia" w:cstheme="minorEastAsia"/>
          <w:color w:val="auto"/>
          <w:sz w:val="24"/>
          <w:szCs w:val="24"/>
          <w:highlight w:val="none"/>
        </w:rPr>
        <w:t>办者或CR</w:t>
      </w:r>
      <w:r>
        <w:rPr>
          <w:rFonts w:hint="eastAsia" w:asciiTheme="minorEastAsia" w:hAnsiTheme="minorEastAsia" w:cstheme="minorEastAsia"/>
          <w:color w:val="auto"/>
          <w:sz w:val="24"/>
          <w:szCs w:val="24"/>
          <w:highlight w:val="none"/>
          <w:lang w:val="en-US" w:eastAsia="zh-CN"/>
        </w:rPr>
        <w:t>O</w:t>
      </w:r>
      <w:r>
        <w:rPr>
          <w:rFonts w:hint="eastAsia" w:asciiTheme="minorEastAsia" w:hAnsiTheme="minorEastAsia" w:cstheme="minorEastAsia"/>
          <w:color w:val="auto"/>
          <w:sz w:val="24"/>
          <w:szCs w:val="24"/>
          <w:highlight w:val="none"/>
        </w:rPr>
        <w:t>，乙方为</w:t>
      </w:r>
      <w:r>
        <w:rPr>
          <w:rFonts w:hint="eastAsia" w:asciiTheme="minorEastAsia" w:hAnsiTheme="minorEastAsia" w:cstheme="minorEastAsia"/>
          <w:color w:val="auto"/>
          <w:sz w:val="24"/>
          <w:szCs w:val="24"/>
        </w:rPr>
        <w:t>×××医院。如甲方为CRO公司的，应要求CRO提供合法有效的授权委托书、以证明申办者对其的委托范畴，并与合同相一致以及提供有申办者签章的赔偿责任担保函，合同各方当事人信息的准确性，必要时需核实合同用语；避免使用非专业术语表达专业问题，造成歧义，合同盖章、公章上的公司名称与合同中书写的单位名称应一致：合同上应盖双方单位公章或合同专用章，而非财务专用章。</w:t>
      </w:r>
    </w:p>
    <w:p>
      <w:pPr>
        <w:numPr>
          <w:ilvl w:val="0"/>
          <w:numId w:val="1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内容审查</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2.1合同主体资格、履约能力；合同主体应为具备签约、履行合同权利和能力的主体，应为中国境内具有营业执照的法人单位，或为获得法人授权，在中国的分支机构。</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2.2合同条款名目：目前常用的临床试验合同条款书写方式可分为两种参照《合同法》规定按照标准条款逐一撰写的或按照甲乙双方的责、权、利分别罗列的。</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2.3合同付款签署</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2.3.1甲方在合同签订后，一定期限内支付合同总金额一定比例的费用，双方根据实际情况具体协定；</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2.3.2甲方在乙方完成一定数量的入组病例数时支付相应部分的金额费用，双方根据具体情况协定；</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2.3.3甲方在试验结束后，拿走归甲方所有的CRF表联后一段时限内，按实际发生例数付清合同尾款，总结报告签字盖章前需完成全部资料交接；</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2.3.4实际发生费用：比如筛选失败的病例，脱落病例，剔除病例的费用的支付应在合同中详细说明；</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2.3.5若临床试验期间，因方案修改导致研究经费发生变动，由双方重新协商解决签署补充合同；</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2.4违约责任，约定违约情形，违约责任，违约所产生的损失范围及补偿。</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2.5管辖约定</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通常合同中会明确一旦发生履行合同方面的纠纷交付有管辖权的法院，合法的仲裁机构进行处理，作为研究机构在与甲方充分协商下，建议将合同的纠纷处理机构约定为事件发生地，即研究机构所在地。</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2.6知识产权，保密条款</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试验进行期间，知识产权完全归属甲方，但在合同履行完后，乙方可在征得甲方书面同意后，对研究结果进行发布，发表相关论文结果等。</w:t>
      </w:r>
    </w:p>
    <w:p>
      <w:pPr>
        <w:numPr>
          <w:ilvl w:val="0"/>
          <w:numId w:val="1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合同中的重要条款</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3.1受试者权益</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3.1.1如发生与试验相关的损害或死亡时，由申办者承担相应责任，诊治费用和经济补偿。但由与试验无关的医疗事故所致者除外。</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3.1.2未经受试者书面同意，受试者的个人信息/标本等不能擅自用于商业宣传和商业开发及探索性研究。</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3.2甲方（申办者）责任</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3.2.1提供试验相关的文件、药物/医疗器械、设备、耗材及研究经费等；对试验用药物/医疗器械进行适当的包装与标签，并符合临床试验的设计需要。</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3.2.2派遣合格的，并为研究者所接受的监查员，对试验的质量进行监查；确保所有试验资料符合上报要求，并及时向乙方告知可能影响受试者健康或安全的严重或持续违背方案事件。监查频率应和入组进度相适应。</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3.2.3承担为乙方医疗机构及乙方研究者和受试者因试验导致的人身损害提供法律上与经济上的担保和赔偿责任。</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3.2.4派出的监查员以及其他任何人员，在监查、随访、数据审核等一切活动中不得参与原始数据的篡改、修改、修饰等，如有违反，甲方将承担所有的相关法律责任。</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3.2.5可组织独立的稽查以保证试验质量。</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3.2.6及时向PI告知试验中存在的问题，以便乙方采取相关措施改进/保护受试者。</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3.2.7中止/终止临床试验前，须书面通知研究者和伦理委员会，并述明理由。</w:t>
      </w:r>
    </w:p>
    <w:p>
      <w:pPr>
        <w:spacing w:line="360" w:lineRule="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3.2.8向伦理委员会和临床试验机构递交最终的临床试验分中心小结或总结报告。</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3.3甲方（CRO）职责</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3.3.1提供申办者委托该公司承担临床试验相关业务的《委托函》，明确说明CRO受申办者委托承担的责任与义务范畴，以及CRO不承担的责任与义务范畴。</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3.3.2应明确临床试验相关损害赔偿等责任承担方，如CRO不承担该责任，应要求出具有责任承担方签章的，承担该责任的证明文件。</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3.4乙方（研究机构/研究者）职责</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3.4.1研究者必须详细阅读和了解试验方案的内容，并严格按照方案执行。</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3.4.2保证将数据真实、准确、完整、及时、合法地载入病历和病例报告表。</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3.4.3由具备相关资质的研究者做出与临床试验相关的医疗决定，保护受试者在试验期间出现不良事件时得到适当的治疗，研究者有义务采取必要的措施以保障受试者的安全，并记录在案，并按指定程序上报严重不良事件（SAE）。</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3.4.4接受申办者派遣的监查员或稽查员的监查和稽查及药品监督管理部门的检查和视察，确保临床试验的质量。</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3.4.5如果研究者违反方案，不听从指示或存在数据质量问题，甲方有权取消该分中心的资格，甚至可以要求退还未使用的经费，但医疗机构不承担责任和赔偿。</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3.5保密双方可接触试验相关资料的人员应对对方的受试者信息/医疗信息/商业机密等有保密责任。监查员以及与甲方有关的一切人员在监查、随访、数据审核等一切活动中，如有意或无意泄露受试者信息，造成受试者权益受损或受试者追诉相关责任和赔偿时，甲方应承担所有相关法律责任。</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3.6争议解决</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凡因执行本合同所发生的一切争议应通过友好协商的途径解决，当协商不能解决时可约定其它解决途径，如诉讼或仲裁。诉讼/仲裁地点应选择研究所在地。</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3.7生物样本</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生物样本只允许在各医疗机构实验室，该试验组长单位实验室或具有相关资质的中心实验室进行生物样本的检测，并经临床试验机构和伦理委员会批准后方可实施。甲方或其代理人不得将其擅自运输到境外检测。国际多中心临床试验涉及到标本外</w:t>
      </w:r>
      <w:r>
        <w:rPr>
          <w:rFonts w:hint="eastAsia" w:asciiTheme="minorEastAsia" w:hAnsiTheme="minorEastAsia" w:cstheme="minorEastAsia"/>
          <w:color w:val="auto"/>
          <w:sz w:val="24"/>
          <w:szCs w:val="24"/>
          <w:lang w:val="en-US" w:eastAsia="zh-CN"/>
        </w:rPr>
        <w:t>运</w:t>
      </w:r>
      <w:r>
        <w:rPr>
          <w:rFonts w:hint="eastAsia" w:asciiTheme="minorEastAsia" w:hAnsiTheme="minorEastAsia" w:cstheme="minorEastAsia"/>
          <w:color w:val="auto"/>
          <w:sz w:val="24"/>
          <w:szCs w:val="24"/>
        </w:rPr>
        <w:t>还需获得中国人类遗传资源管理办公室的批件。</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3.8保险的约定与披露</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甲方若按照相关规定就其责任投保了一份临床试验责任险，应向乙方提供该保险单和</w:t>
      </w:r>
      <w:r>
        <w:rPr>
          <w:rFonts w:hint="eastAsia" w:asciiTheme="minorEastAsia" w:hAnsiTheme="minorEastAsia" w:cstheme="minorEastAsia"/>
          <w:color w:val="auto"/>
          <w:sz w:val="24"/>
          <w:szCs w:val="24"/>
          <w:lang w:val="en-US" w:eastAsia="zh-CN"/>
        </w:rPr>
        <w:t>保</w:t>
      </w:r>
      <w:r>
        <w:rPr>
          <w:rFonts w:hint="eastAsia" w:asciiTheme="minorEastAsia" w:hAnsiTheme="minorEastAsia" w:cstheme="minorEastAsia"/>
          <w:color w:val="auto"/>
          <w:sz w:val="24"/>
          <w:szCs w:val="24"/>
        </w:rPr>
        <w:t>险合同副本或有效证明文件。</w:t>
      </w:r>
    </w:p>
    <w:p>
      <w:pPr>
        <w:numPr>
          <w:ilvl w:val="0"/>
          <w:numId w:val="16"/>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经费类型（具体参阅《临床试验经费管理规定》）</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（四）合同的签署</w:t>
      </w:r>
    </w:p>
    <w:p>
      <w:pPr>
        <w:numPr>
          <w:ilvl w:val="0"/>
          <w:numId w:val="17"/>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在开展药物/器械临床试验前，必须签署药物/器械临床试验合同。</w:t>
      </w:r>
    </w:p>
    <w:p>
      <w:pPr>
        <w:numPr>
          <w:ilvl w:val="0"/>
          <w:numId w:val="17"/>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甲方签署：法人或法定委托人签名，盖单位公章；</w:t>
      </w:r>
    </w:p>
    <w:p>
      <w:pPr>
        <w:spacing w:line="360" w:lineRule="auto"/>
        <w:ind w:firstLine="240" w:firstLineChars="1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rPr>
        <w:t>乙方签</w:t>
      </w:r>
      <w:r>
        <w:rPr>
          <w:rFonts w:hint="eastAsia" w:asciiTheme="minorEastAsia" w:hAnsiTheme="minorEastAsia" w:cstheme="minorEastAsia"/>
          <w:color w:val="auto"/>
          <w:sz w:val="24"/>
          <w:szCs w:val="24"/>
          <w:highlight w:val="none"/>
        </w:rPr>
        <w:t>署：先由PI确认签名，再交临床试验机构主任签名，加盖医院公章。</w:t>
      </w:r>
    </w:p>
    <w:p>
      <w:pPr>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（五）合同的保存</w:t>
      </w:r>
    </w:p>
    <w:p>
      <w:pPr>
        <w:numPr>
          <w:ilvl w:val="0"/>
          <w:numId w:val="18"/>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highlight w:val="none"/>
        </w:rPr>
        <w:t>合同至少一式三份，三</w:t>
      </w:r>
      <w:r>
        <w:rPr>
          <w:rFonts w:hint="eastAsia" w:asciiTheme="minorEastAsia" w:hAnsiTheme="minorEastAsia" w:cstheme="minorEastAsia"/>
          <w:color w:val="auto"/>
          <w:sz w:val="24"/>
          <w:szCs w:val="24"/>
        </w:rPr>
        <w:t>份合同均需签章可具有同等效力。合同签署后，一份交申办者/CRO保存，一份交研究者存研究档案，一份交机构办公室存档。</w:t>
      </w:r>
    </w:p>
    <w:p>
      <w:pPr>
        <w:numPr>
          <w:ilvl w:val="0"/>
          <w:numId w:val="18"/>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合同签署后，应妥善保管，注意防火、防盗、防潮、防虫。</w:t>
      </w:r>
    </w:p>
    <w:p>
      <w:pPr>
        <w:numPr>
          <w:ilvl w:val="0"/>
          <w:numId w:val="18"/>
        </w:num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合同原件一般不提供外借，如确认需要，可提供复印件参阅。</w:t>
      </w:r>
    </w:p>
    <w:p>
      <w:pPr>
        <w:spacing w:line="360" w:lineRule="auto"/>
        <w:jc w:val="left"/>
        <w:rPr>
          <w:rFonts w:asciiTheme="minorEastAsia" w:hAnsiTheme="minorEastAsia" w:cstheme="minorEastAsia"/>
          <w:color w:val="auto"/>
          <w:sz w:val="24"/>
          <w:szCs w:val="24"/>
        </w:rPr>
      </w:pPr>
    </w:p>
    <w:p>
      <w:pPr>
        <w:spacing w:line="360" w:lineRule="auto"/>
        <w:jc w:val="left"/>
        <w:rPr>
          <w:rFonts w:asciiTheme="minorEastAsia" w:hAnsiTheme="minorEastAsia" w:cstheme="minorEastAsia"/>
          <w:color w:val="auto"/>
          <w:sz w:val="24"/>
          <w:szCs w:val="24"/>
        </w:rPr>
      </w:pPr>
    </w:p>
    <w:p>
      <w:pPr>
        <w:spacing w:line="360" w:lineRule="auto"/>
        <w:rPr>
          <w:rFonts w:asciiTheme="minorEastAsia" w:hAnsiTheme="minorEastAsia" w:cstheme="minorEastAsia"/>
          <w:b/>
          <w:bCs/>
          <w:color w:val="auto"/>
          <w:sz w:val="24"/>
          <w:szCs w:val="24"/>
        </w:rPr>
      </w:pPr>
    </w:p>
    <w:p>
      <w:pPr>
        <w:spacing w:line="360" w:lineRule="auto"/>
        <w:rPr>
          <w:rFonts w:asciiTheme="minorEastAsia" w:hAnsiTheme="minorEastAsia" w:cstheme="minorEastAsia"/>
          <w:b/>
          <w:bCs/>
          <w:color w:val="auto"/>
          <w:sz w:val="24"/>
          <w:szCs w:val="24"/>
        </w:rPr>
      </w:pPr>
    </w:p>
    <w:p>
      <w:pPr>
        <w:spacing w:line="360" w:lineRule="auto"/>
        <w:rPr>
          <w:rFonts w:asciiTheme="minorEastAsia" w:hAnsiTheme="minorEastAsia" w:cstheme="minorEastAsia"/>
          <w:b/>
          <w:bCs/>
          <w:color w:val="auto"/>
          <w:sz w:val="24"/>
          <w:szCs w:val="24"/>
        </w:rPr>
      </w:pPr>
    </w:p>
    <w:p>
      <w:pPr>
        <w:spacing w:line="360" w:lineRule="auto"/>
        <w:rPr>
          <w:rFonts w:asciiTheme="minorEastAsia" w:hAnsiTheme="minorEastAsia" w:cstheme="minorEastAsia"/>
          <w:b/>
          <w:bCs/>
          <w:color w:val="auto"/>
          <w:sz w:val="24"/>
          <w:szCs w:val="24"/>
        </w:rPr>
      </w:pPr>
    </w:p>
    <w:p>
      <w:pPr>
        <w:spacing w:line="360" w:lineRule="auto"/>
        <w:rPr>
          <w:rFonts w:asciiTheme="minorEastAsia" w:hAnsiTheme="minorEastAsia" w:cstheme="minorEastAsia"/>
          <w:b/>
          <w:bCs/>
          <w:color w:val="auto"/>
          <w:sz w:val="24"/>
          <w:szCs w:val="24"/>
        </w:rPr>
      </w:pPr>
    </w:p>
    <w:p>
      <w:pPr>
        <w:spacing w:line="360" w:lineRule="auto"/>
        <w:ind w:firstLine="2891" w:firstLineChars="1200"/>
        <w:rPr>
          <w:rFonts w:asciiTheme="minorEastAsia" w:hAnsiTheme="minorEastAsia"/>
          <w:b/>
          <w:color w:val="auto"/>
          <w:sz w:val="24"/>
          <w:szCs w:val="24"/>
        </w:rPr>
      </w:pPr>
    </w:p>
    <w:p>
      <w:pPr>
        <w:spacing w:line="360" w:lineRule="auto"/>
        <w:ind w:firstLine="2891" w:firstLineChars="1200"/>
        <w:rPr>
          <w:rFonts w:asciiTheme="minorEastAsia" w:hAnsiTheme="minorEastAsia"/>
          <w:b/>
          <w:color w:val="auto"/>
          <w:sz w:val="24"/>
          <w:szCs w:val="24"/>
        </w:rPr>
      </w:pPr>
    </w:p>
    <w:p>
      <w:pPr>
        <w:spacing w:line="360" w:lineRule="auto"/>
        <w:ind w:firstLine="2891" w:firstLineChars="1200"/>
        <w:rPr>
          <w:rFonts w:asciiTheme="minorEastAsia" w:hAnsiTheme="minorEastAsia"/>
          <w:b/>
          <w:color w:val="auto"/>
          <w:sz w:val="24"/>
          <w:szCs w:val="24"/>
        </w:rPr>
      </w:pPr>
    </w:p>
    <w:p>
      <w:pPr>
        <w:spacing w:line="360" w:lineRule="auto"/>
        <w:ind w:firstLine="2891" w:firstLineChars="1200"/>
        <w:rPr>
          <w:rFonts w:asciiTheme="minorEastAsia" w:hAnsiTheme="minorEastAsia"/>
          <w:b/>
          <w:color w:val="auto"/>
          <w:sz w:val="24"/>
          <w:szCs w:val="24"/>
        </w:rPr>
      </w:pPr>
    </w:p>
    <w:p>
      <w:pPr>
        <w:spacing w:line="360" w:lineRule="auto"/>
        <w:ind w:firstLine="2891" w:firstLineChars="1200"/>
        <w:rPr>
          <w:rFonts w:asciiTheme="minorEastAsia" w:hAnsiTheme="minorEastAsia"/>
          <w:b/>
          <w:color w:val="auto"/>
          <w:sz w:val="24"/>
          <w:szCs w:val="24"/>
        </w:rPr>
      </w:pPr>
    </w:p>
    <w:p>
      <w:pPr>
        <w:spacing w:line="360" w:lineRule="auto"/>
        <w:ind w:firstLine="2891" w:firstLineChars="1200"/>
        <w:rPr>
          <w:rFonts w:asciiTheme="minorEastAsia" w:hAnsiTheme="minorEastAsia"/>
          <w:b/>
          <w:color w:val="auto"/>
          <w:sz w:val="24"/>
          <w:szCs w:val="24"/>
        </w:rPr>
      </w:pPr>
    </w:p>
    <w:p>
      <w:pPr>
        <w:spacing w:line="360" w:lineRule="auto"/>
        <w:ind w:firstLine="2891" w:firstLineChars="1200"/>
        <w:rPr>
          <w:rFonts w:asciiTheme="minorEastAsia" w:hAnsiTheme="minorEastAsia"/>
          <w:b/>
          <w:color w:val="auto"/>
          <w:sz w:val="24"/>
          <w:szCs w:val="24"/>
        </w:rPr>
      </w:pPr>
    </w:p>
    <w:p>
      <w:pPr>
        <w:spacing w:line="360" w:lineRule="auto"/>
        <w:ind w:firstLine="2891" w:firstLineChars="1200"/>
        <w:rPr>
          <w:rFonts w:asciiTheme="minorEastAsia" w:hAnsiTheme="minorEastAsia"/>
          <w:b/>
          <w:color w:val="auto"/>
          <w:sz w:val="24"/>
          <w:szCs w:val="24"/>
        </w:rPr>
      </w:pPr>
    </w:p>
    <w:p>
      <w:pPr>
        <w:spacing w:line="360" w:lineRule="auto"/>
        <w:ind w:firstLine="2891" w:firstLineChars="1200"/>
        <w:rPr>
          <w:rFonts w:asciiTheme="minorEastAsia" w:hAnsiTheme="minorEastAsia"/>
          <w:b/>
          <w:color w:val="auto"/>
          <w:sz w:val="24"/>
          <w:szCs w:val="24"/>
        </w:rPr>
      </w:pPr>
    </w:p>
    <w:p>
      <w:pPr>
        <w:spacing w:line="360" w:lineRule="auto"/>
        <w:ind w:firstLine="2891" w:firstLineChars="1200"/>
        <w:rPr>
          <w:rFonts w:asciiTheme="minorEastAsia" w:hAnsiTheme="minorEastAsia"/>
          <w:b/>
          <w:color w:val="auto"/>
          <w:sz w:val="24"/>
          <w:szCs w:val="24"/>
        </w:rPr>
      </w:pPr>
    </w:p>
    <w:p>
      <w:pPr>
        <w:spacing w:line="360" w:lineRule="auto"/>
        <w:rPr>
          <w:rFonts w:ascii="黑体" w:hAnsi="黑体" w:eastAsia="黑体" w:cs="黑体"/>
          <w:b/>
          <w:color w:val="auto"/>
          <w:sz w:val="28"/>
          <w:szCs w:val="28"/>
        </w:rPr>
      </w:pPr>
    </w:p>
    <w:p>
      <w:pPr>
        <w:spacing w:line="360" w:lineRule="auto"/>
        <w:ind w:firstLine="3373" w:firstLineChars="1200"/>
        <w:rPr>
          <w:rFonts w:ascii="黑体" w:hAnsi="黑体" w:eastAsia="黑体" w:cs="黑体"/>
          <w:b/>
          <w:color w:val="auto"/>
          <w:sz w:val="28"/>
          <w:szCs w:val="28"/>
        </w:rPr>
        <w:sectPr>
          <w:headerReference r:id="rId43" w:type="default"/>
          <w:footerReference r:id="rId44" w:type="default"/>
          <w:pgSz w:w="11906" w:h="16838"/>
          <w:pgMar w:top="1417" w:right="1191" w:bottom="1474" w:left="1474" w:header="0" w:footer="992" w:gutter="0"/>
          <w:pgNumType w:fmt="decimal" w:start="1"/>
          <w:cols w:space="0" w:num="1"/>
          <w:docGrid w:type="lines" w:linePitch="312" w:charSpace="0"/>
        </w:sectPr>
      </w:pPr>
    </w:p>
    <w:p>
      <w:pPr>
        <w:spacing w:line="360" w:lineRule="auto"/>
        <w:jc w:val="center"/>
        <w:rPr>
          <w:rFonts w:ascii="黑体" w:hAnsi="黑体" w:eastAsia="黑体" w:cs="黑体"/>
          <w:b/>
          <w:color w:val="auto"/>
          <w:sz w:val="28"/>
          <w:szCs w:val="28"/>
        </w:rPr>
      </w:pPr>
      <w:r>
        <w:rPr>
          <w:rFonts w:hint="eastAsia" w:ascii="黑体" w:hAnsi="黑体" w:eastAsia="黑体" w:cs="黑体"/>
          <w:b/>
          <w:color w:val="auto"/>
          <w:sz w:val="28"/>
          <w:szCs w:val="28"/>
        </w:rPr>
        <w:t>经费管理制度</w:t>
      </w:r>
    </w:p>
    <w:p>
      <w:pPr>
        <w:numPr>
          <w:ilvl w:val="0"/>
          <w:numId w:val="19"/>
        </w:num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目的：</w:t>
      </w:r>
    </w:p>
    <w:p>
      <w:pPr>
        <w:spacing w:line="360" w:lineRule="auto"/>
        <w:ind w:firstLine="480" w:firstLineChars="2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制定临床试验机构经费管理制度，规范药物</w:t>
      </w:r>
      <w:r>
        <w:rPr>
          <w:rFonts w:hint="eastAsia" w:asciiTheme="minorEastAsia" w:hAnsiTheme="minorEastAsia" w:cstheme="minorEastAsia"/>
          <w:color w:val="auto"/>
          <w:sz w:val="24"/>
          <w:szCs w:val="24"/>
          <w:lang w:val="en-US" w:eastAsia="zh-CN"/>
        </w:rPr>
        <w:t>/</w:t>
      </w:r>
      <w:r>
        <w:rPr>
          <w:rFonts w:hint="eastAsia" w:asciiTheme="minorEastAsia" w:hAnsiTheme="minorEastAsia" w:cstheme="minorEastAsia"/>
          <w:color w:val="auto"/>
          <w:sz w:val="24"/>
          <w:szCs w:val="24"/>
        </w:rPr>
        <w:t>医疗器械临床试验收费，保障经费合理分配和使用。</w:t>
      </w:r>
    </w:p>
    <w:p>
      <w:pPr>
        <w:numPr>
          <w:ilvl w:val="0"/>
          <w:numId w:val="19"/>
        </w:num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范围：</w:t>
      </w:r>
    </w:p>
    <w:p>
      <w:pPr>
        <w:spacing w:line="360" w:lineRule="auto"/>
        <w:ind w:firstLine="480" w:firstLineChars="2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适用于沂源县人民医院临床试验机构经费的管理。</w:t>
      </w:r>
    </w:p>
    <w:p>
      <w:pPr>
        <w:numPr>
          <w:ilvl w:val="0"/>
          <w:numId w:val="19"/>
        </w:num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制度：</w:t>
      </w:r>
    </w:p>
    <w:p>
      <w:pPr>
        <w:spacing w:line="360" w:lineRule="auto"/>
        <w:ind w:firstLine="480" w:firstLineChars="2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凡由临床试验机构立项的临床试验，经费的管理必须按照本制度执行。</w:t>
      </w:r>
    </w:p>
    <w:p>
      <w:pPr>
        <w:numPr>
          <w:ilvl w:val="0"/>
          <w:numId w:val="20"/>
        </w:numPr>
        <w:spacing w:line="360" w:lineRule="auto"/>
        <w:ind w:left="24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申办者/CRO与本机构签署临床试验协议／合同，该临床试验协议／合同应包含有关收费规定，明确临床试验劳务费、受试者检验检查费、管理费、受试者补助费用、其他费用如CRC费以及税费等相关费用。</w:t>
      </w:r>
    </w:p>
    <w:p>
      <w:pPr>
        <w:numPr>
          <w:ilvl w:val="0"/>
          <w:numId w:val="20"/>
        </w:numPr>
        <w:spacing w:line="360" w:lineRule="auto"/>
        <w:ind w:left="24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所有临床试验经费必须汇入医院的账户：</w:t>
      </w:r>
    </w:p>
    <w:p>
      <w:pPr>
        <w:spacing w:line="360" w:lineRule="auto"/>
        <w:ind w:left="239" w:leftChars="114"/>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（开户行：中国农业银行沂源支行，账号：15250101040002373），并由财务出具正式票据。</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3．各专业组不能代表医院签署协议及收取任何费用。</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4．收费标准：</w:t>
      </w:r>
    </w:p>
    <w:p>
      <w:pPr>
        <w:spacing w:line="360" w:lineRule="auto"/>
        <w:ind w:left="24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4.1 临床试验观察费：包括完成试验病例、脱落病例、剔除病例的观察费，根据国家GCP有关规定和试验的难</w:t>
      </w:r>
      <w:r>
        <w:rPr>
          <w:rFonts w:hint="eastAsia" w:asciiTheme="minorEastAsia" w:hAnsiTheme="minorEastAsia" w:cstheme="minorEastAsia"/>
          <w:color w:val="auto"/>
          <w:sz w:val="24"/>
          <w:szCs w:val="24"/>
          <w:highlight w:val="none"/>
        </w:rPr>
        <w:t>易程度及所需时间定价，一般不低于500元／次随访，电话访视不低于300元／次，特殊情况需专业组提供书面申请。</w:t>
      </w:r>
    </w:p>
    <w:p>
      <w:pPr>
        <w:spacing w:line="360" w:lineRule="auto"/>
        <w:ind w:left="24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4.2 检验费、检查费：根据GCP的规定和药物临床试验方案与申办者商定，临床试验检验、检查项目，按医院收费标准由申办者支付检验费、检查费。最终检验检查费按实际发生情况支付。</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4.3 机构管理费：收取试验总费用的30%为机构管理费用，具体标准如下：</w:t>
      </w:r>
    </w:p>
    <w:p>
      <w:pPr>
        <w:spacing w:line="360" w:lineRule="auto"/>
        <w:ind w:left="24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4.3.1 立项审核费：机构收取临床试验立项审查费2000元／项，申办者将费用交纳至医院账户，医院开具正式票据。立项审查费仅作为机构立项审查的费用，不予退还。</w:t>
      </w:r>
    </w:p>
    <w:p>
      <w:pPr>
        <w:spacing w:line="360" w:lineRule="auto"/>
        <w:ind w:left="24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4.3.2 临床试验观察费、检验检查费、受试者补助费、试验设计和总结费（任组长单位）需收取10%管理费。</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4.3.3 CRC管理费：一般按本院同级职称工资的标准作为CRC管理费。</w:t>
      </w:r>
    </w:p>
    <w:p>
      <w:pPr>
        <w:spacing w:line="360" w:lineRule="auto"/>
        <w:jc w:val="left"/>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4.3.4 药物／器材管理费：基本费用1000元／项；发放回收药物30-100元／次。</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4.3.5 质控费：100-1000元／例，具体金额视项目难易情况而定。</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4.3.6 临床试验资料保管费：试验资料保存在我院临床试验资料室，由专人保管，按1000元／柜（长：90cm宽：40cm高：46cm）收取资料保管费，每年递增10%，所有费用税费另计。</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4.4其他费用：受试者因参加临床试验而受到损害甚至发生死亡时的治疗费以及受试者补偿费，随访交通费等按规定由申办者支付。</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4.5发票税：临床试验总费用的9.0%作为发票税，如果医院财税规定有调整，则机构的税费亦作相应调整。</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5．收费程序：根据已签署的临床试验协议，申办方/CRO将费用汇至医院财务账户，财务科收到款项后按规定出具正规票据。</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6．临床试验费用的分配和管理：</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6.1专业组费用按下列比例分配：30%上交医院；70%由试验项目专业组分配。专业组观察费原则上按下列比例分配：科室管理费20%; PI项目管理费20%；研究者劳务费50%，按完成病例数分配至个人；护理研究协作费10%；根据项目特点和工作安排可以具体对分配比例作5%～10%的调整。</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6.2</w:t>
      </w:r>
      <w:r>
        <w:rPr>
          <w:rFonts w:hint="eastAsia" w:ascii="宋体" w:hAnsi="宋体" w:eastAsia="宋体" w:cs="宋体"/>
          <w:color w:val="auto"/>
          <w:sz w:val="24"/>
          <w:szCs w:val="24"/>
        </w:rPr>
        <w:t>Ⅰ</w:t>
      </w:r>
      <w:r>
        <w:rPr>
          <w:rFonts w:hint="eastAsia" w:asciiTheme="minorEastAsia" w:hAnsiTheme="minorEastAsia" w:cstheme="minorEastAsia"/>
          <w:color w:val="auto"/>
          <w:sz w:val="24"/>
          <w:szCs w:val="24"/>
        </w:rPr>
        <w:t>期研究室费用按下列比例分配：70%上交医院；30%由</w:t>
      </w:r>
      <w:r>
        <w:rPr>
          <w:rFonts w:hint="eastAsia" w:ascii="宋体" w:hAnsi="宋体" w:eastAsia="宋体" w:cs="宋体"/>
          <w:color w:val="auto"/>
          <w:sz w:val="24"/>
          <w:szCs w:val="24"/>
        </w:rPr>
        <w:t>Ⅰ</w:t>
      </w:r>
      <w:r>
        <w:rPr>
          <w:rFonts w:hint="eastAsia" w:asciiTheme="minorEastAsia" w:hAnsiTheme="minorEastAsia" w:cstheme="minorEastAsia"/>
          <w:color w:val="auto"/>
          <w:sz w:val="24"/>
          <w:szCs w:val="24"/>
        </w:rPr>
        <w:t>期研究室分配。研究室观察费原则上按下列比例分配：研究室管理费20%; PI项目管理费20%；研究者劳务费50%，护理研究协作费10%；根据项目特点和工作安排可以具体对分配比例作5%～10%的调整。</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6.3试验存在严重质量问题，则扣罚相关劳务费。</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6.4机构管理费：作为临床试验机构基金，用于机构建设和管理，支付日常开支，包括机构的学术交流、教育培训支出、办公费、会议费、机构人员的加班劳务报酬，研究科室和研究人员奖励、绩效等。</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6.5各项费用由机构（副）主任审批后进行报销，申请经费金额超过30000元必须由机构主任签字审批。</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7．所有临床试验的经费、账目接受医院审计。</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color w:val="auto"/>
          <w:shd w:val="clear" w:color="auto" w:fill="FFFFFF"/>
        </w:rPr>
      </w:pPr>
      <w:r>
        <w:rPr>
          <w:rFonts w:hint="eastAsia" w:asciiTheme="minorEastAsia" w:hAnsiTheme="minorEastAsia" w:cstheme="minorEastAsia"/>
          <w:color w:val="auto"/>
          <w:sz w:val="24"/>
          <w:szCs w:val="24"/>
        </w:rPr>
        <w:t xml:space="preserve"> </w:t>
      </w:r>
      <w:r>
        <w:rPr>
          <w:rFonts w:hint="eastAsia"/>
          <w:bCs/>
          <w:color w:val="auto"/>
          <w:sz w:val="24"/>
        </w:rPr>
        <w:t>四、参考</w:t>
      </w:r>
      <w:r>
        <w:rPr>
          <w:rFonts w:hint="eastAsia" w:asciiTheme="minorHAnsi" w:eastAsiaTheme="minorEastAsia"/>
          <w:bCs/>
          <w:color w:val="auto"/>
          <w:sz w:val="24"/>
          <w:lang w:val="en-US" w:eastAsia="zh-CN"/>
        </w:rPr>
        <w:t>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[1]国家药监局 国家卫生健康委. 关于发布药物临床试验质量管理规范的公告（2020年第57号）[EB/OL].[2020-04-26]. https://www.nmpa.gov.cn/zhuanti/ypzhcglbf/ypzhcglbfzhcwj/20200426162401243.html.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 xml:space="preserve">[2]国家药品监督管理局，国家卫生健康委员会. 关于发布《医疗器械临床试验质量管理规范》的公告（2022年第28号）.[2022-03-31]. </w:t>
      </w:r>
      <w:r>
        <w:rPr>
          <w:rFonts w:hint="eastAsia" w:asciiTheme="minorEastAsia" w:hAnsiTheme="minorEastAsia" w:eastAsiaTheme="minorEastAsia" w:cstheme="minorEastAsia"/>
          <w:color w:val="auto"/>
          <w:u w:val="none"/>
          <w:shd w:val="clear" w:color="auto" w:fill="FFFFFF"/>
        </w:rPr>
        <w:t>https://www.nmpa.gov.cn/xxgk/ggtg/qtggtg/20220331144903101.html.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lang w:val="en-US" w:eastAsia="zh-CN"/>
        </w:rPr>
      </w:pPr>
      <w:r>
        <w:rPr>
          <w:rFonts w:hint="eastAsia" w:asciiTheme="minorEastAsia" w:hAnsiTheme="minorEastAsia" w:eastAsiaTheme="minorEastAsia" w:cstheme="minorEastAsia"/>
          <w:color w:val="auto"/>
          <w:shd w:val="clear" w:color="auto" w:fill="FFFFFF"/>
        </w:rPr>
        <w:t>[</w:t>
      </w:r>
      <w:r>
        <w:rPr>
          <w:rFonts w:hint="eastAsia" w:asciiTheme="minorEastAsia" w:hAnsiTheme="minorEastAsia" w:eastAsiaTheme="minorEastAsia" w:cstheme="minorEastAsia"/>
          <w:color w:val="auto"/>
          <w:shd w:val="clear" w:color="auto" w:fill="FFFFFF"/>
          <w:lang w:val="en-US" w:eastAsia="zh-CN"/>
        </w:rPr>
        <w:t>3</w:t>
      </w:r>
      <w:r>
        <w:rPr>
          <w:rFonts w:hint="eastAsia" w:asciiTheme="minorEastAsia" w:hAnsiTheme="minorEastAsia" w:eastAsiaTheme="minorEastAsia" w:cstheme="minorEastAsia"/>
          <w:color w:val="auto"/>
          <w:shd w:val="clear" w:color="auto" w:fill="FFFFFF"/>
        </w:rPr>
        <w:t>]沂源县人民医院财务管理制度</w:t>
      </w:r>
      <w:r>
        <w:rPr>
          <w:rFonts w:hint="eastAsia" w:asciiTheme="minorEastAsia" w:hAnsiTheme="minorEastAsia" w:eastAsiaTheme="minorEastAsia" w:cstheme="minorEastAsia"/>
          <w:color w:val="auto"/>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修订记录</w:t>
      </w:r>
    </w:p>
    <w:tbl>
      <w:tblPr>
        <w:tblStyle w:val="28"/>
        <w:tblW w:w="94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906"/>
        <w:gridCol w:w="915"/>
        <w:gridCol w:w="2459"/>
        <w:gridCol w:w="2853"/>
        <w:gridCol w:w="1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highlight w:val="none"/>
              </w:rPr>
            </w:pPr>
            <w:r>
              <w:rPr>
                <w:rFonts w:hint="eastAsia" w:ascii="宋体" w:hAnsi="宋体"/>
                <w:color w:val="auto"/>
                <w:sz w:val="21"/>
                <w:szCs w:val="21"/>
                <w:highlight w:val="none"/>
                <w:lang w:val="en-US" w:eastAsia="zh-CN"/>
              </w:rPr>
              <w:t>序</w:t>
            </w:r>
            <w:r>
              <w:rPr>
                <w:rFonts w:hint="eastAsia" w:ascii="宋体" w:hAnsi="宋体"/>
                <w:color w:val="auto"/>
                <w:sz w:val="21"/>
                <w:szCs w:val="21"/>
                <w:highlight w:val="none"/>
              </w:rPr>
              <w:t>号</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kern w:val="2"/>
                <w:sz w:val="21"/>
                <w:szCs w:val="21"/>
                <w:highlight w:val="none"/>
                <w:lang w:val="en-US" w:eastAsia="zh-CN" w:bidi="ar-SA"/>
              </w:rPr>
            </w:pPr>
            <w:r>
              <w:rPr>
                <w:rFonts w:hint="eastAsia" w:ascii="宋体" w:hAnsi="宋体"/>
                <w:color w:val="auto"/>
                <w:sz w:val="21"/>
                <w:szCs w:val="21"/>
                <w:highlight w:val="none"/>
                <w:lang w:val="en-US" w:eastAsia="zh-CN"/>
              </w:rPr>
              <w:t>修订前版本号</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宋体"/>
                <w:color w:val="auto"/>
                <w:kern w:val="2"/>
                <w:sz w:val="21"/>
                <w:szCs w:val="21"/>
                <w:highlight w:val="none"/>
                <w:lang w:val="en-US" w:eastAsia="zh-CN" w:bidi="ar-SA"/>
              </w:rPr>
            </w:pPr>
            <w:r>
              <w:rPr>
                <w:rFonts w:hint="eastAsia" w:ascii="宋体" w:hAnsi="宋体"/>
                <w:color w:val="auto"/>
                <w:sz w:val="21"/>
                <w:szCs w:val="21"/>
                <w:highlight w:val="none"/>
                <w:lang w:val="en-US" w:eastAsia="zh-CN"/>
              </w:rPr>
              <w:t>修订后版本号</w:t>
            </w:r>
          </w:p>
        </w:tc>
        <w:tc>
          <w:tcPr>
            <w:tcW w:w="2459"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highlight w:val="none"/>
              </w:rPr>
            </w:pPr>
            <w:r>
              <w:rPr>
                <w:rFonts w:hint="eastAsia" w:ascii="宋体" w:hAnsi="宋体"/>
                <w:color w:val="auto"/>
                <w:sz w:val="21"/>
                <w:szCs w:val="21"/>
                <w:highlight w:val="none"/>
              </w:rPr>
              <w:t>修订原因、依据</w:t>
            </w:r>
          </w:p>
        </w:tc>
        <w:tc>
          <w:tcPr>
            <w:tcW w:w="2853"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highlight w:val="none"/>
              </w:rPr>
            </w:pPr>
            <w:r>
              <w:rPr>
                <w:rFonts w:hint="eastAsia" w:ascii="宋体" w:hAnsi="宋体"/>
                <w:color w:val="auto"/>
                <w:sz w:val="21"/>
                <w:szCs w:val="21"/>
                <w:highlight w:val="none"/>
              </w:rPr>
              <w:t>修订内容</w:t>
            </w:r>
          </w:p>
        </w:tc>
        <w:tc>
          <w:tcPr>
            <w:tcW w:w="167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Theme="minorEastAsia"/>
                <w:color w:val="auto"/>
                <w:sz w:val="21"/>
                <w:szCs w:val="21"/>
                <w:highlight w:val="none"/>
                <w:lang w:val="en-US" w:eastAsia="zh-CN"/>
              </w:rPr>
            </w:pPr>
            <w:r>
              <w:rPr>
                <w:rFonts w:hint="eastAsia" w:ascii="宋体" w:hAnsi="宋体"/>
                <w:color w:val="auto"/>
                <w:sz w:val="21"/>
                <w:szCs w:val="21"/>
                <w:highlight w:val="none"/>
                <w:lang w:val="en-US" w:eastAsia="zh-CN"/>
              </w:rPr>
              <w:t>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3.0</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3.1</w:t>
            </w:r>
          </w:p>
        </w:tc>
        <w:tc>
          <w:tcPr>
            <w:tcW w:w="24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1.为保证人员职责的严谨性，新增参考文献。</w:t>
            </w:r>
          </w:p>
        </w:tc>
        <w:tc>
          <w:tcPr>
            <w:tcW w:w="285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1.新增参考文献。</w:t>
            </w:r>
          </w:p>
        </w:tc>
        <w:tc>
          <w:tcPr>
            <w:tcW w:w="16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eastAsia" w:ascii="宋体" w:hAnsi="宋体"/>
                <w:color w:val="auto"/>
                <w:sz w:val="21"/>
                <w:szCs w:val="21"/>
                <w:highlight w:val="none"/>
                <w:lang w:val="en-US" w:eastAsia="zh-CN"/>
              </w:rPr>
            </w:pPr>
          </w:p>
        </w:tc>
      </w:tr>
    </w:tbl>
    <w:p>
      <w:pPr>
        <w:spacing w:line="360" w:lineRule="auto"/>
        <w:jc w:val="left"/>
        <w:rPr>
          <w:rFonts w:hint="eastAsia" w:asciiTheme="minorEastAsia" w:hAnsiTheme="minorEastAsia" w:cstheme="minorEastAsia"/>
          <w:color w:val="auto"/>
          <w:sz w:val="24"/>
          <w:szCs w:val="24"/>
        </w:rPr>
      </w:pPr>
    </w:p>
    <w:p>
      <w:pPr>
        <w:spacing w:line="360" w:lineRule="auto"/>
        <w:jc w:val="left"/>
        <w:rPr>
          <w:rFonts w:hint="eastAsia" w:asciiTheme="minorEastAsia" w:hAnsiTheme="minorEastAsia" w:cstheme="minorEastAsia"/>
          <w:color w:val="auto"/>
          <w:sz w:val="24"/>
          <w:szCs w:val="24"/>
        </w:rPr>
        <w:sectPr>
          <w:headerReference r:id="rId45" w:type="default"/>
          <w:footerReference r:id="rId46" w:type="default"/>
          <w:pgSz w:w="11906" w:h="16838"/>
          <w:pgMar w:top="1417" w:right="1191" w:bottom="1474" w:left="1474" w:header="0" w:footer="992" w:gutter="0"/>
          <w:pgNumType w:fmt="decimal" w:start="1"/>
          <w:cols w:space="0" w:num="1"/>
          <w:docGrid w:type="lines" w:linePitch="312" w:charSpace="0"/>
        </w:sectPr>
      </w:pPr>
    </w:p>
    <w:p>
      <w:pPr>
        <w:spacing w:line="360" w:lineRule="auto"/>
        <w:ind w:firstLine="3654" w:firstLineChars="1300"/>
        <w:rPr>
          <w:rFonts w:ascii="黑体" w:hAnsi="黑体" w:eastAsia="黑体" w:cs="黑体"/>
          <w:b/>
          <w:color w:val="auto"/>
          <w:sz w:val="28"/>
          <w:szCs w:val="28"/>
        </w:rPr>
      </w:pPr>
      <w:r>
        <w:rPr>
          <w:rFonts w:hint="eastAsia" w:ascii="黑体" w:hAnsi="黑体" w:eastAsia="黑体" w:cs="黑体"/>
          <w:b/>
          <w:color w:val="auto"/>
          <w:sz w:val="28"/>
          <w:szCs w:val="28"/>
        </w:rPr>
        <w:t>保密管理制度</w:t>
      </w:r>
    </w:p>
    <w:p>
      <w:pPr>
        <w:spacing w:line="360" w:lineRule="auto"/>
        <w:rPr>
          <w:rFonts w:asciiTheme="minorEastAsia" w:hAnsiTheme="minorEastAsia"/>
          <w:color w:val="auto"/>
          <w:sz w:val="24"/>
          <w:szCs w:val="24"/>
        </w:rPr>
      </w:pPr>
      <w:r>
        <w:rPr>
          <w:rFonts w:hint="eastAsia" w:asciiTheme="minorEastAsia" w:hAnsiTheme="minorEastAsia"/>
          <w:color w:val="auto"/>
          <w:sz w:val="24"/>
          <w:szCs w:val="24"/>
        </w:rPr>
        <w:t>一、目的</w:t>
      </w:r>
    </w:p>
    <w:p>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对本机构所有临床试验涉及的受试者信息、医院相关资料及申办方商业机密等做出保密承诺。</w:t>
      </w:r>
    </w:p>
    <w:p>
      <w:pPr>
        <w:spacing w:line="360" w:lineRule="auto"/>
        <w:rPr>
          <w:rFonts w:asciiTheme="minorEastAsia" w:hAnsiTheme="minorEastAsia"/>
          <w:color w:val="auto"/>
          <w:sz w:val="24"/>
          <w:szCs w:val="24"/>
        </w:rPr>
      </w:pPr>
      <w:r>
        <w:rPr>
          <w:rFonts w:hint="eastAsia" w:asciiTheme="minorEastAsia" w:hAnsiTheme="minorEastAsia"/>
          <w:color w:val="auto"/>
          <w:sz w:val="24"/>
          <w:szCs w:val="24"/>
        </w:rPr>
        <w:t>二、范围</w:t>
      </w:r>
    </w:p>
    <w:p>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适用于参与/涉及本机构所有临床试验的管理人员、研究人员、及来自申办方的工作人员、进行具体研究工作的第三方人员（CRC）等。</w:t>
      </w:r>
    </w:p>
    <w:p>
      <w:pPr>
        <w:spacing w:line="360" w:lineRule="auto"/>
        <w:rPr>
          <w:rFonts w:asciiTheme="minorEastAsia" w:hAnsiTheme="minorEastAsia"/>
          <w:color w:val="auto"/>
          <w:sz w:val="24"/>
          <w:szCs w:val="24"/>
        </w:rPr>
      </w:pPr>
      <w:r>
        <w:rPr>
          <w:rFonts w:hint="eastAsia" w:asciiTheme="minorEastAsia" w:hAnsiTheme="minorEastAsia"/>
          <w:color w:val="auto"/>
          <w:sz w:val="24"/>
          <w:szCs w:val="24"/>
        </w:rPr>
        <w:t>三、保密内容</w:t>
      </w:r>
    </w:p>
    <w:p>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指在本机构所有临床试验所涉及的内容：</w:t>
      </w:r>
    </w:p>
    <w:p>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1、受试者信息，如身份、病情、通信方式等。</w:t>
      </w:r>
    </w:p>
    <w:p>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2、医院相关资料，如原始病历、相关记录等。</w:t>
      </w:r>
    </w:p>
    <w:p>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 xml:space="preserve">3、医院相关工作人员需要保密的信息等。 </w:t>
      </w:r>
    </w:p>
    <w:p>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4、申办方商业机密。</w:t>
      </w:r>
    </w:p>
    <w:p>
      <w:pPr>
        <w:spacing w:line="360" w:lineRule="auto"/>
        <w:ind w:firstLine="600" w:firstLineChars="250"/>
        <w:rPr>
          <w:rFonts w:asciiTheme="minorEastAsia" w:hAnsiTheme="minorEastAsia"/>
          <w:color w:val="auto"/>
          <w:sz w:val="24"/>
          <w:szCs w:val="24"/>
        </w:rPr>
      </w:pPr>
      <w:r>
        <w:rPr>
          <w:rFonts w:hint="eastAsia" w:asciiTheme="minorEastAsia" w:hAnsiTheme="minorEastAsia"/>
          <w:color w:val="auto"/>
          <w:sz w:val="24"/>
          <w:szCs w:val="24"/>
        </w:rPr>
        <w:t>以上包括以口头或书面方式披露、交付、出示的任何技术或商业信息，不论该信息是否由文字、图形、声音、展示或其他任何形式的表达，亦不论其是否以书面或电磁记录形式储存。</w:t>
      </w:r>
    </w:p>
    <w:p>
      <w:pPr>
        <w:spacing w:line="360" w:lineRule="auto"/>
        <w:rPr>
          <w:rFonts w:asciiTheme="minorEastAsia" w:hAnsiTheme="minorEastAsia"/>
          <w:color w:val="auto"/>
          <w:sz w:val="24"/>
          <w:szCs w:val="24"/>
        </w:rPr>
      </w:pPr>
      <w:r>
        <w:rPr>
          <w:rFonts w:hint="eastAsia" w:asciiTheme="minorEastAsia" w:hAnsiTheme="minorEastAsia"/>
          <w:color w:val="auto"/>
          <w:sz w:val="24"/>
          <w:szCs w:val="24"/>
        </w:rPr>
        <w:t>四、承诺书内容</w:t>
      </w:r>
    </w:p>
    <w:p>
      <w:pPr>
        <w:spacing w:line="360" w:lineRule="auto"/>
        <w:rPr>
          <w:rFonts w:asciiTheme="minorEastAsia" w:hAnsiTheme="minorEastAsia"/>
          <w:color w:val="auto"/>
          <w:sz w:val="24"/>
          <w:szCs w:val="24"/>
        </w:rPr>
      </w:pPr>
      <w:r>
        <w:rPr>
          <w:rFonts w:hint="eastAsia" w:asciiTheme="minorEastAsia" w:hAnsiTheme="minorEastAsia"/>
          <w:color w:val="auto"/>
          <w:sz w:val="24"/>
          <w:szCs w:val="24"/>
        </w:rPr>
        <w:t>了解有关保密法规制度，知悉应当承担的保密义务和法律责任，庄重承诺:</w:t>
      </w:r>
    </w:p>
    <w:p>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1、认真遵守国家保密法规，履行保密义务。</w:t>
      </w:r>
    </w:p>
    <w:p>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2、不提供虚假个人信息，自愿接受保密审查。</w:t>
      </w:r>
    </w:p>
    <w:p>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3、不违规记录、存储、复制信息，不违规留存信息载体。</w:t>
      </w:r>
    </w:p>
    <w:p>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4、不以任何方式泄露所接触和知悉的信息。</w:t>
      </w:r>
    </w:p>
    <w:p>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5、未经单位审查批准，不擅自发表涉及未公开工作内容的文章，著述。</w:t>
      </w:r>
    </w:p>
    <w:p>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6、在进入工作之前，签订保密承诺书。</w:t>
      </w:r>
    </w:p>
    <w:p>
      <w:pPr>
        <w:spacing w:line="360" w:lineRule="auto"/>
        <w:ind w:firstLine="120" w:firstLineChars="50"/>
        <w:rPr>
          <w:rFonts w:asciiTheme="minorEastAsia" w:hAnsiTheme="minorEastAsia"/>
          <w:color w:val="auto"/>
          <w:sz w:val="24"/>
          <w:szCs w:val="24"/>
        </w:rPr>
      </w:pPr>
      <w:r>
        <w:rPr>
          <w:rFonts w:hint="eastAsia" w:asciiTheme="minorEastAsia" w:hAnsiTheme="minorEastAsia"/>
          <w:color w:val="auto"/>
          <w:sz w:val="24"/>
          <w:szCs w:val="24"/>
        </w:rPr>
        <w:t>违反上述承诺，自愿承担法律责任。</w:t>
      </w:r>
    </w:p>
    <w:p>
      <w:pPr>
        <w:spacing w:line="360" w:lineRule="auto"/>
        <w:rPr>
          <w:rFonts w:asciiTheme="minorEastAsia" w:hAnsiTheme="minorEastAsia"/>
          <w:color w:val="auto"/>
          <w:sz w:val="24"/>
          <w:szCs w:val="24"/>
        </w:rPr>
      </w:pPr>
      <w:r>
        <w:rPr>
          <w:rFonts w:hint="eastAsia" w:asciiTheme="minorEastAsia" w:hAnsiTheme="minorEastAsia"/>
          <w:color w:val="auto"/>
          <w:sz w:val="24"/>
          <w:szCs w:val="24"/>
        </w:rPr>
        <w:t>五、承诺期限</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申办方（包括非注册类）项目技术和商业秘密未被公众知悉期内。</w:t>
      </w:r>
    </w:p>
    <w:p>
      <w:pPr>
        <w:spacing w:line="360" w:lineRule="auto"/>
        <w:rPr>
          <w:rFonts w:hint="eastAsia" w:ascii="黑体" w:hAnsi="黑体" w:eastAsia="黑体"/>
          <w:bCs/>
          <w:color w:val="auto"/>
          <w:sz w:val="24"/>
          <w:szCs w:val="24"/>
        </w:rPr>
      </w:pPr>
    </w:p>
    <w:p>
      <w:pPr>
        <w:spacing w:line="360" w:lineRule="auto"/>
        <w:rPr>
          <w:rFonts w:hint="eastAsia" w:ascii="黑体" w:hAnsi="黑体" w:eastAsia="黑体"/>
          <w:bCs/>
          <w:color w:val="auto"/>
          <w:sz w:val="24"/>
          <w:szCs w:val="24"/>
        </w:rPr>
      </w:pPr>
    </w:p>
    <w:p>
      <w:pPr>
        <w:spacing w:line="360" w:lineRule="auto"/>
        <w:rPr>
          <w:rFonts w:ascii="黑体" w:hAnsi="黑体" w:eastAsia="黑体"/>
          <w:bCs/>
          <w:color w:val="auto"/>
          <w:sz w:val="24"/>
          <w:szCs w:val="24"/>
        </w:rPr>
      </w:pPr>
      <w:r>
        <w:rPr>
          <w:rFonts w:hint="eastAsia" w:ascii="黑体" w:hAnsi="黑体" w:eastAsia="黑体"/>
          <w:bCs/>
          <w:color w:val="auto"/>
          <w:sz w:val="24"/>
          <w:szCs w:val="24"/>
        </w:rPr>
        <w:t>附录   保密承诺书（样板）</w:t>
      </w:r>
    </w:p>
    <w:p>
      <w:pPr>
        <w:spacing w:line="360" w:lineRule="auto"/>
        <w:rPr>
          <w:rFonts w:asciiTheme="minorEastAsia" w:hAnsiTheme="minorEastAsia"/>
          <w:color w:val="auto"/>
          <w:sz w:val="24"/>
          <w:szCs w:val="24"/>
        </w:rPr>
      </w:pPr>
      <w:r>
        <w:rPr>
          <w:rFonts w:hint="eastAsia" w:asciiTheme="minorEastAsia" w:hAnsiTheme="minorEastAsia"/>
          <w:color w:val="auto"/>
          <w:sz w:val="24"/>
          <w:szCs w:val="24"/>
        </w:rPr>
        <w:t xml:space="preserve">    我了解本临床试验机构保密制度，知悉应当承担的保密义务和法律责任，本人庄重承诺：</w:t>
      </w:r>
    </w:p>
    <w:p>
      <w:pPr>
        <w:spacing w:line="360" w:lineRule="auto"/>
        <w:rPr>
          <w:rFonts w:asciiTheme="minorEastAsia" w:hAnsiTheme="minorEastAsia"/>
          <w:color w:val="auto"/>
          <w:sz w:val="24"/>
          <w:szCs w:val="24"/>
        </w:rPr>
      </w:pPr>
      <w:r>
        <w:rPr>
          <w:rFonts w:hint="eastAsia" w:asciiTheme="minorEastAsia" w:hAnsiTheme="minorEastAsia"/>
          <w:color w:val="auto"/>
          <w:sz w:val="24"/>
          <w:szCs w:val="24"/>
        </w:rPr>
        <w:t>一、认真遵守国家保密法规，履行保密义务；</w:t>
      </w:r>
    </w:p>
    <w:p>
      <w:pPr>
        <w:spacing w:line="360" w:lineRule="auto"/>
        <w:rPr>
          <w:rFonts w:asciiTheme="minorEastAsia" w:hAnsiTheme="minorEastAsia"/>
          <w:color w:val="auto"/>
          <w:sz w:val="24"/>
          <w:szCs w:val="24"/>
        </w:rPr>
      </w:pPr>
      <w:r>
        <w:rPr>
          <w:rFonts w:hint="eastAsia" w:asciiTheme="minorEastAsia" w:hAnsiTheme="minorEastAsia"/>
          <w:color w:val="auto"/>
          <w:sz w:val="24"/>
          <w:szCs w:val="24"/>
        </w:rPr>
        <w:t>二、不提供虚假个人信息自愿接受保密审查。</w:t>
      </w:r>
    </w:p>
    <w:p>
      <w:pPr>
        <w:spacing w:line="360" w:lineRule="auto"/>
        <w:rPr>
          <w:rFonts w:asciiTheme="minorEastAsia" w:hAnsiTheme="minorEastAsia"/>
          <w:color w:val="auto"/>
          <w:sz w:val="24"/>
          <w:szCs w:val="24"/>
        </w:rPr>
      </w:pPr>
      <w:r>
        <w:rPr>
          <w:rFonts w:hint="eastAsia" w:asciiTheme="minorEastAsia" w:hAnsiTheme="minorEastAsia"/>
          <w:color w:val="auto"/>
          <w:sz w:val="24"/>
          <w:szCs w:val="24"/>
        </w:rPr>
        <w:t>三、不违规记录、存储、复制信息，不违规留存信息载体。</w:t>
      </w:r>
    </w:p>
    <w:p>
      <w:pPr>
        <w:spacing w:line="360" w:lineRule="auto"/>
        <w:rPr>
          <w:rFonts w:asciiTheme="minorEastAsia" w:hAnsiTheme="minorEastAsia"/>
          <w:color w:val="auto"/>
          <w:sz w:val="24"/>
          <w:szCs w:val="24"/>
        </w:rPr>
      </w:pPr>
      <w:r>
        <w:rPr>
          <w:rFonts w:hint="eastAsia" w:asciiTheme="minorEastAsia" w:hAnsiTheme="minorEastAsia"/>
          <w:color w:val="auto"/>
          <w:sz w:val="24"/>
          <w:szCs w:val="24"/>
        </w:rPr>
        <w:t>四、不以任何方式泄露所接触和知悉的信息。</w:t>
      </w:r>
    </w:p>
    <w:p>
      <w:pPr>
        <w:spacing w:line="360" w:lineRule="auto"/>
        <w:rPr>
          <w:rFonts w:asciiTheme="minorEastAsia" w:hAnsiTheme="minorEastAsia"/>
          <w:color w:val="auto"/>
          <w:sz w:val="24"/>
          <w:szCs w:val="24"/>
        </w:rPr>
      </w:pPr>
      <w:r>
        <w:rPr>
          <w:rFonts w:hint="eastAsia" w:asciiTheme="minorEastAsia" w:hAnsiTheme="minorEastAsia"/>
          <w:color w:val="auto"/>
          <w:sz w:val="24"/>
          <w:szCs w:val="24"/>
        </w:rPr>
        <w:t>五、未经单位审查批准，不擅自发表涉及未公开工作内容的文章，著述。</w:t>
      </w:r>
    </w:p>
    <w:p>
      <w:pPr>
        <w:spacing w:line="360" w:lineRule="auto"/>
        <w:rPr>
          <w:rFonts w:asciiTheme="minorEastAsia" w:hAnsiTheme="minorEastAsia"/>
          <w:color w:val="auto"/>
          <w:sz w:val="24"/>
          <w:szCs w:val="24"/>
        </w:rPr>
      </w:pPr>
      <w:r>
        <w:rPr>
          <w:rFonts w:hint="eastAsia" w:asciiTheme="minorEastAsia" w:hAnsiTheme="minorEastAsia"/>
          <w:color w:val="auto"/>
          <w:sz w:val="24"/>
          <w:szCs w:val="24"/>
        </w:rPr>
        <w:t>六、签订保密承诺书。</w:t>
      </w:r>
    </w:p>
    <w:p>
      <w:pPr>
        <w:spacing w:line="360" w:lineRule="auto"/>
        <w:ind w:firstLine="480" w:firstLineChars="200"/>
        <w:rPr>
          <w:rFonts w:asciiTheme="minorEastAsia" w:hAnsiTheme="minorEastAsia"/>
          <w:color w:val="auto"/>
          <w:sz w:val="24"/>
          <w:szCs w:val="24"/>
        </w:rPr>
      </w:pPr>
      <w:r>
        <w:rPr>
          <w:rFonts w:hint="eastAsia" w:asciiTheme="minorEastAsia" w:hAnsiTheme="minorEastAsia"/>
          <w:color w:val="auto"/>
          <w:sz w:val="24"/>
          <w:szCs w:val="24"/>
        </w:rPr>
        <w:t>违反上述承诺，自愿承担法律责任。</w:t>
      </w:r>
    </w:p>
    <w:p>
      <w:pPr>
        <w:spacing w:line="360" w:lineRule="auto"/>
        <w:ind w:left="7680" w:hanging="7680" w:hangingChars="3200"/>
        <w:rPr>
          <w:rFonts w:asciiTheme="minorEastAsia" w:hAnsiTheme="minorEastAsia"/>
          <w:color w:val="auto"/>
          <w:sz w:val="24"/>
          <w:szCs w:val="24"/>
        </w:rPr>
      </w:pPr>
      <w:r>
        <w:rPr>
          <w:rFonts w:hint="eastAsia" w:asciiTheme="minorEastAsia" w:hAnsiTheme="minorEastAsia"/>
          <w:color w:val="auto"/>
          <w:sz w:val="24"/>
          <w:szCs w:val="24"/>
        </w:rPr>
        <w:t xml:space="preserve">                                                       承诺人：</w:t>
      </w:r>
    </w:p>
    <w:p>
      <w:pPr>
        <w:spacing w:line="360" w:lineRule="auto"/>
        <w:ind w:left="7663" w:leftChars="3135" w:hanging="1080" w:hangingChars="450"/>
        <w:rPr>
          <w:rFonts w:asciiTheme="minorEastAsia" w:hAnsiTheme="minorEastAsia"/>
          <w:color w:val="auto"/>
          <w:sz w:val="24"/>
          <w:szCs w:val="24"/>
        </w:rPr>
      </w:pPr>
      <w:r>
        <w:rPr>
          <w:rFonts w:hint="eastAsia" w:asciiTheme="minorEastAsia" w:hAnsiTheme="minorEastAsia"/>
          <w:color w:val="auto"/>
          <w:sz w:val="24"/>
          <w:szCs w:val="24"/>
        </w:rPr>
        <w:t>时  间：</w:t>
      </w:r>
    </w:p>
    <w:p>
      <w:pPr>
        <w:spacing w:line="360" w:lineRule="auto"/>
        <w:rPr>
          <w:rFonts w:asciiTheme="minorEastAsia" w:hAnsiTheme="minorEastAsia"/>
          <w:b/>
          <w:color w:val="auto"/>
          <w:sz w:val="24"/>
          <w:szCs w:val="24"/>
        </w:rPr>
      </w:pPr>
    </w:p>
    <w:p>
      <w:pPr>
        <w:spacing w:line="360" w:lineRule="auto"/>
        <w:rPr>
          <w:rFonts w:asciiTheme="minorEastAsia" w:hAnsiTheme="minorEastAsia"/>
          <w:b/>
          <w:color w:val="auto"/>
          <w:sz w:val="24"/>
          <w:szCs w:val="24"/>
        </w:rPr>
      </w:pPr>
    </w:p>
    <w:p>
      <w:pPr>
        <w:spacing w:line="360" w:lineRule="auto"/>
        <w:ind w:firstLine="2715" w:firstLineChars="1127"/>
        <w:rPr>
          <w:rFonts w:asciiTheme="minorEastAsia" w:hAnsiTheme="minorEastAsia"/>
          <w:b/>
          <w:color w:val="auto"/>
          <w:sz w:val="24"/>
          <w:szCs w:val="24"/>
        </w:rPr>
      </w:pPr>
    </w:p>
    <w:p>
      <w:pPr>
        <w:spacing w:line="360" w:lineRule="auto"/>
        <w:ind w:firstLine="2715" w:firstLineChars="1127"/>
        <w:rPr>
          <w:rFonts w:asciiTheme="minorEastAsia" w:hAnsiTheme="minorEastAsia"/>
          <w:b/>
          <w:color w:val="auto"/>
          <w:sz w:val="24"/>
          <w:szCs w:val="24"/>
        </w:rPr>
      </w:pPr>
    </w:p>
    <w:p>
      <w:pPr>
        <w:spacing w:line="360" w:lineRule="auto"/>
        <w:ind w:firstLine="2715" w:firstLineChars="1127"/>
        <w:rPr>
          <w:rFonts w:asciiTheme="minorEastAsia" w:hAnsiTheme="minorEastAsia"/>
          <w:b/>
          <w:color w:val="auto"/>
          <w:sz w:val="24"/>
          <w:szCs w:val="24"/>
        </w:rPr>
      </w:pPr>
    </w:p>
    <w:p>
      <w:pPr>
        <w:spacing w:line="360" w:lineRule="auto"/>
        <w:ind w:firstLine="2715" w:firstLineChars="1127"/>
        <w:rPr>
          <w:rFonts w:asciiTheme="minorEastAsia" w:hAnsiTheme="minorEastAsia"/>
          <w:b/>
          <w:color w:val="auto"/>
          <w:sz w:val="24"/>
          <w:szCs w:val="24"/>
        </w:rPr>
      </w:pPr>
    </w:p>
    <w:p>
      <w:pPr>
        <w:spacing w:line="360" w:lineRule="auto"/>
        <w:ind w:firstLine="2715" w:firstLineChars="1127"/>
        <w:rPr>
          <w:rFonts w:asciiTheme="minorEastAsia" w:hAnsiTheme="minorEastAsia"/>
          <w:b/>
          <w:color w:val="auto"/>
          <w:sz w:val="24"/>
          <w:szCs w:val="24"/>
        </w:rPr>
      </w:pPr>
    </w:p>
    <w:p>
      <w:pPr>
        <w:spacing w:line="360" w:lineRule="auto"/>
        <w:ind w:firstLine="2715" w:firstLineChars="1127"/>
        <w:rPr>
          <w:rFonts w:asciiTheme="minorEastAsia" w:hAnsiTheme="minorEastAsia"/>
          <w:b/>
          <w:color w:val="auto"/>
          <w:sz w:val="24"/>
          <w:szCs w:val="24"/>
        </w:rPr>
      </w:pPr>
    </w:p>
    <w:p>
      <w:pPr>
        <w:spacing w:line="360" w:lineRule="auto"/>
        <w:ind w:firstLine="2715" w:firstLineChars="1127"/>
        <w:rPr>
          <w:rFonts w:asciiTheme="minorEastAsia" w:hAnsiTheme="minorEastAsia"/>
          <w:b/>
          <w:color w:val="auto"/>
          <w:sz w:val="24"/>
          <w:szCs w:val="24"/>
        </w:rPr>
      </w:pPr>
    </w:p>
    <w:p>
      <w:pPr>
        <w:spacing w:line="360" w:lineRule="auto"/>
        <w:ind w:firstLine="2715" w:firstLineChars="1127"/>
        <w:rPr>
          <w:rFonts w:asciiTheme="minorEastAsia" w:hAnsiTheme="minorEastAsia"/>
          <w:b/>
          <w:color w:val="auto"/>
          <w:sz w:val="24"/>
          <w:szCs w:val="24"/>
        </w:rPr>
      </w:pPr>
    </w:p>
    <w:p>
      <w:pPr>
        <w:spacing w:line="360" w:lineRule="auto"/>
        <w:ind w:firstLine="2715" w:firstLineChars="1127"/>
        <w:rPr>
          <w:rFonts w:asciiTheme="minorEastAsia" w:hAnsiTheme="minorEastAsia"/>
          <w:b/>
          <w:color w:val="auto"/>
          <w:sz w:val="24"/>
          <w:szCs w:val="24"/>
        </w:rPr>
      </w:pPr>
    </w:p>
    <w:p>
      <w:pPr>
        <w:spacing w:line="360" w:lineRule="auto"/>
        <w:ind w:firstLine="2715" w:firstLineChars="1127"/>
        <w:rPr>
          <w:rFonts w:asciiTheme="minorEastAsia" w:hAnsiTheme="minorEastAsia"/>
          <w:b/>
          <w:color w:val="auto"/>
          <w:sz w:val="24"/>
          <w:szCs w:val="24"/>
        </w:rPr>
      </w:pPr>
    </w:p>
    <w:p>
      <w:pPr>
        <w:spacing w:line="360" w:lineRule="auto"/>
        <w:ind w:firstLine="2715" w:firstLineChars="1127"/>
        <w:rPr>
          <w:rFonts w:asciiTheme="minorEastAsia" w:hAnsiTheme="minorEastAsia"/>
          <w:b/>
          <w:color w:val="auto"/>
          <w:sz w:val="24"/>
          <w:szCs w:val="24"/>
        </w:rPr>
      </w:pPr>
    </w:p>
    <w:p>
      <w:pPr>
        <w:spacing w:line="360" w:lineRule="auto"/>
        <w:ind w:firstLine="2715" w:firstLineChars="1127"/>
        <w:rPr>
          <w:rFonts w:asciiTheme="minorEastAsia" w:hAnsiTheme="minorEastAsia"/>
          <w:b/>
          <w:color w:val="auto"/>
          <w:sz w:val="24"/>
          <w:szCs w:val="24"/>
        </w:rPr>
      </w:pPr>
    </w:p>
    <w:p>
      <w:pPr>
        <w:spacing w:line="360" w:lineRule="auto"/>
        <w:ind w:firstLine="2715" w:firstLineChars="1127"/>
        <w:rPr>
          <w:rFonts w:asciiTheme="minorEastAsia" w:hAnsiTheme="minorEastAsia"/>
          <w:b/>
          <w:color w:val="auto"/>
          <w:sz w:val="24"/>
          <w:szCs w:val="24"/>
        </w:rPr>
      </w:pPr>
    </w:p>
    <w:p>
      <w:pPr>
        <w:spacing w:line="360" w:lineRule="auto"/>
        <w:ind w:firstLine="2715" w:firstLineChars="1127"/>
        <w:rPr>
          <w:rFonts w:asciiTheme="minorEastAsia" w:hAnsiTheme="minorEastAsia"/>
          <w:b/>
          <w:color w:val="auto"/>
          <w:sz w:val="24"/>
          <w:szCs w:val="24"/>
        </w:rPr>
      </w:pPr>
    </w:p>
    <w:p>
      <w:pPr>
        <w:spacing w:line="360" w:lineRule="auto"/>
        <w:ind w:firstLine="2715" w:firstLineChars="1127"/>
        <w:rPr>
          <w:rFonts w:asciiTheme="minorEastAsia" w:hAnsiTheme="minorEastAsia"/>
          <w:b/>
          <w:color w:val="auto"/>
          <w:sz w:val="24"/>
          <w:szCs w:val="24"/>
        </w:rPr>
      </w:pPr>
    </w:p>
    <w:p>
      <w:pPr>
        <w:spacing w:line="360" w:lineRule="auto"/>
        <w:jc w:val="center"/>
        <w:rPr>
          <w:rFonts w:ascii="黑体" w:hAnsi="黑体" w:eastAsia="黑体" w:cs="黑体"/>
          <w:b/>
          <w:bCs/>
          <w:color w:val="auto"/>
          <w:sz w:val="28"/>
          <w:szCs w:val="28"/>
        </w:rPr>
        <w:sectPr>
          <w:headerReference r:id="rId47" w:type="default"/>
          <w:footerReference r:id="rId48" w:type="default"/>
          <w:pgSz w:w="11906" w:h="16838"/>
          <w:pgMar w:top="1417" w:right="1191" w:bottom="1474" w:left="1474" w:header="0" w:footer="992" w:gutter="0"/>
          <w:pgNumType w:fmt="decimal" w:start="1"/>
          <w:cols w:space="0" w:num="1"/>
          <w:docGrid w:type="lines" w:linePitch="312" w:charSpace="0"/>
        </w:sectPr>
      </w:pPr>
    </w:p>
    <w:p>
      <w:pPr>
        <w:spacing w:line="360" w:lineRule="auto"/>
        <w:jc w:val="center"/>
        <w:rPr>
          <w:rFonts w:ascii="宋体" w:hAnsi="宋体" w:eastAsia="宋体" w:cs="宋体"/>
          <w:color w:val="auto"/>
          <w:sz w:val="24"/>
          <w:szCs w:val="24"/>
        </w:rPr>
      </w:pPr>
      <w:r>
        <w:rPr>
          <w:rFonts w:hint="eastAsia" w:ascii="黑体" w:hAnsi="黑体" w:eastAsia="黑体" w:cs="黑体"/>
          <w:b/>
          <w:color w:val="auto"/>
          <w:sz w:val="28"/>
          <w:szCs w:val="28"/>
        </w:rPr>
        <w:t>人员培训管理制度</w:t>
      </w:r>
    </w:p>
    <w:p>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一、目的</w:t>
      </w:r>
    </w:p>
    <w:p>
      <w:pP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为保证临床试验的质量，确保机构管理人员及所有参与临床试验的研究人员接受GCP、相关法规及标准操作规程的培训。</w:t>
      </w:r>
    </w:p>
    <w:p>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二、范围</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适用于</w:t>
      </w:r>
      <w:r>
        <w:rPr>
          <w:rFonts w:hint="eastAsia" w:ascii="宋体" w:hAnsi="宋体" w:cs="宋体"/>
          <w:color w:val="auto"/>
          <w:sz w:val="24"/>
          <w:szCs w:val="24"/>
        </w:rPr>
        <w:t>所有参加药物</w:t>
      </w:r>
      <w:r>
        <w:rPr>
          <w:rFonts w:hint="eastAsia" w:ascii="宋体" w:hAnsi="宋体" w:cs="宋体"/>
          <w:color w:val="auto"/>
          <w:sz w:val="24"/>
          <w:szCs w:val="24"/>
          <w:lang w:val="en-US" w:eastAsia="zh-CN"/>
        </w:rPr>
        <w:t>/</w:t>
      </w:r>
      <w:r>
        <w:rPr>
          <w:rFonts w:hint="eastAsia" w:ascii="宋体" w:hAnsi="宋体" w:cs="宋体"/>
          <w:color w:val="auto"/>
          <w:sz w:val="24"/>
          <w:szCs w:val="24"/>
        </w:rPr>
        <w:t>医疗器械临床试验的</w:t>
      </w:r>
      <w:r>
        <w:rPr>
          <w:rFonts w:hint="eastAsia" w:ascii="宋体" w:hAnsi="宋体" w:eastAsia="宋体" w:cs="宋体"/>
          <w:color w:val="auto"/>
          <w:sz w:val="24"/>
          <w:szCs w:val="24"/>
        </w:rPr>
        <w:t>人员培训。</w:t>
      </w:r>
    </w:p>
    <w:p>
      <w:pPr>
        <w:pStyle w:val="36"/>
        <w:spacing w:line="360" w:lineRule="auto"/>
        <w:ind w:firstLine="0" w:firstLineChars="0"/>
        <w:rPr>
          <w:rFonts w:ascii="宋体" w:hAnsi="宋体"/>
          <w:color w:val="auto"/>
          <w:sz w:val="24"/>
          <w:szCs w:val="24"/>
        </w:rPr>
      </w:pPr>
      <w:r>
        <w:rPr>
          <w:rFonts w:hint="eastAsia" w:ascii="宋体" w:hAnsi="宋体"/>
          <w:color w:val="auto"/>
          <w:sz w:val="24"/>
          <w:szCs w:val="24"/>
        </w:rPr>
        <w:t>三、制度</w:t>
      </w:r>
    </w:p>
    <w:p>
      <w:pPr>
        <w:spacing w:line="360" w:lineRule="auto"/>
        <w:rPr>
          <w:rFonts w:ascii="宋体" w:hAnsi="宋体" w:eastAsia="宋体" w:cs="宋体"/>
          <w:color w:val="auto"/>
          <w:sz w:val="24"/>
          <w:szCs w:val="24"/>
        </w:rPr>
      </w:pPr>
      <w:r>
        <w:rPr>
          <w:rFonts w:hint="eastAsia" w:ascii="宋体" w:hAnsi="宋体" w:cs="宋体"/>
          <w:color w:val="auto"/>
          <w:sz w:val="24"/>
          <w:szCs w:val="24"/>
        </w:rPr>
        <w:t>（一）</w:t>
      </w:r>
      <w:r>
        <w:rPr>
          <w:rFonts w:hint="eastAsia" w:ascii="宋体" w:hAnsi="宋体" w:eastAsia="宋体" w:cs="宋体"/>
          <w:color w:val="auto"/>
          <w:sz w:val="24"/>
          <w:szCs w:val="24"/>
        </w:rPr>
        <w:t>临床试验机构管理人员、专业组负责人及主要研究者必须经过省级以上GCP培训并获得证书，每年参加省级以上的GCP培训以利于知识的更新，其他研究人员须经过院级以上GCP培训。</w:t>
      </w:r>
    </w:p>
    <w:p>
      <w:pPr>
        <w:spacing w:line="360" w:lineRule="auto"/>
        <w:rPr>
          <w:rFonts w:ascii="宋体" w:hAnsi="宋体" w:eastAsia="宋体" w:cs="宋体"/>
          <w:color w:val="auto"/>
          <w:sz w:val="24"/>
          <w:szCs w:val="24"/>
        </w:rPr>
      </w:pPr>
      <w:r>
        <w:rPr>
          <w:rFonts w:hint="eastAsia" w:ascii="宋体" w:hAnsi="宋体" w:cs="宋体"/>
          <w:color w:val="auto"/>
          <w:sz w:val="24"/>
          <w:szCs w:val="24"/>
        </w:rPr>
        <w:t>（二）</w:t>
      </w:r>
      <w:r>
        <w:rPr>
          <w:rFonts w:hint="eastAsia" w:ascii="宋体" w:hAnsi="宋体" w:eastAsia="宋体" w:cs="宋体"/>
          <w:color w:val="auto"/>
          <w:sz w:val="24"/>
          <w:szCs w:val="24"/>
        </w:rPr>
        <w:t>培训包括院外培训和院内培训。</w:t>
      </w:r>
    </w:p>
    <w:p>
      <w:pPr>
        <w:spacing w:line="360" w:lineRule="auto"/>
        <w:rPr>
          <w:rFonts w:ascii="宋体" w:hAnsi="宋体" w:eastAsia="宋体" w:cs="宋体"/>
          <w:color w:val="auto"/>
          <w:sz w:val="24"/>
          <w:szCs w:val="24"/>
        </w:rPr>
      </w:pPr>
      <w:r>
        <w:rPr>
          <w:rFonts w:hint="eastAsia" w:ascii="宋体" w:hAnsi="宋体" w:cs="宋体"/>
          <w:color w:val="auto"/>
          <w:sz w:val="24"/>
          <w:szCs w:val="24"/>
        </w:rPr>
        <w:t>1.</w:t>
      </w:r>
      <w:r>
        <w:rPr>
          <w:rFonts w:hint="eastAsia" w:ascii="宋体" w:hAnsi="宋体" w:eastAsia="宋体" w:cs="宋体"/>
          <w:color w:val="auto"/>
          <w:sz w:val="24"/>
          <w:szCs w:val="24"/>
        </w:rPr>
        <w:t>院外培训主要采取委派相关人员参加国家级、省级或相关学会等举办的学习班、到外院优秀的临床试验机构或专业经验交流和参观学习、委派相关人员到外院进修、参加省内交流沙龙等形式。</w:t>
      </w:r>
    </w:p>
    <w:p>
      <w:pPr>
        <w:pStyle w:val="24"/>
        <w:spacing w:before="0" w:beforeAutospacing="0" w:after="0" w:afterAutospacing="0" w:line="360" w:lineRule="auto"/>
        <w:rPr>
          <w:color w:val="auto"/>
        </w:rPr>
      </w:pPr>
      <w:r>
        <w:rPr>
          <w:rFonts w:hint="eastAsia"/>
          <w:color w:val="auto"/>
        </w:rPr>
        <w:t>2.院内培训形式有专题讲座、经验交流、GCP知识竞赛、启动会培训等，授课人员为外院专家，临床试验机构相关人员，专业科室人员等。每半年一次对相关的研究人员进行培训，包括：临床药理学的相关知识、医学统计学、GCP知识、赫尔辛基宣言、国家有关新药临床研究的法律法规、本院有关临床研究的各项管理制度及SOP等。</w:t>
      </w:r>
    </w:p>
    <w:p>
      <w:pPr>
        <w:pStyle w:val="24"/>
        <w:spacing w:before="0" w:beforeAutospacing="0" w:after="0" w:afterAutospacing="0" w:line="360" w:lineRule="auto"/>
        <w:rPr>
          <w:color w:val="auto"/>
        </w:rPr>
      </w:pPr>
      <w:r>
        <w:rPr>
          <w:rFonts w:hint="eastAsia"/>
          <w:color w:val="auto"/>
        </w:rPr>
        <w:t>3.每承担一项药物或医疗器械临床研究时，课题负责人必须组织全体参研人员学习GCP、SOP、临床试验方案及流程、CRF及病历填写要求与注意事项、不良事件的记录、报告与处理，破盲方法与要求等。</w:t>
      </w:r>
    </w:p>
    <w:p>
      <w:pPr>
        <w:spacing w:line="360" w:lineRule="auto"/>
        <w:rPr>
          <w:rFonts w:ascii="宋体" w:hAnsi="宋体" w:eastAsia="宋体" w:cs="宋体"/>
          <w:color w:val="auto"/>
          <w:sz w:val="24"/>
          <w:szCs w:val="24"/>
        </w:rPr>
      </w:pPr>
      <w:r>
        <w:rPr>
          <w:rFonts w:hint="eastAsia" w:ascii="宋体" w:hAnsi="宋体" w:cs="宋体"/>
          <w:color w:val="auto"/>
          <w:sz w:val="24"/>
          <w:szCs w:val="24"/>
        </w:rPr>
        <w:t>（四）</w:t>
      </w:r>
      <w:r>
        <w:rPr>
          <w:rFonts w:hint="eastAsia" w:ascii="宋体" w:hAnsi="宋体" w:eastAsia="宋体" w:cs="宋体"/>
          <w:color w:val="auto"/>
          <w:sz w:val="24"/>
          <w:szCs w:val="24"/>
        </w:rPr>
        <w:t>机构秘书每年年底负责制定下一年机构培训计划，经机构办公室主任审核后，机构办公室根据培训计划有序开展培训工作。</w:t>
      </w:r>
    </w:p>
    <w:p>
      <w:pPr>
        <w:spacing w:line="360" w:lineRule="auto"/>
        <w:rPr>
          <w:rFonts w:ascii="宋体" w:hAnsi="宋体" w:eastAsia="宋体" w:cs="宋体"/>
          <w:color w:val="auto"/>
          <w:sz w:val="24"/>
          <w:szCs w:val="24"/>
        </w:rPr>
      </w:pPr>
      <w:r>
        <w:rPr>
          <w:rFonts w:hint="eastAsia" w:ascii="宋体" w:hAnsi="宋体" w:cs="宋体"/>
          <w:color w:val="auto"/>
          <w:sz w:val="24"/>
          <w:szCs w:val="24"/>
        </w:rPr>
        <w:t>（五）</w:t>
      </w:r>
      <w:r>
        <w:rPr>
          <w:rFonts w:hint="eastAsia" w:ascii="宋体" w:hAnsi="宋体" w:eastAsia="宋体" w:cs="宋体"/>
          <w:color w:val="auto"/>
          <w:sz w:val="24"/>
          <w:szCs w:val="24"/>
        </w:rPr>
        <w:t>机构办公室不定期将院外培训通知发给各专业组，以便各专业安排相关人员及技术骨干参加培训。如需要外出培训，由培训人员提出申请，专业组负责人审批后，报临床试验机构备案，培训结束后应将培训证书（考核合格）扫描件发临床试验机构办公室存档。</w:t>
      </w:r>
    </w:p>
    <w:p>
      <w:pPr>
        <w:spacing w:line="360" w:lineRule="auto"/>
        <w:rPr>
          <w:rFonts w:hint="eastAsia" w:ascii="宋体" w:hAnsi="宋体" w:eastAsia="宋体" w:cs="宋体"/>
          <w:color w:val="auto"/>
          <w:sz w:val="24"/>
          <w:szCs w:val="24"/>
        </w:rPr>
      </w:pPr>
      <w:r>
        <w:rPr>
          <w:rFonts w:hint="eastAsia" w:ascii="宋体" w:hAnsi="宋体" w:cs="宋体"/>
          <w:color w:val="auto"/>
          <w:sz w:val="24"/>
          <w:szCs w:val="24"/>
        </w:rPr>
        <w:t>（六）</w:t>
      </w:r>
      <w:r>
        <w:rPr>
          <w:rFonts w:hint="eastAsia" w:ascii="宋体" w:hAnsi="宋体" w:eastAsia="宋体" w:cs="宋体"/>
          <w:color w:val="auto"/>
          <w:sz w:val="24"/>
          <w:szCs w:val="24"/>
        </w:rPr>
        <w:t>机构管理人员应密切关注</w:t>
      </w:r>
      <w:r>
        <w:rPr>
          <w:rFonts w:hint="eastAsia" w:ascii="宋体" w:hAnsi="宋体" w:cs="宋体"/>
          <w:color w:val="auto"/>
          <w:sz w:val="24"/>
          <w:szCs w:val="24"/>
        </w:rPr>
        <w:t>NMPA</w:t>
      </w:r>
      <w:r>
        <w:rPr>
          <w:rFonts w:hint="eastAsia" w:ascii="宋体" w:hAnsi="宋体" w:eastAsia="宋体" w:cs="宋体"/>
          <w:color w:val="auto"/>
          <w:sz w:val="24"/>
          <w:szCs w:val="24"/>
        </w:rPr>
        <w:t>、GCP相关网站发布的最新消息及政策变化，及时传达到各专业组，或根据情况不定期下科室进行交流培训。</w:t>
      </w:r>
    </w:p>
    <w:p>
      <w:pPr>
        <w:spacing w:line="360" w:lineRule="auto"/>
        <w:rPr>
          <w:rFonts w:ascii="宋体" w:hAnsi="宋体" w:eastAsia="宋体" w:cs="宋体"/>
          <w:color w:val="auto"/>
          <w:sz w:val="24"/>
          <w:szCs w:val="24"/>
        </w:rPr>
      </w:pPr>
      <w:r>
        <w:rPr>
          <w:rFonts w:hint="eastAsia" w:ascii="宋体" w:hAnsi="宋体" w:cs="宋体"/>
          <w:color w:val="auto"/>
          <w:sz w:val="24"/>
          <w:szCs w:val="24"/>
        </w:rPr>
        <w:t>（七）</w:t>
      </w:r>
      <w:r>
        <w:rPr>
          <w:rFonts w:hint="eastAsia" w:ascii="宋体" w:hAnsi="宋体" w:eastAsia="宋体" w:cs="宋体"/>
          <w:color w:val="auto"/>
          <w:sz w:val="24"/>
          <w:szCs w:val="24"/>
        </w:rPr>
        <w:t>机构办公室负责建立临床试验机构的培训档案，包括纸质版材料及电子文档，院外培训机构人员需要保留培训证书的原件，专业组人员保留培训证书的扫描件，院内培训应保留内部培训记录（培训时间、地点、主讲人、培训内容、到场人员签名），考核试卷及成绩、讲课PPT、照片等。</w:t>
      </w:r>
    </w:p>
    <w:p>
      <w:pPr>
        <w:spacing w:line="360" w:lineRule="auto"/>
        <w:rPr>
          <w:rFonts w:ascii="宋体" w:hAnsi="宋体" w:eastAsia="宋体" w:cs="宋体"/>
          <w:color w:val="auto"/>
          <w:sz w:val="24"/>
          <w:szCs w:val="24"/>
        </w:rPr>
      </w:pPr>
      <w:r>
        <w:rPr>
          <w:rFonts w:hint="eastAsia" w:ascii="宋体" w:hAnsi="宋体" w:cs="宋体"/>
          <w:color w:val="auto"/>
          <w:sz w:val="24"/>
          <w:szCs w:val="24"/>
        </w:rPr>
        <w:t>（八）</w:t>
      </w:r>
      <w:r>
        <w:rPr>
          <w:rFonts w:hint="eastAsia" w:ascii="宋体" w:hAnsi="宋体" w:eastAsia="宋体" w:cs="宋体"/>
          <w:color w:val="auto"/>
          <w:sz w:val="24"/>
          <w:szCs w:val="24"/>
        </w:rPr>
        <w:t>每次临床试验项目开始前，项目负责人应召开启动会，项目组所有成员必须参加启动会培训，机构办公室人员对项目组进行GCP培训，详见《启动会召开的标准操作规程》。</w:t>
      </w:r>
    </w:p>
    <w:p>
      <w:pPr>
        <w:spacing w:line="360" w:lineRule="auto"/>
        <w:rPr>
          <w:rFonts w:ascii="宋体" w:hAnsi="宋体" w:cs="宋体"/>
          <w:color w:val="auto"/>
          <w:sz w:val="24"/>
          <w:szCs w:val="24"/>
        </w:rPr>
      </w:pPr>
      <w:r>
        <w:rPr>
          <w:rFonts w:hint="eastAsia" w:ascii="宋体" w:hAnsi="宋体" w:cs="宋体"/>
          <w:color w:val="auto"/>
          <w:sz w:val="24"/>
          <w:szCs w:val="24"/>
        </w:rPr>
        <w:t>四、附件</w:t>
      </w:r>
    </w:p>
    <w:p>
      <w:pPr>
        <w:spacing w:line="360" w:lineRule="auto"/>
        <w:rPr>
          <w:rFonts w:ascii="宋体" w:hAnsi="宋体" w:cs="宋体"/>
          <w:color w:val="auto"/>
          <w:sz w:val="24"/>
          <w:szCs w:val="24"/>
        </w:rPr>
      </w:pPr>
      <w:r>
        <w:rPr>
          <w:rFonts w:hint="eastAsia" w:ascii="宋体" w:hAnsi="宋体" w:cs="宋体"/>
          <w:color w:val="auto"/>
          <w:sz w:val="24"/>
          <w:szCs w:val="24"/>
        </w:rPr>
        <w:t xml:space="preserve">   1.内部培训记录表；</w:t>
      </w:r>
    </w:p>
    <w:p>
      <w:pPr>
        <w:spacing w:line="360" w:lineRule="auto"/>
        <w:rPr>
          <w:rFonts w:ascii="宋体" w:hAnsi="宋体" w:cs="宋体"/>
          <w:color w:val="auto"/>
          <w:sz w:val="24"/>
          <w:szCs w:val="24"/>
        </w:rPr>
      </w:pPr>
      <w:r>
        <w:rPr>
          <w:rFonts w:hint="eastAsia" w:ascii="宋体" w:hAnsi="宋体" w:cs="宋体"/>
          <w:color w:val="auto"/>
          <w:sz w:val="24"/>
          <w:szCs w:val="24"/>
        </w:rPr>
        <w:t xml:space="preserve">   2.外出培训记录表。</w:t>
      </w:r>
    </w:p>
    <w:p>
      <w:pPr>
        <w:spacing w:line="360" w:lineRule="auto"/>
        <w:rPr>
          <w:rFonts w:ascii="宋体" w:hAnsi="宋体" w:eastAsia="宋体" w:cs="宋体"/>
          <w:color w:val="auto"/>
          <w:sz w:val="24"/>
          <w:szCs w:val="24"/>
        </w:rPr>
      </w:pPr>
    </w:p>
    <w:p>
      <w:pPr>
        <w:tabs>
          <w:tab w:val="left" w:pos="1348"/>
        </w:tabs>
        <w:jc w:val="left"/>
        <w:rPr>
          <w:rFonts w:ascii="宋体" w:hAnsi="宋体" w:eastAsia="宋体" w:cs="宋体"/>
          <w:color w:val="auto"/>
          <w:sz w:val="24"/>
          <w:szCs w:val="24"/>
        </w:rPr>
      </w:pPr>
      <w:r>
        <w:rPr>
          <w:rFonts w:hint="eastAsia" w:ascii="宋体" w:hAnsi="宋体" w:eastAsia="宋体" w:cs="宋体"/>
          <w:color w:val="auto"/>
          <w:sz w:val="24"/>
          <w:szCs w:val="24"/>
        </w:rPr>
        <w:t>附件</w:t>
      </w:r>
      <w:r>
        <w:rPr>
          <w:rFonts w:hint="eastAsia" w:ascii="宋体" w:hAnsi="宋体" w:cs="宋体"/>
          <w:color w:val="auto"/>
          <w:sz w:val="24"/>
          <w:szCs w:val="24"/>
        </w:rPr>
        <w:t>1</w:t>
      </w:r>
    </w:p>
    <w:p>
      <w:pPr>
        <w:tabs>
          <w:tab w:val="left" w:pos="1348"/>
        </w:tabs>
        <w:ind w:firstLine="3092" w:firstLineChars="1100"/>
        <w:jc w:val="left"/>
        <w:rPr>
          <w:rFonts w:cs="Times New Roman"/>
          <w:b/>
          <w:bCs/>
          <w:color w:val="auto"/>
          <w:sz w:val="28"/>
          <w:szCs w:val="28"/>
        </w:rPr>
      </w:pPr>
      <w:r>
        <w:rPr>
          <w:rFonts w:hint="eastAsia" w:cs="Times New Roman"/>
          <w:b/>
          <w:bCs/>
          <w:color w:val="auto"/>
          <w:sz w:val="28"/>
          <w:szCs w:val="28"/>
        </w:rPr>
        <w:t>内部培训记录表</w:t>
      </w:r>
    </w:p>
    <w:p>
      <w:pPr>
        <w:tabs>
          <w:tab w:val="left" w:pos="1348"/>
        </w:tabs>
        <w:jc w:val="left"/>
        <w:rPr>
          <w:rFonts w:cs="Times New Roman"/>
          <w:color w:val="auto"/>
          <w:szCs w:val="24"/>
        </w:rPr>
      </w:pP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522" w:type="dxa"/>
            <w:vAlign w:val="center"/>
          </w:tcPr>
          <w:p>
            <w:pPr>
              <w:tabs>
                <w:tab w:val="left" w:pos="1348"/>
              </w:tabs>
              <w:rPr>
                <w:rFonts w:cs="Times New Roman"/>
                <w:color w:val="auto"/>
                <w:szCs w:val="24"/>
              </w:rPr>
            </w:pPr>
            <w:r>
              <w:rPr>
                <w:rFonts w:hint="eastAsia" w:cs="Times New Roman"/>
                <w:color w:val="auto"/>
                <w:szCs w:val="24"/>
              </w:rPr>
              <w:t>培训时间：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8522" w:type="dxa"/>
            <w:vAlign w:val="center"/>
          </w:tcPr>
          <w:p>
            <w:pPr>
              <w:tabs>
                <w:tab w:val="left" w:pos="1348"/>
              </w:tabs>
              <w:rPr>
                <w:rFonts w:cs="Times New Roman"/>
                <w:color w:val="auto"/>
                <w:szCs w:val="24"/>
              </w:rPr>
            </w:pPr>
            <w:r>
              <w:rPr>
                <w:rFonts w:hint="eastAsia" w:cs="Times New Roman"/>
                <w:color w:val="auto"/>
                <w:szCs w:val="24"/>
              </w:rPr>
              <w:t>培训地点：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8522" w:type="dxa"/>
            <w:vAlign w:val="center"/>
          </w:tcPr>
          <w:p>
            <w:pPr>
              <w:tabs>
                <w:tab w:val="left" w:pos="1348"/>
              </w:tabs>
              <w:rPr>
                <w:rFonts w:cs="Times New Roman"/>
                <w:color w:val="auto"/>
                <w:szCs w:val="24"/>
              </w:rPr>
            </w:pPr>
            <w:r>
              <w:rPr>
                <w:rFonts w:hint="eastAsia" w:cs="Times New Roman"/>
                <w:color w:val="auto"/>
                <w:szCs w:val="24"/>
              </w:rPr>
              <w:t>主讲人：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8522" w:type="dxa"/>
          </w:tcPr>
          <w:p>
            <w:pPr>
              <w:tabs>
                <w:tab w:val="left" w:pos="1348"/>
              </w:tabs>
              <w:jc w:val="left"/>
              <w:rPr>
                <w:rFonts w:cs="Times New Roman"/>
                <w:color w:val="auto"/>
                <w:szCs w:val="24"/>
              </w:rPr>
            </w:pPr>
            <w:r>
              <w:rPr>
                <w:rFonts w:hint="eastAsia" w:cs="Times New Roman"/>
                <w:color w:val="auto"/>
                <w:szCs w:val="24"/>
              </w:rPr>
              <w:t>培训内容：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7" w:hRule="atLeast"/>
        </w:trPr>
        <w:tc>
          <w:tcPr>
            <w:tcW w:w="8522" w:type="dxa"/>
          </w:tcPr>
          <w:p>
            <w:pPr>
              <w:tabs>
                <w:tab w:val="left" w:pos="1348"/>
              </w:tabs>
              <w:jc w:val="left"/>
              <w:rPr>
                <w:rFonts w:cs="Times New Roman"/>
                <w:color w:val="auto"/>
                <w:szCs w:val="24"/>
              </w:rPr>
            </w:pPr>
          </w:p>
          <w:p>
            <w:pPr>
              <w:tabs>
                <w:tab w:val="left" w:pos="1348"/>
              </w:tabs>
              <w:jc w:val="left"/>
              <w:rPr>
                <w:rFonts w:cs="Times New Roman"/>
                <w:color w:val="auto"/>
                <w:szCs w:val="24"/>
              </w:rPr>
            </w:pPr>
            <w:r>
              <w:rPr>
                <w:rFonts w:hint="eastAsia" w:cs="Times New Roman"/>
                <w:color w:val="auto"/>
                <w:szCs w:val="24"/>
              </w:rPr>
              <w:t>到场人员签名：</w:t>
            </w:r>
          </w:p>
        </w:tc>
      </w:tr>
    </w:tbl>
    <w:p>
      <w:pPr>
        <w:spacing w:line="360" w:lineRule="auto"/>
        <w:rPr>
          <w:rFonts w:ascii="宋体" w:hAnsi="宋体" w:eastAsia="宋体" w:cs="宋体"/>
          <w:color w:val="auto"/>
          <w:sz w:val="24"/>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ind w:firstLine="2811" w:firstLineChars="1000"/>
        <w:jc w:val="left"/>
        <w:rPr>
          <w:rFonts w:cs="Times New Roman"/>
          <w:b/>
          <w:bCs/>
          <w:color w:val="auto"/>
          <w:sz w:val="28"/>
          <w:szCs w:val="28"/>
        </w:rPr>
      </w:pPr>
      <w:r>
        <w:rPr>
          <w:rFonts w:hint="eastAsia" w:ascii="宋体" w:hAnsi="宋体" w:cs="宋体"/>
          <w:b/>
          <w:bCs/>
          <w:color w:val="auto"/>
          <w:sz w:val="28"/>
          <w:szCs w:val="28"/>
        </w:rPr>
        <w:t>外出培训记录表</w:t>
      </w:r>
    </w:p>
    <w:p>
      <w:pPr>
        <w:tabs>
          <w:tab w:val="left" w:pos="1348"/>
        </w:tabs>
        <w:jc w:val="left"/>
        <w:rPr>
          <w:rFonts w:cs="Times New Roman"/>
          <w:color w:val="auto"/>
          <w:szCs w:val="24"/>
        </w:rPr>
      </w:pPr>
    </w:p>
    <w:p>
      <w:pPr>
        <w:tabs>
          <w:tab w:val="left" w:pos="1348"/>
        </w:tabs>
        <w:jc w:val="left"/>
        <w:rPr>
          <w:rFonts w:cs="Times New Roman"/>
          <w:color w:val="auto"/>
          <w:szCs w:val="24"/>
        </w:rPr>
      </w:pPr>
    </w:p>
    <w:p>
      <w:pPr>
        <w:ind w:firstLine="2570" w:firstLineChars="800"/>
        <w:rPr>
          <w:rFonts w:eastAsia="宋体"/>
          <w:b/>
          <w:bCs/>
          <w:color w:val="auto"/>
          <w:sz w:val="32"/>
          <w:szCs w:val="32"/>
        </w:rPr>
      </w:pPr>
    </w:p>
    <w:p>
      <w:pPr>
        <w:rPr>
          <w:rFonts w:ascii="Calibri" w:hAnsi="Calibri" w:eastAsia="宋体" w:cs="Times New Roman"/>
          <w:color w:val="auto"/>
          <w:szCs w:val="24"/>
        </w:rPr>
      </w:pPr>
    </w:p>
    <w:p>
      <w:pPr>
        <w:rPr>
          <w:rFonts w:ascii="Calibri" w:hAnsi="Calibri" w:eastAsia="宋体" w:cs="Times New Roman"/>
          <w:color w:val="auto"/>
          <w:szCs w:val="24"/>
        </w:rPr>
      </w:pPr>
    </w:p>
    <w:p>
      <w:pPr>
        <w:rPr>
          <w:rFonts w:ascii="Calibri" w:hAnsi="Calibri" w:eastAsia="宋体" w:cs="Times New Roman"/>
          <w:color w:val="auto"/>
          <w:szCs w:val="24"/>
        </w:rPr>
      </w:pPr>
    </w:p>
    <w:p>
      <w:pPr>
        <w:rPr>
          <w:rFonts w:ascii="Calibri" w:hAnsi="Calibri" w:eastAsia="宋体" w:cs="Times New Roman"/>
          <w:color w:val="auto"/>
          <w:szCs w:val="24"/>
        </w:rPr>
      </w:pPr>
    </w:p>
    <w:p>
      <w:pPr>
        <w:rPr>
          <w:rFonts w:ascii="Calibri" w:hAnsi="Calibri" w:eastAsia="宋体" w:cs="Times New Roman"/>
          <w:color w:val="auto"/>
          <w:szCs w:val="24"/>
        </w:rPr>
      </w:pPr>
    </w:p>
    <w:p>
      <w:pPr>
        <w:rPr>
          <w:rFonts w:ascii="Calibri" w:hAnsi="Calibri" w:eastAsia="宋体" w:cs="Times New Roman"/>
          <w:color w:val="auto"/>
          <w:szCs w:val="24"/>
        </w:rPr>
      </w:pPr>
    </w:p>
    <w:p>
      <w:pPr>
        <w:tabs>
          <w:tab w:val="left" w:pos="1348"/>
        </w:tabs>
        <w:jc w:val="left"/>
        <w:rPr>
          <w:rFonts w:cs="Times New Roman"/>
          <w:color w:val="auto"/>
          <w:szCs w:val="24"/>
        </w:rPr>
      </w:pPr>
      <w:r>
        <w:rPr>
          <w:rFonts w:hint="eastAsia" w:cs="Times New Roman"/>
          <w:color w:val="auto"/>
          <w:szCs w:val="24"/>
        </w:rPr>
        <w:tab/>
      </w: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tbl>
      <w:tblPr>
        <w:tblStyle w:val="28"/>
        <w:tblpPr w:leftFromText="180" w:rightFromText="180" w:vertAnchor="page" w:horzAnchor="page" w:tblpX="1447" w:tblpY="2403"/>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125"/>
        <w:gridCol w:w="1065"/>
        <w:gridCol w:w="2670"/>
        <w:gridCol w:w="1350"/>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22" w:type="dxa"/>
            <w:gridSpan w:val="6"/>
          </w:tcPr>
          <w:p>
            <w:pPr>
              <w:rPr>
                <w:rFonts w:eastAsia="宋体"/>
                <w:color w:val="auto"/>
                <w:sz w:val="24"/>
                <w:szCs w:val="24"/>
              </w:rPr>
            </w:pPr>
            <w:r>
              <w:rPr>
                <w:rFonts w:hint="eastAsia"/>
                <w:color w:val="auto"/>
                <w:sz w:val="24"/>
                <w:szCs w:val="24"/>
              </w:rPr>
              <w:t>外出培训记录：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20" w:type="dxa"/>
            <w:vAlign w:val="center"/>
          </w:tcPr>
          <w:p>
            <w:pPr>
              <w:jc w:val="center"/>
              <w:rPr>
                <w:rFonts w:eastAsia="宋体"/>
                <w:color w:val="auto"/>
              </w:rPr>
            </w:pPr>
            <w:r>
              <w:rPr>
                <w:rFonts w:hint="eastAsia"/>
                <w:color w:val="auto"/>
              </w:rPr>
              <w:t>姓名</w:t>
            </w:r>
          </w:p>
        </w:tc>
        <w:tc>
          <w:tcPr>
            <w:tcW w:w="1125" w:type="dxa"/>
            <w:vAlign w:val="center"/>
          </w:tcPr>
          <w:p>
            <w:pPr>
              <w:jc w:val="center"/>
              <w:rPr>
                <w:rFonts w:eastAsia="宋体"/>
                <w:color w:val="auto"/>
              </w:rPr>
            </w:pPr>
            <w:r>
              <w:rPr>
                <w:rFonts w:hint="eastAsia"/>
                <w:color w:val="auto"/>
              </w:rPr>
              <w:t>科室</w:t>
            </w:r>
          </w:p>
        </w:tc>
        <w:tc>
          <w:tcPr>
            <w:tcW w:w="1065" w:type="dxa"/>
            <w:vAlign w:val="center"/>
          </w:tcPr>
          <w:p>
            <w:pPr>
              <w:jc w:val="center"/>
              <w:rPr>
                <w:rFonts w:eastAsia="宋体"/>
                <w:color w:val="auto"/>
              </w:rPr>
            </w:pPr>
            <w:r>
              <w:rPr>
                <w:rFonts w:hint="eastAsia"/>
                <w:color w:val="auto"/>
              </w:rPr>
              <w:t>职称</w:t>
            </w:r>
          </w:p>
        </w:tc>
        <w:tc>
          <w:tcPr>
            <w:tcW w:w="2670" w:type="dxa"/>
            <w:vAlign w:val="center"/>
          </w:tcPr>
          <w:p>
            <w:pPr>
              <w:jc w:val="center"/>
              <w:rPr>
                <w:rFonts w:eastAsia="宋体"/>
                <w:color w:val="auto"/>
              </w:rPr>
            </w:pPr>
            <w:r>
              <w:rPr>
                <w:rFonts w:hint="eastAsia"/>
                <w:color w:val="auto"/>
              </w:rPr>
              <w:t>培训内容</w:t>
            </w:r>
          </w:p>
        </w:tc>
        <w:tc>
          <w:tcPr>
            <w:tcW w:w="1350" w:type="dxa"/>
            <w:vAlign w:val="center"/>
          </w:tcPr>
          <w:p>
            <w:pPr>
              <w:jc w:val="center"/>
              <w:rPr>
                <w:rFonts w:eastAsia="宋体"/>
                <w:color w:val="auto"/>
              </w:rPr>
            </w:pPr>
            <w:r>
              <w:rPr>
                <w:rFonts w:hint="eastAsia"/>
                <w:color w:val="auto"/>
              </w:rPr>
              <w:t>主讲人</w:t>
            </w:r>
          </w:p>
        </w:tc>
        <w:tc>
          <w:tcPr>
            <w:tcW w:w="1492" w:type="dxa"/>
            <w:vAlign w:val="center"/>
          </w:tcPr>
          <w:p>
            <w:pPr>
              <w:jc w:val="center"/>
              <w:rPr>
                <w:rFonts w:eastAsia="宋体"/>
                <w:color w:val="auto"/>
              </w:rPr>
            </w:pPr>
            <w:r>
              <w:rPr>
                <w:rFonts w:hint="eastAsia"/>
                <w:color w:val="auto"/>
              </w:rPr>
              <w:t>培训时间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0" w:type="dxa"/>
          </w:tcPr>
          <w:p>
            <w:pPr>
              <w:rPr>
                <w:color w:val="auto"/>
              </w:rPr>
            </w:pPr>
          </w:p>
        </w:tc>
        <w:tc>
          <w:tcPr>
            <w:tcW w:w="1125" w:type="dxa"/>
          </w:tcPr>
          <w:p>
            <w:pPr>
              <w:rPr>
                <w:color w:val="auto"/>
              </w:rPr>
            </w:pPr>
          </w:p>
        </w:tc>
        <w:tc>
          <w:tcPr>
            <w:tcW w:w="1065" w:type="dxa"/>
          </w:tcPr>
          <w:p>
            <w:pPr>
              <w:rPr>
                <w:color w:val="auto"/>
              </w:rPr>
            </w:pPr>
          </w:p>
        </w:tc>
        <w:tc>
          <w:tcPr>
            <w:tcW w:w="2670" w:type="dxa"/>
          </w:tcPr>
          <w:p>
            <w:pPr>
              <w:rPr>
                <w:color w:val="auto"/>
              </w:rPr>
            </w:pPr>
          </w:p>
        </w:tc>
        <w:tc>
          <w:tcPr>
            <w:tcW w:w="1350" w:type="dxa"/>
          </w:tcPr>
          <w:p>
            <w:pPr>
              <w:rPr>
                <w:color w:val="auto"/>
              </w:rPr>
            </w:pPr>
          </w:p>
        </w:tc>
        <w:tc>
          <w:tcPr>
            <w:tcW w:w="149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0" w:type="dxa"/>
          </w:tcPr>
          <w:p>
            <w:pPr>
              <w:rPr>
                <w:color w:val="auto"/>
              </w:rPr>
            </w:pPr>
          </w:p>
        </w:tc>
        <w:tc>
          <w:tcPr>
            <w:tcW w:w="1125" w:type="dxa"/>
          </w:tcPr>
          <w:p>
            <w:pPr>
              <w:rPr>
                <w:color w:val="auto"/>
              </w:rPr>
            </w:pPr>
          </w:p>
        </w:tc>
        <w:tc>
          <w:tcPr>
            <w:tcW w:w="1065" w:type="dxa"/>
          </w:tcPr>
          <w:p>
            <w:pPr>
              <w:rPr>
                <w:color w:val="auto"/>
              </w:rPr>
            </w:pPr>
          </w:p>
        </w:tc>
        <w:tc>
          <w:tcPr>
            <w:tcW w:w="2670" w:type="dxa"/>
          </w:tcPr>
          <w:p>
            <w:pPr>
              <w:rPr>
                <w:color w:val="auto"/>
              </w:rPr>
            </w:pPr>
          </w:p>
        </w:tc>
        <w:tc>
          <w:tcPr>
            <w:tcW w:w="1350" w:type="dxa"/>
          </w:tcPr>
          <w:p>
            <w:pPr>
              <w:rPr>
                <w:color w:val="auto"/>
              </w:rPr>
            </w:pPr>
          </w:p>
        </w:tc>
        <w:tc>
          <w:tcPr>
            <w:tcW w:w="149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0" w:type="dxa"/>
          </w:tcPr>
          <w:p>
            <w:pPr>
              <w:rPr>
                <w:color w:val="auto"/>
              </w:rPr>
            </w:pPr>
          </w:p>
        </w:tc>
        <w:tc>
          <w:tcPr>
            <w:tcW w:w="1125" w:type="dxa"/>
          </w:tcPr>
          <w:p>
            <w:pPr>
              <w:rPr>
                <w:color w:val="auto"/>
              </w:rPr>
            </w:pPr>
          </w:p>
        </w:tc>
        <w:tc>
          <w:tcPr>
            <w:tcW w:w="1065" w:type="dxa"/>
          </w:tcPr>
          <w:p>
            <w:pPr>
              <w:rPr>
                <w:color w:val="auto"/>
              </w:rPr>
            </w:pPr>
          </w:p>
        </w:tc>
        <w:tc>
          <w:tcPr>
            <w:tcW w:w="2670" w:type="dxa"/>
          </w:tcPr>
          <w:p>
            <w:pPr>
              <w:rPr>
                <w:color w:val="auto"/>
              </w:rPr>
            </w:pPr>
          </w:p>
        </w:tc>
        <w:tc>
          <w:tcPr>
            <w:tcW w:w="1350" w:type="dxa"/>
          </w:tcPr>
          <w:p>
            <w:pPr>
              <w:rPr>
                <w:color w:val="auto"/>
              </w:rPr>
            </w:pPr>
          </w:p>
        </w:tc>
        <w:tc>
          <w:tcPr>
            <w:tcW w:w="149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0" w:type="dxa"/>
          </w:tcPr>
          <w:p>
            <w:pPr>
              <w:rPr>
                <w:color w:val="auto"/>
              </w:rPr>
            </w:pPr>
          </w:p>
        </w:tc>
        <w:tc>
          <w:tcPr>
            <w:tcW w:w="1125" w:type="dxa"/>
          </w:tcPr>
          <w:p>
            <w:pPr>
              <w:rPr>
                <w:color w:val="auto"/>
              </w:rPr>
            </w:pPr>
          </w:p>
        </w:tc>
        <w:tc>
          <w:tcPr>
            <w:tcW w:w="1065" w:type="dxa"/>
          </w:tcPr>
          <w:p>
            <w:pPr>
              <w:rPr>
                <w:color w:val="auto"/>
              </w:rPr>
            </w:pPr>
          </w:p>
        </w:tc>
        <w:tc>
          <w:tcPr>
            <w:tcW w:w="2670" w:type="dxa"/>
          </w:tcPr>
          <w:p>
            <w:pPr>
              <w:rPr>
                <w:color w:val="auto"/>
              </w:rPr>
            </w:pPr>
          </w:p>
        </w:tc>
        <w:tc>
          <w:tcPr>
            <w:tcW w:w="1350" w:type="dxa"/>
          </w:tcPr>
          <w:p>
            <w:pPr>
              <w:rPr>
                <w:color w:val="auto"/>
              </w:rPr>
            </w:pPr>
          </w:p>
        </w:tc>
        <w:tc>
          <w:tcPr>
            <w:tcW w:w="149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0" w:type="dxa"/>
          </w:tcPr>
          <w:p>
            <w:pPr>
              <w:rPr>
                <w:color w:val="auto"/>
              </w:rPr>
            </w:pPr>
          </w:p>
        </w:tc>
        <w:tc>
          <w:tcPr>
            <w:tcW w:w="1125" w:type="dxa"/>
          </w:tcPr>
          <w:p>
            <w:pPr>
              <w:rPr>
                <w:color w:val="auto"/>
              </w:rPr>
            </w:pPr>
          </w:p>
        </w:tc>
        <w:tc>
          <w:tcPr>
            <w:tcW w:w="1065" w:type="dxa"/>
          </w:tcPr>
          <w:p>
            <w:pPr>
              <w:rPr>
                <w:color w:val="auto"/>
              </w:rPr>
            </w:pPr>
          </w:p>
        </w:tc>
        <w:tc>
          <w:tcPr>
            <w:tcW w:w="2670" w:type="dxa"/>
          </w:tcPr>
          <w:p>
            <w:pPr>
              <w:rPr>
                <w:color w:val="auto"/>
              </w:rPr>
            </w:pPr>
          </w:p>
        </w:tc>
        <w:tc>
          <w:tcPr>
            <w:tcW w:w="1350" w:type="dxa"/>
          </w:tcPr>
          <w:p>
            <w:pPr>
              <w:rPr>
                <w:color w:val="auto"/>
              </w:rPr>
            </w:pPr>
          </w:p>
        </w:tc>
        <w:tc>
          <w:tcPr>
            <w:tcW w:w="149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0" w:type="dxa"/>
          </w:tcPr>
          <w:p>
            <w:pPr>
              <w:rPr>
                <w:color w:val="auto"/>
              </w:rPr>
            </w:pPr>
          </w:p>
        </w:tc>
        <w:tc>
          <w:tcPr>
            <w:tcW w:w="1125" w:type="dxa"/>
          </w:tcPr>
          <w:p>
            <w:pPr>
              <w:rPr>
                <w:color w:val="auto"/>
              </w:rPr>
            </w:pPr>
          </w:p>
        </w:tc>
        <w:tc>
          <w:tcPr>
            <w:tcW w:w="1065" w:type="dxa"/>
          </w:tcPr>
          <w:p>
            <w:pPr>
              <w:rPr>
                <w:color w:val="auto"/>
              </w:rPr>
            </w:pPr>
          </w:p>
        </w:tc>
        <w:tc>
          <w:tcPr>
            <w:tcW w:w="2670" w:type="dxa"/>
          </w:tcPr>
          <w:p>
            <w:pPr>
              <w:rPr>
                <w:color w:val="auto"/>
              </w:rPr>
            </w:pPr>
          </w:p>
        </w:tc>
        <w:tc>
          <w:tcPr>
            <w:tcW w:w="1350" w:type="dxa"/>
          </w:tcPr>
          <w:p>
            <w:pPr>
              <w:rPr>
                <w:color w:val="auto"/>
              </w:rPr>
            </w:pPr>
          </w:p>
        </w:tc>
        <w:tc>
          <w:tcPr>
            <w:tcW w:w="149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0" w:type="dxa"/>
          </w:tcPr>
          <w:p>
            <w:pPr>
              <w:rPr>
                <w:color w:val="auto"/>
              </w:rPr>
            </w:pPr>
          </w:p>
        </w:tc>
        <w:tc>
          <w:tcPr>
            <w:tcW w:w="1125" w:type="dxa"/>
          </w:tcPr>
          <w:p>
            <w:pPr>
              <w:rPr>
                <w:color w:val="auto"/>
              </w:rPr>
            </w:pPr>
          </w:p>
        </w:tc>
        <w:tc>
          <w:tcPr>
            <w:tcW w:w="1065" w:type="dxa"/>
          </w:tcPr>
          <w:p>
            <w:pPr>
              <w:rPr>
                <w:color w:val="auto"/>
              </w:rPr>
            </w:pPr>
          </w:p>
        </w:tc>
        <w:tc>
          <w:tcPr>
            <w:tcW w:w="2670" w:type="dxa"/>
          </w:tcPr>
          <w:p>
            <w:pPr>
              <w:rPr>
                <w:color w:val="auto"/>
              </w:rPr>
            </w:pPr>
          </w:p>
        </w:tc>
        <w:tc>
          <w:tcPr>
            <w:tcW w:w="1350" w:type="dxa"/>
          </w:tcPr>
          <w:p>
            <w:pPr>
              <w:rPr>
                <w:color w:val="auto"/>
              </w:rPr>
            </w:pPr>
          </w:p>
        </w:tc>
        <w:tc>
          <w:tcPr>
            <w:tcW w:w="149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0" w:type="dxa"/>
          </w:tcPr>
          <w:p>
            <w:pPr>
              <w:rPr>
                <w:color w:val="auto"/>
              </w:rPr>
            </w:pPr>
          </w:p>
        </w:tc>
        <w:tc>
          <w:tcPr>
            <w:tcW w:w="1125" w:type="dxa"/>
          </w:tcPr>
          <w:p>
            <w:pPr>
              <w:rPr>
                <w:color w:val="auto"/>
              </w:rPr>
            </w:pPr>
          </w:p>
        </w:tc>
        <w:tc>
          <w:tcPr>
            <w:tcW w:w="1065" w:type="dxa"/>
          </w:tcPr>
          <w:p>
            <w:pPr>
              <w:rPr>
                <w:color w:val="auto"/>
              </w:rPr>
            </w:pPr>
          </w:p>
        </w:tc>
        <w:tc>
          <w:tcPr>
            <w:tcW w:w="2670" w:type="dxa"/>
          </w:tcPr>
          <w:p>
            <w:pPr>
              <w:rPr>
                <w:color w:val="auto"/>
              </w:rPr>
            </w:pPr>
          </w:p>
        </w:tc>
        <w:tc>
          <w:tcPr>
            <w:tcW w:w="1350" w:type="dxa"/>
          </w:tcPr>
          <w:p>
            <w:pPr>
              <w:rPr>
                <w:color w:val="auto"/>
              </w:rPr>
            </w:pPr>
          </w:p>
        </w:tc>
        <w:tc>
          <w:tcPr>
            <w:tcW w:w="1492" w:type="dxa"/>
          </w:tcPr>
          <w:p>
            <w:pPr>
              <w:rPr>
                <w:color w:val="auto"/>
              </w:rPr>
            </w:pPr>
          </w:p>
        </w:tc>
      </w:tr>
    </w:tbl>
    <w:p>
      <w:pPr>
        <w:tabs>
          <w:tab w:val="left" w:pos="1348"/>
        </w:tabs>
        <w:jc w:val="left"/>
        <w:rPr>
          <w:rFonts w:ascii="宋体" w:hAnsi="宋体" w:eastAsia="宋体" w:cs="宋体"/>
          <w:color w:val="auto"/>
          <w:sz w:val="24"/>
          <w:szCs w:val="24"/>
        </w:rPr>
      </w:pPr>
    </w:p>
    <w:p>
      <w:pPr>
        <w:tabs>
          <w:tab w:val="left" w:pos="1348"/>
        </w:tabs>
        <w:jc w:val="left"/>
        <w:rPr>
          <w:rFonts w:ascii="宋体" w:hAnsi="宋体" w:eastAsia="宋体" w:cs="宋体"/>
          <w:color w:val="auto"/>
          <w:sz w:val="24"/>
          <w:szCs w:val="24"/>
        </w:rPr>
      </w:pPr>
    </w:p>
    <w:p>
      <w:pPr>
        <w:tabs>
          <w:tab w:val="left" w:pos="1348"/>
        </w:tabs>
        <w:jc w:val="left"/>
        <w:rPr>
          <w:rFonts w:ascii="宋体" w:hAnsi="宋体" w:eastAsia="宋体" w:cs="宋体"/>
          <w:color w:val="auto"/>
          <w:sz w:val="24"/>
          <w:szCs w:val="24"/>
        </w:rPr>
      </w:pPr>
    </w:p>
    <w:p>
      <w:pPr>
        <w:tabs>
          <w:tab w:val="left" w:pos="1348"/>
        </w:tabs>
        <w:jc w:val="left"/>
        <w:rPr>
          <w:rFonts w:ascii="宋体" w:hAnsi="宋体" w:eastAsia="宋体" w:cs="宋体"/>
          <w:color w:val="auto"/>
          <w:sz w:val="24"/>
          <w:szCs w:val="24"/>
        </w:rPr>
      </w:pPr>
    </w:p>
    <w:p>
      <w:pPr>
        <w:tabs>
          <w:tab w:val="left" w:pos="1348"/>
        </w:tabs>
        <w:jc w:val="left"/>
        <w:rPr>
          <w:rFonts w:ascii="宋体" w:hAnsi="宋体" w:eastAsia="宋体" w:cs="宋体"/>
          <w:color w:val="auto"/>
          <w:sz w:val="24"/>
          <w:szCs w:val="24"/>
        </w:rPr>
      </w:pPr>
    </w:p>
    <w:p>
      <w:pPr>
        <w:tabs>
          <w:tab w:val="left" w:pos="1348"/>
        </w:tabs>
        <w:jc w:val="left"/>
        <w:rPr>
          <w:rFonts w:ascii="宋体" w:hAnsi="宋体" w:eastAsia="宋体" w:cs="宋体"/>
          <w:color w:val="auto"/>
          <w:sz w:val="24"/>
          <w:szCs w:val="24"/>
        </w:rPr>
      </w:pPr>
    </w:p>
    <w:p>
      <w:pPr>
        <w:tabs>
          <w:tab w:val="left" w:pos="1348"/>
        </w:tabs>
        <w:ind w:firstLine="2400" w:firstLineChars="1000"/>
        <w:jc w:val="left"/>
        <w:rPr>
          <w:rFonts w:ascii="宋体" w:hAnsi="宋体" w:cs="宋体"/>
          <w:color w:val="auto"/>
          <w:sz w:val="24"/>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cs="Times New Roman"/>
          <w:color w:val="auto"/>
          <w:szCs w:val="24"/>
        </w:rPr>
      </w:pPr>
    </w:p>
    <w:p>
      <w:pPr>
        <w:tabs>
          <w:tab w:val="left" w:pos="1348"/>
        </w:tabs>
        <w:jc w:val="left"/>
        <w:rPr>
          <w:rFonts w:ascii="宋体" w:hAnsi="宋体" w:eastAsia="宋体" w:cs="宋体"/>
          <w:color w:val="auto"/>
          <w:sz w:val="24"/>
          <w:szCs w:val="24"/>
        </w:rPr>
      </w:pPr>
    </w:p>
    <w:p>
      <w:pPr>
        <w:tabs>
          <w:tab w:val="left" w:pos="1348"/>
        </w:tabs>
        <w:jc w:val="left"/>
        <w:rPr>
          <w:rFonts w:ascii="宋体" w:hAnsi="宋体" w:eastAsia="宋体" w:cs="宋体"/>
          <w:color w:val="auto"/>
          <w:sz w:val="24"/>
          <w:szCs w:val="24"/>
        </w:rPr>
      </w:pPr>
    </w:p>
    <w:p>
      <w:pPr>
        <w:spacing w:line="360" w:lineRule="auto"/>
        <w:ind w:firstLine="3373" w:firstLineChars="1200"/>
        <w:rPr>
          <w:rFonts w:ascii="黑体" w:hAnsi="黑体" w:eastAsia="黑体" w:cs="黑体"/>
          <w:b/>
          <w:color w:val="auto"/>
          <w:sz w:val="28"/>
          <w:szCs w:val="28"/>
        </w:rPr>
        <w:sectPr>
          <w:headerReference r:id="rId49" w:type="default"/>
          <w:footerReference r:id="rId50" w:type="default"/>
          <w:pgSz w:w="11906" w:h="16838"/>
          <w:pgMar w:top="1417" w:right="1191" w:bottom="1474" w:left="1474" w:header="0" w:footer="992" w:gutter="0"/>
          <w:pgNumType w:fmt="decimal" w:start="1"/>
          <w:cols w:space="0" w:num="1"/>
          <w:docGrid w:type="lines" w:linePitch="312" w:charSpace="0"/>
        </w:sectPr>
      </w:pPr>
    </w:p>
    <w:p>
      <w:pPr>
        <w:spacing w:line="360" w:lineRule="auto"/>
        <w:ind w:firstLine="3373" w:firstLineChars="1200"/>
        <w:rPr>
          <w:rFonts w:ascii="黑体" w:hAnsi="黑体" w:eastAsia="黑体" w:cs="黑体"/>
          <w:b/>
          <w:color w:val="auto"/>
          <w:sz w:val="28"/>
          <w:szCs w:val="28"/>
        </w:rPr>
      </w:pPr>
      <w:r>
        <w:rPr>
          <w:rFonts w:hint="eastAsia" w:ascii="黑体" w:hAnsi="黑体" w:eastAsia="黑体" w:cs="黑体"/>
          <w:b/>
          <w:color w:val="auto"/>
          <w:sz w:val="28"/>
          <w:szCs w:val="28"/>
          <w:lang w:val="en-US" w:eastAsia="zh-CN"/>
        </w:rPr>
        <w:t>试验用</w:t>
      </w:r>
      <w:r>
        <w:rPr>
          <w:rFonts w:hint="eastAsia" w:ascii="黑体" w:hAnsi="黑体" w:eastAsia="黑体" w:cs="黑体"/>
          <w:b/>
          <w:color w:val="auto"/>
          <w:sz w:val="28"/>
          <w:szCs w:val="28"/>
        </w:rPr>
        <w:t>药物管理制度</w:t>
      </w:r>
    </w:p>
    <w:p>
      <w:pPr>
        <w:spacing w:line="360" w:lineRule="auto"/>
        <w:ind w:firstLine="240" w:firstLineChars="100"/>
        <w:rPr>
          <w:rFonts w:ascii="宋体" w:hAnsi="宋体" w:eastAsia="宋体" w:cs="宋体"/>
          <w:color w:val="auto"/>
          <w:sz w:val="24"/>
          <w:szCs w:val="24"/>
          <w:lang w:bidi="ar"/>
        </w:rPr>
      </w:pPr>
      <w:r>
        <w:rPr>
          <w:rFonts w:hint="eastAsia" w:ascii="宋体" w:hAnsi="宋体" w:eastAsia="宋体" w:cs="宋体"/>
          <w:color w:val="auto"/>
          <w:sz w:val="24"/>
          <w:szCs w:val="24"/>
          <w:lang w:bidi="ar"/>
        </w:rPr>
        <w:t>一、目的</w:t>
      </w:r>
    </w:p>
    <w:p>
      <w:pPr>
        <w:spacing w:line="360" w:lineRule="auto"/>
        <w:ind w:firstLine="420"/>
        <w:rPr>
          <w:rFonts w:ascii="宋体" w:hAnsi="宋体" w:eastAsia="宋体" w:cs="宋体"/>
          <w:color w:val="auto"/>
          <w:sz w:val="24"/>
          <w:szCs w:val="24"/>
        </w:rPr>
      </w:pPr>
      <w:r>
        <w:rPr>
          <w:rFonts w:hint="eastAsia" w:ascii="宋体" w:hAnsi="宋体" w:eastAsia="宋体" w:cs="宋体"/>
          <w:color w:val="auto"/>
          <w:sz w:val="24"/>
          <w:szCs w:val="24"/>
          <w:lang w:bidi="ar"/>
        </w:rPr>
        <w:t xml:space="preserve"> </w:t>
      </w:r>
      <w:r>
        <w:rPr>
          <w:rFonts w:hint="eastAsia" w:ascii="宋体" w:hAnsi="宋体" w:cs="宋体"/>
          <w:color w:val="auto"/>
          <w:sz w:val="24"/>
          <w:szCs w:val="24"/>
          <w:lang w:bidi="ar"/>
        </w:rPr>
        <w:t xml:space="preserve">  </w:t>
      </w:r>
      <w:r>
        <w:rPr>
          <w:rFonts w:hint="eastAsia" w:ascii="宋体" w:hAnsi="宋体" w:eastAsia="宋体" w:cs="宋体"/>
          <w:color w:val="auto"/>
          <w:sz w:val="24"/>
          <w:szCs w:val="24"/>
          <w:lang w:bidi="ar"/>
        </w:rPr>
        <w:t>建立临床试验机构药物管理制度，以保证临床试验药品的管理符合GCP要求。</w:t>
      </w:r>
    </w:p>
    <w:p>
      <w:pPr>
        <w:spacing w:line="360" w:lineRule="auto"/>
        <w:ind w:firstLine="240" w:firstLineChars="100"/>
        <w:rPr>
          <w:rFonts w:ascii="宋体" w:hAnsi="宋体" w:eastAsia="宋体" w:cs="宋体"/>
          <w:color w:val="auto"/>
          <w:sz w:val="24"/>
          <w:szCs w:val="24"/>
        </w:rPr>
      </w:pPr>
      <w:r>
        <w:rPr>
          <w:rFonts w:hint="eastAsia" w:ascii="宋体" w:hAnsi="宋体" w:eastAsia="宋体" w:cs="宋体"/>
          <w:color w:val="auto"/>
          <w:sz w:val="24"/>
          <w:szCs w:val="24"/>
          <w:lang w:bidi="ar"/>
        </w:rPr>
        <w:t>二、</w:t>
      </w:r>
      <w:r>
        <w:rPr>
          <w:rFonts w:hint="eastAsia" w:ascii="宋体" w:hAnsi="宋体" w:eastAsia="宋体" w:cs="宋体"/>
          <w:color w:val="auto"/>
          <w:sz w:val="24"/>
          <w:szCs w:val="24"/>
        </w:rPr>
        <w:t>范围</w:t>
      </w:r>
    </w:p>
    <w:p>
      <w:pPr>
        <w:spacing w:line="360" w:lineRule="auto"/>
        <w:ind w:firstLine="720" w:firstLineChars="300"/>
        <w:rPr>
          <w:rFonts w:ascii="宋体" w:hAnsi="宋体" w:eastAsia="宋体" w:cs="宋体"/>
          <w:color w:val="auto"/>
          <w:sz w:val="24"/>
          <w:szCs w:val="24"/>
        </w:rPr>
      </w:pPr>
      <w:r>
        <w:rPr>
          <w:rFonts w:hint="eastAsia" w:ascii="宋体" w:hAnsi="宋体" w:cs="宋体"/>
          <w:color w:val="auto"/>
          <w:sz w:val="24"/>
          <w:szCs w:val="24"/>
          <w:lang w:bidi="ar"/>
        </w:rPr>
        <w:t>适用于</w:t>
      </w:r>
      <w:r>
        <w:rPr>
          <w:rFonts w:hint="eastAsia" w:ascii="宋体" w:hAnsi="宋体" w:eastAsia="宋体" w:cs="宋体"/>
          <w:color w:val="auto"/>
          <w:sz w:val="24"/>
          <w:szCs w:val="24"/>
          <w:lang w:bidi="ar"/>
        </w:rPr>
        <w:t>本机构试验药品的管理。</w:t>
      </w:r>
    </w:p>
    <w:p>
      <w:pPr>
        <w:spacing w:line="360" w:lineRule="auto"/>
        <w:ind w:firstLine="240" w:firstLineChars="100"/>
        <w:rPr>
          <w:rFonts w:ascii="黑体" w:hAnsi="黑体" w:eastAsia="黑体" w:cs="黑体"/>
          <w:b/>
          <w:color w:val="auto"/>
          <w:sz w:val="28"/>
          <w:szCs w:val="28"/>
        </w:rPr>
      </w:pPr>
      <w:r>
        <w:rPr>
          <w:rFonts w:hint="eastAsia" w:ascii="宋体" w:hAnsi="宋体" w:eastAsia="宋体" w:cs="宋体"/>
          <w:color w:val="auto"/>
          <w:sz w:val="24"/>
          <w:szCs w:val="24"/>
        </w:rPr>
        <w:t>三、制度</w:t>
      </w:r>
    </w:p>
    <w:p>
      <w:pPr>
        <w:pStyle w:val="36"/>
        <w:numPr>
          <w:ilvl w:val="0"/>
          <w:numId w:val="21"/>
        </w:numPr>
        <w:spacing w:line="360" w:lineRule="auto"/>
        <w:ind w:firstLineChars="0"/>
        <w:rPr>
          <w:rFonts w:asciiTheme="minorEastAsia" w:hAnsiTheme="minorEastAsia"/>
          <w:color w:val="auto"/>
          <w:sz w:val="24"/>
          <w:szCs w:val="24"/>
        </w:rPr>
      </w:pPr>
      <w:r>
        <w:rPr>
          <w:rFonts w:hint="eastAsia" w:asciiTheme="minorEastAsia" w:hAnsiTheme="minorEastAsia"/>
          <w:color w:val="auto"/>
          <w:sz w:val="24"/>
          <w:szCs w:val="24"/>
        </w:rPr>
        <w:t>临床试验用药物包含注册临床试验中的试验药、对照药、和安慰剂等，由机构设立专用的临床试验药房统一集中管理。</w:t>
      </w:r>
    </w:p>
    <w:p>
      <w:pPr>
        <w:pStyle w:val="36"/>
        <w:numPr>
          <w:ilvl w:val="0"/>
          <w:numId w:val="21"/>
        </w:numPr>
        <w:spacing w:line="360" w:lineRule="auto"/>
        <w:ind w:firstLineChars="0"/>
        <w:rPr>
          <w:rFonts w:asciiTheme="minorEastAsia" w:hAnsiTheme="minorEastAsia"/>
          <w:color w:val="auto"/>
          <w:sz w:val="24"/>
          <w:szCs w:val="24"/>
        </w:rPr>
      </w:pPr>
      <w:r>
        <w:rPr>
          <w:rFonts w:hint="eastAsia" w:asciiTheme="minorEastAsia" w:hAnsiTheme="minorEastAsia"/>
          <w:color w:val="auto"/>
          <w:sz w:val="24"/>
          <w:szCs w:val="24"/>
        </w:rPr>
        <w:t>临床试验药房的设计、布局、建造和维护必须符合药物储存的要求，并配备必要的储藏设备，具有防火防盗、符合试验用药物储存的条件，确保药物的安全、完整。</w:t>
      </w:r>
    </w:p>
    <w:p>
      <w:pPr>
        <w:pStyle w:val="36"/>
        <w:numPr>
          <w:ilvl w:val="0"/>
          <w:numId w:val="21"/>
        </w:numPr>
        <w:spacing w:line="360" w:lineRule="auto"/>
        <w:ind w:firstLineChars="0"/>
        <w:rPr>
          <w:rFonts w:asciiTheme="minorEastAsia" w:hAnsiTheme="minorEastAsia"/>
          <w:color w:val="auto"/>
          <w:sz w:val="24"/>
          <w:szCs w:val="24"/>
        </w:rPr>
      </w:pPr>
      <w:r>
        <w:rPr>
          <w:rFonts w:hint="eastAsia" w:asciiTheme="minorEastAsia" w:hAnsiTheme="minorEastAsia"/>
          <w:color w:val="auto"/>
          <w:sz w:val="24"/>
          <w:szCs w:val="24"/>
        </w:rPr>
        <w:t>机构指派接受过《药物临床试验质量管理规范》培训的药师管理试验用药物，具体负责药物的接收、保管、分发、回收和销毁。</w:t>
      </w:r>
    </w:p>
    <w:p>
      <w:pPr>
        <w:pStyle w:val="36"/>
        <w:numPr>
          <w:ilvl w:val="0"/>
          <w:numId w:val="21"/>
        </w:numPr>
        <w:spacing w:line="360" w:lineRule="auto"/>
        <w:ind w:firstLineChars="0"/>
        <w:rPr>
          <w:rFonts w:asciiTheme="minorEastAsia" w:hAnsiTheme="minorEastAsia"/>
          <w:color w:val="auto"/>
          <w:sz w:val="24"/>
          <w:szCs w:val="24"/>
        </w:rPr>
      </w:pPr>
      <w:r>
        <w:rPr>
          <w:rFonts w:hint="eastAsia" w:asciiTheme="minorEastAsia" w:hAnsiTheme="minorEastAsia"/>
          <w:color w:val="auto"/>
          <w:sz w:val="24"/>
          <w:szCs w:val="24"/>
        </w:rPr>
        <w:t>药物管理员应对每个试验项目建立专门的药物管理记录，并按试验用药要求的储存条件及注意事项进行储存和保管。</w:t>
      </w:r>
    </w:p>
    <w:p>
      <w:pPr>
        <w:pStyle w:val="36"/>
        <w:numPr>
          <w:ilvl w:val="0"/>
          <w:numId w:val="21"/>
        </w:numPr>
        <w:spacing w:line="360" w:lineRule="auto"/>
        <w:ind w:firstLineChars="0"/>
        <w:rPr>
          <w:rFonts w:asciiTheme="minorEastAsia" w:hAnsiTheme="minorEastAsia"/>
          <w:color w:val="auto"/>
          <w:sz w:val="24"/>
          <w:szCs w:val="24"/>
        </w:rPr>
      </w:pPr>
      <w:r>
        <w:rPr>
          <w:rFonts w:hint="eastAsia" w:asciiTheme="minorEastAsia" w:hAnsiTheme="minorEastAsia"/>
          <w:color w:val="auto"/>
          <w:sz w:val="24"/>
          <w:szCs w:val="24"/>
        </w:rPr>
        <w:t>试验用药物不得向受试者收取费用，不得转交、转卖，仅用于该临床试验项目的受试者。</w:t>
      </w:r>
    </w:p>
    <w:p>
      <w:pPr>
        <w:pStyle w:val="36"/>
        <w:numPr>
          <w:ilvl w:val="0"/>
          <w:numId w:val="21"/>
        </w:numPr>
        <w:spacing w:line="360" w:lineRule="auto"/>
        <w:ind w:firstLineChars="0"/>
        <w:rPr>
          <w:rFonts w:asciiTheme="minorEastAsia" w:hAnsiTheme="minorEastAsia"/>
          <w:color w:val="auto"/>
          <w:sz w:val="24"/>
          <w:szCs w:val="24"/>
        </w:rPr>
      </w:pPr>
      <w:r>
        <w:rPr>
          <w:rFonts w:hint="eastAsia" w:asciiTheme="minorEastAsia" w:hAnsiTheme="minorEastAsia"/>
          <w:color w:val="auto"/>
          <w:sz w:val="24"/>
          <w:szCs w:val="24"/>
        </w:rPr>
        <w:t>药物管理员在与申办者、研究者和受试者的任何交接中，应做好核对、清点、记录工作，并由双方签字确认。</w:t>
      </w:r>
    </w:p>
    <w:p>
      <w:pPr>
        <w:pStyle w:val="36"/>
        <w:numPr>
          <w:ilvl w:val="0"/>
          <w:numId w:val="21"/>
        </w:numPr>
        <w:spacing w:line="360" w:lineRule="auto"/>
        <w:ind w:firstLineChars="0"/>
        <w:rPr>
          <w:rFonts w:asciiTheme="minorEastAsia" w:hAnsiTheme="minorEastAsia"/>
          <w:color w:val="auto"/>
          <w:sz w:val="24"/>
          <w:szCs w:val="24"/>
        </w:rPr>
      </w:pPr>
      <w:r>
        <w:rPr>
          <w:rFonts w:hint="eastAsia" w:asciiTheme="minorEastAsia" w:hAnsiTheme="minorEastAsia"/>
          <w:color w:val="auto"/>
          <w:sz w:val="24"/>
          <w:szCs w:val="24"/>
        </w:rPr>
        <w:t>药物管理员应定期检查药物的质量、失效期和储存条件，记录储存药物的温度/湿度，清点库存数量等，并做好盘点登记。若有异常，应及时查明原因并通知申办者和研究者。</w:t>
      </w:r>
    </w:p>
    <w:p>
      <w:pPr>
        <w:pStyle w:val="36"/>
        <w:numPr>
          <w:ilvl w:val="0"/>
          <w:numId w:val="21"/>
        </w:numPr>
        <w:spacing w:line="360" w:lineRule="auto"/>
        <w:ind w:firstLineChars="0"/>
        <w:rPr>
          <w:rFonts w:asciiTheme="minorEastAsia" w:hAnsiTheme="minorEastAsia"/>
          <w:color w:val="auto"/>
          <w:sz w:val="24"/>
          <w:szCs w:val="24"/>
        </w:rPr>
      </w:pPr>
      <w:r>
        <w:rPr>
          <w:rFonts w:hint="eastAsia" w:asciiTheme="minorEastAsia" w:hAnsiTheme="minorEastAsia"/>
          <w:color w:val="auto"/>
          <w:sz w:val="24"/>
          <w:szCs w:val="24"/>
        </w:rPr>
        <w:t>试验项目结束时，药物管理员核查该项目试验用药物的接收、分发、回收记录，按规定做好剩余药物的处理并详细登记，整理好所有相关记录，并按照相关要求进行归档。</w:t>
      </w:r>
    </w:p>
    <w:p>
      <w:pPr>
        <w:pStyle w:val="36"/>
        <w:numPr>
          <w:ilvl w:val="0"/>
          <w:numId w:val="21"/>
        </w:numPr>
        <w:spacing w:line="360" w:lineRule="auto"/>
        <w:ind w:firstLineChars="0"/>
        <w:rPr>
          <w:rFonts w:asciiTheme="minorEastAsia" w:hAnsiTheme="minorEastAsia"/>
          <w:color w:val="auto"/>
          <w:sz w:val="24"/>
          <w:szCs w:val="24"/>
        </w:rPr>
      </w:pPr>
      <w:r>
        <w:rPr>
          <w:rFonts w:hint="eastAsia" w:asciiTheme="minorEastAsia" w:hAnsiTheme="minorEastAsia"/>
          <w:color w:val="auto"/>
          <w:sz w:val="24"/>
          <w:szCs w:val="24"/>
        </w:rPr>
        <w:t>当药物管理员休假、出差时，</w:t>
      </w:r>
      <w:r>
        <w:rPr>
          <w:rFonts w:hint="eastAsia" w:asciiTheme="minorEastAsia" w:hAnsiTheme="minorEastAsia"/>
          <w:color w:val="auto"/>
          <w:sz w:val="24"/>
          <w:szCs w:val="24"/>
          <w:lang w:eastAsia="zh-CN"/>
        </w:rPr>
        <w:t>应</w:t>
      </w:r>
      <w:r>
        <w:rPr>
          <w:rFonts w:hint="eastAsia" w:asciiTheme="minorEastAsia" w:hAnsiTheme="minorEastAsia"/>
          <w:color w:val="auto"/>
          <w:sz w:val="24"/>
          <w:szCs w:val="24"/>
        </w:rPr>
        <w:t>指派有资质的替补管理员负责药物的管理工作；管理员应做好临床试验药房、药柜钥匙的签名记录等交接手续，并</w:t>
      </w:r>
      <w:r>
        <w:rPr>
          <w:rFonts w:hint="eastAsia" w:asciiTheme="minorEastAsia" w:hAnsiTheme="minorEastAsia"/>
          <w:color w:val="auto"/>
          <w:sz w:val="24"/>
          <w:szCs w:val="24"/>
          <w:highlight w:val="none"/>
        </w:rPr>
        <w:t>核对药物库存表确</w:t>
      </w:r>
      <w:r>
        <w:rPr>
          <w:rFonts w:hint="eastAsia" w:asciiTheme="minorEastAsia" w:hAnsiTheme="minorEastAsia"/>
          <w:color w:val="auto"/>
          <w:sz w:val="24"/>
          <w:szCs w:val="24"/>
        </w:rPr>
        <w:t>保药物的接收、储存、分发、领用通畅。</w:t>
      </w:r>
    </w:p>
    <w:p>
      <w:pPr>
        <w:pStyle w:val="36"/>
        <w:spacing w:line="360" w:lineRule="auto"/>
        <w:ind w:left="763" w:leftChars="135" w:hanging="480" w:hangingChars="200"/>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10.</w:t>
      </w:r>
      <w:r>
        <w:rPr>
          <w:rFonts w:hint="eastAsia" w:asciiTheme="minorEastAsia" w:hAnsiTheme="minorEastAsia"/>
          <w:color w:val="auto"/>
          <w:sz w:val="24"/>
          <w:szCs w:val="24"/>
        </w:rPr>
        <w:t>申办者有责任对药物在研究单位的流通进行全程监查，机构办公室负责进行定期的药物管理质量检查。</w:t>
      </w:r>
    </w:p>
    <w:p>
      <w:pPr>
        <w:pStyle w:val="36"/>
        <w:spacing w:line="360" w:lineRule="auto"/>
        <w:ind w:left="763" w:leftChars="135" w:hanging="480" w:hangingChars="200"/>
        <w:rPr>
          <w:rFonts w:asciiTheme="minorEastAsia" w:hAnsiTheme="minorEastAsia"/>
          <w:b/>
          <w:color w:val="auto"/>
          <w:sz w:val="24"/>
          <w:szCs w:val="24"/>
        </w:rPr>
      </w:pPr>
      <w:r>
        <w:rPr>
          <w:rFonts w:hint="eastAsia" w:asciiTheme="minorEastAsia" w:hAnsiTheme="minorEastAsia"/>
          <w:color w:val="auto"/>
          <w:sz w:val="24"/>
          <w:szCs w:val="24"/>
        </w:rPr>
        <w:t>11.麻醉药品和精神药品按照《麻醉药品和精神药品管理条例》《处方管理办法》严格进行管理。</w:t>
      </w:r>
    </w:p>
    <w:p>
      <w:pPr>
        <w:spacing w:line="360" w:lineRule="auto"/>
        <w:rPr>
          <w:rFonts w:asciiTheme="minorEastAsia" w:hAnsiTheme="minorEastAsia"/>
          <w:b/>
          <w:color w:val="auto"/>
          <w:sz w:val="24"/>
          <w:szCs w:val="24"/>
        </w:rPr>
      </w:pPr>
    </w:p>
    <w:p>
      <w:pPr>
        <w:spacing w:line="360" w:lineRule="auto"/>
        <w:rPr>
          <w:rFonts w:asciiTheme="minorEastAsia" w:hAnsiTheme="minorEastAsia"/>
          <w:b/>
          <w:color w:val="auto"/>
          <w:sz w:val="24"/>
          <w:szCs w:val="24"/>
        </w:rPr>
      </w:pPr>
    </w:p>
    <w:p>
      <w:pPr>
        <w:spacing w:line="360" w:lineRule="auto"/>
        <w:rPr>
          <w:rFonts w:asciiTheme="minorEastAsia" w:hAnsiTheme="minorEastAsia"/>
          <w:b/>
          <w:color w:val="auto"/>
          <w:sz w:val="24"/>
          <w:szCs w:val="24"/>
        </w:rPr>
      </w:pPr>
    </w:p>
    <w:p>
      <w:pPr>
        <w:spacing w:line="360" w:lineRule="auto"/>
        <w:jc w:val="center"/>
        <w:rPr>
          <w:rFonts w:ascii="黑体" w:hAnsi="黑体" w:eastAsia="黑体" w:cs="黑体"/>
          <w:b/>
          <w:color w:val="auto"/>
          <w:sz w:val="28"/>
          <w:szCs w:val="28"/>
        </w:rPr>
        <w:sectPr>
          <w:headerReference r:id="rId51" w:type="default"/>
          <w:footerReference r:id="rId52" w:type="default"/>
          <w:pgSz w:w="11906" w:h="16838"/>
          <w:pgMar w:top="1417" w:right="1191" w:bottom="1474" w:left="1474" w:header="0" w:footer="992" w:gutter="0"/>
          <w:pgNumType w:fmt="decimal" w:start="1"/>
          <w:cols w:space="0" w:num="1"/>
          <w:docGrid w:type="lines" w:linePitch="312" w:charSpace="0"/>
        </w:sectPr>
      </w:pPr>
    </w:p>
    <w:p>
      <w:pPr>
        <w:spacing w:line="360" w:lineRule="auto"/>
        <w:ind w:firstLine="3373" w:firstLineChars="1200"/>
        <w:rPr>
          <w:rFonts w:ascii="黑体" w:hAnsi="黑体" w:eastAsia="黑体" w:cs="黑体"/>
          <w:b/>
          <w:color w:val="auto"/>
          <w:sz w:val="28"/>
          <w:szCs w:val="28"/>
        </w:rPr>
      </w:pPr>
      <w:r>
        <w:rPr>
          <w:rFonts w:hint="eastAsia" w:ascii="黑体" w:hAnsi="黑体" w:eastAsia="黑体" w:cs="黑体"/>
          <w:b/>
          <w:color w:val="auto"/>
          <w:sz w:val="28"/>
          <w:szCs w:val="28"/>
          <w:lang w:val="en-US" w:eastAsia="zh-CN"/>
        </w:rPr>
        <w:t>试验用</w:t>
      </w:r>
      <w:r>
        <w:rPr>
          <w:rFonts w:hint="eastAsia" w:ascii="黑体" w:hAnsi="黑体" w:eastAsia="黑体" w:cs="黑体"/>
          <w:b/>
          <w:color w:val="auto"/>
          <w:sz w:val="28"/>
          <w:szCs w:val="28"/>
        </w:rPr>
        <w:t>医疗器械管理制度</w:t>
      </w:r>
    </w:p>
    <w:p>
      <w:pPr>
        <w:spacing w:line="360" w:lineRule="auto"/>
        <w:ind w:firstLine="240" w:firstLineChars="100"/>
        <w:rPr>
          <w:rFonts w:ascii="宋体" w:hAnsi="宋体" w:eastAsia="宋体" w:cs="宋体"/>
          <w:color w:val="auto"/>
          <w:sz w:val="24"/>
          <w:szCs w:val="24"/>
          <w:lang w:bidi="ar"/>
        </w:rPr>
      </w:pPr>
      <w:r>
        <w:rPr>
          <w:rFonts w:hint="eastAsia" w:ascii="宋体" w:hAnsi="宋体" w:eastAsia="宋体" w:cs="宋体"/>
          <w:color w:val="auto"/>
          <w:sz w:val="24"/>
          <w:szCs w:val="24"/>
          <w:lang w:bidi="ar"/>
        </w:rPr>
        <w:t>一、目的</w:t>
      </w:r>
    </w:p>
    <w:p>
      <w:pPr>
        <w:spacing w:line="360" w:lineRule="auto"/>
        <w:ind w:left="719" w:leftChars="228" w:hanging="240" w:hangingChars="100"/>
        <w:rPr>
          <w:rFonts w:ascii="宋体" w:hAnsi="宋体" w:eastAsia="宋体" w:cs="宋体"/>
          <w:color w:val="auto"/>
          <w:sz w:val="24"/>
          <w:szCs w:val="24"/>
        </w:rPr>
      </w:pPr>
      <w:r>
        <w:rPr>
          <w:rFonts w:hint="eastAsia" w:ascii="宋体" w:hAnsi="宋体" w:eastAsia="宋体" w:cs="宋体"/>
          <w:color w:val="auto"/>
          <w:sz w:val="24"/>
          <w:szCs w:val="24"/>
          <w:lang w:bidi="ar"/>
        </w:rPr>
        <w:t xml:space="preserve"> </w:t>
      </w:r>
      <w:r>
        <w:rPr>
          <w:rFonts w:hint="eastAsia" w:ascii="宋体" w:hAnsi="宋体" w:cs="宋体"/>
          <w:color w:val="auto"/>
          <w:sz w:val="24"/>
          <w:szCs w:val="24"/>
          <w:lang w:bidi="ar"/>
        </w:rPr>
        <w:t xml:space="preserve"> </w:t>
      </w:r>
      <w:r>
        <w:rPr>
          <w:rFonts w:hint="eastAsia" w:ascii="宋体" w:hAnsi="宋体" w:eastAsia="宋体" w:cs="宋体"/>
          <w:color w:val="auto"/>
          <w:sz w:val="24"/>
          <w:szCs w:val="24"/>
          <w:lang w:bidi="ar"/>
        </w:rPr>
        <w:t>建立临床试验机构医疗器械管理制度，以保证临床试验医疗器械的管理符合GCP要求。</w:t>
      </w:r>
    </w:p>
    <w:p>
      <w:pPr>
        <w:spacing w:line="360" w:lineRule="auto"/>
        <w:ind w:firstLine="240" w:firstLineChars="100"/>
        <w:rPr>
          <w:rFonts w:ascii="宋体" w:hAnsi="宋体" w:eastAsia="宋体" w:cs="宋体"/>
          <w:color w:val="auto"/>
          <w:sz w:val="24"/>
          <w:szCs w:val="24"/>
        </w:rPr>
      </w:pPr>
      <w:r>
        <w:rPr>
          <w:rFonts w:hint="eastAsia" w:ascii="宋体" w:hAnsi="宋体" w:eastAsia="宋体" w:cs="宋体"/>
          <w:color w:val="auto"/>
          <w:sz w:val="24"/>
          <w:szCs w:val="24"/>
          <w:lang w:bidi="ar"/>
        </w:rPr>
        <w:t>二、</w:t>
      </w:r>
      <w:r>
        <w:rPr>
          <w:rFonts w:hint="eastAsia" w:ascii="宋体" w:hAnsi="宋体" w:eastAsia="宋体" w:cs="宋体"/>
          <w:color w:val="auto"/>
          <w:sz w:val="24"/>
          <w:szCs w:val="24"/>
        </w:rPr>
        <w:t>范围</w:t>
      </w:r>
    </w:p>
    <w:p>
      <w:pPr>
        <w:spacing w:line="360" w:lineRule="auto"/>
        <w:ind w:firstLine="720" w:firstLineChars="300"/>
        <w:rPr>
          <w:rFonts w:ascii="宋体" w:hAnsi="宋体" w:eastAsia="宋体" w:cs="宋体"/>
          <w:color w:val="auto"/>
          <w:sz w:val="24"/>
          <w:szCs w:val="24"/>
        </w:rPr>
      </w:pPr>
      <w:r>
        <w:rPr>
          <w:rFonts w:hint="eastAsia" w:ascii="宋体" w:hAnsi="宋体" w:cs="宋体"/>
          <w:color w:val="auto"/>
          <w:sz w:val="24"/>
          <w:szCs w:val="24"/>
          <w:lang w:bidi="ar"/>
        </w:rPr>
        <w:t>适用于</w:t>
      </w:r>
      <w:r>
        <w:rPr>
          <w:rFonts w:hint="eastAsia" w:ascii="宋体" w:hAnsi="宋体" w:eastAsia="宋体" w:cs="宋体"/>
          <w:color w:val="auto"/>
          <w:sz w:val="24"/>
          <w:szCs w:val="24"/>
          <w:lang w:bidi="ar"/>
        </w:rPr>
        <w:t>本机构试验用医疗器械的管理。</w:t>
      </w:r>
    </w:p>
    <w:p>
      <w:pPr>
        <w:spacing w:line="360" w:lineRule="auto"/>
        <w:ind w:firstLine="240" w:firstLineChars="100"/>
        <w:rPr>
          <w:rFonts w:ascii="黑体" w:hAnsi="黑体" w:eastAsia="黑体" w:cs="黑体"/>
          <w:b/>
          <w:color w:val="auto"/>
          <w:sz w:val="28"/>
          <w:szCs w:val="28"/>
          <w:highlight w:val="none"/>
        </w:rPr>
      </w:pPr>
      <w:r>
        <w:rPr>
          <w:rFonts w:hint="eastAsia" w:ascii="宋体" w:hAnsi="宋体" w:eastAsia="宋体" w:cs="宋体"/>
          <w:color w:val="auto"/>
          <w:sz w:val="24"/>
          <w:szCs w:val="24"/>
        </w:rPr>
        <w:t>三、制度</w:t>
      </w:r>
    </w:p>
    <w:p>
      <w:pPr>
        <w:pStyle w:val="36"/>
        <w:spacing w:line="360" w:lineRule="auto"/>
        <w:ind w:left="284" w:firstLine="0" w:firstLineChars="0"/>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1.临床试验用医疗器械由机构</w:t>
      </w:r>
      <w:r>
        <w:rPr>
          <w:rFonts w:hint="eastAsia" w:asciiTheme="minorEastAsia" w:hAnsiTheme="minorEastAsia"/>
          <w:color w:val="auto"/>
          <w:sz w:val="24"/>
          <w:szCs w:val="24"/>
          <w:highlight w:val="none"/>
          <w:lang w:val="en-US" w:eastAsia="zh-CN"/>
        </w:rPr>
        <w:t>GCP中心药房</w:t>
      </w:r>
      <w:r>
        <w:rPr>
          <w:rFonts w:hint="eastAsia" w:asciiTheme="minorEastAsia" w:hAnsiTheme="minorEastAsia"/>
          <w:color w:val="auto"/>
          <w:sz w:val="24"/>
          <w:szCs w:val="24"/>
          <w:highlight w:val="none"/>
        </w:rPr>
        <w:t>统一集中管理。</w:t>
      </w:r>
    </w:p>
    <w:p>
      <w:pPr>
        <w:pStyle w:val="36"/>
        <w:spacing w:line="360" w:lineRule="auto"/>
        <w:ind w:left="284" w:firstLine="0" w:firstLineChars="0"/>
        <w:rPr>
          <w:rFonts w:asciiTheme="minorEastAsia" w:hAnsiTheme="minorEastAsia"/>
          <w:color w:val="auto"/>
          <w:sz w:val="24"/>
          <w:szCs w:val="24"/>
        </w:rPr>
      </w:pPr>
      <w:r>
        <w:rPr>
          <w:rFonts w:hint="eastAsia" w:asciiTheme="minorEastAsia" w:hAnsiTheme="minorEastAsia"/>
          <w:color w:val="auto"/>
          <w:sz w:val="24"/>
          <w:szCs w:val="24"/>
          <w:highlight w:val="none"/>
        </w:rPr>
        <w:t>2.</w:t>
      </w:r>
      <w:r>
        <w:rPr>
          <w:rFonts w:hint="eastAsia" w:asciiTheme="minorEastAsia" w:hAnsiTheme="minorEastAsia"/>
          <w:color w:val="auto"/>
          <w:sz w:val="24"/>
          <w:szCs w:val="24"/>
          <w:highlight w:val="none"/>
          <w:lang w:val="en-US" w:eastAsia="zh-CN"/>
        </w:rPr>
        <w:t>GCP中心药房</w:t>
      </w:r>
      <w:r>
        <w:rPr>
          <w:rFonts w:hint="eastAsia" w:asciiTheme="minorEastAsia" w:hAnsiTheme="minorEastAsia"/>
          <w:color w:val="auto"/>
          <w:sz w:val="24"/>
          <w:szCs w:val="24"/>
          <w:highlight w:val="none"/>
        </w:rPr>
        <w:t>的设计、布局、建造和维护必须符合试验用医疗器械储存的要求，并配备必要的储藏设备，具有防火防</w:t>
      </w:r>
      <w:r>
        <w:rPr>
          <w:rFonts w:hint="eastAsia" w:asciiTheme="minorEastAsia" w:hAnsiTheme="minorEastAsia"/>
          <w:color w:val="auto"/>
          <w:sz w:val="24"/>
          <w:szCs w:val="24"/>
        </w:rPr>
        <w:t>盗、符合试验用医疗器械储存的条件，确保试验用医疗器械的安全、完整。</w:t>
      </w:r>
    </w:p>
    <w:p>
      <w:pPr>
        <w:pStyle w:val="36"/>
        <w:spacing w:line="360" w:lineRule="auto"/>
        <w:ind w:left="284" w:firstLine="0" w:firstLineChars="0"/>
        <w:rPr>
          <w:rFonts w:asciiTheme="minorEastAsia" w:hAnsiTheme="minorEastAsia"/>
          <w:color w:val="auto"/>
          <w:sz w:val="24"/>
          <w:szCs w:val="24"/>
        </w:rPr>
      </w:pPr>
      <w:r>
        <w:rPr>
          <w:rFonts w:hint="eastAsia" w:asciiTheme="minorEastAsia" w:hAnsiTheme="minorEastAsia"/>
          <w:color w:val="auto"/>
          <w:sz w:val="24"/>
          <w:szCs w:val="24"/>
        </w:rPr>
        <w:t>3.机构指派接受过《医疗器械临床试验质量管理规范》培训的医疗器械管理员管理试验用医疗器械，具体负责医疗器械的接收、保管、分发、回收和销毁。</w:t>
      </w:r>
    </w:p>
    <w:p>
      <w:pPr>
        <w:pStyle w:val="36"/>
        <w:spacing w:line="360" w:lineRule="auto"/>
        <w:ind w:left="284" w:firstLine="0" w:firstLineChars="0"/>
        <w:rPr>
          <w:rFonts w:asciiTheme="minorEastAsia" w:hAnsiTheme="minorEastAsia"/>
          <w:color w:val="auto"/>
          <w:sz w:val="24"/>
          <w:szCs w:val="24"/>
        </w:rPr>
      </w:pPr>
      <w:r>
        <w:rPr>
          <w:rFonts w:hint="eastAsia" w:asciiTheme="minorEastAsia" w:hAnsiTheme="minorEastAsia"/>
          <w:color w:val="auto"/>
          <w:sz w:val="24"/>
          <w:szCs w:val="24"/>
        </w:rPr>
        <w:t>4.医疗器械管理员应对每个试验项目建立专门的器械管理记录，并按试验用器械要求的储存条件及注意事项进行储存和保管。</w:t>
      </w:r>
    </w:p>
    <w:p>
      <w:pPr>
        <w:pStyle w:val="36"/>
        <w:spacing w:line="360" w:lineRule="auto"/>
        <w:ind w:left="284" w:firstLine="0" w:firstLineChars="0"/>
        <w:rPr>
          <w:rFonts w:asciiTheme="minorEastAsia" w:hAnsiTheme="minorEastAsia"/>
          <w:color w:val="auto"/>
          <w:sz w:val="24"/>
          <w:szCs w:val="24"/>
        </w:rPr>
      </w:pPr>
      <w:r>
        <w:rPr>
          <w:rFonts w:hint="eastAsia" w:asciiTheme="minorEastAsia" w:hAnsiTheme="minorEastAsia"/>
          <w:color w:val="auto"/>
          <w:sz w:val="24"/>
          <w:szCs w:val="24"/>
        </w:rPr>
        <w:t>5.试验用医疗器械不得向受试者收取费用，不得转交、转卖，仅用于该临床试验项目的受试者。</w:t>
      </w:r>
    </w:p>
    <w:p>
      <w:pPr>
        <w:pStyle w:val="36"/>
        <w:spacing w:line="360" w:lineRule="auto"/>
        <w:ind w:left="284" w:firstLine="0" w:firstLineChars="0"/>
        <w:rPr>
          <w:rFonts w:asciiTheme="minorEastAsia" w:hAnsiTheme="minorEastAsia"/>
          <w:color w:val="auto"/>
          <w:sz w:val="24"/>
          <w:szCs w:val="24"/>
        </w:rPr>
      </w:pPr>
      <w:r>
        <w:rPr>
          <w:rFonts w:hint="eastAsia" w:asciiTheme="minorEastAsia" w:hAnsiTheme="minorEastAsia"/>
          <w:color w:val="auto"/>
          <w:sz w:val="24"/>
          <w:szCs w:val="24"/>
        </w:rPr>
        <w:t>6.器械管理员在与申办者、研究者和受试者的任何交接中，应做好核对、清点、记录工作，并由双方签字确认。</w:t>
      </w:r>
    </w:p>
    <w:p>
      <w:pPr>
        <w:pStyle w:val="36"/>
        <w:spacing w:line="360" w:lineRule="auto"/>
        <w:ind w:left="284" w:firstLine="0" w:firstLineChars="0"/>
        <w:rPr>
          <w:rFonts w:asciiTheme="minorEastAsia" w:hAnsiTheme="minorEastAsia"/>
          <w:color w:val="auto"/>
          <w:sz w:val="24"/>
          <w:szCs w:val="24"/>
        </w:rPr>
      </w:pPr>
      <w:r>
        <w:rPr>
          <w:rFonts w:hint="eastAsia" w:asciiTheme="minorEastAsia" w:hAnsiTheme="minorEastAsia"/>
          <w:color w:val="auto"/>
          <w:sz w:val="24"/>
          <w:szCs w:val="24"/>
        </w:rPr>
        <w:t>7.医疗器械管理员应定期检查器械的质量、失效期和储存条件，记录储存的温度/湿度，清点库存数量等，并做好盘点登记。若有异常，应及时查明原因并通知申办者和研究者。</w:t>
      </w:r>
    </w:p>
    <w:p>
      <w:pPr>
        <w:pStyle w:val="36"/>
        <w:spacing w:line="360" w:lineRule="auto"/>
        <w:ind w:left="284" w:firstLine="0" w:firstLineChars="0"/>
        <w:rPr>
          <w:rFonts w:asciiTheme="minorEastAsia" w:hAnsiTheme="minorEastAsia"/>
          <w:color w:val="auto"/>
          <w:sz w:val="24"/>
          <w:szCs w:val="24"/>
        </w:rPr>
      </w:pPr>
      <w:r>
        <w:rPr>
          <w:rFonts w:hint="eastAsia" w:asciiTheme="minorEastAsia" w:hAnsiTheme="minorEastAsia"/>
          <w:color w:val="auto"/>
          <w:sz w:val="24"/>
          <w:szCs w:val="24"/>
        </w:rPr>
        <w:t>8.试验项目结束时，医疗器械管理员核查该项目试验用器械的接收、分发、回收记录，按规定做好剩余医疗器械的处理并详细登记，整理好所有相关记录，并按照相关要求进行归档。</w:t>
      </w:r>
    </w:p>
    <w:p>
      <w:pPr>
        <w:pStyle w:val="36"/>
        <w:spacing w:line="360" w:lineRule="auto"/>
        <w:ind w:left="284" w:firstLine="0" w:firstLineChars="0"/>
        <w:rPr>
          <w:rFonts w:asciiTheme="minorEastAsia" w:hAnsiTheme="minorEastAsia"/>
          <w:color w:val="auto"/>
          <w:sz w:val="24"/>
          <w:szCs w:val="24"/>
        </w:rPr>
      </w:pPr>
      <w:r>
        <w:rPr>
          <w:rFonts w:hint="eastAsia" w:asciiTheme="minorEastAsia" w:hAnsiTheme="minorEastAsia"/>
          <w:color w:val="auto"/>
          <w:sz w:val="24"/>
          <w:szCs w:val="24"/>
        </w:rPr>
        <w:t>9.当医疗器械管理员休假、出差时，</w:t>
      </w:r>
      <w:r>
        <w:rPr>
          <w:rFonts w:hint="eastAsia" w:asciiTheme="minorEastAsia" w:hAnsiTheme="minorEastAsia"/>
          <w:color w:val="auto"/>
          <w:sz w:val="24"/>
          <w:szCs w:val="24"/>
          <w:lang w:eastAsia="zh-CN"/>
        </w:rPr>
        <w:t>应</w:t>
      </w:r>
      <w:r>
        <w:rPr>
          <w:rFonts w:hint="eastAsia" w:asciiTheme="minorEastAsia" w:hAnsiTheme="minorEastAsia"/>
          <w:color w:val="auto"/>
          <w:sz w:val="24"/>
          <w:szCs w:val="24"/>
        </w:rPr>
        <w:t>指派有资质的替补管理员负责器械的管理工作；管理员应做好试验用医疗器械储藏室、储藏柜钥匙的签名记录等交接手续，并核对“医疗器械库存表”确保医疗器械的接收、储存、分发、领用通畅。</w:t>
      </w:r>
    </w:p>
    <w:p>
      <w:pPr>
        <w:pStyle w:val="36"/>
        <w:spacing w:line="360" w:lineRule="auto"/>
        <w:ind w:left="284" w:firstLine="0" w:firstLineChars="0"/>
        <w:rPr>
          <w:rFonts w:asciiTheme="minorEastAsia" w:hAnsiTheme="minorEastAsia"/>
          <w:color w:val="auto"/>
          <w:sz w:val="24"/>
          <w:szCs w:val="24"/>
        </w:rPr>
        <w:sectPr>
          <w:headerReference r:id="rId53" w:type="default"/>
          <w:footerReference r:id="rId54" w:type="default"/>
          <w:pgSz w:w="11906" w:h="16838"/>
          <w:pgMar w:top="1417" w:right="1191" w:bottom="1474" w:left="1474" w:header="0" w:footer="992" w:gutter="0"/>
          <w:pgNumType w:fmt="decimal" w:start="1"/>
          <w:cols w:space="0" w:num="1"/>
          <w:docGrid w:type="lines" w:linePitch="312" w:charSpace="0"/>
        </w:sectPr>
      </w:pPr>
      <w:r>
        <w:rPr>
          <w:rFonts w:hint="eastAsia" w:asciiTheme="minorEastAsia" w:hAnsiTheme="minorEastAsia"/>
          <w:color w:val="auto"/>
          <w:sz w:val="24"/>
          <w:szCs w:val="24"/>
        </w:rPr>
        <w:t>10.申办者有责任对医疗器械在研究单位的流通进行全程监查，机构办公室负责进行定期的医疗器械管理质量检查。</w:t>
      </w:r>
    </w:p>
    <w:p>
      <w:pPr>
        <w:spacing w:line="360" w:lineRule="auto"/>
        <w:ind w:firstLine="3092" w:firstLineChars="1100"/>
        <w:rPr>
          <w:rFonts w:ascii="黑体" w:hAnsi="黑体" w:eastAsia="黑体" w:cs="黑体"/>
          <w:b/>
          <w:bCs/>
          <w:color w:val="auto"/>
          <w:sz w:val="28"/>
          <w:szCs w:val="28"/>
        </w:rPr>
      </w:pPr>
      <w:r>
        <w:rPr>
          <w:rFonts w:hint="eastAsia" w:ascii="黑体" w:hAnsi="黑体" w:eastAsia="黑体" w:cs="黑体"/>
          <w:b/>
          <w:bCs/>
          <w:color w:val="auto"/>
          <w:sz w:val="28"/>
          <w:szCs w:val="28"/>
        </w:rPr>
        <w:t>仪器设备管理制度</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 xml:space="preserve">一、目的  </w:t>
      </w:r>
    </w:p>
    <w:p>
      <w:pPr>
        <w:spacing w:line="360" w:lineRule="auto"/>
        <w:ind w:firstLine="480" w:firstLineChars="200"/>
        <w:rPr>
          <w:rFonts w:asciiTheme="minorEastAsia" w:hAnsiTheme="minorEastAsia" w:cstheme="minorEastAsia"/>
          <w:color w:val="auto"/>
          <w:sz w:val="24"/>
        </w:rPr>
      </w:pPr>
      <w:r>
        <w:rPr>
          <w:rFonts w:hint="eastAsia" w:asciiTheme="minorEastAsia" w:hAnsiTheme="minorEastAsia" w:cstheme="minorEastAsia"/>
          <w:color w:val="auto"/>
          <w:sz w:val="24"/>
        </w:rPr>
        <w:t>规范与临床试验有关的设备、仪器的操作与使用。</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 xml:space="preserve">二、范围  </w:t>
      </w:r>
    </w:p>
    <w:p>
      <w:pPr>
        <w:spacing w:line="360" w:lineRule="auto"/>
        <w:ind w:firstLine="480" w:firstLineChars="200"/>
        <w:rPr>
          <w:rFonts w:asciiTheme="minorEastAsia" w:hAnsiTheme="minorEastAsia" w:cstheme="minorEastAsia"/>
          <w:color w:val="auto"/>
          <w:sz w:val="24"/>
        </w:rPr>
      </w:pPr>
      <w:r>
        <w:rPr>
          <w:rFonts w:hint="eastAsia" w:asciiTheme="minorEastAsia" w:hAnsiTheme="minorEastAsia" w:cstheme="minorEastAsia"/>
          <w:color w:val="auto"/>
          <w:sz w:val="24"/>
        </w:rPr>
        <w:t>适用于临床试验机构中设备、仪器的操作使用人员。</w:t>
      </w:r>
    </w:p>
    <w:p>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三、制度 </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临床试验机构中各种仪器、设备的正确操作与使用直接关系到临床试验结果的准确与可靠，因此对于各种在临床试验中可能使用到并影响临床试验结果的设备、仪器均应制订相应的管理制度与操作规范。</w:t>
      </w:r>
    </w:p>
    <w:p>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（一） 操作人员的要求</w:t>
      </w:r>
    </w:p>
    <w:p>
      <w:pPr>
        <w:spacing w:line="360" w:lineRule="auto"/>
        <w:ind w:firstLine="240" w:firstLineChars="1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1.仪器、设备操作人员须接受过相应的培训并参加过GCP培训经考核合格，能胜任本职工作，具备良好的职业道德，严谨的科学态度，实事求是的工作作风。</w:t>
      </w:r>
    </w:p>
    <w:p>
      <w:pPr>
        <w:spacing w:line="360" w:lineRule="auto"/>
        <w:ind w:firstLine="240" w:firstLineChars="100"/>
        <w:rPr>
          <w:rFonts w:asciiTheme="minorEastAsia" w:hAnsiTheme="minorEastAsia" w:cstheme="minorEastAsia"/>
          <w:color w:val="auto"/>
          <w:sz w:val="24"/>
        </w:rPr>
      </w:pPr>
      <w:r>
        <w:rPr>
          <w:rFonts w:hint="eastAsia" w:asciiTheme="minorEastAsia" w:hAnsiTheme="minorEastAsia" w:cstheme="minorEastAsia"/>
          <w:color w:val="auto"/>
          <w:sz w:val="24"/>
        </w:rPr>
        <w:t>2.操作人员应严格按该设备、仪器的标准操作规程进行操作。使用完毕后应对设备、仪器进行检查并复位，清洁试验台面，并填写设备、仪器使用登记本。</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（二）仪器、设备的要求</w:t>
      </w:r>
    </w:p>
    <w:p>
      <w:pPr>
        <w:spacing w:line="360" w:lineRule="auto"/>
        <w:ind w:firstLine="240" w:firstLineChars="100"/>
        <w:rPr>
          <w:rFonts w:asciiTheme="minorEastAsia" w:hAnsiTheme="minorEastAsia" w:cstheme="minorEastAsia"/>
          <w:color w:val="auto"/>
          <w:sz w:val="24"/>
        </w:rPr>
      </w:pPr>
      <w:r>
        <w:rPr>
          <w:rFonts w:hint="eastAsia" w:asciiTheme="minorEastAsia" w:hAnsiTheme="minorEastAsia" w:cstheme="minorEastAsia"/>
          <w:color w:val="auto"/>
          <w:sz w:val="24"/>
        </w:rPr>
        <w:t>1.试验室仪器、设备应根据临床试验机构所承担的试验任务合理配置，其大小、数量、结构和布局应适应实际工作的需要，不得随意改动。试验设备、仪器的放置、操作、清洁、保养和维修要按标准操作规程进行。</w:t>
      </w:r>
    </w:p>
    <w:p>
      <w:pPr>
        <w:spacing w:line="360" w:lineRule="auto"/>
        <w:ind w:firstLine="240" w:firstLineChars="1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2.建立仪器、设备档案，定期对设备、仪器进行检修校正，维持正常工作状态。对短期内无法修复的应悬挂停用标志。</w:t>
      </w:r>
    </w:p>
    <w:p>
      <w:pPr>
        <w:spacing w:line="360" w:lineRule="auto"/>
        <w:ind w:firstLine="240" w:firstLineChars="100"/>
        <w:rPr>
          <w:rFonts w:asciiTheme="minorEastAsia" w:hAnsiTheme="minorEastAsia" w:cstheme="minorEastAsia"/>
          <w:color w:val="auto"/>
          <w:sz w:val="24"/>
        </w:rPr>
      </w:pPr>
      <w:r>
        <w:rPr>
          <w:rFonts w:hint="eastAsia" w:asciiTheme="minorEastAsia" w:hAnsiTheme="minorEastAsia" w:cstheme="minorEastAsia"/>
          <w:color w:val="auto"/>
          <w:sz w:val="24"/>
        </w:rPr>
        <w:t>3. 所有仪器、设备均应制定标准操作规程（SOP），专柜保存相关资料。贵重、精密的仪器、设备应由专人负责操作。</w:t>
      </w:r>
    </w:p>
    <w:p>
      <w:pPr>
        <w:spacing w:line="360" w:lineRule="auto"/>
        <w:ind w:firstLine="240" w:firstLineChars="100"/>
        <w:rPr>
          <w:rFonts w:asciiTheme="minorEastAsia" w:hAnsiTheme="minorEastAsia" w:cstheme="minorEastAsia"/>
          <w:color w:val="auto"/>
          <w:sz w:val="24"/>
        </w:rPr>
      </w:pPr>
      <w:r>
        <w:rPr>
          <w:rFonts w:hint="eastAsia" w:asciiTheme="minorEastAsia" w:hAnsiTheme="minorEastAsia" w:cstheme="minorEastAsia"/>
          <w:color w:val="auto"/>
          <w:sz w:val="24"/>
        </w:rPr>
        <w:t>4. 严格执行仪器、设备使用登记制度，对因粗心大意而造成设备、仪器损坏者给予相应的经济处罚。</w:t>
      </w:r>
    </w:p>
    <w:p>
      <w:pPr>
        <w:spacing w:line="360" w:lineRule="auto"/>
        <w:ind w:firstLine="240" w:firstLineChars="100"/>
        <w:rPr>
          <w:rFonts w:asciiTheme="minorEastAsia" w:hAnsiTheme="minorEastAsia" w:cstheme="minorEastAsia"/>
          <w:color w:val="auto"/>
          <w:sz w:val="24"/>
        </w:rPr>
      </w:pPr>
      <w:r>
        <w:rPr>
          <w:rFonts w:hint="eastAsia" w:asciiTheme="minorEastAsia" w:hAnsiTheme="minorEastAsia" w:cstheme="minorEastAsia"/>
          <w:color w:val="auto"/>
          <w:sz w:val="24"/>
        </w:rPr>
        <w:t>5. 试验室所有试剂、试液、检品、对照品均应标明品名、浓度、储存条件、配制日期和失效日期，并能说明其来源、特性和稳定性。不得使用过期或变质的试剂、试液。</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（三） 操作的要求</w:t>
      </w:r>
    </w:p>
    <w:p>
      <w:pPr>
        <w:spacing w:line="360" w:lineRule="auto"/>
        <w:ind w:firstLine="240" w:firstLineChars="100"/>
        <w:rPr>
          <w:rFonts w:asciiTheme="minorEastAsia" w:hAnsiTheme="minorEastAsia" w:cstheme="minorEastAsia"/>
          <w:color w:val="auto"/>
          <w:sz w:val="24"/>
        </w:rPr>
      </w:pPr>
      <w:r>
        <w:rPr>
          <w:rFonts w:hint="eastAsia" w:asciiTheme="minorEastAsia" w:hAnsiTheme="minorEastAsia" w:cstheme="minorEastAsia"/>
          <w:color w:val="auto"/>
          <w:sz w:val="24"/>
        </w:rPr>
        <w:t>1.在试验方案的实施过程中要严格按照标准操作规程（SOP）进行。</w:t>
      </w:r>
    </w:p>
    <w:p>
      <w:pPr>
        <w:spacing w:line="360" w:lineRule="auto"/>
        <w:ind w:left="239" w:leftChars="114"/>
        <w:rPr>
          <w:rFonts w:asciiTheme="minorEastAsia" w:hAnsiTheme="minorEastAsia" w:cstheme="minorEastAsia"/>
          <w:color w:val="auto"/>
          <w:sz w:val="24"/>
        </w:rPr>
      </w:pPr>
      <w:r>
        <w:rPr>
          <w:rFonts w:hint="eastAsia" w:asciiTheme="minorEastAsia" w:hAnsiTheme="minorEastAsia" w:cstheme="minorEastAsia"/>
          <w:color w:val="auto"/>
          <w:sz w:val="24"/>
        </w:rPr>
        <w:t>2.各项试验前必须仔细查阅资料，作好设计，拟好试验步骤，备好试药、设备/仪器、用具等，不可盲目进行。</w:t>
      </w:r>
    </w:p>
    <w:p>
      <w:pPr>
        <w:spacing w:line="360" w:lineRule="auto"/>
        <w:ind w:firstLine="240" w:firstLineChars="100"/>
        <w:rPr>
          <w:rFonts w:asciiTheme="minorEastAsia" w:hAnsiTheme="minorEastAsia" w:cstheme="minorEastAsia"/>
          <w:color w:val="auto"/>
          <w:sz w:val="24"/>
        </w:rPr>
      </w:pPr>
      <w:r>
        <w:rPr>
          <w:rFonts w:hint="eastAsia" w:asciiTheme="minorEastAsia" w:hAnsiTheme="minorEastAsia" w:cstheme="minorEastAsia"/>
          <w:color w:val="auto"/>
          <w:sz w:val="24"/>
        </w:rPr>
        <w:t>3.试验必须严肃认真，仔细观察过程和结果，作好原始记录，试验完毕后及时整理资料。</w:t>
      </w:r>
    </w:p>
    <w:p>
      <w:pPr>
        <w:pStyle w:val="21"/>
        <w:ind w:left="0" w:firstLine="240" w:firstLineChars="100"/>
        <w:rPr>
          <w:rFonts w:asciiTheme="minorEastAsia" w:hAnsiTheme="minorEastAsia" w:cstheme="minorEastAsia"/>
          <w:color w:val="auto"/>
        </w:rPr>
      </w:pPr>
      <w:r>
        <w:rPr>
          <w:rFonts w:hint="eastAsia" w:asciiTheme="minorEastAsia" w:hAnsiTheme="minorEastAsia" w:cstheme="minorEastAsia"/>
          <w:color w:val="auto"/>
        </w:rPr>
        <w:t>4.入室操作必须按规定要求着工作衣、帽、鞋、手套等。</w:t>
      </w:r>
    </w:p>
    <w:p>
      <w:pPr>
        <w:pStyle w:val="21"/>
        <w:ind w:left="0" w:firstLine="240" w:firstLineChars="100"/>
        <w:rPr>
          <w:rFonts w:asciiTheme="minorEastAsia" w:hAnsiTheme="minorEastAsia" w:cstheme="minorEastAsia"/>
          <w:color w:val="auto"/>
        </w:rPr>
      </w:pPr>
      <w:r>
        <w:rPr>
          <w:rFonts w:hint="eastAsia" w:asciiTheme="minorEastAsia" w:hAnsiTheme="minorEastAsia" w:cstheme="minorEastAsia"/>
          <w:color w:val="auto"/>
        </w:rPr>
        <w:t>5.发现仪器、设备出现故障（或其它异常情况），不能排除者，应立即报告试验室负责人，联系检修。仪器、设备损坏当事人应写出书面材料按级上报，由上级按规定进行处理。</w:t>
      </w:r>
    </w:p>
    <w:p>
      <w:pPr>
        <w:pStyle w:val="21"/>
        <w:ind w:left="0" w:firstLine="240" w:firstLineChars="100"/>
        <w:rPr>
          <w:rFonts w:asciiTheme="minorEastAsia" w:hAnsiTheme="minorEastAsia" w:cstheme="minorEastAsia"/>
          <w:color w:val="auto"/>
        </w:rPr>
      </w:pPr>
      <w:r>
        <w:rPr>
          <w:rFonts w:hint="eastAsia" w:asciiTheme="minorEastAsia" w:hAnsiTheme="minorEastAsia" w:cstheme="minorEastAsia"/>
          <w:color w:val="auto"/>
        </w:rPr>
        <w:t>6.室内不得存放易燃、易爆、易挥发、强氧化、强酸碱和腐蚀性试剂及其它无关物品。</w:t>
      </w:r>
    </w:p>
    <w:p>
      <w:pPr>
        <w:pStyle w:val="21"/>
        <w:ind w:left="0" w:firstLine="240" w:firstLineChars="100"/>
        <w:rPr>
          <w:rFonts w:asciiTheme="minorEastAsia" w:hAnsiTheme="minorEastAsia" w:cstheme="minorEastAsia"/>
          <w:color w:val="auto"/>
        </w:rPr>
      </w:pPr>
      <w:r>
        <w:rPr>
          <w:rFonts w:hint="eastAsia" w:asciiTheme="minorEastAsia" w:hAnsiTheme="minorEastAsia" w:cstheme="minorEastAsia"/>
          <w:color w:val="auto"/>
        </w:rPr>
        <w:t>7.保持室内清洁整齐，每周进行一次清洁卫生。注意安全，防止事故，离室前关闭电源、水源开关，锁好门窗。</w:t>
      </w:r>
    </w:p>
    <w:p>
      <w:pPr>
        <w:pStyle w:val="36"/>
        <w:keepNext w:val="0"/>
        <w:keepLines w:val="0"/>
        <w:pageBreakBefore w:val="0"/>
        <w:widowControl w:val="0"/>
        <w:tabs>
          <w:tab w:val="left" w:pos="2790"/>
        </w:tabs>
        <w:kinsoku/>
        <w:wordWrap/>
        <w:overflowPunct/>
        <w:topLinePunct w:val="0"/>
        <w:autoSpaceDE/>
        <w:autoSpaceDN/>
        <w:bidi w:val="0"/>
        <w:adjustRightInd/>
        <w:snapToGrid/>
        <w:spacing w:line="360" w:lineRule="auto"/>
        <w:ind w:left="0" w:firstLine="0" w:firstLineChars="0"/>
        <w:textAlignment w:val="auto"/>
        <w:outlineLvl w:val="9"/>
        <w:rPr>
          <w:rFonts w:hint="eastAsia" w:asciiTheme="minorEastAsia" w:hAnsiTheme="minorEastAsia"/>
          <w:b w:val="0"/>
          <w:bCs w:val="0"/>
          <w:color w:val="auto"/>
          <w:sz w:val="24"/>
          <w:szCs w:val="24"/>
          <w:lang w:val="en-US" w:eastAsia="zh-CN"/>
        </w:rPr>
      </w:pPr>
      <w:r>
        <w:rPr>
          <w:rFonts w:hint="eastAsia" w:asciiTheme="minorEastAsia" w:hAnsiTheme="minorEastAsia"/>
          <w:b w:val="0"/>
          <w:bCs w:val="0"/>
          <w:color w:val="auto"/>
          <w:sz w:val="24"/>
          <w:szCs w:val="24"/>
          <w:lang w:val="en-US" w:eastAsia="zh-CN"/>
        </w:rPr>
        <w:t>四、参考文献</w:t>
      </w:r>
    </w:p>
    <w:p>
      <w:pPr>
        <w:pStyle w:val="36"/>
        <w:keepNext w:val="0"/>
        <w:keepLines w:val="0"/>
        <w:pageBreakBefore w:val="0"/>
        <w:widowControl w:val="0"/>
        <w:numPr>
          <w:ilvl w:val="0"/>
          <w:numId w:val="22"/>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22"/>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eastAsiaTheme="minorEastAsia"/>
          <w:b w:val="0"/>
          <w:bCs/>
          <w:color w:val="auto"/>
          <w:sz w:val="24"/>
          <w:szCs w:val="24"/>
          <w:lang w:val="en-US" w:eastAsia="zh-CN"/>
        </w:rPr>
      </w:pPr>
      <w:r>
        <w:rPr>
          <w:rFonts w:hint="eastAsia" w:asciiTheme="minorEastAsia" w:hAnsiTheme="minorEastAsia"/>
          <w:color w:val="auto"/>
          <w:sz w:val="24"/>
          <w:szCs w:val="24"/>
          <w:lang w:val="en-US" w:eastAsia="zh-CN"/>
        </w:rPr>
        <w:t xml:space="preserve">国家药品监督管理局，国家卫生健康委员会. 关于发布《医疗器械临床试验质量管理规范》的公告（2022年第28号）.[2022-03-31]. </w:t>
      </w:r>
      <w:r>
        <w:rPr>
          <w:rFonts w:hint="eastAsia" w:asciiTheme="minorEastAsia" w:hAnsiTheme="minorEastAsia"/>
          <w:color w:val="auto"/>
          <w:sz w:val="24"/>
          <w:szCs w:val="24"/>
          <w:u w:val="none"/>
          <w:lang w:val="en-US" w:eastAsia="zh-CN"/>
        </w:rPr>
        <w:t>https://www.nmpa.gov.cn/xxgk/ggtg/qtggtg/20220331144903101.html.</w:t>
      </w:r>
    </w:p>
    <w:p>
      <w:pPr>
        <w:rPr>
          <w:rFonts w:hint="eastAsia"/>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906"/>
        <w:gridCol w:w="915"/>
        <w:gridCol w:w="3072"/>
        <w:gridCol w:w="2715"/>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36"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90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3072"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2715"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217"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3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0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3.0</w:t>
            </w:r>
          </w:p>
        </w:tc>
        <w:tc>
          <w:tcPr>
            <w:tcW w:w="91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3072"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1.为确保制度的严谨性，增加参考文献。</w:t>
            </w:r>
          </w:p>
        </w:tc>
        <w:tc>
          <w:tcPr>
            <w:tcW w:w="27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1.新增参考文献。</w:t>
            </w:r>
          </w:p>
        </w:tc>
        <w:tc>
          <w:tcPr>
            <w:tcW w:w="1217" w:type="dxa"/>
            <w:vAlign w:val="center"/>
          </w:tcPr>
          <w:p>
            <w:pPr>
              <w:rPr>
                <w:rFonts w:hint="eastAsia" w:ascii="宋体" w:hAnsi="宋体" w:eastAsia="宋体" w:cs="宋体"/>
                <w:color w:val="auto"/>
                <w:lang w:val="en-US" w:eastAsia="zh-CN"/>
              </w:rPr>
            </w:pPr>
          </w:p>
        </w:tc>
      </w:tr>
    </w:tbl>
    <w:p>
      <w:pPr>
        <w:spacing w:line="360" w:lineRule="auto"/>
        <w:ind w:left="240" w:hanging="240" w:hangingChars="100"/>
        <w:jc w:val="left"/>
        <w:rPr>
          <w:rFonts w:asciiTheme="minorEastAsia" w:hAnsiTheme="minorEastAsia" w:cstheme="minorEastAsia"/>
          <w:color w:val="auto"/>
          <w:sz w:val="24"/>
        </w:rPr>
      </w:pPr>
    </w:p>
    <w:p>
      <w:pPr>
        <w:spacing w:line="360" w:lineRule="auto"/>
        <w:ind w:left="240" w:hanging="240" w:hangingChars="100"/>
        <w:jc w:val="left"/>
        <w:rPr>
          <w:rFonts w:asciiTheme="minorEastAsia" w:hAnsiTheme="minorEastAsia" w:cstheme="minorEastAsia"/>
          <w:color w:val="auto"/>
          <w:sz w:val="24"/>
        </w:rPr>
      </w:pPr>
    </w:p>
    <w:p>
      <w:pPr>
        <w:spacing w:line="360" w:lineRule="auto"/>
        <w:ind w:left="240" w:hanging="210" w:hangingChars="100"/>
        <w:jc w:val="left"/>
        <w:rPr>
          <w:rFonts w:asciiTheme="minorEastAsia" w:hAnsiTheme="minorEastAsia" w:cstheme="minorEastAsia"/>
          <w:color w:val="auto"/>
          <w:sz w:val="21"/>
          <w:szCs w:val="21"/>
        </w:rPr>
      </w:pPr>
    </w:p>
    <w:p>
      <w:pPr>
        <w:spacing w:line="360" w:lineRule="auto"/>
        <w:ind w:left="240" w:hanging="240" w:hangingChars="100"/>
        <w:jc w:val="left"/>
        <w:rPr>
          <w:rFonts w:asciiTheme="minorEastAsia" w:hAnsiTheme="minorEastAsia" w:cstheme="minorEastAsia"/>
          <w:color w:val="auto"/>
          <w:sz w:val="24"/>
        </w:rPr>
      </w:pPr>
    </w:p>
    <w:p>
      <w:pPr>
        <w:spacing w:line="360" w:lineRule="auto"/>
        <w:ind w:left="240" w:hanging="240" w:hangingChars="100"/>
        <w:jc w:val="left"/>
        <w:rPr>
          <w:rFonts w:asciiTheme="minorEastAsia" w:hAnsiTheme="minorEastAsia" w:cstheme="minorEastAsia"/>
          <w:color w:val="auto"/>
          <w:sz w:val="24"/>
        </w:rPr>
      </w:pPr>
    </w:p>
    <w:p>
      <w:pPr>
        <w:spacing w:line="360" w:lineRule="auto"/>
        <w:ind w:left="240" w:hanging="240" w:hangingChars="100"/>
        <w:jc w:val="left"/>
        <w:rPr>
          <w:rFonts w:asciiTheme="minorEastAsia" w:hAnsiTheme="minorEastAsia" w:cstheme="minorEastAsia"/>
          <w:color w:val="auto"/>
          <w:sz w:val="24"/>
        </w:rPr>
      </w:pPr>
    </w:p>
    <w:p>
      <w:pPr>
        <w:spacing w:line="360" w:lineRule="auto"/>
        <w:ind w:left="240" w:hanging="240" w:hangingChars="100"/>
        <w:jc w:val="left"/>
        <w:rPr>
          <w:rFonts w:asciiTheme="minorEastAsia" w:hAnsiTheme="minorEastAsia" w:cstheme="minorEastAsia"/>
          <w:color w:val="auto"/>
          <w:sz w:val="24"/>
        </w:rPr>
      </w:pPr>
    </w:p>
    <w:p>
      <w:pPr>
        <w:spacing w:line="360" w:lineRule="auto"/>
        <w:ind w:left="240" w:hanging="240" w:hangingChars="100"/>
        <w:jc w:val="left"/>
        <w:rPr>
          <w:rFonts w:asciiTheme="minorEastAsia" w:hAnsiTheme="minorEastAsia" w:cstheme="minorEastAsia"/>
          <w:color w:val="auto"/>
          <w:sz w:val="24"/>
        </w:rPr>
      </w:pPr>
    </w:p>
    <w:p>
      <w:pPr>
        <w:spacing w:line="360" w:lineRule="auto"/>
        <w:ind w:left="240" w:hanging="240" w:hangingChars="100"/>
        <w:jc w:val="left"/>
        <w:rPr>
          <w:rFonts w:asciiTheme="minorEastAsia" w:hAnsiTheme="minorEastAsia" w:cstheme="minorEastAsia"/>
          <w:color w:val="auto"/>
          <w:sz w:val="24"/>
        </w:rPr>
      </w:pPr>
    </w:p>
    <w:p>
      <w:pPr>
        <w:spacing w:line="360" w:lineRule="auto"/>
        <w:ind w:left="240" w:hanging="240" w:hangingChars="100"/>
        <w:jc w:val="left"/>
        <w:rPr>
          <w:rFonts w:asciiTheme="minorEastAsia" w:hAnsiTheme="minorEastAsia" w:cstheme="minorEastAsia"/>
          <w:color w:val="auto"/>
          <w:sz w:val="24"/>
        </w:rPr>
      </w:pPr>
    </w:p>
    <w:p>
      <w:pPr>
        <w:spacing w:line="360" w:lineRule="auto"/>
        <w:jc w:val="left"/>
        <w:rPr>
          <w:rFonts w:ascii="黑体" w:hAnsi="黑体" w:eastAsia="黑体" w:cs="黑体"/>
          <w:b/>
          <w:color w:val="auto"/>
          <w:sz w:val="28"/>
          <w:szCs w:val="28"/>
        </w:rPr>
        <w:sectPr>
          <w:headerReference r:id="rId55" w:type="default"/>
          <w:footerReference r:id="rId56" w:type="default"/>
          <w:pgSz w:w="11906" w:h="16838"/>
          <w:pgMar w:top="1417" w:right="1191" w:bottom="1474" w:left="1474" w:header="0" w:footer="992" w:gutter="0"/>
          <w:pgNumType w:fmt="decimal" w:start="1"/>
          <w:cols w:space="0" w:num="1"/>
          <w:docGrid w:type="lines" w:linePitch="312" w:charSpace="0"/>
        </w:sectPr>
      </w:pPr>
    </w:p>
    <w:p>
      <w:pPr>
        <w:spacing w:line="360" w:lineRule="auto"/>
        <w:ind w:firstLine="3654" w:firstLineChars="1300"/>
        <w:rPr>
          <w:rFonts w:ascii="黑体" w:hAnsi="黑体" w:eastAsia="黑体" w:cs="黑体"/>
          <w:b/>
          <w:bCs/>
          <w:color w:val="auto"/>
          <w:sz w:val="28"/>
          <w:szCs w:val="28"/>
        </w:rPr>
      </w:pPr>
      <w:r>
        <w:rPr>
          <w:rFonts w:hint="eastAsia" w:ascii="黑体" w:hAnsi="黑体" w:eastAsia="黑体" w:cs="黑体"/>
          <w:b/>
          <w:bCs/>
          <w:color w:val="auto"/>
          <w:sz w:val="28"/>
          <w:szCs w:val="28"/>
        </w:rPr>
        <w:t>档案管理制度</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一、目的</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规范临床试验档案资料的管理。</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二、范围</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适用于本机构药物和医疗器械临床试验资料的归档管理。</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三、制度</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1、临床试验机构设置专用档案室，加强档案的保护。档案室要坚固、安全，并有防火、防光、防潮、防尘、防虫、防鼠等设施。档案室</w:t>
      </w:r>
      <w:r>
        <w:rPr>
          <w:rFonts w:hint="eastAsia" w:asciiTheme="minorEastAsia" w:hAnsiTheme="minorEastAsia" w:cstheme="minorEastAsia"/>
          <w:color w:val="auto"/>
          <w:sz w:val="24"/>
          <w:szCs w:val="24"/>
          <w:lang w:val="en-US" w:eastAsia="zh-CN"/>
        </w:rPr>
        <w:t>温度一般控制在</w:t>
      </w:r>
      <w:r>
        <w:rPr>
          <w:rFonts w:hint="eastAsia" w:asciiTheme="minorEastAsia" w:hAnsiTheme="minorEastAsia" w:cstheme="minorEastAsia"/>
          <w:color w:val="auto"/>
          <w:sz w:val="24"/>
          <w:szCs w:val="24"/>
        </w:rPr>
        <w:t>温度</w:t>
      </w:r>
      <w:r>
        <w:rPr>
          <w:rFonts w:hint="eastAsia" w:asciiTheme="minorEastAsia" w:hAnsiTheme="minorEastAsia" w:cstheme="minorEastAsia"/>
          <w:color w:val="auto"/>
          <w:sz w:val="24"/>
          <w:szCs w:val="24"/>
          <w:lang w:val="en-US" w:eastAsia="zh-CN"/>
        </w:rPr>
        <w:t>10</w:t>
      </w:r>
      <w:r>
        <w:rPr>
          <w:rFonts w:hint="eastAsia" w:asciiTheme="minorEastAsia" w:hAnsiTheme="minorEastAsia" w:cstheme="minorEastAsia"/>
          <w:color w:val="auto"/>
          <w:sz w:val="24"/>
          <w:szCs w:val="24"/>
        </w:rPr>
        <w:t>-</w:t>
      </w:r>
      <w:r>
        <w:rPr>
          <w:rFonts w:hint="eastAsia" w:asciiTheme="minorEastAsia" w:hAnsiTheme="minorEastAsia" w:cstheme="minorEastAsia"/>
          <w:color w:val="auto"/>
          <w:sz w:val="24"/>
          <w:szCs w:val="24"/>
          <w:lang w:val="en-US" w:eastAsia="zh-CN"/>
        </w:rPr>
        <w:t>30</w:t>
      </w:r>
      <w:r>
        <w:rPr>
          <w:rFonts w:hint="eastAsia" w:asciiTheme="minorEastAsia" w:hAnsiTheme="minorEastAsia" w:cstheme="minorEastAsia"/>
          <w:color w:val="auto"/>
          <w:sz w:val="24"/>
          <w:szCs w:val="24"/>
        </w:rPr>
        <w:t>℃，湿度</w:t>
      </w:r>
      <w:r>
        <w:rPr>
          <w:rFonts w:hint="eastAsia" w:asciiTheme="minorEastAsia" w:hAnsiTheme="minorEastAsia" w:cstheme="minorEastAsia"/>
          <w:color w:val="auto"/>
          <w:sz w:val="24"/>
          <w:szCs w:val="24"/>
          <w:lang w:val="en-US" w:eastAsia="zh-CN"/>
        </w:rPr>
        <w:t>一般控制在40</w:t>
      </w:r>
      <w:r>
        <w:rPr>
          <w:rFonts w:hint="eastAsia" w:asciiTheme="minorEastAsia" w:hAnsiTheme="minorEastAsia" w:cstheme="minorEastAsia"/>
          <w:color w:val="auto"/>
          <w:sz w:val="24"/>
          <w:szCs w:val="24"/>
        </w:rPr>
        <w:t>-</w:t>
      </w:r>
      <w:r>
        <w:rPr>
          <w:rFonts w:hint="eastAsia" w:asciiTheme="minorEastAsia" w:hAnsiTheme="minorEastAsia" w:cstheme="minorEastAsia"/>
          <w:color w:val="auto"/>
          <w:sz w:val="24"/>
          <w:szCs w:val="24"/>
          <w:lang w:val="en-US" w:eastAsia="zh-CN"/>
        </w:rPr>
        <w:t>7</w:t>
      </w:r>
      <w:r>
        <w:rPr>
          <w:rFonts w:hint="eastAsia" w:asciiTheme="minorEastAsia" w:hAnsiTheme="minorEastAsia" w:cstheme="minorEastAsia"/>
          <w:color w:val="auto"/>
          <w:sz w:val="24"/>
          <w:szCs w:val="24"/>
        </w:rPr>
        <w:t>0％</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有利于文件的长期保存</w:t>
      </w:r>
      <w:r>
        <w:rPr>
          <w:rFonts w:hint="eastAsia" w:asciiTheme="minorEastAsia" w:hAnsiTheme="minorEastAsia" w:cstheme="minorEastAsia"/>
          <w:color w:val="auto"/>
          <w:sz w:val="24"/>
          <w:szCs w:val="24"/>
        </w:rPr>
        <w:t>。</w:t>
      </w:r>
    </w:p>
    <w:p>
      <w:pPr>
        <w:spacing w:line="360" w:lineRule="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rPr>
        <w:t>2、临床试验档案室由机构资料管理员负责管理。应严格控制接触档案的人员，以避免任何遗失或泄密</w:t>
      </w:r>
      <w:r>
        <w:rPr>
          <w:rFonts w:hint="eastAsia" w:asciiTheme="minorEastAsia" w:hAnsiTheme="minorEastAsia" w:cstheme="minorEastAsia"/>
          <w:color w:val="auto"/>
          <w:sz w:val="24"/>
          <w:szCs w:val="24"/>
          <w:lang w:eastAsia="zh-CN"/>
        </w:rPr>
        <w:t>，</w:t>
      </w:r>
      <w:r>
        <w:rPr>
          <w:rFonts w:hint="eastAsia" w:ascii="宋体" w:hAnsi="宋体" w:eastAsia="宋体" w:cs="宋体"/>
          <w:color w:val="auto"/>
          <w:sz w:val="24"/>
          <w:szCs w:val="24"/>
          <w:lang w:val="en-US" w:eastAsia="zh-CN"/>
        </w:rPr>
        <w:t>来访人员均需填写来访人员登记表（附件1）。</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3、档案室保存文件包括：机构及专业组历史版本的制度及SOP</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已结题项目的全部资料等。</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4、临床试验结束后研究者应将所有研究资料及时交到机构，机构资料管理员整理研究资料，双方签字确认后，由临床试验机构统一保管。对于缺失的文件，需做出书面情况说明。</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5、临床试验项目被取消或中止时，申办方或CRO应提交书面文件说明被取消或中止的原因，并将上述临床试验资料整理归档。</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6、临床试验相关档案资料借阅参照《临床试验文件查阅/复印的标准操作规程》。</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7、机构资料管理员将所有文件分类保存于临床试验档案室。项目资料中CRF及原始材料按照筛选顺序存放于文件盒，置文件柜中；项目的其它文件按顺序排列，存放于文件盒或文件夹，置文件柜中。</w:t>
      </w:r>
    </w:p>
    <w:p>
      <w:pPr>
        <w:spacing w:line="360" w:lineRule="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8</w:t>
      </w:r>
      <w:r>
        <w:rPr>
          <w:rFonts w:hint="eastAsia" w:asciiTheme="minorEastAsia" w:hAnsiTheme="minorEastAsia" w:cstheme="minorEastAsia"/>
          <w:color w:val="auto"/>
          <w:sz w:val="24"/>
          <w:szCs w:val="24"/>
        </w:rPr>
        <w:t>、资料管理员填写归档材料目录</w:t>
      </w:r>
      <w:r>
        <w:rPr>
          <w:rFonts w:hint="eastAsia" w:asciiTheme="minorEastAsia" w:hAnsiTheme="minorEastAsia" w:cstheme="minorEastAsia"/>
          <w:color w:val="auto"/>
          <w:sz w:val="24"/>
          <w:szCs w:val="24"/>
          <w:lang w:eastAsia="zh-CN"/>
        </w:rPr>
        <w:t>。</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val="en-US" w:eastAsia="zh-CN"/>
        </w:rPr>
        <w:t>9</w:t>
      </w:r>
      <w:r>
        <w:rPr>
          <w:rFonts w:hint="eastAsia" w:asciiTheme="minorEastAsia" w:hAnsiTheme="minorEastAsia" w:cstheme="minorEastAsia"/>
          <w:color w:val="auto"/>
          <w:sz w:val="24"/>
          <w:szCs w:val="24"/>
        </w:rPr>
        <w:t>、资料管理员应进行档案编号并填写档案登记表。</w:t>
      </w:r>
    </w:p>
    <w:p>
      <w:pPr>
        <w:spacing w:line="360" w:lineRule="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10、存档时间：</w:t>
      </w:r>
      <w:r>
        <w:rPr>
          <w:rFonts w:hint="eastAsia" w:asciiTheme="minorEastAsia" w:hAnsiTheme="minorEastAsia" w:cstheme="minorEastAsia"/>
          <w:color w:val="auto"/>
          <w:sz w:val="24"/>
          <w:szCs w:val="24"/>
          <w:lang w:val="en-US" w:eastAsia="zh-CN"/>
        </w:rPr>
        <w:t>药物</w:t>
      </w:r>
      <w:r>
        <w:rPr>
          <w:rFonts w:hint="eastAsia" w:asciiTheme="minorEastAsia" w:hAnsiTheme="minorEastAsia" w:cstheme="minorEastAsia"/>
          <w:color w:val="auto"/>
          <w:sz w:val="24"/>
          <w:szCs w:val="24"/>
        </w:rPr>
        <w:t>临床试验档案依据GCP要求</w:t>
      </w:r>
      <w:r>
        <w:rPr>
          <w:rFonts w:hint="eastAsia" w:asciiTheme="minorEastAsia" w:hAnsiTheme="minorEastAsia" w:cstheme="minorEastAsia"/>
          <w:color w:val="auto"/>
          <w:sz w:val="24"/>
          <w:szCs w:val="24"/>
          <w:lang w:eastAsia="zh-CN"/>
        </w:rPr>
        <w:t>，用于申请药品注册的临床试验，必备文件应当至少保存至试验药物被批准上市后5年；未用于申请药品注册的临床试验，必备文件应当至少保存至临床试验终止后5年。</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临床试验档案依据GCP要求保存至临床试验结束后</w:t>
      </w:r>
      <w:r>
        <w:rPr>
          <w:rFonts w:hint="eastAsia" w:asciiTheme="minorEastAsia" w:hAnsiTheme="minorEastAsia" w:cstheme="minorEastAsia"/>
          <w:color w:val="auto"/>
          <w:sz w:val="24"/>
          <w:szCs w:val="24"/>
          <w:lang w:val="en-US" w:eastAsia="zh-CN"/>
        </w:rPr>
        <w:t>十</w:t>
      </w:r>
      <w:r>
        <w:rPr>
          <w:rFonts w:hint="eastAsia" w:asciiTheme="minorEastAsia" w:hAnsiTheme="minorEastAsia" w:cstheme="minorEastAsia"/>
          <w:color w:val="auto"/>
          <w:sz w:val="24"/>
          <w:szCs w:val="24"/>
        </w:rPr>
        <w:t>年（个别试验有特殊要求的需另行签署档案保管协议）。</w:t>
      </w:r>
    </w:p>
    <w:p>
      <w:pPr>
        <w:pStyle w:val="36"/>
        <w:keepNext w:val="0"/>
        <w:keepLines w:val="0"/>
        <w:pageBreakBefore w:val="0"/>
        <w:widowControl w:val="0"/>
        <w:tabs>
          <w:tab w:val="left" w:pos="2790"/>
        </w:tabs>
        <w:kinsoku/>
        <w:wordWrap/>
        <w:overflowPunct/>
        <w:topLinePunct w:val="0"/>
        <w:autoSpaceDE/>
        <w:autoSpaceDN/>
        <w:bidi w:val="0"/>
        <w:adjustRightInd/>
        <w:snapToGrid/>
        <w:spacing w:line="360" w:lineRule="auto"/>
        <w:ind w:left="0" w:firstLine="0" w:firstLineChars="0"/>
        <w:textAlignment w:val="auto"/>
        <w:outlineLvl w:val="9"/>
        <w:rPr>
          <w:rFonts w:hint="eastAsia" w:ascii="宋体" w:hAnsi="宋体" w:eastAsia="宋体" w:cs="宋体"/>
          <w:color w:val="auto"/>
          <w:sz w:val="24"/>
          <w:szCs w:val="24"/>
          <w:lang w:val="en-US" w:eastAsia="zh-CN"/>
        </w:rPr>
      </w:pPr>
      <w:r>
        <w:rPr>
          <w:rFonts w:hint="eastAsia" w:asciiTheme="minorEastAsia" w:hAnsiTheme="minorEastAsia"/>
          <w:b w:val="0"/>
          <w:bCs w:val="0"/>
          <w:color w:val="auto"/>
          <w:sz w:val="24"/>
          <w:szCs w:val="24"/>
          <w:lang w:val="en-US" w:eastAsia="zh-CN"/>
        </w:rPr>
        <w:t>四、</w:t>
      </w:r>
      <w:r>
        <w:rPr>
          <w:rFonts w:hint="eastAsia" w:ascii="宋体" w:hAnsi="宋体" w:eastAsia="宋体" w:cs="宋体"/>
          <w:color w:val="auto"/>
          <w:sz w:val="24"/>
          <w:szCs w:val="24"/>
          <w:lang w:val="en-US" w:eastAsia="zh-CN"/>
        </w:rPr>
        <w:t>附件</w:t>
      </w:r>
    </w:p>
    <w:p>
      <w:pPr>
        <w:pStyle w:val="36"/>
        <w:keepNext w:val="0"/>
        <w:keepLines w:val="0"/>
        <w:pageBreakBefore w:val="0"/>
        <w:widowControl w:val="0"/>
        <w:tabs>
          <w:tab w:val="left" w:pos="2790"/>
        </w:tabs>
        <w:kinsoku/>
        <w:wordWrap/>
        <w:overflowPunct/>
        <w:topLinePunct w:val="0"/>
        <w:autoSpaceDE/>
        <w:autoSpaceDN/>
        <w:bidi w:val="0"/>
        <w:adjustRightInd/>
        <w:snapToGrid/>
        <w:spacing w:line="360" w:lineRule="auto"/>
        <w:ind w:left="0" w:firstLine="480" w:firstLineChars="200"/>
        <w:textAlignment w:val="auto"/>
        <w:outlineLvl w:val="9"/>
        <w:rPr>
          <w:rFonts w:hint="eastAsia" w:asciiTheme="minorEastAsia" w:hAnsiTheme="minorEastAsia"/>
          <w:b w:val="0"/>
          <w:bCs w:val="0"/>
          <w:color w:val="auto"/>
          <w:sz w:val="24"/>
          <w:szCs w:val="24"/>
          <w:lang w:val="en-US" w:eastAsia="zh-CN"/>
        </w:rPr>
      </w:pPr>
      <w:r>
        <w:rPr>
          <w:rFonts w:hint="eastAsia" w:ascii="宋体" w:hAnsi="宋体" w:eastAsia="宋体" w:cs="宋体"/>
          <w:color w:val="auto"/>
          <w:sz w:val="24"/>
          <w:szCs w:val="24"/>
          <w:lang w:val="en-US" w:eastAsia="zh-CN"/>
        </w:rPr>
        <w:t>附件1：</w:t>
      </w:r>
      <w:r>
        <w:rPr>
          <w:rFonts w:hint="eastAsia" w:ascii="宋体" w:hAnsi="宋体" w:eastAsia="宋体" w:cs="宋体"/>
          <w:color w:val="auto"/>
          <w:sz w:val="24"/>
          <w:szCs w:val="24"/>
          <w:lang w:eastAsia="zh-CN"/>
        </w:rPr>
        <w:t>（YYH-ZD-CTC-011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3.1</w:t>
      </w:r>
      <w:r>
        <w:rPr>
          <w:rFonts w:hint="eastAsia" w:ascii="宋体" w:hAnsi="宋体" w:eastAsia="宋体" w:cs="Times New Roman"/>
          <w:color w:val="auto"/>
          <w:sz w:val="24"/>
          <w:szCs w:val="24"/>
          <w:lang w:val="en-US" w:eastAsia="zh-CN"/>
        </w:rPr>
        <w:t>-A01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来访人员登记</w:t>
      </w:r>
    </w:p>
    <w:p>
      <w:pPr>
        <w:pStyle w:val="36"/>
        <w:keepNext w:val="0"/>
        <w:keepLines w:val="0"/>
        <w:pageBreakBefore w:val="0"/>
        <w:widowControl w:val="0"/>
        <w:tabs>
          <w:tab w:val="left" w:pos="2790"/>
        </w:tabs>
        <w:kinsoku/>
        <w:wordWrap/>
        <w:overflowPunct/>
        <w:topLinePunct w:val="0"/>
        <w:autoSpaceDE/>
        <w:autoSpaceDN/>
        <w:bidi w:val="0"/>
        <w:adjustRightInd/>
        <w:snapToGrid/>
        <w:spacing w:line="360" w:lineRule="auto"/>
        <w:ind w:left="0" w:firstLine="0" w:firstLineChars="0"/>
        <w:textAlignment w:val="auto"/>
        <w:outlineLvl w:val="9"/>
        <w:rPr>
          <w:rFonts w:hint="eastAsia" w:asciiTheme="minorEastAsia" w:hAnsiTheme="minorEastAsia"/>
          <w:b w:val="0"/>
          <w:bCs w:val="0"/>
          <w:color w:val="auto"/>
          <w:sz w:val="24"/>
          <w:szCs w:val="24"/>
          <w:lang w:val="en-US" w:eastAsia="zh-CN"/>
        </w:rPr>
      </w:pPr>
      <w:r>
        <w:rPr>
          <w:rFonts w:hint="eastAsia" w:asciiTheme="minorEastAsia" w:hAnsiTheme="minorEastAsia"/>
          <w:b w:val="0"/>
          <w:bCs w:val="0"/>
          <w:color w:val="auto"/>
          <w:sz w:val="24"/>
          <w:szCs w:val="24"/>
          <w:lang w:val="en-US" w:eastAsia="zh-CN"/>
        </w:rPr>
        <w:t>五、参考文献</w:t>
      </w:r>
    </w:p>
    <w:p>
      <w:pPr>
        <w:pStyle w:val="36"/>
        <w:keepNext w:val="0"/>
        <w:keepLines w:val="0"/>
        <w:pageBreakBefore w:val="0"/>
        <w:widowControl w:val="0"/>
        <w:numPr>
          <w:ilvl w:val="0"/>
          <w:numId w:val="23"/>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23"/>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 xml:space="preserve">国家药品监督管理局，国家卫生健康委员会. 关于发布《医疗器械临床试验质量管理规范》的公告（2022年第28号）.[2022-03-31]. </w:t>
      </w:r>
      <w:r>
        <w:rPr>
          <w:rFonts w:hint="eastAsia" w:asciiTheme="minorEastAsia" w:hAnsiTheme="minorEastAsia"/>
          <w:color w:val="auto"/>
          <w:sz w:val="24"/>
          <w:szCs w:val="24"/>
          <w:u w:val="none"/>
          <w:lang w:val="en-US" w:eastAsia="zh-CN"/>
        </w:rPr>
        <w:t>https://www.nmpa.gov.cn/xxgk/ggtg/qtggtg/20220331144903101.html.</w:t>
      </w:r>
    </w:p>
    <w:p>
      <w:pPr>
        <w:pStyle w:val="36"/>
        <w:keepNext w:val="0"/>
        <w:keepLines w:val="0"/>
        <w:pageBreakBefore w:val="0"/>
        <w:widowControl w:val="0"/>
        <w:numPr>
          <w:ilvl w:val="0"/>
          <w:numId w:val="23"/>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国家药监局. 关于发布药物临床试验必备文件保存指导原则的通告（2020年第37号）.[2020-06-08]. https://www.nmpa.gov.cn/yaopin/ypggtg/ypqtgg/20200608094301326.html.</w:t>
      </w:r>
    </w:p>
    <w:p>
      <w:pPr>
        <w:pStyle w:val="36"/>
        <w:keepNext w:val="0"/>
        <w:keepLines w:val="0"/>
        <w:pageBreakBefore w:val="0"/>
        <w:widowControl w:val="0"/>
        <w:numPr>
          <w:ilvl w:val="0"/>
          <w:numId w:val="23"/>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国家食品药品监督管理总局关于发布药物临床试验数据现场核查要点的公告（2015年第228号）</w:t>
      </w:r>
      <w:r>
        <w:rPr>
          <w:rFonts w:hint="eastAsia" w:asciiTheme="minorEastAsia" w:hAnsiTheme="minorEastAsia"/>
          <w:color w:val="auto"/>
          <w:sz w:val="24"/>
          <w:szCs w:val="24"/>
          <w:lang w:val="en-US" w:eastAsia="zh-CN"/>
        </w:rPr>
        <w:t>[EB/OL].[2015-11-10]. https://www.nmpa.gov.cn/xxgk/ggtg/qtggtg/20151110203701981.html.</w:t>
      </w:r>
    </w:p>
    <w:p>
      <w:pPr>
        <w:pStyle w:val="36"/>
        <w:keepNext w:val="0"/>
        <w:keepLines w:val="0"/>
        <w:pageBreakBefore w:val="0"/>
        <w:widowControl w:val="0"/>
        <w:numPr>
          <w:ilvl w:val="0"/>
          <w:numId w:val="23"/>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eastAsiaTheme="minorEastAsia"/>
          <w:b w:val="0"/>
          <w:bCs/>
          <w:color w:val="auto"/>
          <w:sz w:val="24"/>
          <w:szCs w:val="24"/>
          <w:lang w:val="en-US" w:eastAsia="zh-CN"/>
        </w:rPr>
      </w:pPr>
      <w:r>
        <w:rPr>
          <w:rFonts w:hint="eastAsia" w:asciiTheme="minorEastAsia" w:hAnsiTheme="minorEastAsia"/>
          <w:b w:val="0"/>
          <w:bCs/>
          <w:color w:val="auto"/>
          <w:sz w:val="24"/>
          <w:szCs w:val="24"/>
          <w:lang w:val="en-US" w:eastAsia="zh-CN"/>
        </w:rPr>
        <w:t>曹玉，元唯安. 药物临床试验实践 [M].北京：中国医药科技出版社，2021.</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lang w:val="en-US" w:eastAsia="zh-CN"/>
        </w:rPr>
        <w:t>附件1.</w:t>
      </w:r>
      <w:r>
        <w:rPr>
          <w:rFonts w:hint="eastAsia" w:ascii="宋体" w:hAnsi="宋体" w:eastAsia="宋体" w:cs="宋体"/>
          <w:color w:val="auto"/>
          <w:sz w:val="24"/>
          <w:szCs w:val="24"/>
          <w:lang w:eastAsia="zh-CN"/>
        </w:rPr>
        <w:t>（YYH-ZD-CTC-011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3.1</w:t>
      </w:r>
      <w:r>
        <w:rPr>
          <w:rFonts w:hint="eastAsia" w:ascii="宋体" w:hAnsi="宋体" w:eastAsia="宋体" w:cs="Times New Roman"/>
          <w:color w:val="auto"/>
          <w:sz w:val="24"/>
          <w:szCs w:val="24"/>
          <w:lang w:val="en-US" w:eastAsia="zh-CN"/>
        </w:rPr>
        <w:t>-A01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来访人员登记表</w:t>
      </w:r>
    </w:p>
    <w:p>
      <w:pPr>
        <w:jc w:val="center"/>
        <w:rPr>
          <w:rFonts w:hint="eastAsia" w:ascii="楷体" w:hAnsi="楷体" w:eastAsia="楷体" w:cs="楷体"/>
          <w:b w:val="0"/>
          <w:bCs/>
          <w:color w:val="auto"/>
          <w:kern w:val="1"/>
          <w:sz w:val="28"/>
          <w:szCs w:val="28"/>
        </w:rPr>
      </w:pPr>
      <w:r>
        <w:rPr>
          <w:rFonts w:hint="eastAsia" w:ascii="楷体" w:hAnsi="楷体" w:eastAsia="楷体" w:cs="楷体"/>
          <w:b w:val="0"/>
          <w:bCs/>
          <w:color w:val="auto"/>
          <w:kern w:val="1"/>
          <w:sz w:val="28"/>
          <w:szCs w:val="28"/>
        </w:rPr>
        <w:t>来访人员登记表</w:t>
      </w:r>
    </w:p>
    <w:tbl>
      <w:tblPr>
        <w:tblStyle w:val="27"/>
        <w:tblW w:w="10942" w:type="dxa"/>
        <w:jc w:val="center"/>
        <w:tblLayout w:type="fixed"/>
        <w:tblCellMar>
          <w:top w:w="0" w:type="dxa"/>
          <w:left w:w="108" w:type="dxa"/>
          <w:bottom w:w="0" w:type="dxa"/>
          <w:right w:w="108" w:type="dxa"/>
        </w:tblCellMar>
      </w:tblPr>
      <w:tblGrid>
        <w:gridCol w:w="825"/>
        <w:gridCol w:w="1200"/>
        <w:gridCol w:w="1584"/>
        <w:gridCol w:w="1416"/>
        <w:gridCol w:w="1317"/>
        <w:gridCol w:w="991"/>
        <w:gridCol w:w="1200"/>
        <w:gridCol w:w="850"/>
        <w:gridCol w:w="1559"/>
      </w:tblGrid>
      <w:tr>
        <w:tblPrEx>
          <w:tblCellMar>
            <w:top w:w="0" w:type="dxa"/>
            <w:left w:w="108" w:type="dxa"/>
            <w:bottom w:w="0" w:type="dxa"/>
            <w:right w:w="108" w:type="dxa"/>
          </w:tblCellMar>
        </w:tblPrEx>
        <w:trPr>
          <w:trHeight w:val="830" w:hRule="exact"/>
          <w:jc w:val="center"/>
        </w:trPr>
        <w:tc>
          <w:tcPr>
            <w:tcW w:w="7333"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hint="eastAsia" w:ascii="楷体" w:hAnsi="楷体" w:eastAsia="楷体" w:cs="楷体"/>
                <w:b/>
                <w:color w:val="auto"/>
                <w:kern w:val="1"/>
                <w:sz w:val="24"/>
                <w:szCs w:val="22"/>
              </w:rPr>
            </w:pPr>
            <w:r>
              <w:rPr>
                <w:rFonts w:hint="eastAsia" w:ascii="楷体" w:hAnsi="楷体" w:eastAsia="楷体" w:cs="楷体"/>
                <w:b/>
                <w:color w:val="auto"/>
                <w:kern w:val="1"/>
                <w:sz w:val="24"/>
                <w:szCs w:val="22"/>
              </w:rPr>
              <w:t>来访人员签到</w:t>
            </w:r>
          </w:p>
        </w:tc>
        <w:tc>
          <w:tcPr>
            <w:tcW w:w="360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楷体" w:hAnsi="楷体" w:eastAsia="楷体" w:cs="楷体"/>
                <w:b/>
                <w:color w:val="auto"/>
                <w:kern w:val="1"/>
                <w:sz w:val="24"/>
                <w:szCs w:val="22"/>
              </w:rPr>
            </w:pPr>
            <w:r>
              <w:rPr>
                <w:rFonts w:hint="eastAsia" w:ascii="楷体" w:hAnsi="楷体" w:eastAsia="楷体" w:cs="楷体"/>
                <w:b/>
                <w:color w:val="auto"/>
                <w:kern w:val="1"/>
                <w:sz w:val="24"/>
                <w:szCs w:val="22"/>
              </w:rPr>
              <w:t>来访人员签离</w:t>
            </w:r>
          </w:p>
        </w:tc>
      </w:tr>
      <w:tr>
        <w:tblPrEx>
          <w:tblCellMar>
            <w:top w:w="0" w:type="dxa"/>
            <w:left w:w="108" w:type="dxa"/>
            <w:bottom w:w="0" w:type="dxa"/>
            <w:right w:w="108" w:type="dxa"/>
          </w:tblCellMar>
        </w:tblPrEx>
        <w:trPr>
          <w:trHeight w:val="830" w:hRule="exact"/>
          <w:jc w:val="center"/>
        </w:trPr>
        <w:tc>
          <w:tcPr>
            <w:tcW w:w="82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楷体" w:hAnsi="楷体" w:eastAsia="楷体" w:cs="楷体"/>
                <w:b/>
                <w:color w:val="auto"/>
                <w:kern w:val="1"/>
                <w:sz w:val="24"/>
                <w:szCs w:val="22"/>
              </w:rPr>
            </w:pPr>
            <w:r>
              <w:rPr>
                <w:rFonts w:hint="eastAsia" w:ascii="楷体" w:hAnsi="楷体" w:eastAsia="楷体" w:cs="楷体"/>
                <w:b/>
                <w:color w:val="auto"/>
                <w:kern w:val="1"/>
                <w:sz w:val="24"/>
                <w:szCs w:val="22"/>
              </w:rPr>
              <w:t>日期</w:t>
            </w:r>
          </w:p>
        </w:tc>
        <w:tc>
          <w:tcPr>
            <w:tcW w:w="12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楷体" w:hAnsi="楷体" w:eastAsia="楷体" w:cs="楷体"/>
                <w:b/>
                <w:color w:val="auto"/>
                <w:kern w:val="1"/>
                <w:sz w:val="24"/>
                <w:szCs w:val="22"/>
              </w:rPr>
            </w:pPr>
            <w:r>
              <w:rPr>
                <w:rFonts w:hint="eastAsia" w:ascii="楷体" w:hAnsi="楷体" w:eastAsia="楷体" w:cs="楷体"/>
                <w:b/>
                <w:color w:val="auto"/>
                <w:kern w:val="1"/>
                <w:sz w:val="24"/>
                <w:szCs w:val="22"/>
              </w:rPr>
              <w:t>来访人</w:t>
            </w:r>
          </w:p>
        </w:tc>
        <w:tc>
          <w:tcPr>
            <w:tcW w:w="158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楷体" w:hAnsi="楷体" w:eastAsia="楷体" w:cs="楷体"/>
                <w:b/>
                <w:color w:val="auto"/>
                <w:kern w:val="1"/>
                <w:sz w:val="24"/>
                <w:szCs w:val="22"/>
              </w:rPr>
            </w:pPr>
            <w:r>
              <w:rPr>
                <w:rFonts w:hint="eastAsia" w:ascii="楷体" w:hAnsi="楷体" w:eastAsia="楷体" w:cs="楷体"/>
                <w:b/>
                <w:color w:val="auto"/>
                <w:kern w:val="1"/>
                <w:sz w:val="24"/>
                <w:szCs w:val="22"/>
              </w:rPr>
              <w:t>来访单位</w:t>
            </w:r>
          </w:p>
        </w:tc>
        <w:tc>
          <w:tcPr>
            <w:tcW w:w="141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楷体" w:hAnsi="楷体" w:eastAsia="楷体" w:cs="楷体"/>
                <w:b/>
                <w:color w:val="auto"/>
                <w:kern w:val="1"/>
                <w:sz w:val="24"/>
                <w:szCs w:val="22"/>
              </w:rPr>
            </w:pPr>
            <w:r>
              <w:rPr>
                <w:rFonts w:hint="eastAsia" w:ascii="楷体" w:hAnsi="楷体" w:eastAsia="楷体" w:cs="楷体"/>
                <w:b/>
                <w:color w:val="auto"/>
                <w:kern w:val="1"/>
                <w:sz w:val="24"/>
                <w:szCs w:val="22"/>
              </w:rPr>
              <w:t>来访事由</w:t>
            </w:r>
          </w:p>
        </w:tc>
        <w:tc>
          <w:tcPr>
            <w:tcW w:w="131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楷体" w:hAnsi="楷体" w:eastAsia="楷体" w:cs="楷体"/>
                <w:b/>
                <w:color w:val="auto"/>
                <w:kern w:val="1"/>
                <w:sz w:val="24"/>
                <w:szCs w:val="22"/>
              </w:rPr>
            </w:pPr>
            <w:r>
              <w:rPr>
                <w:rFonts w:hint="eastAsia" w:ascii="楷体" w:hAnsi="楷体" w:eastAsia="楷体" w:cs="楷体"/>
                <w:b/>
                <w:color w:val="auto"/>
                <w:kern w:val="1"/>
                <w:sz w:val="24"/>
                <w:szCs w:val="22"/>
              </w:rPr>
              <w:t>到访时间</w:t>
            </w:r>
          </w:p>
        </w:tc>
        <w:tc>
          <w:tcPr>
            <w:tcW w:w="991"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楷体" w:hAnsi="楷体" w:eastAsia="楷体" w:cs="楷体"/>
                <w:b/>
                <w:color w:val="auto"/>
                <w:kern w:val="1"/>
                <w:sz w:val="24"/>
                <w:szCs w:val="22"/>
              </w:rPr>
            </w:pPr>
            <w:r>
              <w:rPr>
                <w:rFonts w:hint="eastAsia" w:ascii="楷体" w:hAnsi="楷体" w:eastAsia="楷体" w:cs="楷体"/>
                <w:b/>
                <w:color w:val="auto"/>
                <w:kern w:val="1"/>
                <w:sz w:val="24"/>
                <w:szCs w:val="22"/>
              </w:rPr>
              <w:t>签 名</w:t>
            </w:r>
          </w:p>
        </w:tc>
        <w:tc>
          <w:tcPr>
            <w:tcW w:w="12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楷体" w:hAnsi="楷体" w:eastAsia="楷体" w:cs="楷体"/>
                <w:b/>
                <w:color w:val="auto"/>
                <w:kern w:val="1"/>
                <w:sz w:val="24"/>
                <w:szCs w:val="22"/>
              </w:rPr>
            </w:pPr>
            <w:r>
              <w:rPr>
                <w:rFonts w:hint="eastAsia" w:ascii="楷体" w:hAnsi="楷体" w:eastAsia="楷体" w:cs="楷体"/>
                <w:b/>
                <w:color w:val="auto"/>
                <w:kern w:val="1"/>
                <w:sz w:val="24"/>
                <w:szCs w:val="22"/>
              </w:rPr>
              <w:t>离开时间</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楷体" w:hAnsi="楷体" w:eastAsia="楷体" w:cs="楷体"/>
                <w:b/>
                <w:color w:val="auto"/>
                <w:kern w:val="1"/>
                <w:sz w:val="24"/>
                <w:szCs w:val="22"/>
              </w:rPr>
            </w:pPr>
            <w:r>
              <w:rPr>
                <w:rFonts w:hint="eastAsia" w:ascii="楷体" w:hAnsi="楷体" w:eastAsia="楷体" w:cs="楷体"/>
                <w:b/>
                <w:color w:val="auto"/>
                <w:kern w:val="1"/>
                <w:sz w:val="24"/>
                <w:szCs w:val="22"/>
              </w:rPr>
              <w:t>签 名</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楷体" w:hAnsi="楷体" w:eastAsia="楷体" w:cs="楷体"/>
                <w:b/>
                <w:color w:val="auto"/>
                <w:kern w:val="1"/>
                <w:sz w:val="24"/>
                <w:szCs w:val="22"/>
              </w:rPr>
            </w:pPr>
            <w:r>
              <w:rPr>
                <w:rFonts w:hint="eastAsia" w:ascii="楷体" w:hAnsi="楷体" w:eastAsia="楷体" w:cs="楷体"/>
                <w:b/>
                <w:color w:val="auto"/>
                <w:kern w:val="1"/>
                <w:sz w:val="24"/>
                <w:szCs w:val="22"/>
              </w:rPr>
              <w:t>接待人签名</w:t>
            </w:r>
          </w:p>
        </w:tc>
      </w:tr>
      <w:tr>
        <w:tblPrEx>
          <w:tblCellMar>
            <w:top w:w="0" w:type="dxa"/>
            <w:left w:w="108" w:type="dxa"/>
            <w:bottom w:w="0" w:type="dxa"/>
            <w:right w:w="108" w:type="dxa"/>
          </w:tblCellMar>
        </w:tblPrEx>
        <w:trPr>
          <w:trHeight w:val="830" w:hRule="exact"/>
          <w:jc w:val="center"/>
        </w:trPr>
        <w:tc>
          <w:tcPr>
            <w:tcW w:w="825"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200"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584"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416"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317"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991"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200"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850"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559"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r>
      <w:tr>
        <w:tblPrEx>
          <w:tblCellMar>
            <w:top w:w="0" w:type="dxa"/>
            <w:left w:w="108" w:type="dxa"/>
            <w:bottom w:w="0" w:type="dxa"/>
            <w:right w:w="108" w:type="dxa"/>
          </w:tblCellMar>
        </w:tblPrEx>
        <w:trPr>
          <w:trHeight w:val="830" w:hRule="exact"/>
          <w:jc w:val="center"/>
        </w:trPr>
        <w:tc>
          <w:tcPr>
            <w:tcW w:w="825"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200"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584"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416"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317"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991"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200"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850"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559"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r>
      <w:tr>
        <w:tblPrEx>
          <w:tblCellMar>
            <w:top w:w="0" w:type="dxa"/>
            <w:left w:w="108" w:type="dxa"/>
            <w:bottom w:w="0" w:type="dxa"/>
            <w:right w:w="108" w:type="dxa"/>
          </w:tblCellMar>
        </w:tblPrEx>
        <w:trPr>
          <w:trHeight w:val="830" w:hRule="exact"/>
          <w:jc w:val="center"/>
        </w:trPr>
        <w:tc>
          <w:tcPr>
            <w:tcW w:w="825"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200"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584"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416"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317"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991"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200"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850"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559"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r>
      <w:tr>
        <w:tblPrEx>
          <w:tblCellMar>
            <w:top w:w="0" w:type="dxa"/>
            <w:left w:w="108" w:type="dxa"/>
            <w:bottom w:w="0" w:type="dxa"/>
            <w:right w:w="108" w:type="dxa"/>
          </w:tblCellMar>
        </w:tblPrEx>
        <w:trPr>
          <w:trHeight w:val="830" w:hRule="exact"/>
          <w:jc w:val="center"/>
        </w:trPr>
        <w:tc>
          <w:tcPr>
            <w:tcW w:w="825"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200"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584"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416"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317"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991"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200"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850"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c>
          <w:tcPr>
            <w:tcW w:w="1559" w:type="dxa"/>
            <w:tcBorders>
              <w:top w:val="single" w:color="000000" w:sz="4" w:space="0"/>
              <w:left w:val="single" w:color="000000" w:sz="4" w:space="0"/>
              <w:bottom w:val="single" w:color="000000" w:sz="4" w:space="0"/>
              <w:right w:val="single" w:color="000000" w:sz="4" w:space="0"/>
            </w:tcBorders>
            <w:vAlign w:val="top"/>
          </w:tcPr>
          <w:p>
            <w:pPr>
              <w:rPr>
                <w:rFonts w:ascii="仿宋_GB2312" w:hAnsi="仿宋_GB2312" w:eastAsia="仿宋_GB2312" w:cs="仿宋_GB2312"/>
                <w:b/>
                <w:color w:val="auto"/>
                <w:kern w:val="1"/>
                <w:sz w:val="24"/>
                <w:szCs w:val="22"/>
              </w:rPr>
            </w:pPr>
          </w:p>
        </w:tc>
      </w:tr>
    </w:tbl>
    <w:p>
      <w:pPr>
        <w:adjustRightInd w:val="0"/>
        <w:snapToGrid w:val="0"/>
        <w:spacing w:line="360" w:lineRule="auto"/>
        <w:rPr>
          <w:rFonts w:hint="eastAsia" w:ascii="仿宋" w:hAnsi="仿宋" w:eastAsia="仿宋" w:cs="Times New Roman"/>
          <w:color w:val="auto"/>
          <w:kern w:val="1"/>
          <w:szCs w:val="22"/>
        </w:rPr>
      </w:pPr>
    </w:p>
    <w:p>
      <w:pPr>
        <w:adjustRightInd w:val="0"/>
        <w:snapToGrid w:val="0"/>
        <w:spacing w:line="360" w:lineRule="auto"/>
        <w:ind w:left="-427" w:leftChars="-810" w:right="-624" w:rightChars="-297" w:hanging="1274" w:hangingChars="607"/>
        <w:rPr>
          <w:rFonts w:hint="eastAsia" w:ascii="楷体" w:hAnsi="楷体" w:eastAsia="楷体" w:cs="楷体"/>
          <w:color w:val="auto"/>
          <w:kern w:val="1"/>
          <w:sz w:val="24"/>
          <w:szCs w:val="24"/>
          <w:lang w:eastAsia="zh-CN"/>
        </w:rPr>
      </w:pPr>
      <w:r>
        <w:rPr>
          <w:rFonts w:hint="eastAsia" w:ascii="仿宋" w:hAnsi="仿宋" w:eastAsia="仿宋" w:cs="Times New Roman"/>
          <w:color w:val="auto"/>
          <w:kern w:val="1"/>
          <w:szCs w:val="22"/>
        </w:rPr>
        <w:t xml:space="preserve">       </w:t>
      </w:r>
      <w:r>
        <w:rPr>
          <w:rFonts w:hint="eastAsia" w:ascii="仿宋" w:hAnsi="仿宋" w:eastAsia="仿宋" w:cs="Times New Roman"/>
          <w:color w:val="auto"/>
          <w:kern w:val="1"/>
          <w:szCs w:val="22"/>
          <w:lang w:val="en-US" w:eastAsia="zh-CN"/>
        </w:rPr>
        <w:t xml:space="preserve">    </w:t>
      </w:r>
    </w:p>
    <w:p>
      <w:pPr>
        <w:rPr>
          <w:rFonts w:hint="eastAsia"/>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906"/>
        <w:gridCol w:w="915"/>
        <w:gridCol w:w="3072"/>
        <w:gridCol w:w="2715"/>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36"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90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3072"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2715"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217"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3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0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3.0</w:t>
            </w:r>
          </w:p>
        </w:tc>
        <w:tc>
          <w:tcPr>
            <w:tcW w:w="91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3072" w:type="dxa"/>
            <w:vAlign w:val="center"/>
          </w:tcPr>
          <w:p>
            <w:pPr>
              <w:numPr>
                <w:ilvl w:val="0"/>
                <w:numId w:val="24"/>
              </w:numPr>
              <w:rPr>
                <w:rFonts w:hint="eastAsia"/>
                <w:color w:val="auto"/>
                <w:lang w:val="en-US" w:eastAsia="zh-CN"/>
              </w:rPr>
            </w:pPr>
            <w:r>
              <w:rPr>
                <w:rFonts w:hint="eastAsia" w:ascii="宋体" w:hAnsi="宋体" w:eastAsia="宋体" w:cs="宋体"/>
                <w:color w:val="auto"/>
                <w:lang w:val="en-US" w:eastAsia="zh-CN"/>
              </w:rPr>
              <w:t>根据最新版GCP的要求和实际工作需要，修订文件存档时间和档案室温湿度范围，新增来访人员登记相关内容。</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2.为确保制度的严谨性，增加参考文献。</w:t>
            </w:r>
          </w:p>
        </w:tc>
        <w:tc>
          <w:tcPr>
            <w:tcW w:w="27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1.修订第10条药物临床试验档案保存时间。</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2.修订档案室温湿度范围。</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3.新增来访人员登记表。</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4.新增参考文献。</w:t>
            </w:r>
          </w:p>
          <w:p>
            <w:pPr>
              <w:rPr>
                <w:rFonts w:hint="eastAsia" w:ascii="宋体" w:hAnsi="宋体" w:eastAsia="宋体" w:cs="宋体"/>
                <w:color w:val="auto"/>
                <w:lang w:val="en-US" w:eastAsia="zh-CN"/>
              </w:rPr>
            </w:pPr>
          </w:p>
        </w:tc>
        <w:tc>
          <w:tcPr>
            <w:tcW w:w="1217" w:type="dxa"/>
            <w:vAlign w:val="center"/>
          </w:tcPr>
          <w:p>
            <w:pPr>
              <w:rPr>
                <w:rFonts w:hint="eastAsia" w:ascii="宋体" w:hAnsi="宋体" w:eastAsia="宋体" w:cs="宋体"/>
                <w:color w:val="auto"/>
                <w:lang w:val="en-US" w:eastAsia="zh-CN"/>
              </w:rPr>
            </w:pPr>
          </w:p>
        </w:tc>
      </w:tr>
    </w:tbl>
    <w:p>
      <w:pPr>
        <w:pStyle w:val="33"/>
        <w:rPr>
          <w:rFonts w:hint="eastAsia"/>
          <w:color w:val="auto"/>
        </w:rPr>
        <w:sectPr>
          <w:headerReference r:id="rId57" w:type="default"/>
          <w:footerReference r:id="rId58" w:type="default"/>
          <w:pgSz w:w="11906" w:h="16838"/>
          <w:pgMar w:top="1417" w:right="1191" w:bottom="1474" w:left="1474" w:header="0" w:footer="992" w:gutter="0"/>
          <w:pgNumType w:fmt="decimal" w:start="1"/>
          <w:cols w:space="0" w:num="1"/>
          <w:docGrid w:type="lines" w:linePitch="312" w:charSpace="0"/>
        </w:sectPr>
      </w:pPr>
    </w:p>
    <w:p>
      <w:pPr>
        <w:spacing w:line="360" w:lineRule="auto"/>
        <w:jc w:val="center"/>
        <w:rPr>
          <w:rFonts w:ascii="黑体" w:hAnsi="黑体" w:eastAsia="黑体" w:cs="黑体"/>
          <w:b/>
          <w:color w:val="auto"/>
          <w:sz w:val="28"/>
          <w:szCs w:val="28"/>
        </w:rPr>
      </w:pPr>
      <w:r>
        <w:rPr>
          <w:rFonts w:hint="eastAsia" w:ascii="黑体" w:hAnsi="黑体" w:eastAsia="黑体" w:cs="黑体"/>
          <w:b/>
          <w:color w:val="auto"/>
          <w:sz w:val="28"/>
          <w:szCs w:val="28"/>
        </w:rPr>
        <w:t>研究文件管理制度</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一、目的</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为使</w:t>
      </w:r>
      <w:r>
        <w:rPr>
          <w:rFonts w:hint="eastAsia" w:asciiTheme="minorEastAsia" w:hAnsiTheme="minorEastAsia" w:cstheme="minorEastAsia"/>
          <w:color w:val="auto"/>
          <w:sz w:val="24"/>
          <w:szCs w:val="24"/>
          <w:lang w:eastAsia="zh-CN"/>
        </w:rPr>
        <w:t>研究</w:t>
      </w:r>
      <w:r>
        <w:rPr>
          <w:rFonts w:hint="eastAsia" w:asciiTheme="minorEastAsia" w:hAnsiTheme="minorEastAsia" w:cstheme="minorEastAsia"/>
          <w:color w:val="auto"/>
          <w:sz w:val="24"/>
          <w:szCs w:val="24"/>
        </w:rPr>
        <w:t>文件管理工作制度化、规范化、科学化、充分发挥文件在各项工作中的指导作用，特制订本制度。</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二、范围</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适用于机构专业组的文件分类、保存等管理工作。</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三、制度</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（一）文件分类</w:t>
      </w:r>
    </w:p>
    <w:p>
      <w:pPr>
        <w:numPr>
          <w:ilvl w:val="0"/>
          <w:numId w:val="25"/>
        </w:numPr>
        <w:tabs>
          <w:tab w:val="clear" w:pos="312"/>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在研临床试验项目的所有文件；</w:t>
      </w:r>
    </w:p>
    <w:p>
      <w:pPr>
        <w:numPr>
          <w:ilvl w:val="0"/>
          <w:numId w:val="25"/>
        </w:numPr>
        <w:tabs>
          <w:tab w:val="clear" w:pos="312"/>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制度性文件；</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（1）通用文件类：制度、标准操作规程、技术规范、法规指南、院红头文件等；</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（2）工作表格类：项目申请表、培训签到表、质控表等。</w:t>
      </w:r>
    </w:p>
    <w:p>
      <w:pPr>
        <w:numPr>
          <w:ilvl w:val="0"/>
          <w:numId w:val="25"/>
        </w:numPr>
        <w:tabs>
          <w:tab w:val="clear" w:pos="312"/>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人员资质文件：</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（1）机构所有人员履历、培训证书、保密协议、利益冲突声明；</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（2）专业组所有研究人员简历、培训证书等。</w:t>
      </w:r>
    </w:p>
    <w:p>
      <w:pPr>
        <w:numPr>
          <w:ilvl w:val="0"/>
          <w:numId w:val="25"/>
        </w:numPr>
        <w:tabs>
          <w:tab w:val="clear" w:pos="312"/>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工作文件、信件、邮件、通知等。</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（二）在研临床试验项目的所有文件</w:t>
      </w:r>
    </w:p>
    <w:p>
      <w:pPr>
        <w:numPr>
          <w:ilvl w:val="0"/>
          <w:numId w:val="26"/>
        </w:numPr>
        <w:tabs>
          <w:tab w:val="clear" w:pos="312"/>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机构的项目文件由机构资料管理员负责管理，项目组资料由主要研究者指定研究人员负责。</w:t>
      </w:r>
    </w:p>
    <w:p>
      <w:pPr>
        <w:numPr>
          <w:ilvl w:val="0"/>
          <w:numId w:val="26"/>
        </w:numPr>
        <w:tabs>
          <w:tab w:val="clear" w:pos="312"/>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试验前的资料（检验报告、研究者手册、病例报告表样稿、知情同意书样稿、试验方案、伦理委员会批件和伦理委员会成员表、研究者履历、与临床试验有关的实验室检测正常值范围、实验室操作的质控证明、申办方资质证明、协议书等相关文件）机构办公室及专业组应各存一份。</w:t>
      </w:r>
    </w:p>
    <w:p>
      <w:pPr>
        <w:numPr>
          <w:ilvl w:val="0"/>
          <w:numId w:val="26"/>
        </w:numPr>
        <w:tabs>
          <w:tab w:val="clear" w:pos="312"/>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试验进行过程中的资料：启动会相关资料；试验方案、知情同意书、招募广告、研究者手册等文件的修正案及相应的伦理批件；补充协议；试验相关人员（包括研究者、CRC/CRA）变更信息；研究者/CRA递交的试验相关资料，如SAE报告等；机构质控记录表及专业组反馈。机构及项目组均应保留一份，CRF表、知情同意书、原始医疗文件等由项目组保存。</w:t>
      </w:r>
    </w:p>
    <w:p>
      <w:pPr>
        <w:numPr>
          <w:ilvl w:val="0"/>
          <w:numId w:val="26"/>
        </w:numPr>
        <w:tabs>
          <w:tab w:val="clear" w:pos="312"/>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试验结束后研究者根据“药物临床试验保存文件”或“医疗器械临床试验保存文件”上所要求的内容整理好项目所有资料，移交给机构资料管理员，交接双方签名确认后，由机构统一保管。对于所缺失的文件作出书面情况说明。</w:t>
      </w:r>
    </w:p>
    <w:p>
      <w:pPr>
        <w:numPr>
          <w:ilvl w:val="0"/>
          <w:numId w:val="26"/>
        </w:numPr>
        <w:tabs>
          <w:tab w:val="clear" w:pos="312"/>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原始文件的数据直接影响到临床试验的质量及真实性，研究者应参照《原始资料记录的SOP》，做到真实记录、认真填写和及时收集并规范保存；不同药物或医疗器械临床试验的文件应当分开保存。</w:t>
      </w:r>
    </w:p>
    <w:p>
      <w:pPr>
        <w:numPr>
          <w:ilvl w:val="0"/>
          <w:numId w:val="26"/>
        </w:numPr>
        <w:tabs>
          <w:tab w:val="clear" w:pos="312"/>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原始资料应避免邮寄，防止遗失。</w:t>
      </w:r>
    </w:p>
    <w:p>
      <w:pPr>
        <w:numPr>
          <w:ilvl w:val="0"/>
          <w:numId w:val="26"/>
        </w:numPr>
        <w:tabs>
          <w:tab w:val="clear" w:pos="312"/>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电子版本文件应有备份，以防遗失。</w:t>
      </w:r>
    </w:p>
    <w:p>
      <w:pPr>
        <w:numPr>
          <w:ilvl w:val="0"/>
          <w:numId w:val="26"/>
        </w:numPr>
        <w:tabs>
          <w:tab w:val="clear" w:pos="312"/>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药物</w:t>
      </w:r>
      <w:r>
        <w:rPr>
          <w:rFonts w:hint="eastAsia" w:asciiTheme="minorEastAsia" w:hAnsiTheme="minorEastAsia" w:cstheme="minorEastAsia"/>
          <w:color w:val="auto"/>
          <w:sz w:val="24"/>
          <w:szCs w:val="24"/>
          <w:lang w:eastAsia="zh-CN"/>
        </w:rPr>
        <w:t>或</w:t>
      </w:r>
      <w:r>
        <w:rPr>
          <w:rFonts w:hint="eastAsia" w:asciiTheme="minorEastAsia" w:hAnsiTheme="minorEastAsia" w:cstheme="minorEastAsia"/>
          <w:color w:val="auto"/>
          <w:sz w:val="24"/>
          <w:szCs w:val="24"/>
        </w:rPr>
        <w:t>医疗器械临床试验文件应严格控制接触文件的人员，以避免任何遗失或泄密。特别是对与申办者提供的有关新处方、制剂工艺等关键内容要保密，不得擅自对外泄露。具体参考《保密管理制度》。</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（三）制度性文件、人员资质文件、工作文件的管理</w:t>
      </w:r>
    </w:p>
    <w:p>
      <w:pPr>
        <w:numPr>
          <w:ilvl w:val="0"/>
          <w:numId w:val="27"/>
        </w:numPr>
        <w:tabs>
          <w:tab w:val="clear" w:pos="312"/>
        </w:tabs>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rPr>
        <w:t>现行制度性文件、机构管理人员相关材料分类存放在机构办公室文件柜中上锁保存，并将文件夹（盒）做好标识便于查找；归档资料保存于机构档案室中并做好档案登记相关工作。</w:t>
      </w:r>
    </w:p>
    <w:p>
      <w:pPr>
        <w:numPr>
          <w:ilvl w:val="0"/>
          <w:numId w:val="27"/>
        </w:numPr>
        <w:tabs>
          <w:tab w:val="clear" w:pos="312"/>
        </w:tabs>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专业组的上述文件由专业组资料管理员分类保管，历史版本制度及SOP 分类另行存放，不应与现行混放。</w:t>
      </w:r>
    </w:p>
    <w:p>
      <w:pPr>
        <w:spacing w:line="360" w:lineRule="auto"/>
        <w:rPr>
          <w:rFonts w:asciiTheme="minorEastAsia" w:hAnsiTheme="minorEastAsia" w:cstheme="minorEastAsia"/>
          <w:color w:val="auto"/>
          <w:sz w:val="24"/>
          <w:szCs w:val="24"/>
          <w:highlight w:val="none"/>
        </w:rPr>
      </w:pPr>
    </w:p>
    <w:p>
      <w:pPr>
        <w:spacing w:line="360" w:lineRule="auto"/>
        <w:rPr>
          <w:rFonts w:asciiTheme="minorEastAsia" w:hAnsiTheme="minorEastAsia" w:cstheme="minorEastAsia"/>
          <w:color w:val="auto"/>
          <w:sz w:val="24"/>
          <w:szCs w:val="24"/>
          <w:highlight w:val="none"/>
        </w:rPr>
        <w:sectPr>
          <w:headerReference r:id="rId59" w:type="default"/>
          <w:pgSz w:w="11906" w:h="16838"/>
          <w:pgMar w:top="1417" w:right="1191" w:bottom="1474" w:left="1474" w:header="0" w:footer="992" w:gutter="0"/>
          <w:pgNumType w:fmt="decimal" w:start="1"/>
          <w:cols w:space="0" w:num="1"/>
          <w:docGrid w:type="lines" w:linePitch="312" w:charSpace="0"/>
        </w:sectPr>
      </w:pPr>
    </w:p>
    <w:p>
      <w:pPr>
        <w:widowControl/>
        <w:shd w:val="clear" w:color="auto" w:fill="FFFFFF"/>
        <w:spacing w:line="450" w:lineRule="atLeast"/>
        <w:ind w:right="60" w:firstLine="3092" w:firstLineChars="1100"/>
        <w:rPr>
          <w:rStyle w:val="30"/>
          <w:rFonts w:ascii="黑体" w:hAnsi="黑体" w:eastAsia="黑体" w:cs="黑体"/>
          <w:color w:val="auto"/>
          <w:kern w:val="0"/>
          <w:sz w:val="28"/>
          <w:szCs w:val="28"/>
          <w:shd w:val="clear" w:color="auto" w:fill="FFFFFF"/>
          <w:lang w:bidi="ar"/>
        </w:rPr>
      </w:pPr>
      <w:r>
        <w:rPr>
          <w:rStyle w:val="30"/>
          <w:rFonts w:hint="eastAsia" w:ascii="黑体" w:hAnsi="黑体" w:eastAsia="黑体" w:cs="黑体"/>
          <w:color w:val="auto"/>
          <w:kern w:val="0"/>
          <w:sz w:val="28"/>
          <w:szCs w:val="28"/>
          <w:shd w:val="clear" w:color="auto" w:fill="FFFFFF"/>
          <w:lang w:bidi="ar"/>
        </w:rPr>
        <w:t>质量控制管理制度</w:t>
      </w:r>
    </w:p>
    <w:p>
      <w:pPr>
        <w:numPr>
          <w:ilvl w:val="0"/>
          <w:numId w:val="28"/>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目的</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为建立临床试验质量管理体系和临床试验质量管理的制度规范，确保临床试验的顺利进行，保障受试者的安全和权益，保证试验数据完整、真实、准确、可靠。</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二、适用范围</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本院所有临床试验。</w:t>
      </w:r>
    </w:p>
    <w:p>
      <w:pPr>
        <w:numPr>
          <w:ilvl w:val="0"/>
          <w:numId w:val="29"/>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制度</w:t>
      </w:r>
    </w:p>
    <w:p>
      <w:pPr>
        <w:pStyle w:val="24"/>
        <w:shd w:val="clear" w:color="auto" w:fill="FFFFFF"/>
        <w:spacing w:before="0" w:beforeAutospacing="0" w:after="0" w:afterAutospacing="0" w:line="360" w:lineRule="auto"/>
        <w:ind w:right="60" w:firstLine="480" w:firstLineChars="200"/>
        <w:rPr>
          <w:rFonts w:asciiTheme="minorEastAsia" w:hAnsiTheme="minorEastAsia" w:eastAsiaTheme="minorEastAsia" w:cstheme="minorEastAsia"/>
          <w:color w:val="auto"/>
        </w:rPr>
      </w:pPr>
      <w:r>
        <w:rPr>
          <w:rFonts w:ascii="Arial" w:hAnsi="Arial" w:cs="Arial"/>
          <w:color w:val="auto"/>
          <w:shd w:val="clear" w:color="auto" w:fill="FFFFFF"/>
        </w:rPr>
        <w:t>质量控制体系分</w:t>
      </w:r>
      <w:r>
        <w:rPr>
          <w:rFonts w:hint="eastAsia" w:ascii="Arial" w:hAnsi="Arial" w:cs="Arial"/>
          <w:color w:val="auto"/>
          <w:shd w:val="clear" w:color="auto" w:fill="FFFFFF"/>
        </w:rPr>
        <w:t>专业组</w:t>
      </w:r>
      <w:r>
        <w:rPr>
          <w:rFonts w:ascii="Arial" w:hAnsi="Arial" w:cs="Arial"/>
          <w:color w:val="auto"/>
          <w:shd w:val="clear" w:color="auto" w:fill="FFFFFF"/>
        </w:rPr>
        <w:t>质控；机构质控；申办方监查和稽查工作。</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临床试验的质量涉及申办方/CRO、研究者、临床试验机构、伦理委员会以及受试者等，各相关人员应始终关注质量问题，切实履行自己的职责，把好质量关，保护受试者的权益始终应放在第一位。申办方是质量的主要责任方，PI是质量的第一责任人，对受试者的诊治与安全、试验资料的真实性负责。</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2、所有专业组开展的药物或医疗器械临床试验，均需执行本机构的临床试验质量管理制度，药物</w:t>
      </w:r>
      <w:r>
        <w:rPr>
          <w:rFonts w:hint="eastAsia" w:asciiTheme="minorEastAsia" w:hAnsiTheme="minorEastAsia" w:cstheme="minorEastAsia"/>
          <w:color w:val="auto"/>
          <w:sz w:val="24"/>
          <w:szCs w:val="24"/>
          <w:lang w:val="en-US" w:eastAsia="zh-CN"/>
        </w:rPr>
        <w:t>/</w:t>
      </w:r>
      <w:r>
        <w:rPr>
          <w:rFonts w:hint="eastAsia" w:asciiTheme="minorEastAsia" w:hAnsiTheme="minorEastAsia" w:cstheme="minorEastAsia"/>
          <w:color w:val="auto"/>
          <w:sz w:val="24"/>
          <w:szCs w:val="24"/>
        </w:rPr>
        <w:t>医疗器械临床试验的全过程由机构质控员对项目进行质量管理，质控员需定期向机构办公室主任请示和汇报。</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3、在项目申请立项时，就项目的合规性、研究者的资质、专业组的条件等进行审核，不符合要求者，不能组织实施药物</w:t>
      </w:r>
      <w:r>
        <w:rPr>
          <w:rFonts w:hint="eastAsia" w:asciiTheme="minorEastAsia" w:hAnsiTheme="minorEastAsia" w:cstheme="minorEastAsia"/>
          <w:color w:val="auto"/>
          <w:sz w:val="24"/>
          <w:szCs w:val="24"/>
          <w:lang w:val="en-US" w:eastAsia="zh-CN"/>
        </w:rPr>
        <w:t>/</w:t>
      </w:r>
      <w:r>
        <w:rPr>
          <w:rFonts w:hint="eastAsia" w:asciiTheme="minorEastAsia" w:hAnsiTheme="minorEastAsia" w:cstheme="minorEastAsia"/>
          <w:color w:val="auto"/>
          <w:sz w:val="24"/>
          <w:szCs w:val="24"/>
        </w:rPr>
        <w:t>医疗器械临床试验。</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4、机构质控员参加分中心启动会，对项目组成员进行GCP培训，制定质控检查计划，试验过程中要求各专业组必须严格按照试验方案和相关制度/SOP开展临床试验。</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在试验过程中机构质控员严格按照质控检查计划协调研究者对项目开展早、中、结题常规质控检查，按入组病例数的一定比例进行抽查，发现问题再扩大检查；对药物/医疗器械管理、资料管理等进行专项检查；对于风险高的项目应加强检查；其他还包括有因检查等。检查内容（但不限于）：受试者知情与权益、方案执行情况、抽查CRF与数据溯源、检查稽查情况、药物管理/医疗器械管理、资料管理等。</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6、对质控检查中发现的问题提出反馈意见，与申办方/CRO和PI及时沟通、及时处理。</w:t>
      </w:r>
    </w:p>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 w:val="24"/>
          <w:szCs w:val="24"/>
        </w:rPr>
      </w:pPr>
    </w:p>
    <w:p>
      <w:pPr>
        <w:spacing w:line="360" w:lineRule="auto"/>
        <w:ind w:firstLine="3132" w:firstLineChars="1300"/>
        <w:rPr>
          <w:rFonts w:ascii="宋体" w:hAnsi="宋体"/>
          <w:b/>
          <w:color w:val="auto"/>
          <w:sz w:val="24"/>
          <w:szCs w:val="24"/>
        </w:rPr>
      </w:pPr>
    </w:p>
    <w:p>
      <w:pPr>
        <w:rPr>
          <w:rFonts w:ascii="黑体" w:hAnsi="黑体" w:eastAsia="黑体" w:cs="黑体"/>
          <w:b/>
          <w:color w:val="auto"/>
          <w:sz w:val="28"/>
          <w:szCs w:val="28"/>
        </w:rPr>
      </w:pPr>
    </w:p>
    <w:p>
      <w:pPr>
        <w:pStyle w:val="5"/>
        <w:widowControl/>
        <w:spacing w:before="120" w:beforeAutospacing="0" w:after="90" w:afterAutospacing="0" w:line="540" w:lineRule="atLeast"/>
        <w:ind w:firstLine="3092" w:firstLineChars="1100"/>
        <w:jc w:val="both"/>
        <w:rPr>
          <w:rFonts w:hint="default" w:ascii="黑体" w:hAnsi="黑体" w:eastAsia="黑体" w:cs="黑体"/>
          <w:color w:val="auto"/>
          <w:sz w:val="28"/>
          <w:szCs w:val="28"/>
        </w:rPr>
        <w:sectPr>
          <w:headerReference r:id="rId60" w:type="default"/>
          <w:footerReference r:id="rId61" w:type="default"/>
          <w:pgSz w:w="11906" w:h="16838"/>
          <w:pgMar w:top="1417" w:right="1191" w:bottom="1474" w:left="1474" w:header="0" w:footer="992" w:gutter="0"/>
          <w:pgNumType w:fmt="decimal" w:start="1"/>
          <w:cols w:space="0" w:num="1"/>
          <w:docGrid w:type="lines" w:linePitch="312" w:charSpace="0"/>
        </w:sectPr>
      </w:pPr>
    </w:p>
    <w:p>
      <w:pPr>
        <w:pStyle w:val="5"/>
        <w:widowControl/>
        <w:spacing w:before="120" w:beforeAutospacing="0" w:after="90" w:afterAutospacing="0" w:line="540" w:lineRule="atLeast"/>
        <w:ind w:firstLine="3092" w:firstLineChars="1100"/>
        <w:jc w:val="both"/>
        <w:rPr>
          <w:rFonts w:hint="default" w:ascii="黑体" w:hAnsi="黑体" w:eastAsia="黑体" w:cs="黑体"/>
          <w:color w:val="auto"/>
          <w:sz w:val="28"/>
          <w:szCs w:val="28"/>
        </w:rPr>
      </w:pPr>
      <w:r>
        <w:rPr>
          <w:rFonts w:ascii="黑体" w:hAnsi="黑体" w:eastAsia="黑体" w:cs="黑体"/>
          <w:color w:val="auto"/>
          <w:sz w:val="28"/>
          <w:szCs w:val="28"/>
        </w:rPr>
        <w:t>公章使用管理制度</w:t>
      </w:r>
    </w:p>
    <w:p>
      <w:pPr>
        <w:pStyle w:val="5"/>
        <w:widowControl/>
        <w:spacing w:before="120" w:beforeAutospacing="0" w:after="90" w:afterAutospacing="0" w:line="540" w:lineRule="atLeast"/>
        <w:jc w:val="both"/>
        <w:rPr>
          <w:rFonts w:hint="default" w:asciiTheme="minorEastAsia" w:hAnsiTheme="minorEastAsia" w:eastAsiaTheme="minorEastAsia" w:cstheme="minorEastAsia"/>
          <w:b w:val="0"/>
          <w:color w:val="auto"/>
          <w:sz w:val="24"/>
          <w:szCs w:val="24"/>
        </w:rPr>
      </w:pPr>
      <w:r>
        <w:rPr>
          <w:rFonts w:asciiTheme="minorEastAsia" w:hAnsiTheme="minorEastAsia" w:cstheme="minorEastAsia"/>
          <w:b w:val="0"/>
          <w:color w:val="auto"/>
          <w:sz w:val="24"/>
          <w:szCs w:val="24"/>
        </w:rPr>
        <w:t>一、</w:t>
      </w:r>
      <w:r>
        <w:rPr>
          <w:rFonts w:asciiTheme="minorEastAsia" w:hAnsiTheme="minorEastAsia" w:eastAsiaTheme="minorEastAsia" w:cstheme="minorEastAsia"/>
          <w:b w:val="0"/>
          <w:color w:val="auto"/>
          <w:sz w:val="24"/>
          <w:szCs w:val="24"/>
        </w:rPr>
        <w:t>目的</w:t>
      </w:r>
    </w:p>
    <w:p>
      <w:pPr>
        <w:spacing w:line="360" w:lineRule="auto"/>
        <w:ind w:left="480" w:hanging="480" w:hanging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w:t>
      </w:r>
      <w:r>
        <w:rPr>
          <w:rFonts w:hint="eastAsia" w:asciiTheme="minorEastAsia" w:hAnsiTheme="minorEastAsia" w:cstheme="minorEastAsia"/>
          <w:color w:val="auto"/>
          <w:sz w:val="24"/>
          <w:szCs w:val="24"/>
          <w:lang w:val="en-US" w:eastAsia="zh-CN"/>
        </w:rPr>
        <w:t xml:space="preserve"> </w:t>
      </w:r>
      <w:r>
        <w:rPr>
          <w:rFonts w:hint="eastAsia" w:asciiTheme="minorEastAsia" w:hAnsiTheme="minorEastAsia" w:cstheme="minorEastAsia"/>
          <w:color w:val="auto"/>
          <w:sz w:val="24"/>
          <w:szCs w:val="24"/>
        </w:rPr>
        <w:t>为使本机构公章管理规范化、制度化，保证公章的权威性、严肃性，提高工作效率，结合本机构实际，制定本办法。</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二、适用范围</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w:t>
      </w:r>
      <w:r>
        <w:rPr>
          <w:rFonts w:hint="eastAsia" w:asciiTheme="minorEastAsia" w:hAnsiTheme="minorEastAsia" w:cstheme="minorEastAsia"/>
          <w:color w:val="auto"/>
          <w:sz w:val="24"/>
          <w:szCs w:val="24"/>
          <w:lang w:val="en-US" w:eastAsia="zh-CN"/>
        </w:rPr>
        <w:t xml:space="preserve"> </w:t>
      </w:r>
      <w:r>
        <w:rPr>
          <w:rFonts w:hint="eastAsia" w:asciiTheme="minorEastAsia" w:hAnsiTheme="minorEastAsia" w:cstheme="minorEastAsia"/>
          <w:color w:val="auto"/>
          <w:sz w:val="24"/>
          <w:szCs w:val="24"/>
        </w:rPr>
        <w:t>机构办公室的公章管理。</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三、制度</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1、机构公章由院长办公室负责刻制。</w:t>
      </w:r>
    </w:p>
    <w:p>
      <w:pPr>
        <w:spacing w:line="360" w:lineRule="auto"/>
        <w:ind w:left="480" w:hanging="480" w:hanging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2、机构公章存放和使用地点在机构办公室。由机构秘书保管，未经机构办公室主任批准，均不得带出存放地点使用。</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3、需要本机构盖章的材料包括但不限于：</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（1）项目中心小结表、总结表、研究方案等对外签署的各种文书；</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（2）所有介绍信、说明、证明等一般往来信函；</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（3）科研项目申请、科研合作；</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（4）临床试验合同签署还须加盖医院公章。</w:t>
      </w:r>
    </w:p>
    <w:p>
      <w:pPr>
        <w:spacing w:line="360" w:lineRule="auto"/>
        <w:ind w:left="480" w:hanging="480" w:hanging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公章的使用须经机构办公室主任审批签字后，方可加盖机构公章。秘书记录与《临床试验机构公章使用登记表（附件1）》，记录内容包括申办单位、申办事由、经办人、审批人、领取人、日期等信息，以防止公章丢失和滥用。</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5、公章因管理不善而造成损失的，应追究相关人员的责任。</w:t>
      </w:r>
    </w:p>
    <w:p>
      <w:pPr>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rPr>
        <w:t>四、附件</w:t>
      </w:r>
    </w:p>
    <w:p>
      <w:pPr>
        <w:spacing w:line="360" w:lineRule="auto"/>
        <w:jc w:val="center"/>
        <w:rPr>
          <w:color w:val="auto"/>
          <w:highlight w:val="none"/>
        </w:rPr>
      </w:pPr>
      <w:r>
        <w:rPr>
          <w:rFonts w:hint="eastAsia" w:asciiTheme="minorEastAsia" w:hAnsiTheme="minorEastAsia" w:cstheme="minorEastAsia"/>
          <w:color w:val="auto"/>
          <w:sz w:val="24"/>
          <w:szCs w:val="24"/>
          <w:highlight w:val="none"/>
        </w:rPr>
        <w:t>临床试验机构公章使用登记表</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17" w:type="dxa"/>
            <w:vAlign w:val="center"/>
          </w:tcPr>
          <w:p>
            <w:pPr>
              <w:jc w:val="center"/>
              <w:rPr>
                <w:color w:val="auto"/>
              </w:rPr>
            </w:pPr>
            <w:r>
              <w:rPr>
                <w:rFonts w:hint="eastAsia"/>
                <w:color w:val="auto"/>
              </w:rPr>
              <w:t>日期</w:t>
            </w:r>
          </w:p>
        </w:tc>
        <w:tc>
          <w:tcPr>
            <w:tcW w:w="1217" w:type="dxa"/>
            <w:vAlign w:val="center"/>
          </w:tcPr>
          <w:p>
            <w:pPr>
              <w:jc w:val="center"/>
              <w:rPr>
                <w:color w:val="auto"/>
              </w:rPr>
            </w:pPr>
            <w:r>
              <w:rPr>
                <w:rFonts w:hint="eastAsia"/>
                <w:color w:val="auto"/>
              </w:rPr>
              <w:t>申请单位</w:t>
            </w:r>
          </w:p>
        </w:tc>
        <w:tc>
          <w:tcPr>
            <w:tcW w:w="1217" w:type="dxa"/>
            <w:vAlign w:val="center"/>
          </w:tcPr>
          <w:p>
            <w:pPr>
              <w:jc w:val="center"/>
              <w:rPr>
                <w:color w:val="auto"/>
              </w:rPr>
            </w:pPr>
            <w:r>
              <w:rPr>
                <w:rFonts w:hint="eastAsia"/>
                <w:color w:val="auto"/>
              </w:rPr>
              <w:t>申办事由</w:t>
            </w:r>
          </w:p>
        </w:tc>
        <w:tc>
          <w:tcPr>
            <w:tcW w:w="1217" w:type="dxa"/>
            <w:vAlign w:val="center"/>
          </w:tcPr>
          <w:p>
            <w:pPr>
              <w:jc w:val="center"/>
              <w:rPr>
                <w:color w:val="auto"/>
              </w:rPr>
            </w:pPr>
            <w:r>
              <w:rPr>
                <w:rFonts w:hint="eastAsia"/>
                <w:color w:val="auto"/>
              </w:rPr>
              <w:t>经办人</w:t>
            </w:r>
          </w:p>
        </w:tc>
        <w:tc>
          <w:tcPr>
            <w:tcW w:w="1218" w:type="dxa"/>
            <w:vAlign w:val="center"/>
          </w:tcPr>
          <w:p>
            <w:pPr>
              <w:jc w:val="center"/>
              <w:rPr>
                <w:color w:val="auto"/>
              </w:rPr>
            </w:pPr>
            <w:r>
              <w:rPr>
                <w:rFonts w:hint="eastAsia"/>
                <w:color w:val="auto"/>
              </w:rPr>
              <w:t>批准人</w:t>
            </w:r>
          </w:p>
        </w:tc>
        <w:tc>
          <w:tcPr>
            <w:tcW w:w="1218" w:type="dxa"/>
            <w:vAlign w:val="center"/>
          </w:tcPr>
          <w:p>
            <w:pPr>
              <w:jc w:val="center"/>
              <w:rPr>
                <w:color w:val="auto"/>
              </w:rPr>
            </w:pPr>
            <w:r>
              <w:rPr>
                <w:rFonts w:hint="eastAsia"/>
                <w:color w:val="auto"/>
              </w:rPr>
              <w:t>领取人</w:t>
            </w:r>
          </w:p>
        </w:tc>
        <w:tc>
          <w:tcPr>
            <w:tcW w:w="1218" w:type="dxa"/>
            <w:vAlign w:val="center"/>
          </w:tcPr>
          <w:p>
            <w:pPr>
              <w:jc w:val="center"/>
              <w:rPr>
                <w:color w:val="auto"/>
              </w:rPr>
            </w:pPr>
            <w:r>
              <w:rPr>
                <w:rFonts w:hint="eastAsia"/>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17" w:type="dxa"/>
          </w:tcPr>
          <w:p>
            <w:pPr>
              <w:rPr>
                <w:color w:val="auto"/>
              </w:rPr>
            </w:pPr>
          </w:p>
        </w:tc>
        <w:tc>
          <w:tcPr>
            <w:tcW w:w="1217" w:type="dxa"/>
          </w:tcPr>
          <w:p>
            <w:pPr>
              <w:rPr>
                <w:color w:val="auto"/>
              </w:rPr>
            </w:pPr>
          </w:p>
        </w:tc>
        <w:tc>
          <w:tcPr>
            <w:tcW w:w="1217" w:type="dxa"/>
          </w:tcPr>
          <w:p>
            <w:pPr>
              <w:rPr>
                <w:color w:val="auto"/>
              </w:rPr>
            </w:pPr>
          </w:p>
        </w:tc>
        <w:tc>
          <w:tcPr>
            <w:tcW w:w="1217" w:type="dxa"/>
          </w:tcPr>
          <w:p>
            <w:pPr>
              <w:rPr>
                <w:color w:val="auto"/>
              </w:rPr>
            </w:pPr>
          </w:p>
        </w:tc>
        <w:tc>
          <w:tcPr>
            <w:tcW w:w="1218" w:type="dxa"/>
          </w:tcPr>
          <w:p>
            <w:pPr>
              <w:rPr>
                <w:color w:val="auto"/>
              </w:rPr>
            </w:pPr>
          </w:p>
        </w:tc>
        <w:tc>
          <w:tcPr>
            <w:tcW w:w="1218" w:type="dxa"/>
          </w:tcPr>
          <w:p>
            <w:pPr>
              <w:rPr>
                <w:color w:val="auto"/>
              </w:rPr>
            </w:pPr>
          </w:p>
        </w:tc>
        <w:tc>
          <w:tcPr>
            <w:tcW w:w="1218"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17" w:type="dxa"/>
          </w:tcPr>
          <w:p>
            <w:pPr>
              <w:rPr>
                <w:color w:val="auto"/>
              </w:rPr>
            </w:pPr>
          </w:p>
        </w:tc>
        <w:tc>
          <w:tcPr>
            <w:tcW w:w="1217" w:type="dxa"/>
          </w:tcPr>
          <w:p>
            <w:pPr>
              <w:rPr>
                <w:color w:val="auto"/>
              </w:rPr>
            </w:pPr>
          </w:p>
        </w:tc>
        <w:tc>
          <w:tcPr>
            <w:tcW w:w="1217" w:type="dxa"/>
          </w:tcPr>
          <w:p>
            <w:pPr>
              <w:rPr>
                <w:color w:val="auto"/>
              </w:rPr>
            </w:pPr>
          </w:p>
        </w:tc>
        <w:tc>
          <w:tcPr>
            <w:tcW w:w="1217" w:type="dxa"/>
          </w:tcPr>
          <w:p>
            <w:pPr>
              <w:rPr>
                <w:color w:val="auto"/>
              </w:rPr>
            </w:pPr>
          </w:p>
        </w:tc>
        <w:tc>
          <w:tcPr>
            <w:tcW w:w="1218" w:type="dxa"/>
          </w:tcPr>
          <w:p>
            <w:pPr>
              <w:rPr>
                <w:color w:val="auto"/>
              </w:rPr>
            </w:pPr>
          </w:p>
        </w:tc>
        <w:tc>
          <w:tcPr>
            <w:tcW w:w="1218" w:type="dxa"/>
          </w:tcPr>
          <w:p>
            <w:pPr>
              <w:rPr>
                <w:color w:val="auto"/>
              </w:rPr>
            </w:pPr>
          </w:p>
        </w:tc>
        <w:tc>
          <w:tcPr>
            <w:tcW w:w="1218"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17" w:type="dxa"/>
          </w:tcPr>
          <w:p>
            <w:pPr>
              <w:rPr>
                <w:color w:val="auto"/>
              </w:rPr>
            </w:pPr>
          </w:p>
        </w:tc>
        <w:tc>
          <w:tcPr>
            <w:tcW w:w="1217" w:type="dxa"/>
          </w:tcPr>
          <w:p>
            <w:pPr>
              <w:rPr>
                <w:color w:val="auto"/>
              </w:rPr>
            </w:pPr>
          </w:p>
        </w:tc>
        <w:tc>
          <w:tcPr>
            <w:tcW w:w="1217" w:type="dxa"/>
          </w:tcPr>
          <w:p>
            <w:pPr>
              <w:rPr>
                <w:color w:val="auto"/>
              </w:rPr>
            </w:pPr>
          </w:p>
        </w:tc>
        <w:tc>
          <w:tcPr>
            <w:tcW w:w="1217" w:type="dxa"/>
          </w:tcPr>
          <w:p>
            <w:pPr>
              <w:rPr>
                <w:color w:val="auto"/>
              </w:rPr>
            </w:pPr>
          </w:p>
        </w:tc>
        <w:tc>
          <w:tcPr>
            <w:tcW w:w="1218" w:type="dxa"/>
          </w:tcPr>
          <w:p>
            <w:pPr>
              <w:rPr>
                <w:color w:val="auto"/>
              </w:rPr>
            </w:pPr>
          </w:p>
        </w:tc>
        <w:tc>
          <w:tcPr>
            <w:tcW w:w="1218" w:type="dxa"/>
          </w:tcPr>
          <w:p>
            <w:pPr>
              <w:rPr>
                <w:color w:val="auto"/>
              </w:rPr>
            </w:pPr>
          </w:p>
        </w:tc>
        <w:tc>
          <w:tcPr>
            <w:tcW w:w="1218"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17" w:type="dxa"/>
          </w:tcPr>
          <w:p>
            <w:pPr>
              <w:rPr>
                <w:color w:val="auto"/>
              </w:rPr>
            </w:pPr>
          </w:p>
        </w:tc>
        <w:tc>
          <w:tcPr>
            <w:tcW w:w="1217" w:type="dxa"/>
          </w:tcPr>
          <w:p>
            <w:pPr>
              <w:rPr>
                <w:color w:val="auto"/>
              </w:rPr>
            </w:pPr>
          </w:p>
        </w:tc>
        <w:tc>
          <w:tcPr>
            <w:tcW w:w="1217" w:type="dxa"/>
          </w:tcPr>
          <w:p>
            <w:pPr>
              <w:rPr>
                <w:color w:val="auto"/>
              </w:rPr>
            </w:pPr>
          </w:p>
        </w:tc>
        <w:tc>
          <w:tcPr>
            <w:tcW w:w="1217" w:type="dxa"/>
          </w:tcPr>
          <w:p>
            <w:pPr>
              <w:rPr>
                <w:color w:val="auto"/>
              </w:rPr>
            </w:pPr>
          </w:p>
        </w:tc>
        <w:tc>
          <w:tcPr>
            <w:tcW w:w="1218" w:type="dxa"/>
          </w:tcPr>
          <w:p>
            <w:pPr>
              <w:rPr>
                <w:color w:val="auto"/>
              </w:rPr>
            </w:pPr>
          </w:p>
        </w:tc>
        <w:tc>
          <w:tcPr>
            <w:tcW w:w="1218" w:type="dxa"/>
          </w:tcPr>
          <w:p>
            <w:pPr>
              <w:rPr>
                <w:color w:val="auto"/>
              </w:rPr>
            </w:pPr>
          </w:p>
        </w:tc>
        <w:tc>
          <w:tcPr>
            <w:tcW w:w="1218"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17" w:type="dxa"/>
          </w:tcPr>
          <w:p>
            <w:pPr>
              <w:rPr>
                <w:color w:val="auto"/>
              </w:rPr>
            </w:pPr>
          </w:p>
        </w:tc>
        <w:tc>
          <w:tcPr>
            <w:tcW w:w="1217" w:type="dxa"/>
          </w:tcPr>
          <w:p>
            <w:pPr>
              <w:rPr>
                <w:color w:val="auto"/>
              </w:rPr>
            </w:pPr>
          </w:p>
        </w:tc>
        <w:tc>
          <w:tcPr>
            <w:tcW w:w="1217" w:type="dxa"/>
          </w:tcPr>
          <w:p>
            <w:pPr>
              <w:rPr>
                <w:color w:val="auto"/>
              </w:rPr>
            </w:pPr>
          </w:p>
        </w:tc>
        <w:tc>
          <w:tcPr>
            <w:tcW w:w="1217" w:type="dxa"/>
          </w:tcPr>
          <w:p>
            <w:pPr>
              <w:rPr>
                <w:color w:val="auto"/>
              </w:rPr>
            </w:pPr>
          </w:p>
        </w:tc>
        <w:tc>
          <w:tcPr>
            <w:tcW w:w="1218" w:type="dxa"/>
          </w:tcPr>
          <w:p>
            <w:pPr>
              <w:rPr>
                <w:color w:val="auto"/>
              </w:rPr>
            </w:pPr>
          </w:p>
        </w:tc>
        <w:tc>
          <w:tcPr>
            <w:tcW w:w="1218" w:type="dxa"/>
          </w:tcPr>
          <w:p>
            <w:pPr>
              <w:rPr>
                <w:color w:val="auto"/>
              </w:rPr>
            </w:pPr>
          </w:p>
        </w:tc>
        <w:tc>
          <w:tcPr>
            <w:tcW w:w="1218"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17" w:type="dxa"/>
          </w:tcPr>
          <w:p>
            <w:pPr>
              <w:rPr>
                <w:color w:val="auto"/>
              </w:rPr>
            </w:pPr>
          </w:p>
        </w:tc>
        <w:tc>
          <w:tcPr>
            <w:tcW w:w="1217" w:type="dxa"/>
          </w:tcPr>
          <w:p>
            <w:pPr>
              <w:rPr>
                <w:color w:val="auto"/>
              </w:rPr>
            </w:pPr>
          </w:p>
        </w:tc>
        <w:tc>
          <w:tcPr>
            <w:tcW w:w="1217" w:type="dxa"/>
          </w:tcPr>
          <w:p>
            <w:pPr>
              <w:rPr>
                <w:color w:val="auto"/>
              </w:rPr>
            </w:pPr>
          </w:p>
        </w:tc>
        <w:tc>
          <w:tcPr>
            <w:tcW w:w="1217" w:type="dxa"/>
          </w:tcPr>
          <w:p>
            <w:pPr>
              <w:rPr>
                <w:color w:val="auto"/>
              </w:rPr>
            </w:pPr>
          </w:p>
        </w:tc>
        <w:tc>
          <w:tcPr>
            <w:tcW w:w="1218" w:type="dxa"/>
          </w:tcPr>
          <w:p>
            <w:pPr>
              <w:rPr>
                <w:color w:val="auto"/>
              </w:rPr>
            </w:pPr>
          </w:p>
        </w:tc>
        <w:tc>
          <w:tcPr>
            <w:tcW w:w="1218" w:type="dxa"/>
          </w:tcPr>
          <w:p>
            <w:pPr>
              <w:rPr>
                <w:color w:val="auto"/>
              </w:rPr>
            </w:pPr>
          </w:p>
        </w:tc>
        <w:tc>
          <w:tcPr>
            <w:tcW w:w="1218" w:type="dxa"/>
          </w:tcPr>
          <w:p>
            <w:pPr>
              <w:rPr>
                <w:color w:val="auto"/>
              </w:rPr>
            </w:pPr>
          </w:p>
        </w:tc>
      </w:tr>
    </w:tbl>
    <w:p>
      <w:pPr>
        <w:spacing w:line="360" w:lineRule="auto"/>
        <w:ind w:firstLine="2811" w:firstLineChars="1000"/>
        <w:rPr>
          <w:rFonts w:ascii="黑体" w:hAnsi="黑体" w:eastAsia="黑体" w:cs="黑体"/>
          <w:b/>
          <w:bCs/>
          <w:color w:val="auto"/>
          <w:sz w:val="28"/>
          <w:szCs w:val="28"/>
        </w:rPr>
      </w:pPr>
    </w:p>
    <w:p>
      <w:pPr>
        <w:spacing w:line="360" w:lineRule="auto"/>
        <w:ind w:firstLine="2811" w:firstLineChars="1000"/>
        <w:rPr>
          <w:rFonts w:ascii="黑体" w:hAnsi="黑体" w:eastAsia="黑体" w:cs="黑体"/>
          <w:b/>
          <w:bCs/>
          <w:color w:val="auto"/>
          <w:sz w:val="28"/>
          <w:szCs w:val="28"/>
        </w:rPr>
        <w:sectPr>
          <w:headerReference r:id="rId62" w:type="default"/>
          <w:footerReference r:id="rId63" w:type="default"/>
          <w:pgSz w:w="11906" w:h="16838"/>
          <w:pgMar w:top="1417" w:right="1191" w:bottom="1474" w:left="1474" w:header="0" w:footer="1020" w:gutter="0"/>
          <w:pgNumType w:fmt="decimal" w:start="1"/>
          <w:cols w:space="0" w:num="1"/>
          <w:docGrid w:type="lines" w:linePitch="312" w:charSpace="0"/>
        </w:sectPr>
      </w:pPr>
    </w:p>
    <w:p>
      <w:pPr>
        <w:spacing w:line="480" w:lineRule="auto"/>
        <w:ind w:firstLine="2249" w:firstLineChars="800"/>
        <w:rPr>
          <w:rFonts w:ascii="黑体" w:hAnsi="黑体" w:eastAsia="黑体" w:cs="黑体"/>
          <w:b/>
          <w:color w:val="auto"/>
          <w:sz w:val="28"/>
          <w:szCs w:val="28"/>
        </w:rPr>
      </w:pPr>
      <w:r>
        <w:rPr>
          <w:rFonts w:hint="eastAsia" w:ascii="黑体" w:hAnsi="黑体" w:eastAsia="黑体" w:cs="黑体"/>
          <w:b/>
          <w:color w:val="auto"/>
          <w:sz w:val="28"/>
          <w:szCs w:val="28"/>
        </w:rPr>
        <w:t>临床试验中违规行为处理管理制度</w:t>
      </w:r>
    </w:p>
    <w:p>
      <w:pPr>
        <w:numPr>
          <w:ilvl w:val="0"/>
          <w:numId w:val="0"/>
        </w:numPr>
        <w:spacing w:line="360" w:lineRule="auto"/>
        <w:rPr>
          <w:rFonts w:asciiTheme="minorEastAsia" w:hAnsiTheme="minorEastAsia" w:cstheme="minorEastAsia"/>
          <w:bCs/>
          <w:color w:val="auto"/>
          <w:sz w:val="24"/>
          <w:szCs w:val="24"/>
        </w:rPr>
      </w:pPr>
      <w:r>
        <w:rPr>
          <w:rFonts w:hint="eastAsia" w:asciiTheme="minorEastAsia" w:hAnsiTheme="minorEastAsia" w:eastAsiaTheme="minorEastAsia" w:cstheme="minorEastAsia"/>
          <w:bCs/>
          <w:color w:val="auto"/>
          <w:kern w:val="2"/>
          <w:sz w:val="24"/>
          <w:szCs w:val="24"/>
          <w:lang w:val="en-US" w:eastAsia="zh-CN" w:bidi="ar-SA"/>
        </w:rPr>
        <w:t>一、</w:t>
      </w:r>
      <w:r>
        <w:rPr>
          <w:rFonts w:hint="eastAsia" w:asciiTheme="minorEastAsia" w:hAnsiTheme="minorEastAsia" w:cstheme="minorEastAsia"/>
          <w:bCs/>
          <w:color w:val="auto"/>
          <w:sz w:val="24"/>
          <w:szCs w:val="24"/>
        </w:rPr>
        <w:t>目的</w:t>
      </w:r>
    </w:p>
    <w:p>
      <w:pPr>
        <w:spacing w:line="360" w:lineRule="auto"/>
        <w:ind w:left="479" w:leftChars="228" w:firstLine="0" w:firstLineChars="0"/>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为保证本机构临床试验过程规范，结果科学可靠，保护受试者的权益并保障其安全，根据GCP及相关法规，制定本制度。</w:t>
      </w:r>
    </w:p>
    <w:p>
      <w:pPr>
        <w:numPr>
          <w:ilvl w:val="0"/>
          <w:numId w:val="0"/>
        </w:numPr>
        <w:spacing w:line="360" w:lineRule="auto"/>
        <w:rPr>
          <w:rFonts w:asciiTheme="minorEastAsia" w:hAnsiTheme="minorEastAsia" w:cstheme="minorEastAsia"/>
          <w:bCs/>
          <w:color w:val="auto"/>
          <w:sz w:val="24"/>
          <w:szCs w:val="24"/>
        </w:rPr>
      </w:pPr>
      <w:r>
        <w:rPr>
          <w:rFonts w:hint="eastAsia" w:asciiTheme="minorEastAsia" w:hAnsiTheme="minorEastAsia" w:eastAsiaTheme="minorEastAsia" w:cstheme="minorEastAsia"/>
          <w:bCs/>
          <w:color w:val="auto"/>
          <w:kern w:val="2"/>
          <w:sz w:val="24"/>
          <w:szCs w:val="24"/>
          <w:lang w:val="en-US" w:eastAsia="zh-CN" w:bidi="ar-SA"/>
        </w:rPr>
        <w:t>二、</w:t>
      </w:r>
      <w:r>
        <w:rPr>
          <w:rFonts w:hint="eastAsia" w:asciiTheme="minorEastAsia" w:hAnsiTheme="minorEastAsia" w:cstheme="minorEastAsia"/>
          <w:bCs/>
          <w:color w:val="auto"/>
          <w:sz w:val="24"/>
          <w:szCs w:val="24"/>
        </w:rPr>
        <w:t>适用范围</w:t>
      </w:r>
    </w:p>
    <w:p>
      <w:pPr>
        <w:spacing w:line="360" w:lineRule="auto"/>
        <w:ind w:firstLine="480" w:firstLineChars="200"/>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适用于本机构所有药物</w:t>
      </w:r>
      <w:r>
        <w:rPr>
          <w:rFonts w:hint="eastAsia" w:asciiTheme="minorEastAsia" w:hAnsiTheme="minorEastAsia" w:cstheme="minorEastAsia"/>
          <w:bCs/>
          <w:color w:val="auto"/>
          <w:sz w:val="24"/>
          <w:szCs w:val="24"/>
          <w:lang w:val="en-US" w:eastAsia="zh-CN"/>
        </w:rPr>
        <w:t>/</w:t>
      </w:r>
      <w:r>
        <w:rPr>
          <w:rFonts w:hint="eastAsia" w:asciiTheme="minorEastAsia" w:hAnsiTheme="minorEastAsia" w:cstheme="minorEastAsia"/>
          <w:bCs/>
          <w:color w:val="auto"/>
          <w:sz w:val="24"/>
          <w:szCs w:val="24"/>
        </w:rPr>
        <w:t>医疗器械临床试验。</w:t>
      </w:r>
    </w:p>
    <w:p>
      <w:pPr>
        <w:numPr>
          <w:ilvl w:val="0"/>
          <w:numId w:val="0"/>
        </w:numPr>
        <w:spacing w:line="360" w:lineRule="auto"/>
        <w:rPr>
          <w:rFonts w:asciiTheme="minorEastAsia" w:hAnsiTheme="minorEastAsia" w:cstheme="minorEastAsia"/>
          <w:bCs/>
          <w:color w:val="auto"/>
          <w:sz w:val="24"/>
          <w:szCs w:val="24"/>
        </w:rPr>
      </w:pPr>
      <w:r>
        <w:rPr>
          <w:rFonts w:hint="eastAsia" w:asciiTheme="minorEastAsia" w:hAnsiTheme="minorEastAsia" w:eastAsiaTheme="minorEastAsia" w:cstheme="minorEastAsia"/>
          <w:bCs/>
          <w:color w:val="auto"/>
          <w:kern w:val="2"/>
          <w:sz w:val="24"/>
          <w:szCs w:val="24"/>
          <w:lang w:val="en-US" w:eastAsia="zh-CN" w:bidi="ar-SA"/>
        </w:rPr>
        <w:t>三、</w:t>
      </w:r>
      <w:r>
        <w:rPr>
          <w:rFonts w:hint="eastAsia" w:asciiTheme="minorEastAsia" w:hAnsiTheme="minorEastAsia" w:cstheme="minorEastAsia"/>
          <w:bCs/>
          <w:color w:val="auto"/>
          <w:sz w:val="24"/>
          <w:szCs w:val="24"/>
        </w:rPr>
        <w:t>制度</w:t>
      </w:r>
    </w:p>
    <w:p>
      <w:pPr>
        <w:numPr>
          <w:ilvl w:val="0"/>
          <w:numId w:val="30"/>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临床试验中违规行为指：</w:t>
      </w:r>
    </w:p>
    <w:p>
      <w:pPr>
        <w:numPr>
          <w:ilvl w:val="0"/>
          <w:numId w:val="31"/>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违背临床试验方案；</w:t>
      </w:r>
    </w:p>
    <w:p>
      <w:pPr>
        <w:numPr>
          <w:ilvl w:val="0"/>
          <w:numId w:val="31"/>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擅自修改临床试验方案；</w:t>
      </w:r>
    </w:p>
    <w:p>
      <w:pPr>
        <w:numPr>
          <w:ilvl w:val="0"/>
          <w:numId w:val="31"/>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不执行SOP和相关制度；</w:t>
      </w:r>
    </w:p>
    <w:p>
      <w:pPr>
        <w:numPr>
          <w:ilvl w:val="0"/>
          <w:numId w:val="31"/>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未经本机构批准或未按规定进行临床试验；</w:t>
      </w:r>
    </w:p>
    <w:p>
      <w:pPr>
        <w:numPr>
          <w:ilvl w:val="0"/>
          <w:numId w:val="31"/>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对机构办公室或申办方指派的质量保证人员（如机构质量管理员、监查员、稽查员等）的监督检查不予合作，甚至予以干扰或阻挠；</w:t>
      </w:r>
    </w:p>
    <w:p>
      <w:pPr>
        <w:numPr>
          <w:ilvl w:val="0"/>
          <w:numId w:val="31"/>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在临床试验中，伪造数据，擅自篡改原始记录，出具假报告及其它弄虚作假的行为；</w:t>
      </w:r>
    </w:p>
    <w:p>
      <w:pPr>
        <w:numPr>
          <w:ilvl w:val="0"/>
          <w:numId w:val="31"/>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其它违反GCP及临床试验相关法规的行为。</w:t>
      </w:r>
    </w:p>
    <w:p>
      <w:pPr>
        <w:numPr>
          <w:ilvl w:val="0"/>
          <w:numId w:val="30"/>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机构办公室应对本机构内各临床专业、各检验/检查专业在临床试验中发现的涉嫌违规行为，及时向当事人指出，并要求其改正；如情况严重或持续发现同类错误，将依据本制度进行查处，并将违规行为和查处情况报告本机构。</w:t>
      </w:r>
    </w:p>
    <w:p>
      <w:pPr>
        <w:numPr>
          <w:ilvl w:val="0"/>
          <w:numId w:val="30"/>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本机构在查清违规事实后，提出处理意见，责成机构办公室依照本制度处理。</w:t>
      </w:r>
    </w:p>
    <w:p>
      <w:pPr>
        <w:numPr>
          <w:ilvl w:val="0"/>
          <w:numId w:val="30"/>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机构办公室应根据违规行为情节的轻重，对违规者给与如下处理：</w:t>
      </w:r>
    </w:p>
    <w:p>
      <w:pPr>
        <w:numPr>
          <w:ilvl w:val="0"/>
          <w:numId w:val="32"/>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警告；</w:t>
      </w:r>
    </w:p>
    <w:p>
      <w:pPr>
        <w:numPr>
          <w:ilvl w:val="0"/>
          <w:numId w:val="32"/>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通报批评；</w:t>
      </w:r>
    </w:p>
    <w:p>
      <w:pPr>
        <w:numPr>
          <w:ilvl w:val="0"/>
          <w:numId w:val="32"/>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终止当事人继续参加临床试验；</w:t>
      </w:r>
    </w:p>
    <w:p>
      <w:pPr>
        <w:numPr>
          <w:ilvl w:val="0"/>
          <w:numId w:val="32"/>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暂停专业组承接临床试验项目资格；</w:t>
      </w:r>
    </w:p>
    <w:p>
      <w:pPr>
        <w:numPr>
          <w:ilvl w:val="0"/>
          <w:numId w:val="32"/>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进行经济处罚；</w:t>
      </w:r>
    </w:p>
    <w:p>
      <w:pPr>
        <w:numPr>
          <w:ilvl w:val="0"/>
          <w:numId w:val="32"/>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以上处理可以合并使用。</w:t>
      </w:r>
    </w:p>
    <w:p>
      <w:pPr>
        <w:numPr>
          <w:ilvl w:val="0"/>
          <w:numId w:val="30"/>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受到查处的专业或人员如对处理有异议，可向机构主任申请复议，机构主任可指定若干专家进行复查，确有异议的，根据情况严重程度可撤回或修订处理措施。</w:t>
      </w:r>
    </w:p>
    <w:p>
      <w:pPr>
        <w:numPr>
          <w:ilvl w:val="0"/>
          <w:numId w:val="30"/>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对临床试验中管理人员的徇私舞弊等行为，交医院处理。</w:t>
      </w:r>
    </w:p>
    <w:p>
      <w:pPr>
        <w:numPr>
          <w:ilvl w:val="0"/>
          <w:numId w:val="30"/>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机构办公室负责对试验中违规行为的监督、审查和处理。</w:t>
      </w:r>
    </w:p>
    <w:p>
      <w:pPr>
        <w:numPr>
          <w:ilvl w:val="0"/>
          <w:numId w:val="30"/>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处罚规定如下：</w:t>
      </w:r>
    </w:p>
    <w:p>
      <w:pPr>
        <w:numPr>
          <w:ilvl w:val="0"/>
          <w:numId w:val="33"/>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对伪造数据，擅自篡改原始记录，出具假报告及其它弄虚作假的行为，予以通报批评，终止当事人从事临床试验资格，暂停所在专业接受新临床试验资格，并扣发专业组该项目试验观察费50%；情节严重或导致严重后果者加倍处罚。</w:t>
      </w:r>
    </w:p>
    <w:p>
      <w:pPr>
        <w:numPr>
          <w:ilvl w:val="0"/>
          <w:numId w:val="33"/>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试验期间私自收取受试者药品费、检查费或销售试验药品，一经发现给予通报批评，扣除专业组该项目试验观察费10%，没收违规所得并处以3倍罚款。</w:t>
      </w:r>
    </w:p>
    <w:p>
      <w:pPr>
        <w:numPr>
          <w:ilvl w:val="0"/>
          <w:numId w:val="33"/>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研究人员滥用免费检查检验，向非受试者提供免费检查检验，经发现一次扣除专业组该项目试验观察费10%，给予通报批评，并处以违规检查项目金额3倍的罚款。</w:t>
      </w:r>
    </w:p>
    <w:p>
      <w:pPr>
        <w:numPr>
          <w:ilvl w:val="0"/>
          <w:numId w:val="33"/>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临床试验中扣除的款项全部划入医院账户，用于机构建设。</w:t>
      </w:r>
    </w:p>
    <w:p>
      <w:pPr>
        <w:spacing w:line="360" w:lineRule="auto"/>
        <w:ind w:firstLine="3092" w:firstLineChars="1100"/>
        <w:rPr>
          <w:rFonts w:ascii="黑体" w:hAnsi="黑体" w:eastAsia="黑体" w:cs="黑体"/>
          <w:b/>
          <w:color w:val="auto"/>
          <w:sz w:val="28"/>
          <w:szCs w:val="28"/>
        </w:rPr>
      </w:pPr>
    </w:p>
    <w:p>
      <w:pPr>
        <w:spacing w:line="480" w:lineRule="auto"/>
        <w:ind w:firstLine="3092" w:firstLineChars="1100"/>
        <w:rPr>
          <w:rFonts w:ascii="黑体" w:hAnsi="黑体" w:eastAsia="黑体" w:cs="黑体"/>
          <w:b/>
          <w:color w:val="auto"/>
          <w:sz w:val="28"/>
          <w:szCs w:val="28"/>
        </w:rPr>
      </w:pPr>
    </w:p>
    <w:p>
      <w:pPr>
        <w:spacing w:line="480" w:lineRule="auto"/>
        <w:ind w:firstLine="3092" w:firstLineChars="1100"/>
        <w:rPr>
          <w:rFonts w:ascii="黑体" w:hAnsi="黑体" w:eastAsia="黑体" w:cs="黑体"/>
          <w:b/>
          <w:color w:val="auto"/>
          <w:sz w:val="28"/>
          <w:szCs w:val="28"/>
        </w:rPr>
      </w:pPr>
    </w:p>
    <w:p>
      <w:pPr>
        <w:spacing w:line="480" w:lineRule="auto"/>
        <w:ind w:firstLine="3092" w:firstLineChars="1100"/>
        <w:rPr>
          <w:rFonts w:ascii="黑体" w:hAnsi="黑体" w:eastAsia="黑体" w:cs="黑体"/>
          <w:b/>
          <w:color w:val="auto"/>
          <w:sz w:val="28"/>
          <w:szCs w:val="28"/>
        </w:rPr>
      </w:pPr>
    </w:p>
    <w:p>
      <w:pPr>
        <w:spacing w:line="480" w:lineRule="auto"/>
        <w:ind w:firstLine="3092" w:firstLineChars="1100"/>
        <w:rPr>
          <w:rFonts w:ascii="黑体" w:hAnsi="黑体" w:eastAsia="黑体" w:cs="黑体"/>
          <w:b/>
          <w:color w:val="auto"/>
          <w:sz w:val="28"/>
          <w:szCs w:val="28"/>
        </w:rPr>
      </w:pPr>
    </w:p>
    <w:p>
      <w:pPr>
        <w:spacing w:line="480" w:lineRule="auto"/>
        <w:ind w:firstLine="3092" w:firstLineChars="1100"/>
        <w:rPr>
          <w:rFonts w:ascii="黑体" w:hAnsi="黑体" w:eastAsia="黑体" w:cs="黑体"/>
          <w:b/>
          <w:color w:val="auto"/>
          <w:sz w:val="28"/>
          <w:szCs w:val="28"/>
        </w:rPr>
      </w:pPr>
    </w:p>
    <w:p>
      <w:pPr>
        <w:spacing w:line="480" w:lineRule="auto"/>
        <w:ind w:firstLine="3092" w:firstLineChars="1100"/>
        <w:rPr>
          <w:rFonts w:ascii="黑体" w:hAnsi="黑体" w:eastAsia="黑体" w:cs="黑体"/>
          <w:b/>
          <w:color w:val="auto"/>
          <w:sz w:val="28"/>
          <w:szCs w:val="28"/>
        </w:rPr>
      </w:pPr>
    </w:p>
    <w:p>
      <w:pPr>
        <w:spacing w:line="480" w:lineRule="auto"/>
        <w:ind w:firstLine="3092" w:firstLineChars="1100"/>
        <w:rPr>
          <w:rFonts w:ascii="黑体" w:hAnsi="黑体" w:eastAsia="黑体" w:cs="黑体"/>
          <w:b/>
          <w:color w:val="auto"/>
          <w:sz w:val="28"/>
          <w:szCs w:val="28"/>
        </w:rPr>
      </w:pPr>
    </w:p>
    <w:p>
      <w:pPr>
        <w:spacing w:line="480" w:lineRule="auto"/>
        <w:ind w:firstLine="3092" w:firstLineChars="1100"/>
        <w:rPr>
          <w:rFonts w:ascii="黑体" w:hAnsi="黑体" w:eastAsia="黑体" w:cs="黑体"/>
          <w:b/>
          <w:color w:val="auto"/>
          <w:sz w:val="28"/>
          <w:szCs w:val="28"/>
        </w:rPr>
      </w:pPr>
    </w:p>
    <w:p>
      <w:pPr>
        <w:spacing w:line="480" w:lineRule="auto"/>
        <w:ind w:firstLine="3092" w:firstLineChars="1100"/>
        <w:rPr>
          <w:rFonts w:ascii="黑体" w:hAnsi="黑体" w:eastAsia="黑体" w:cs="黑体"/>
          <w:b/>
          <w:color w:val="auto"/>
          <w:sz w:val="28"/>
          <w:szCs w:val="28"/>
        </w:rPr>
      </w:pPr>
    </w:p>
    <w:p>
      <w:pPr>
        <w:spacing w:line="480" w:lineRule="auto"/>
        <w:ind w:firstLine="3092" w:firstLineChars="1100"/>
        <w:rPr>
          <w:rFonts w:ascii="黑体" w:hAnsi="黑体" w:eastAsia="黑体" w:cs="黑体"/>
          <w:b/>
          <w:color w:val="auto"/>
          <w:sz w:val="28"/>
          <w:szCs w:val="28"/>
        </w:rPr>
      </w:pPr>
    </w:p>
    <w:p>
      <w:pPr>
        <w:spacing w:line="480" w:lineRule="auto"/>
        <w:ind w:firstLine="3092" w:firstLineChars="1100"/>
        <w:rPr>
          <w:rFonts w:ascii="黑体" w:hAnsi="黑体" w:eastAsia="黑体" w:cs="黑体"/>
          <w:b/>
          <w:color w:val="auto"/>
          <w:sz w:val="28"/>
          <w:szCs w:val="28"/>
        </w:rPr>
      </w:pPr>
    </w:p>
    <w:p>
      <w:pPr>
        <w:spacing w:line="480" w:lineRule="auto"/>
        <w:ind w:firstLine="3092" w:firstLineChars="1100"/>
        <w:rPr>
          <w:rFonts w:ascii="黑体" w:hAnsi="黑体" w:eastAsia="黑体" w:cs="黑体"/>
          <w:b/>
          <w:color w:val="auto"/>
          <w:sz w:val="28"/>
          <w:szCs w:val="28"/>
        </w:rPr>
      </w:pPr>
    </w:p>
    <w:p>
      <w:pPr>
        <w:spacing w:line="480" w:lineRule="auto"/>
        <w:rPr>
          <w:rFonts w:ascii="黑体" w:hAnsi="黑体" w:eastAsia="黑体" w:cs="黑体"/>
          <w:b/>
          <w:color w:val="auto"/>
          <w:sz w:val="28"/>
          <w:szCs w:val="28"/>
        </w:rPr>
      </w:pPr>
    </w:p>
    <w:p>
      <w:pPr>
        <w:spacing w:line="480" w:lineRule="auto"/>
        <w:ind w:firstLine="3092" w:firstLineChars="1100"/>
        <w:rPr>
          <w:rFonts w:ascii="黑体" w:hAnsi="黑体" w:eastAsia="黑体" w:cs="黑体"/>
          <w:b/>
          <w:color w:val="auto"/>
          <w:sz w:val="28"/>
          <w:szCs w:val="28"/>
        </w:rPr>
        <w:sectPr>
          <w:headerReference r:id="rId64" w:type="default"/>
          <w:footerReference r:id="rId65"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临床</w:t>
      </w:r>
      <w:r>
        <w:rPr>
          <w:rFonts w:hint="eastAsia" w:ascii="黑体" w:hAnsi="黑体" w:eastAsia="黑体" w:cs="黑体"/>
          <w:color w:val="auto"/>
          <w:sz w:val="28"/>
          <w:szCs w:val="28"/>
          <w:highlight w:val="none"/>
          <w:lang w:val="en-US" w:eastAsia="zh-CN"/>
        </w:rPr>
        <w:t>研究</w:t>
      </w:r>
      <w:r>
        <w:rPr>
          <w:rFonts w:hint="eastAsia" w:ascii="黑体" w:hAnsi="黑体" w:eastAsia="黑体" w:cs="黑体"/>
          <w:color w:val="auto"/>
          <w:sz w:val="28"/>
          <w:szCs w:val="28"/>
          <w:highlight w:val="none"/>
        </w:rPr>
        <w:t>协调员（CRC）管理制度</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建立参与药物/医疗器械临床试验的CRC管理制度，确保CRC遵循医院的相关规定，协助研究者开展临床试验工作。</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适用范围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适合本机构开展的涉及CRC服务的临床试验项目。</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临床研究协调员（Clinical Research Coordinator, CRC）</w:t>
      </w:r>
      <w:r>
        <w:rPr>
          <w:rFonts w:hint="eastAsia" w:ascii="宋体" w:hAnsi="宋体" w:cs="宋体"/>
          <w:color w:val="auto"/>
          <w:sz w:val="24"/>
          <w:szCs w:val="24"/>
          <w:lang w:val="en-US" w:eastAsia="zh-CN"/>
        </w:rPr>
        <w:t>作为研究团队的一员，</w:t>
      </w:r>
      <w:r>
        <w:rPr>
          <w:rFonts w:hint="eastAsia" w:ascii="宋体" w:hAnsi="宋体" w:eastAsia="宋体" w:cs="宋体"/>
          <w:color w:val="auto"/>
          <w:sz w:val="24"/>
          <w:szCs w:val="24"/>
        </w:rPr>
        <w:t>指经PI授权，并接受相关培训后，在临床试验中协助研究者从事非医学判断相关工作的人员，是临床试验的</w:t>
      </w:r>
      <w:r>
        <w:rPr>
          <w:rFonts w:hint="eastAsia" w:ascii="宋体" w:hAnsi="宋体" w:cs="宋体"/>
          <w:color w:val="auto"/>
          <w:sz w:val="24"/>
          <w:szCs w:val="24"/>
          <w:lang w:val="en-US" w:eastAsia="zh-CN"/>
        </w:rPr>
        <w:t>参与者</w:t>
      </w:r>
      <w:r>
        <w:rPr>
          <w:rFonts w:hint="eastAsia" w:ascii="宋体" w:hAnsi="宋体" w:eastAsia="宋体" w:cs="宋体"/>
          <w:color w:val="auto"/>
          <w:sz w:val="24"/>
          <w:szCs w:val="24"/>
        </w:rPr>
        <w:t>、协调者和管理</w:t>
      </w:r>
      <w:r>
        <w:rPr>
          <w:rFonts w:hint="eastAsia" w:ascii="宋体" w:hAnsi="宋体" w:cs="宋体"/>
          <w:color w:val="auto"/>
          <w:sz w:val="24"/>
          <w:szCs w:val="24"/>
          <w:lang w:val="en-US" w:eastAsia="zh-CN"/>
        </w:rPr>
        <w:t>者。</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CRC资质</w:t>
      </w:r>
      <w:r>
        <w:rPr>
          <w:rFonts w:hint="eastAsia" w:ascii="宋体" w:hAnsi="宋体" w:cs="宋体"/>
          <w:color w:val="auto"/>
          <w:sz w:val="24"/>
          <w:szCs w:val="24"/>
          <w:lang w:val="en-US" w:eastAsia="zh-CN"/>
        </w:rPr>
        <w:t>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（1）CRC应为医学、药学、护理等相关专业，大专以上学历；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（2）接受</w:t>
      </w:r>
      <w:r>
        <w:rPr>
          <w:rFonts w:hint="eastAsia" w:ascii="宋体" w:hAnsi="宋体" w:cs="宋体"/>
          <w:color w:val="auto"/>
          <w:sz w:val="24"/>
          <w:szCs w:val="24"/>
          <w:lang w:val="en-US" w:eastAsia="zh-CN"/>
        </w:rPr>
        <w:t>并通过省级以上GCP法律法规及</w:t>
      </w:r>
      <w:r>
        <w:rPr>
          <w:rFonts w:hint="eastAsia" w:ascii="宋体" w:hAnsi="宋体" w:eastAsia="宋体" w:cs="宋体"/>
          <w:color w:val="auto"/>
          <w:sz w:val="24"/>
          <w:szCs w:val="24"/>
        </w:rPr>
        <w:t>临床试验技术培训，并且能提供有效证书</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并</w:t>
      </w:r>
      <w:r>
        <w:rPr>
          <w:rFonts w:hint="eastAsia" w:ascii="宋体" w:hAnsi="宋体" w:eastAsia="宋体" w:cs="宋体"/>
          <w:color w:val="auto"/>
          <w:sz w:val="24"/>
          <w:szCs w:val="24"/>
          <w:lang w:val="en-US" w:eastAsia="zh-CN"/>
        </w:rPr>
        <w:t>完成实习期培训学习；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lang w:eastAsia="zh-CN"/>
        </w:rPr>
      </w:pPr>
      <w:r>
        <w:rPr>
          <w:rFonts w:hint="eastAsia" w:ascii="宋体" w:hAnsi="宋体" w:eastAsia="宋体" w:cs="宋体"/>
          <w:color w:val="auto"/>
          <w:sz w:val="24"/>
          <w:szCs w:val="24"/>
        </w:rPr>
        <w:t>（3）被委派的CRC应具有高度的责任心与具备良好的协调、沟通和交流能力等</w:t>
      </w:r>
      <w:r>
        <w:rPr>
          <w:rFonts w:hint="eastAsia" w:ascii="宋体" w:hAnsi="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 xml:space="preserve">2. </w:t>
      </w:r>
      <w:r>
        <w:rPr>
          <w:rFonts w:hint="eastAsia" w:ascii="宋体" w:hAnsi="宋体" w:eastAsia="宋体" w:cs="宋体"/>
          <w:color w:val="auto"/>
          <w:sz w:val="24"/>
          <w:szCs w:val="24"/>
        </w:rPr>
        <w:t>CRC聘请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CRC为研究中心管理组织（Site Management Organization, SMO）正式雇员，是SMO派驻临床试验机构承担相应职责的人员，由SMO承担作为用人单位的所有责任和义务。如需聘用院外CRC，则由机构办公室、PI及申办方或CRO共同协商选择合适SMO，各方共同拟定并签署CRC协议后，由SMO公司派遣符合资质的CRC到研究团队，协助研究者工作。申办方/CRO不应直接聘用CRC参与项目工作，CRC与CRA、SMO与申办者/CRO之间应避免利益冲突。</w:t>
      </w:r>
      <w:r>
        <w:rPr>
          <w:rFonts w:hint="eastAsia" w:ascii="宋体" w:hAnsi="宋体" w:eastAsia="宋体" w:cs="宋体"/>
          <w:color w:val="auto"/>
          <w:sz w:val="24"/>
          <w:szCs w:val="24"/>
        </w:rPr>
        <w:t>其他任何个人或科室不得私自聘请CRC。机构办向CRC提供常驻办公场所，CRC遵守管理</w:t>
      </w:r>
      <w:r>
        <w:rPr>
          <w:rFonts w:hint="eastAsia" w:ascii="宋体" w:hAnsi="宋体" w:cs="宋体"/>
          <w:color w:val="auto"/>
          <w:sz w:val="24"/>
          <w:szCs w:val="24"/>
          <w:lang w:val="en-US" w:eastAsia="zh-CN"/>
        </w:rPr>
        <w:t>制度</w:t>
      </w:r>
      <w:r>
        <w:rPr>
          <w:rFonts w:hint="eastAsia" w:ascii="宋体" w:hAnsi="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（2）根据工作中反映出的问题，机构或者PI可以要求CRC/SMO进行改进，如果工作改进情况仍无法达到临床研究的要求，可以要求更换CRC或SMO公司。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3. CRC进院程序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cs="宋体"/>
          <w:color w:val="auto"/>
          <w:sz w:val="24"/>
          <w:szCs w:val="24"/>
          <w:lang w:val="en-US" w:eastAsia="zh-CN"/>
        </w:rPr>
        <w:t>在参与临床试验项目前需到研究单位机构备案；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备案资料：公司正式派遣函</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SMO营业执照复印件、CRC</w:t>
      </w:r>
      <w:r>
        <w:rPr>
          <w:rFonts w:hint="eastAsia" w:ascii="宋体" w:hAnsi="宋体" w:eastAsia="宋体" w:cs="宋体"/>
          <w:color w:val="auto"/>
          <w:sz w:val="24"/>
          <w:szCs w:val="24"/>
        </w:rPr>
        <w:t>个人简历、GCP培训证</w:t>
      </w:r>
      <w:r>
        <w:rPr>
          <w:rFonts w:hint="eastAsia" w:ascii="宋体" w:hAnsi="宋体" w:cs="宋体"/>
          <w:color w:val="auto"/>
          <w:sz w:val="24"/>
          <w:szCs w:val="24"/>
          <w:lang w:val="en-US" w:eastAsia="zh-CN"/>
        </w:rPr>
        <w:t>书复印件（以上文件需加盖SMO公司鲜章）</w:t>
      </w:r>
      <w:r>
        <w:rPr>
          <w:rFonts w:hint="eastAsia" w:ascii="宋体" w:hAnsi="宋体" w:cs="宋体"/>
          <w:color w:val="auto"/>
          <w:sz w:val="24"/>
          <w:szCs w:val="24"/>
          <w:lang w:eastAsia="zh-CN"/>
        </w:rPr>
        <w:t>、</w:t>
      </w:r>
      <w:r>
        <w:rPr>
          <w:rFonts w:hint="eastAsia" w:ascii="宋体" w:hAnsi="宋体" w:eastAsia="宋体" w:cs="宋体"/>
          <w:color w:val="auto"/>
          <w:sz w:val="24"/>
          <w:szCs w:val="24"/>
        </w:rPr>
        <w:t>身份证复印件；</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接受本机构相关管理制度和SOP培训；</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签署保密协议，对参与试验项目、受试者以及研究机构相关信息进行保密。</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lang w:val="en-US" w:eastAsia="zh-CN"/>
        </w:rPr>
      </w:pPr>
      <w:r>
        <w:rPr>
          <w:rFonts w:hint="eastAsia" w:ascii="宋体" w:hAnsi="宋体" w:eastAsia="宋体" w:cs="宋体"/>
          <w:color w:val="auto"/>
          <w:sz w:val="24"/>
          <w:szCs w:val="24"/>
        </w:rPr>
        <w:t>CRC在机构办进行资质审核、备案和登记后，由机构办统一发放CRC工作胸牌。每位新入职CRC须经机构办面试，符合要求者方可上岗</w:t>
      </w:r>
      <w:r>
        <w:rPr>
          <w:rFonts w:hint="eastAsia" w:ascii="宋体" w:hAnsi="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 xml:space="preserve">4. </w:t>
      </w:r>
      <w:r>
        <w:rPr>
          <w:rFonts w:hint="eastAsia" w:ascii="宋体" w:hAnsi="宋体" w:eastAsia="宋体" w:cs="宋体"/>
          <w:color w:val="auto"/>
          <w:sz w:val="24"/>
          <w:szCs w:val="24"/>
        </w:rPr>
        <w:t>CRC工作</w:t>
      </w:r>
      <w:r>
        <w:rPr>
          <w:rFonts w:hint="eastAsia" w:ascii="宋体" w:hAnsi="宋体" w:cs="宋体"/>
          <w:color w:val="auto"/>
          <w:sz w:val="24"/>
          <w:szCs w:val="24"/>
          <w:lang w:val="en-US" w:eastAsia="zh-CN"/>
        </w:rPr>
        <w:t>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（1）CRC应接受机构的培训，包括但不限于机构/科室人员组织架构、基本设施使用、制度/SOP等，并严格遵守；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（2）CRC应根据GCP和试验方案要求，协助研究者完成各项已获得PI/研究者授权的工作，不得开展未经授权的工作事项；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）CRC应配合做好各项检查工作，包括机构质控、申办方/CRO监查、第三方稽查、药监部门核查等；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CRC需定期向机构办公室汇报工作和项目进度。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5. </w:t>
      </w:r>
      <w:r>
        <w:rPr>
          <w:rFonts w:hint="default" w:ascii="宋体" w:hAnsi="宋体" w:eastAsia="宋体" w:cs="宋体"/>
          <w:color w:val="auto"/>
          <w:sz w:val="24"/>
          <w:szCs w:val="24"/>
          <w:lang w:val="en-US" w:eastAsia="zh-CN"/>
        </w:rPr>
        <w:t>培训考核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(1)CRC应接受相应培训，包括但不限于</w:t>
      </w:r>
      <w:r>
        <w:rPr>
          <w:rFonts w:hint="eastAsia" w:ascii="宋体" w:hAnsi="宋体" w:eastAsia="宋体" w:cs="宋体"/>
          <w:color w:val="auto"/>
          <w:sz w:val="24"/>
          <w:szCs w:val="24"/>
          <w:lang w:val="en-US" w:eastAsia="zh-CN"/>
        </w:rPr>
        <w:t>本</w:t>
      </w:r>
      <w:r>
        <w:rPr>
          <w:rFonts w:hint="default" w:ascii="宋体" w:hAnsi="宋体" w:eastAsia="宋体" w:cs="宋体"/>
          <w:color w:val="auto"/>
          <w:sz w:val="24"/>
          <w:szCs w:val="24"/>
          <w:lang w:val="en-US" w:eastAsia="zh-CN"/>
        </w:rPr>
        <w:t>机构和专业科室管理规定、仪器设备操作使用、专业知识、法规指南、沟通协调技巧等。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(2)机构办公室对CRC的工作情况和表现进行考核评估，并反馈给SMO。考核内容包括专业知识(如法规、制度、临床试验技术等)、行为规范(如衣着行为、言行态度等)、项目质量(如机构质控发现问题、监查/稽查发现问题等)、工作能力(如研究者和申办者/CRO反馈、伦理委员会反馈、受试者投诉)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(3)对于考核不通过者，机构办公室向SMO提出更换CRC，必要时与申办者/CRO协商更换SMO，以保证临床试验顺利进行。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 xml:space="preserve">6. </w:t>
      </w:r>
      <w:r>
        <w:rPr>
          <w:rFonts w:hint="eastAsia" w:ascii="宋体" w:hAnsi="宋体" w:eastAsia="宋体" w:cs="宋体"/>
          <w:color w:val="auto"/>
          <w:sz w:val="24"/>
          <w:szCs w:val="24"/>
        </w:rPr>
        <w:t>CRC交接变更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（1）为保证临床试验工作的连贯性</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SMO应派遣能够长期在机构工作的CRC</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原则上，入组期的项目不允许变更CRC;</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r>
        <w:rPr>
          <w:rFonts w:hint="eastAsia" w:ascii="宋体" w:hAnsi="宋体" w:eastAsia="宋体" w:cs="宋体"/>
          <w:color w:val="auto"/>
          <w:sz w:val="24"/>
          <w:szCs w:val="24"/>
        </w:rPr>
        <w:t>（2）一旦需要更换CRC，SMO应征得机构办公室及主要研究者同意，并尽快派遣合格的继任CRC，督促两任CRC做好工作交接</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val="en-US" w:eastAsia="zh-CN"/>
        </w:rPr>
      </w:pPr>
      <w:r>
        <w:rPr>
          <w:rFonts w:hint="eastAsia"/>
          <w:color w:val="auto"/>
          <w:sz w:val="24"/>
          <w:szCs w:val="24"/>
          <w:lang w:val="en-US" w:eastAsia="zh-CN"/>
        </w:rPr>
        <w:t>四、参考文献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宋体" w:hAnsi="宋体" w:eastAsia="宋体" w:cs="宋体"/>
          <w:color w:val="auto"/>
          <w:shd w:val="clear" w:color="auto" w:fill="FFFFFF"/>
        </w:rPr>
      </w:pPr>
      <w:r>
        <w:rPr>
          <w:rFonts w:hint="eastAsia" w:ascii="宋体" w:hAnsi="宋体" w:eastAsia="宋体" w:cs="宋体"/>
          <w:color w:val="auto"/>
          <w:shd w:val="clear" w:color="auto" w:fill="FFFFFF"/>
        </w:rPr>
        <w:t>[1]国家药监局 国家卫生健康委. 关于发布药物临床试验质量管理规范的公告（2020年第57号）[EB/OL].[2020-04-26]. https://www.nmpa.gov.cn/zhuanti/ypzhcglbf/ypzhcglbfzhcwj/20200426162401243.html.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eastAsia" w:ascii="宋体" w:hAnsi="宋体" w:eastAsia="宋体" w:cs="宋体"/>
          <w:color w:val="auto"/>
          <w:shd w:val="clear" w:color="auto" w:fill="FFFFFF"/>
        </w:rPr>
      </w:pPr>
      <w:r>
        <w:rPr>
          <w:rFonts w:hint="eastAsia" w:ascii="宋体" w:hAnsi="宋体" w:eastAsia="宋体" w:cs="宋体"/>
          <w:color w:val="auto"/>
          <w:shd w:val="clear" w:color="auto" w:fill="FFFFFF"/>
        </w:rPr>
        <w:t>[2]国家药品监督管理局，国家卫生健康委员会. 关于发布《医疗器械临床试验质量管理规范》的公告（2022年第28号）.[2022-03-31]. https://www.nmpa.gov.cn/xxgk/ggtg/qtggtg/20220331144903101.html.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textAlignment w:val="auto"/>
        <w:rPr>
          <w:rFonts w:hint="default" w:ascii="宋体" w:hAnsi="宋体" w:eastAsia="宋体" w:cs="宋体"/>
          <w:color w:val="auto"/>
          <w:shd w:val="clear" w:color="auto" w:fill="FFFFFF"/>
          <w:lang w:val="en-US" w:eastAsia="zh-CN"/>
        </w:rPr>
      </w:pPr>
      <w:r>
        <w:rPr>
          <w:rFonts w:hint="default" w:ascii="宋体" w:hAnsi="宋体" w:eastAsia="宋体" w:cs="宋体"/>
          <w:color w:val="auto"/>
          <w:shd w:val="clear" w:color="auto" w:fill="FFFFFF"/>
          <w:lang w:val="en-US" w:eastAsia="zh-CN"/>
        </w:rPr>
        <w:t>[</w:t>
      </w:r>
      <w:r>
        <w:rPr>
          <w:rFonts w:hint="eastAsia" w:ascii="宋体" w:hAnsi="宋体" w:eastAsia="宋体" w:cs="宋体"/>
          <w:color w:val="auto"/>
          <w:shd w:val="clear" w:color="auto" w:fill="FFFFFF"/>
          <w:lang w:val="en-US" w:eastAsia="zh-CN"/>
        </w:rPr>
        <w:t>3</w:t>
      </w:r>
      <w:r>
        <w:rPr>
          <w:rFonts w:hint="default" w:ascii="宋体" w:hAnsi="宋体" w:eastAsia="宋体" w:cs="宋体"/>
          <w:color w:val="auto"/>
          <w:shd w:val="clear" w:color="auto" w:fill="FFFFFF"/>
          <w:lang w:val="en-US" w:eastAsia="zh-CN"/>
        </w:rPr>
        <w:t>]王白璐</w:t>
      </w:r>
      <w:r>
        <w:rPr>
          <w:rFonts w:hint="eastAsia" w:cs="宋体"/>
          <w:color w:val="auto"/>
          <w:shd w:val="clear" w:color="auto" w:fill="FFFFFF"/>
          <w:lang w:val="en-US" w:eastAsia="zh-CN"/>
        </w:rPr>
        <w:t xml:space="preserve">. </w:t>
      </w:r>
      <w:r>
        <w:rPr>
          <w:rFonts w:hint="default" w:ascii="宋体" w:hAnsi="宋体" w:eastAsia="宋体" w:cs="宋体"/>
          <w:color w:val="auto"/>
          <w:shd w:val="clear" w:color="auto" w:fill="FFFFFF"/>
          <w:lang w:val="en-US" w:eastAsia="zh-CN"/>
        </w:rPr>
        <w:t>医疗器械临床试验机构操作手册 [M]. 北京：人民卫生出版社，2022.</w:t>
      </w:r>
    </w:p>
    <w:p>
      <w:pPr>
        <w:spacing w:line="360" w:lineRule="auto"/>
        <w:ind w:firstLine="3373" w:firstLineChars="1200"/>
        <w:rPr>
          <w:rFonts w:hint="eastAsia" w:ascii="黑体" w:hAnsi="黑体" w:eastAsia="黑体" w:cs="黑体"/>
          <w:b/>
          <w:color w:val="auto"/>
          <w:sz w:val="28"/>
          <w:szCs w:val="28"/>
        </w:rPr>
        <w:sectPr>
          <w:headerReference r:id="rId66" w:type="default"/>
          <w:footerReference r:id="rId67"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spacing w:line="360" w:lineRule="auto"/>
        <w:ind w:firstLine="3373" w:firstLineChars="1200"/>
        <w:rPr>
          <w:rFonts w:ascii="黑体" w:hAnsi="黑体" w:eastAsia="黑体" w:cs="黑体"/>
          <w:color w:val="auto"/>
          <w:sz w:val="28"/>
          <w:szCs w:val="28"/>
        </w:rPr>
      </w:pPr>
      <w:r>
        <w:rPr>
          <w:rFonts w:hint="eastAsia" w:ascii="黑体" w:hAnsi="黑体" w:eastAsia="黑体" w:cs="黑体"/>
          <w:b/>
          <w:color w:val="auto"/>
          <w:sz w:val="28"/>
          <w:szCs w:val="28"/>
        </w:rPr>
        <w:t>制定制度的SOP</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一、目的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Theme="minorEastAsia" w:hAnsiTheme="minorEastAsia"/>
          <w:color w:val="auto"/>
          <w:sz w:val="24"/>
          <w:szCs w:val="24"/>
        </w:rPr>
      </w:pPr>
      <w:r>
        <w:rPr>
          <w:rFonts w:hint="eastAsia" w:asciiTheme="minorEastAsia" w:hAnsiTheme="minorEastAsia"/>
          <w:color w:val="auto"/>
          <w:sz w:val="24"/>
          <w:szCs w:val="24"/>
        </w:rPr>
        <w:t>规范药物</w:t>
      </w:r>
      <w:r>
        <w:rPr>
          <w:rFonts w:hint="eastAsia" w:asciiTheme="minorEastAsia" w:hAnsiTheme="minorEastAsia"/>
          <w:color w:val="auto"/>
          <w:sz w:val="24"/>
          <w:szCs w:val="24"/>
          <w:lang w:val="en-US" w:eastAsia="zh-CN"/>
        </w:rPr>
        <w:t>/</w:t>
      </w:r>
      <w:r>
        <w:rPr>
          <w:rFonts w:hint="eastAsia" w:asciiTheme="minorEastAsia" w:hAnsiTheme="minorEastAsia"/>
          <w:color w:val="auto"/>
          <w:sz w:val="24"/>
          <w:szCs w:val="24"/>
        </w:rPr>
        <w:t>医疗器械临床研究相关制度的制定流程及格式。</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二、范围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Theme="minorEastAsia" w:hAnsiTheme="minorEastAsia"/>
          <w:color w:val="auto"/>
          <w:sz w:val="24"/>
          <w:szCs w:val="24"/>
        </w:rPr>
      </w:pPr>
      <w:r>
        <w:rPr>
          <w:rFonts w:hint="eastAsia" w:asciiTheme="minorEastAsia" w:hAnsiTheme="minorEastAsia"/>
          <w:color w:val="auto"/>
          <w:sz w:val="24"/>
          <w:szCs w:val="24"/>
        </w:rPr>
        <w:t>适用于药物</w:t>
      </w:r>
      <w:r>
        <w:rPr>
          <w:rFonts w:hint="eastAsia" w:asciiTheme="minorEastAsia" w:hAnsiTheme="minorEastAsia"/>
          <w:color w:val="auto"/>
          <w:sz w:val="24"/>
          <w:szCs w:val="24"/>
          <w:lang w:val="en-US" w:eastAsia="zh-CN"/>
        </w:rPr>
        <w:t>/</w:t>
      </w:r>
      <w:r>
        <w:rPr>
          <w:rFonts w:hint="eastAsia" w:asciiTheme="minorEastAsia" w:hAnsiTheme="minorEastAsia"/>
          <w:color w:val="auto"/>
          <w:sz w:val="24"/>
          <w:szCs w:val="24"/>
        </w:rPr>
        <w:t>医疗器械临床研究相关制度。</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三、规程</w:t>
      </w:r>
    </w:p>
    <w:p>
      <w:pPr>
        <w:keepNext w:val="0"/>
        <w:keepLines w:val="0"/>
        <w:pageBreakBefore w:val="0"/>
        <w:widowControl w:val="0"/>
        <w:tabs>
          <w:tab w:val="left" w:pos="312"/>
        </w:tabs>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（一)制度的拟定、审核、生效、修订及撤销。</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1、拟定，由涉及该制度的人员或被指定人员拟定。</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2、讨论/审核。如该制度涉及工作属机构办公室管理的，由机构办公室主任或相关分管负责人组织讨论或征求意见，修改后一般由机构办公室主任予以审核；如该工作由其他科室管理，则由科室负责人组织讨论或征求意见，修改后一般由该科室负责人予以审核。</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3、批准。由机构主任</w:t>
      </w:r>
      <w:r>
        <w:rPr>
          <w:rFonts w:hint="eastAsia" w:asciiTheme="minorEastAsia" w:hAnsiTheme="minorEastAsia"/>
          <w:color w:val="auto"/>
          <w:sz w:val="24"/>
          <w:szCs w:val="24"/>
          <w:lang w:val="en-US" w:eastAsia="zh-CN"/>
        </w:rPr>
        <w:t>/副主任</w:t>
      </w:r>
      <w:r>
        <w:rPr>
          <w:rFonts w:hint="eastAsia" w:asciiTheme="minorEastAsia" w:hAnsiTheme="minorEastAsia"/>
          <w:color w:val="auto"/>
          <w:sz w:val="24"/>
          <w:szCs w:val="24"/>
        </w:rPr>
        <w:t>签字批准，如有必要，提交院委会会议批准。</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4、公布与生效。制度形成文件或电子版本后，可以纸质文件发放到个人，亦可以以PDF方式发送电子版至相关人员，便于相关人员查阅。生效时间与发布时间之间相隔若干个工作日，以便相关人员熟悉，组织培训学习。一般情况下，5-10个工作日生效。</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5、审查/修订。须半年到一年组织相关人员对现行制度进行审查，根据最新的法规与指南，或经过实践认为需要修订的，则对制度进行修订。如修订内容涉及制度实质内容的，则对原有制度进行修订，以确保所使用制度与现行法规、指南一致，修订程序同前；如修订内容不涉及实质内容（如编号、格式、个别文字勘误等）的，则修订程序可简化。</w:t>
      </w:r>
      <w:r>
        <w:rPr>
          <w:rFonts w:hint="eastAsia" w:asciiTheme="minorEastAsia" w:hAnsiTheme="minorEastAsia"/>
          <w:color w:val="auto"/>
          <w:sz w:val="24"/>
          <w:szCs w:val="24"/>
          <w:lang w:val="en-US" w:eastAsia="zh-CN"/>
        </w:rPr>
        <w:t>修订后填写修订记录，记录修订内容。</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eastAsiaTheme="minorEastAsia"/>
          <w:color w:val="auto"/>
          <w:sz w:val="24"/>
          <w:szCs w:val="24"/>
          <w:lang w:eastAsia="zh-CN"/>
        </w:rPr>
      </w:pPr>
      <w:r>
        <w:rPr>
          <w:rFonts w:hint="eastAsia" w:asciiTheme="minorEastAsia" w:hAnsiTheme="minorEastAsia"/>
          <w:color w:val="auto"/>
          <w:sz w:val="24"/>
          <w:szCs w:val="24"/>
        </w:rPr>
        <w:t>6、废止。新管理制度生效，相应的旧制度自动废止，并从工作场地收回</w:t>
      </w:r>
      <w:r>
        <w:rPr>
          <w:rFonts w:hint="eastAsia" w:asciiTheme="minorEastAsia" w:hAnsiTheme="minorEastAsia"/>
          <w:color w:val="auto"/>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（二）管理制度的格式及编排要求。</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1、结构</w:t>
      </w:r>
    </w:p>
    <w:p>
      <w:pPr>
        <w:pStyle w:val="36"/>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（1）一般信息:标题、编写者、编写日期、审核者、审核日期、批准者、批准日期、颁发部门、分发部门、编号、版本号、公布日期、生效日期以及修订登记、审核登记。</w:t>
      </w:r>
    </w:p>
    <w:p>
      <w:pPr>
        <w:pStyle w:val="36"/>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（2）题目：制度标题。</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（3) 目的：简述制定制度的目的。</w:t>
      </w:r>
    </w:p>
    <w:p>
      <w:pPr>
        <w:pStyle w:val="36"/>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color w:val="auto"/>
          <w:sz w:val="24"/>
          <w:szCs w:val="24"/>
        </w:rPr>
      </w:pPr>
      <w:r>
        <w:rPr>
          <w:rFonts w:hint="eastAsia" w:asciiTheme="minorEastAsia" w:hAnsiTheme="minorEastAsia"/>
          <w:color w:val="auto"/>
          <w:sz w:val="24"/>
          <w:szCs w:val="24"/>
        </w:rPr>
        <w:t>（4）范围：简述该制度的适用范围。</w:t>
      </w:r>
    </w:p>
    <w:p>
      <w:pPr>
        <w:pStyle w:val="36"/>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（5）正文：该制度的正文部分。</w:t>
      </w:r>
    </w:p>
    <w:p>
      <w:pPr>
        <w:pStyle w:val="36"/>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（6）参考</w:t>
      </w:r>
      <w:r>
        <w:rPr>
          <w:rFonts w:hint="eastAsia" w:asciiTheme="minorEastAsia" w:hAnsiTheme="minorEastAsia"/>
          <w:color w:val="auto"/>
          <w:sz w:val="24"/>
          <w:szCs w:val="24"/>
          <w:lang w:eastAsia="zh-CN"/>
        </w:rPr>
        <w:t>文献</w:t>
      </w:r>
      <w:r>
        <w:rPr>
          <w:rFonts w:hint="eastAsia" w:asciiTheme="minorEastAsia" w:hAnsiTheme="minorEastAsia"/>
          <w:color w:val="auto"/>
          <w:sz w:val="24"/>
          <w:szCs w:val="24"/>
        </w:rPr>
        <w:t>:指明参考的法规、文件及说明书等（如适用）。</w:t>
      </w:r>
    </w:p>
    <w:p>
      <w:pPr>
        <w:pStyle w:val="36"/>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（7）相关程序：指明与本制度相关的SOP（如适用）。</w:t>
      </w:r>
    </w:p>
    <w:p>
      <w:pPr>
        <w:pStyle w:val="36"/>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color w:val="auto"/>
          <w:sz w:val="24"/>
          <w:szCs w:val="24"/>
        </w:rPr>
      </w:pPr>
      <w:r>
        <w:rPr>
          <w:rFonts w:hint="eastAsia" w:asciiTheme="minorEastAsia" w:hAnsiTheme="minorEastAsia"/>
          <w:color w:val="auto"/>
          <w:sz w:val="24"/>
          <w:szCs w:val="24"/>
        </w:rPr>
        <w:t>（8）附表：指明执行本制度时需要填写的相关表格（如适用）。</w:t>
      </w:r>
    </w:p>
    <w:p>
      <w:pPr>
        <w:pStyle w:val="36"/>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w:t>
      </w:r>
      <w:r>
        <w:rPr>
          <w:rFonts w:hint="eastAsia" w:asciiTheme="minorEastAsia" w:hAnsiTheme="minorEastAsia"/>
          <w:color w:val="auto"/>
          <w:sz w:val="24"/>
          <w:szCs w:val="24"/>
          <w:lang w:val="en-US" w:eastAsia="zh-CN"/>
        </w:rPr>
        <w:t>9</w:t>
      </w:r>
      <w:r>
        <w:rPr>
          <w:rFonts w:hint="default" w:asciiTheme="minorEastAsia" w:hAnsiTheme="minorEastAsia"/>
          <w:color w:val="auto"/>
          <w:sz w:val="24"/>
          <w:szCs w:val="24"/>
          <w:lang w:val="en-US" w:eastAsia="zh-CN"/>
        </w:rPr>
        <w:t>）修订记录</w:t>
      </w:r>
      <w:r>
        <w:rPr>
          <w:rFonts w:hint="eastAsia" w:asciiTheme="minorEastAsia" w:hAnsiTheme="minorEastAsia"/>
          <w:color w:val="auto"/>
          <w:sz w:val="24"/>
          <w:szCs w:val="24"/>
          <w:lang w:val="en-US" w:eastAsia="zh-CN"/>
        </w:rPr>
        <w:t>：指制度历次更新时修订原因、依据和修订内容</w:t>
      </w:r>
      <w:r>
        <w:rPr>
          <w:rFonts w:hint="default" w:asciiTheme="minorEastAsia" w:hAnsiTheme="minor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2、编排要求。</w:t>
      </w:r>
    </w:p>
    <w:p>
      <w:pPr>
        <w:pStyle w:val="36"/>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（1）页眉、页脚。签字页页眉右侧标注沂源县人民医院，左侧标注国家药物</w:t>
      </w:r>
      <w:r>
        <w:rPr>
          <w:rFonts w:hint="eastAsia" w:asciiTheme="minorEastAsia" w:hAnsiTheme="minorEastAsia"/>
          <w:color w:val="auto"/>
          <w:sz w:val="24"/>
          <w:szCs w:val="24"/>
          <w:lang w:val="en-US" w:eastAsia="zh-CN"/>
        </w:rPr>
        <w:t>/</w:t>
      </w:r>
      <w:r>
        <w:rPr>
          <w:rFonts w:hint="eastAsia" w:asciiTheme="minorEastAsia" w:hAnsiTheme="minorEastAsia"/>
          <w:color w:val="auto"/>
          <w:sz w:val="24"/>
          <w:szCs w:val="24"/>
        </w:rPr>
        <w:t>医疗器械临床试验机构制度/SOP，页脚正中标注页码；正文页眉左侧标注文件名称，右侧标注文件编号及版本号，页脚正中标注页码。</w:t>
      </w:r>
    </w:p>
    <w:p>
      <w:pPr>
        <w:pStyle w:val="36"/>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color w:val="auto"/>
          <w:sz w:val="24"/>
          <w:szCs w:val="24"/>
        </w:rPr>
      </w:pPr>
      <w:r>
        <w:rPr>
          <w:rFonts w:hint="eastAsia" w:asciiTheme="minorEastAsia" w:hAnsiTheme="minorEastAsia"/>
          <w:color w:val="auto"/>
          <w:sz w:val="24"/>
          <w:szCs w:val="24"/>
        </w:rPr>
        <w:t>（2）编码。编码均按以下格式标注</w:t>
      </w:r>
      <w:r>
        <w:rPr>
          <w:rFonts w:hint="eastAsia" w:asciiTheme="minorEastAsia" w:hAnsiTheme="minorEastAsia"/>
          <w:color w:val="auto"/>
          <w:sz w:val="24"/>
          <w:szCs w:val="24"/>
          <w:lang w:eastAsia="zh-CN"/>
        </w:rPr>
        <w:t>：</w:t>
      </w:r>
      <w:r>
        <w:rPr>
          <w:rFonts w:hint="eastAsia" w:asciiTheme="minorEastAsia" w:hAnsiTheme="minorEastAsia"/>
          <w:color w:val="auto"/>
          <w:sz w:val="24"/>
          <w:szCs w:val="24"/>
        </w:rPr>
        <w:t>YYH（医院缩写）-ZD（制度的编号）-科室拼音首字母-编号</w:t>
      </w:r>
      <w:r>
        <w:rPr>
          <w:rFonts w:hint="eastAsia" w:asciiTheme="minorEastAsia" w:hAnsiTheme="minorEastAsia"/>
          <w:color w:val="auto"/>
          <w:sz w:val="24"/>
          <w:szCs w:val="24"/>
          <w:lang w:val="en-US" w:eastAsia="zh-CN"/>
        </w:rPr>
        <w:t xml:space="preserve"> 版本号</w:t>
      </w:r>
      <w:r>
        <w:rPr>
          <w:rFonts w:hint="eastAsia" w:asciiTheme="minorEastAsia" w:hAnsiTheme="minorEastAsia"/>
          <w:color w:val="auto"/>
          <w:sz w:val="24"/>
          <w:szCs w:val="24"/>
        </w:rPr>
        <w:t>。机构办公室缩写为“CTC”,I期为“I”,其他科室为科室拼音首字母，如呼吸科为“HXK”。举例：机构办公室管理制度类第一个生效制度第一版本，其编码为YYH-ZD-CTC-00</w:t>
      </w:r>
      <w:r>
        <w:rPr>
          <w:rFonts w:hint="eastAsia" w:asciiTheme="minorEastAsia" w:hAnsiTheme="minorEastAsia"/>
          <w:color w:val="auto"/>
          <w:sz w:val="24"/>
          <w:szCs w:val="24"/>
          <w:lang w:val="en-US" w:eastAsia="zh-CN"/>
        </w:rPr>
        <w:t>1 1.0</w:t>
      </w:r>
      <w:r>
        <w:rPr>
          <w:rFonts w:hint="eastAsia" w:asciiTheme="minorEastAsia" w:hAnsiTheme="minorEastAsia"/>
          <w:color w:val="auto"/>
          <w:sz w:val="24"/>
          <w:szCs w:val="24"/>
          <w:lang w:eastAsia="zh-CN"/>
        </w:rPr>
        <w:t>。文件修订后对版本号进行升级，例如</w:t>
      </w:r>
      <w:r>
        <w:rPr>
          <w:rFonts w:hint="eastAsia" w:asciiTheme="minorEastAsia" w:hAnsiTheme="minorEastAsia"/>
          <w:color w:val="auto"/>
          <w:sz w:val="24"/>
          <w:szCs w:val="24"/>
        </w:rPr>
        <w:t>YYH-ZD-CTC-00</w:t>
      </w:r>
      <w:r>
        <w:rPr>
          <w:rFonts w:hint="eastAsia" w:asciiTheme="minorEastAsia" w:hAnsiTheme="minorEastAsia"/>
          <w:color w:val="auto"/>
          <w:sz w:val="24"/>
          <w:szCs w:val="24"/>
          <w:lang w:val="en-US" w:eastAsia="zh-CN"/>
        </w:rPr>
        <w:t>1 1.1指第001个制度的第一版的第一次小修订，</w:t>
      </w:r>
      <w:r>
        <w:rPr>
          <w:rFonts w:hint="eastAsia" w:asciiTheme="minorEastAsia" w:hAnsiTheme="minorEastAsia"/>
          <w:color w:val="auto"/>
          <w:sz w:val="24"/>
          <w:szCs w:val="24"/>
        </w:rPr>
        <w:t>YYH-ZD-CTC-00</w:t>
      </w:r>
      <w:r>
        <w:rPr>
          <w:rFonts w:hint="eastAsia" w:asciiTheme="minorEastAsia" w:hAnsiTheme="minorEastAsia"/>
          <w:color w:val="auto"/>
          <w:sz w:val="24"/>
          <w:szCs w:val="24"/>
          <w:lang w:val="en-US" w:eastAsia="zh-CN"/>
        </w:rPr>
        <w:t>1 2.0第001个制度的第一版的第一次大修订，</w:t>
      </w:r>
      <w:r>
        <w:rPr>
          <w:rFonts w:hint="eastAsia" w:asciiTheme="minorEastAsia" w:hAnsiTheme="minorEastAsia"/>
          <w:color w:val="auto"/>
          <w:sz w:val="24"/>
          <w:szCs w:val="24"/>
        </w:rPr>
        <w:t>新增管理制度编号按顺序顺延。</w:t>
      </w:r>
    </w:p>
    <w:p>
      <w:pPr>
        <w:pStyle w:val="3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heme="minorEastAsia" w:hAnsiTheme="minorEastAsia" w:eastAsiaTheme="minorEastAsia"/>
          <w:color w:val="auto"/>
          <w:sz w:val="24"/>
          <w:szCs w:val="24"/>
          <w:lang w:val="en-US" w:eastAsia="zh-CN"/>
        </w:rPr>
      </w:pPr>
      <w:r>
        <w:rPr>
          <w:rFonts w:hint="eastAsia" w:asciiTheme="minorEastAsia" w:hAnsiTheme="minorEastAsia"/>
          <w:color w:val="auto"/>
          <w:sz w:val="24"/>
          <w:szCs w:val="24"/>
          <w:lang w:val="en-US" w:eastAsia="zh-CN"/>
        </w:rPr>
        <w:t>附表以附件形式单独编号，例如</w:t>
      </w:r>
      <w:r>
        <w:rPr>
          <w:rFonts w:hint="eastAsia" w:asciiTheme="minorEastAsia" w:hAnsiTheme="minorEastAsia"/>
          <w:color w:val="auto"/>
          <w:sz w:val="24"/>
          <w:szCs w:val="24"/>
        </w:rPr>
        <w:t>YYH（医院缩写）-ZD（制度的编号）-科室拼音首字母-编号</w:t>
      </w:r>
      <w:r>
        <w:rPr>
          <w:rFonts w:hint="eastAsia" w:asciiTheme="minorEastAsia" w:hAnsiTheme="minorEastAsia"/>
          <w:color w:val="auto"/>
          <w:sz w:val="24"/>
          <w:szCs w:val="24"/>
          <w:lang w:val="en-US" w:eastAsia="zh-CN"/>
        </w:rPr>
        <w:t>-版本号-ABB，A为附件的缩写，两位数BB代表附件的序号，例如A01指第一份附件。附表使用时格式为页眉左侧</w:t>
      </w:r>
      <w:r>
        <w:rPr>
          <w:rFonts w:hint="eastAsia" w:asciiTheme="minorEastAsia" w:hAnsiTheme="minorEastAsia"/>
          <w:color w:val="auto"/>
          <w:sz w:val="24"/>
          <w:szCs w:val="24"/>
        </w:rPr>
        <w:t>标注</w:t>
      </w:r>
      <w:r>
        <w:rPr>
          <w:rFonts w:hint="eastAsia" w:asciiTheme="minorEastAsia" w:hAnsiTheme="minorEastAsia"/>
          <w:color w:val="auto"/>
          <w:sz w:val="24"/>
          <w:szCs w:val="24"/>
          <w:lang w:val="en-US" w:eastAsia="zh-CN"/>
        </w:rPr>
        <w:t>表格编号，页眉</w:t>
      </w:r>
      <w:r>
        <w:rPr>
          <w:rFonts w:hint="eastAsia" w:asciiTheme="minorEastAsia" w:hAnsiTheme="minorEastAsia"/>
          <w:color w:val="auto"/>
          <w:sz w:val="24"/>
          <w:szCs w:val="24"/>
        </w:rPr>
        <w:t>右侧</w:t>
      </w:r>
      <w:r>
        <w:rPr>
          <w:rFonts w:hint="eastAsia" w:asciiTheme="minorEastAsia" w:hAnsiTheme="minorEastAsia"/>
          <w:color w:val="auto"/>
          <w:sz w:val="24"/>
          <w:szCs w:val="24"/>
          <w:lang w:val="en-US" w:eastAsia="zh-CN"/>
        </w:rPr>
        <w:t>标注沂源县人民医院标识。</w:t>
      </w:r>
    </w:p>
    <w:p>
      <w:pPr>
        <w:pStyle w:val="36"/>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3</w:t>
      </w:r>
      <w:r>
        <w:rPr>
          <w:rFonts w:hint="eastAsia" w:asciiTheme="minorEastAsia" w:hAnsiTheme="minorEastAsia"/>
          <w:color w:val="auto"/>
          <w:sz w:val="24"/>
          <w:szCs w:val="24"/>
        </w:rPr>
        <w:t>）制度编码。应与文件一一对应，一旦该制度停止使用，编码便作废，停止使用。</w:t>
      </w:r>
    </w:p>
    <w:p>
      <w:pPr>
        <w:pStyle w:val="36"/>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4</w:t>
      </w:r>
      <w:r>
        <w:rPr>
          <w:rFonts w:hint="eastAsia" w:asciiTheme="minorEastAsia" w:hAnsiTheme="minorEastAsia"/>
          <w:color w:val="auto"/>
          <w:sz w:val="24"/>
          <w:szCs w:val="24"/>
        </w:rPr>
        <w:t>）字体与格式。均采用宋体字体，全文1.5倍行距，标题均用黑体。字体大小：总标题用四号字体；目录编号为：一级目录采用“一、”表示，采用小四号字体；二级目录应采用“（一）”表示，二级以下目录采用小四号字体；三级目录采用阿拉伯数字“1.”表示，以此类推；正文采用小四字体。</w:t>
      </w:r>
    </w:p>
    <w:p>
      <w:pPr>
        <w:pStyle w:val="36"/>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（5）</w:t>
      </w:r>
      <w:r>
        <w:rPr>
          <w:rFonts w:hint="eastAsia" w:asciiTheme="minorEastAsia" w:hAnsiTheme="minorEastAsia"/>
          <w:color w:val="auto"/>
          <w:sz w:val="24"/>
          <w:szCs w:val="24"/>
        </w:rPr>
        <w:t>旧版制度</w:t>
      </w:r>
      <w:r>
        <w:rPr>
          <w:rFonts w:hint="eastAsia" w:asciiTheme="minorEastAsia" w:hAnsiTheme="minorEastAsia"/>
          <w:color w:val="auto"/>
          <w:sz w:val="24"/>
          <w:szCs w:val="24"/>
          <w:lang w:val="en-US" w:eastAsia="zh-CN"/>
        </w:rPr>
        <w:t>格式内容</w:t>
      </w:r>
      <w:r>
        <w:rPr>
          <w:rFonts w:hint="eastAsia" w:asciiTheme="minorEastAsia" w:hAnsiTheme="minorEastAsia"/>
          <w:color w:val="auto"/>
          <w:sz w:val="24"/>
          <w:szCs w:val="24"/>
        </w:rPr>
        <w:t>与本SOP规定差异较大。因此，如有新增或新修订的制度，则遵循本SOP规定；如原有制度未修订并继续有效，则本SOP生效后，统一按</w:t>
      </w:r>
      <w:r>
        <w:rPr>
          <w:rFonts w:hint="eastAsia" w:asciiTheme="minorEastAsia" w:hAnsiTheme="minorEastAsia"/>
          <w:color w:val="auto"/>
          <w:sz w:val="24"/>
          <w:szCs w:val="24"/>
          <w:lang w:val="en-US" w:eastAsia="zh-CN"/>
        </w:rPr>
        <w:t>原格式，在下次升级后按照</w:t>
      </w:r>
      <w:r>
        <w:rPr>
          <w:rFonts w:hint="eastAsia" w:asciiTheme="minorEastAsia" w:hAnsiTheme="minorEastAsia"/>
          <w:color w:val="auto"/>
          <w:sz w:val="24"/>
          <w:szCs w:val="24"/>
        </w:rPr>
        <w:t>本SOP规定</w:t>
      </w:r>
      <w:r>
        <w:rPr>
          <w:rFonts w:hint="eastAsia" w:asciiTheme="minorEastAsia" w:hAnsiTheme="minorEastAsia"/>
          <w:color w:val="auto"/>
          <w:sz w:val="24"/>
          <w:szCs w:val="24"/>
          <w:lang w:val="en-US" w:eastAsia="zh-CN"/>
        </w:rPr>
        <w:t>进行编写</w:t>
      </w:r>
      <w:r>
        <w:rPr>
          <w:rFonts w:hint="eastAsia" w:asciiTheme="minorEastAsia" w:hAnsiTheme="minorEastAsia"/>
          <w:color w:val="auto"/>
          <w:sz w:val="24"/>
          <w:szCs w:val="24"/>
        </w:rPr>
        <w:t>。</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四、制度管理与保存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sz w:val="24"/>
          <w:szCs w:val="24"/>
        </w:rPr>
      </w:pPr>
      <w:r>
        <w:rPr>
          <w:rFonts w:hint="eastAsia" w:asciiTheme="minorEastAsia" w:hAnsiTheme="minorEastAsia"/>
          <w:color w:val="auto"/>
          <w:sz w:val="24"/>
          <w:szCs w:val="24"/>
        </w:rPr>
        <w:t>1.原件由机构档案管理人员统一归档保存，不得随意复印，相关部门只保留与本部门相关的制度。</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color w:val="auto"/>
          <w:sz w:val="24"/>
          <w:szCs w:val="24"/>
        </w:rPr>
      </w:pPr>
      <w:r>
        <w:rPr>
          <w:rFonts w:hint="eastAsia" w:asciiTheme="minorEastAsia" w:hAnsiTheme="minorEastAsia"/>
          <w:color w:val="auto"/>
          <w:sz w:val="24"/>
          <w:szCs w:val="24"/>
        </w:rPr>
        <w:t>2.新的制度生效后，旧的制度及时收回，留底保存于临床试验机构资料室。</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五、参考文献</w:t>
      </w:r>
    </w:p>
    <w:p>
      <w:pPr>
        <w:pStyle w:val="36"/>
        <w:keepNext w:val="0"/>
        <w:keepLines w:val="0"/>
        <w:pageBreakBefore w:val="0"/>
        <w:widowControl w:val="0"/>
        <w:numPr>
          <w:ilvl w:val="0"/>
          <w:numId w:val="37"/>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37"/>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国家药品监督管理局，国家卫生健康委员会. 关于发布《医疗器械临床试验质量管理规范》的公告（2022年第28号）.[2022-03-31]. https://www.nmpa.gov.cn/xxgk/ggtg/qtggtg/20220331144903101.html.</w:t>
      </w:r>
    </w:p>
    <w:p>
      <w:pPr>
        <w:pStyle w:val="36"/>
        <w:keepNext w:val="0"/>
        <w:keepLines w:val="0"/>
        <w:pageBreakBefore w:val="0"/>
        <w:widowControl w:val="0"/>
        <w:numPr>
          <w:ilvl w:val="0"/>
          <w:numId w:val="37"/>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eastAsiaTheme="minorEastAsia"/>
          <w:b w:val="0"/>
          <w:bCs/>
          <w:color w:val="auto"/>
          <w:sz w:val="24"/>
          <w:szCs w:val="24"/>
          <w:lang w:val="en-US" w:eastAsia="zh-CN"/>
        </w:rPr>
      </w:pPr>
      <w:r>
        <w:rPr>
          <w:rFonts w:hint="eastAsia" w:asciiTheme="minorEastAsia" w:hAnsiTheme="minorEastAsia"/>
          <w:b w:val="0"/>
          <w:bCs/>
          <w:color w:val="auto"/>
          <w:sz w:val="24"/>
          <w:szCs w:val="24"/>
          <w:lang w:val="en-US" w:eastAsia="zh-CN"/>
        </w:rPr>
        <w:t>曹玉，元唯安. 药物临床试验实践 [M].北京：中国医药科技出版社，2021.</w:t>
      </w:r>
    </w:p>
    <w:p>
      <w:pPr>
        <w:pStyle w:val="36"/>
        <w:keepNext w:val="0"/>
        <w:keepLines w:val="0"/>
        <w:pageBreakBefore w:val="0"/>
        <w:widowControl w:val="0"/>
        <w:numPr>
          <w:ilvl w:val="0"/>
          <w:numId w:val="37"/>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eastAsiaTheme="minorEastAsia"/>
          <w:b w:val="0"/>
          <w:bCs/>
          <w:color w:val="auto"/>
          <w:sz w:val="24"/>
          <w:szCs w:val="24"/>
          <w:lang w:val="en-US" w:eastAsia="zh-CN"/>
        </w:rPr>
      </w:pPr>
      <w:r>
        <w:rPr>
          <w:rFonts w:hint="eastAsia" w:asciiTheme="minorEastAsia" w:hAnsiTheme="minorEastAsia"/>
          <w:b w:val="0"/>
          <w:bCs/>
          <w:color w:val="auto"/>
          <w:sz w:val="24"/>
          <w:szCs w:val="24"/>
          <w:lang w:val="en-US" w:eastAsia="zh-CN"/>
        </w:rPr>
        <w:t>王白璐医疗器械临床试验机构操作手册 [M]. 北京：人民卫生出版社，2022.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4"/>
        <w:gridCol w:w="907"/>
        <w:gridCol w:w="918"/>
        <w:gridCol w:w="2111"/>
        <w:gridCol w:w="3340"/>
        <w:gridCol w:w="14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44"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eastAsia="宋体"/>
                <w:color w:val="auto"/>
                <w:sz w:val="21"/>
                <w:szCs w:val="21"/>
                <w:lang w:eastAsia="zh-CN"/>
              </w:rPr>
            </w:pPr>
            <w:r>
              <w:rPr>
                <w:rFonts w:hint="eastAsia" w:ascii="宋体" w:hAnsi="宋体"/>
                <w:color w:val="auto"/>
                <w:sz w:val="21"/>
                <w:szCs w:val="21"/>
                <w:lang w:val="en-US" w:eastAsia="zh-CN"/>
              </w:rPr>
              <w:t>序号</w:t>
            </w:r>
          </w:p>
        </w:tc>
        <w:tc>
          <w:tcPr>
            <w:tcW w:w="907"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kern w:val="2"/>
                <w:sz w:val="21"/>
                <w:szCs w:val="21"/>
                <w:lang w:val="en-US" w:eastAsia="zh-CN" w:bidi="ar-SA"/>
              </w:rPr>
            </w:pPr>
            <w:r>
              <w:rPr>
                <w:rFonts w:hint="eastAsia" w:ascii="宋体" w:hAnsi="宋体"/>
                <w:color w:val="auto"/>
                <w:sz w:val="21"/>
                <w:szCs w:val="21"/>
                <w:lang w:val="en-US" w:eastAsia="zh-CN"/>
              </w:rPr>
              <w:t>修订前版本号</w:t>
            </w:r>
          </w:p>
        </w:tc>
        <w:tc>
          <w:tcPr>
            <w:tcW w:w="918"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宋体"/>
                <w:color w:val="auto"/>
                <w:kern w:val="2"/>
                <w:sz w:val="21"/>
                <w:szCs w:val="21"/>
                <w:lang w:val="en-US" w:eastAsia="zh-CN" w:bidi="ar-SA"/>
              </w:rPr>
            </w:pPr>
            <w:r>
              <w:rPr>
                <w:rFonts w:hint="eastAsia" w:ascii="宋体" w:hAnsi="宋体"/>
                <w:color w:val="auto"/>
                <w:sz w:val="21"/>
                <w:szCs w:val="21"/>
                <w:lang w:val="en-US" w:eastAsia="zh-CN"/>
              </w:rPr>
              <w:t>修订后版本号</w:t>
            </w:r>
          </w:p>
        </w:tc>
        <w:tc>
          <w:tcPr>
            <w:tcW w:w="2111"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修订原因、依据</w:t>
            </w:r>
          </w:p>
        </w:tc>
        <w:tc>
          <w:tcPr>
            <w:tcW w:w="33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修订内容</w:t>
            </w:r>
          </w:p>
        </w:tc>
        <w:tc>
          <w:tcPr>
            <w:tcW w:w="1494" w:type="dxa"/>
            <w:vAlign w:val="center"/>
          </w:tcPr>
          <w:p>
            <w:pPr>
              <w:keepNext w:val="0"/>
              <w:keepLines w:val="0"/>
              <w:pageBreakBefore w:val="0"/>
              <w:widowControl w:val="0"/>
              <w:kinsoku/>
              <w:wordWrap/>
              <w:overflowPunct/>
              <w:topLinePunct w:val="0"/>
              <w:autoSpaceDE/>
              <w:autoSpaceDN/>
              <w:bidi w:val="0"/>
              <w:adjustRightInd/>
              <w:snapToGrid/>
              <w:ind w:right="0"/>
              <w:jc w:val="left"/>
              <w:textAlignment w:val="auto"/>
              <w:rPr>
                <w:rFonts w:hint="eastAsia" w:ascii="宋体" w:hAnsi="宋体" w:eastAsiaTheme="minorEastAsia"/>
                <w:color w:val="auto"/>
                <w:sz w:val="21"/>
                <w:szCs w:val="21"/>
                <w:lang w:eastAsia="zh-CN"/>
              </w:rPr>
            </w:pPr>
            <w:r>
              <w:rPr>
                <w:rFonts w:hint="eastAsia" w:ascii="宋体" w:hAnsi="宋体"/>
                <w:color w:val="auto"/>
                <w:sz w:val="21"/>
                <w:szCs w:val="21"/>
                <w:lang w:eastAsia="zh-CN"/>
              </w:rPr>
              <w:t>修订人</w:t>
            </w:r>
            <w:r>
              <w:rPr>
                <w:rFonts w:hint="eastAsia" w:ascii="宋体" w:hAnsi="宋体"/>
                <w:color w:val="auto"/>
                <w:sz w:val="21"/>
                <w:szCs w:val="21"/>
                <w:lang w:val="en-US" w:eastAsia="zh-CN"/>
              </w:rPr>
              <w:t>/</w:t>
            </w:r>
            <w:r>
              <w:rPr>
                <w:rFonts w:hint="eastAsia" w:ascii="宋体" w:hAnsi="宋体"/>
                <w:color w:val="auto"/>
                <w:sz w:val="21"/>
                <w:szCs w:val="21"/>
                <w:lang w:eastAsia="zh-CN"/>
              </w:rPr>
              <w:t>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2" w:hRule="atLeast"/>
          <w:jc w:val="center"/>
        </w:trPr>
        <w:tc>
          <w:tcPr>
            <w:tcW w:w="644" w:type="dxa"/>
            <w:vAlign w:val="center"/>
          </w:tcPr>
          <w:p>
            <w:pPr>
              <w:jc w:val="center"/>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1</w:t>
            </w:r>
          </w:p>
        </w:tc>
        <w:tc>
          <w:tcPr>
            <w:tcW w:w="907" w:type="dxa"/>
            <w:vAlign w:val="center"/>
          </w:tcPr>
          <w:p>
            <w:pPr>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3.0</w:t>
            </w:r>
          </w:p>
        </w:tc>
        <w:tc>
          <w:tcPr>
            <w:tcW w:w="918" w:type="dxa"/>
            <w:vAlign w:val="center"/>
          </w:tcPr>
          <w:p>
            <w:pPr>
              <w:jc w:val="center"/>
              <w:rPr>
                <w:rFonts w:hint="default" w:ascii="宋体" w:hAnsi="宋体"/>
                <w:color w:val="auto"/>
                <w:sz w:val="21"/>
                <w:szCs w:val="21"/>
                <w:lang w:val="en-US" w:eastAsia="zh-CN"/>
              </w:rPr>
            </w:pPr>
            <w:r>
              <w:rPr>
                <w:rFonts w:hint="eastAsia" w:ascii="宋体" w:hAnsi="宋体"/>
                <w:color w:val="auto"/>
                <w:sz w:val="21"/>
                <w:szCs w:val="21"/>
                <w:lang w:val="en-US" w:eastAsia="zh-CN"/>
              </w:rPr>
              <w:t>3.1</w:t>
            </w:r>
          </w:p>
        </w:tc>
        <w:tc>
          <w:tcPr>
            <w:tcW w:w="2111" w:type="dxa"/>
            <w:vAlign w:val="center"/>
          </w:tcPr>
          <w:p>
            <w:pPr>
              <w:numPr>
                <w:ilvl w:val="0"/>
                <w:numId w:val="0"/>
              </w:numPr>
              <w:jc w:val="left"/>
              <w:rPr>
                <w:rFonts w:hint="default" w:ascii="宋体" w:hAnsi="宋体"/>
                <w:color w:val="auto"/>
                <w:sz w:val="21"/>
                <w:szCs w:val="21"/>
                <w:lang w:val="en-US" w:eastAsia="zh-CN"/>
              </w:rPr>
            </w:pPr>
            <w:r>
              <w:rPr>
                <w:rFonts w:hint="eastAsia" w:ascii="宋体" w:hAnsi="宋体"/>
                <w:color w:val="auto"/>
                <w:sz w:val="21"/>
                <w:szCs w:val="21"/>
                <w:lang w:val="en-US" w:eastAsia="zh-CN"/>
              </w:rPr>
              <w:t>1.根据实际工作需要，对制度的格式内容进行调整。</w:t>
            </w:r>
          </w:p>
        </w:tc>
        <w:tc>
          <w:tcPr>
            <w:tcW w:w="3340" w:type="dxa"/>
            <w:vAlign w:val="center"/>
          </w:tcPr>
          <w:p>
            <w:pPr>
              <w:numPr>
                <w:ilvl w:val="0"/>
                <w:numId w:val="0"/>
              </w:numPr>
              <w:jc w:val="left"/>
              <w:rPr>
                <w:rFonts w:hint="default"/>
                <w:color w:val="auto"/>
                <w:lang w:val="en-US" w:eastAsia="zh-CN"/>
              </w:rPr>
            </w:pPr>
            <w:r>
              <w:rPr>
                <w:rFonts w:hint="eastAsia"/>
                <w:color w:val="auto"/>
                <w:lang w:val="en-US" w:eastAsia="zh-CN"/>
              </w:rPr>
              <w:t>1.新增附表编号格式要求。</w:t>
            </w:r>
          </w:p>
          <w:p>
            <w:pPr>
              <w:numPr>
                <w:ilvl w:val="0"/>
                <w:numId w:val="0"/>
              </w:numPr>
              <w:jc w:val="left"/>
              <w:rPr>
                <w:rFonts w:hint="eastAsia"/>
                <w:color w:val="auto"/>
                <w:lang w:val="en-US" w:eastAsia="zh-CN"/>
              </w:rPr>
            </w:pPr>
            <w:r>
              <w:rPr>
                <w:rFonts w:hint="eastAsia"/>
                <w:color w:val="auto"/>
                <w:lang w:val="en-US" w:eastAsia="zh-CN"/>
              </w:rPr>
              <w:t>2.新增修订记录项。</w:t>
            </w:r>
          </w:p>
          <w:p>
            <w:pPr>
              <w:numPr>
                <w:ilvl w:val="0"/>
                <w:numId w:val="0"/>
              </w:numPr>
              <w:jc w:val="left"/>
              <w:rPr>
                <w:rFonts w:hint="default"/>
                <w:color w:val="auto"/>
                <w:lang w:val="en-US" w:eastAsia="zh-CN"/>
              </w:rPr>
            </w:pPr>
            <w:r>
              <w:rPr>
                <w:rFonts w:hint="eastAsia"/>
                <w:color w:val="auto"/>
                <w:lang w:val="en-US" w:eastAsia="zh-CN"/>
              </w:rPr>
              <w:t>3.新增参考文献。</w:t>
            </w:r>
          </w:p>
        </w:tc>
        <w:tc>
          <w:tcPr>
            <w:tcW w:w="1494" w:type="dxa"/>
            <w:vAlign w:val="center"/>
          </w:tcPr>
          <w:p>
            <w:pPr>
              <w:numPr>
                <w:ilvl w:val="0"/>
                <w:numId w:val="0"/>
              </w:numPr>
              <w:jc w:val="left"/>
              <w:rPr>
                <w:rFonts w:hint="eastAsia"/>
                <w:color w:val="auto"/>
                <w:lang w:val="en-US" w:eastAsia="zh-CN"/>
              </w:rPr>
            </w:pPr>
          </w:p>
        </w:tc>
      </w:tr>
    </w:tbl>
    <w:p>
      <w:pPr>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asciiTheme="minorEastAsia" w:hAnsiTheme="minorEastAsia"/>
          <w:color w:val="auto"/>
          <w:sz w:val="24"/>
          <w:szCs w:val="24"/>
        </w:rPr>
      </w:pPr>
    </w:p>
    <w:p>
      <w:pPr>
        <w:pStyle w:val="36"/>
        <w:spacing w:line="360" w:lineRule="auto"/>
        <w:ind w:firstLine="3373" w:firstLineChars="1200"/>
        <w:rPr>
          <w:rFonts w:hint="eastAsia" w:ascii="黑体" w:hAnsi="黑体" w:eastAsia="黑体" w:cs="黑体"/>
          <w:b/>
          <w:color w:val="auto"/>
          <w:sz w:val="28"/>
          <w:szCs w:val="28"/>
        </w:rPr>
        <w:sectPr>
          <w:headerReference r:id="rId68"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pStyle w:val="36"/>
        <w:spacing w:line="360" w:lineRule="auto"/>
        <w:ind w:firstLine="3373" w:firstLineChars="1200"/>
        <w:rPr>
          <w:rFonts w:ascii="黑体" w:hAnsi="黑体" w:eastAsia="黑体" w:cs="黑体"/>
          <w:b/>
          <w:color w:val="auto"/>
          <w:sz w:val="28"/>
          <w:szCs w:val="28"/>
          <w:highlight w:val="none"/>
        </w:rPr>
      </w:pPr>
      <w:r>
        <w:rPr>
          <w:rFonts w:hint="eastAsia" w:ascii="黑体" w:hAnsi="黑体" w:eastAsia="黑体" w:cs="黑体"/>
          <w:b/>
          <w:color w:val="auto"/>
          <w:sz w:val="28"/>
          <w:szCs w:val="28"/>
          <w:highlight w:val="none"/>
        </w:rPr>
        <w:t>制定SOP的SOP</w:t>
      </w:r>
    </w:p>
    <w:p>
      <w:pPr>
        <w:pStyle w:val="36"/>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一、目的</w:t>
      </w:r>
    </w:p>
    <w:p>
      <w:pPr>
        <w:spacing w:line="360" w:lineRule="auto"/>
        <w:ind w:firstLine="600" w:firstLineChars="250"/>
        <w:rPr>
          <w:rFonts w:asciiTheme="minorEastAsia" w:hAnsiTheme="minorEastAsia"/>
          <w:color w:val="auto"/>
          <w:sz w:val="24"/>
          <w:szCs w:val="24"/>
        </w:rPr>
      </w:pPr>
      <w:r>
        <w:rPr>
          <w:rFonts w:hint="eastAsia" w:asciiTheme="minorEastAsia" w:hAnsiTheme="minorEastAsia"/>
          <w:color w:val="auto"/>
          <w:sz w:val="24"/>
          <w:szCs w:val="24"/>
        </w:rPr>
        <w:t>规范药物</w:t>
      </w:r>
      <w:r>
        <w:rPr>
          <w:rFonts w:hint="eastAsia" w:asciiTheme="minorEastAsia" w:hAnsiTheme="minorEastAsia"/>
          <w:color w:val="auto"/>
          <w:sz w:val="24"/>
          <w:szCs w:val="24"/>
          <w:lang w:val="en-US" w:eastAsia="zh-CN"/>
        </w:rPr>
        <w:t>/</w:t>
      </w:r>
      <w:r>
        <w:rPr>
          <w:rFonts w:hint="eastAsia" w:asciiTheme="minorEastAsia" w:hAnsiTheme="minorEastAsia"/>
          <w:color w:val="auto"/>
          <w:sz w:val="24"/>
          <w:szCs w:val="24"/>
        </w:rPr>
        <w:t>医疗器械临床研究相关SOP的制</w:t>
      </w:r>
      <w:r>
        <w:rPr>
          <w:rFonts w:hint="eastAsia" w:asciiTheme="minorEastAsia" w:hAnsiTheme="minorEastAsia"/>
          <w:color w:val="auto"/>
          <w:sz w:val="24"/>
          <w:szCs w:val="24"/>
          <w:lang w:eastAsia="zh-CN"/>
        </w:rPr>
        <w:t>定</w:t>
      </w:r>
      <w:r>
        <w:rPr>
          <w:rFonts w:hint="eastAsia" w:asciiTheme="minorEastAsia" w:hAnsiTheme="minorEastAsia"/>
          <w:color w:val="auto"/>
          <w:sz w:val="24"/>
          <w:szCs w:val="24"/>
        </w:rPr>
        <w:t>流程及格式。</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二、范围</w:t>
      </w:r>
    </w:p>
    <w:p>
      <w:pPr>
        <w:spacing w:line="360" w:lineRule="auto"/>
        <w:ind w:firstLine="600" w:firstLineChars="250"/>
        <w:rPr>
          <w:rFonts w:asciiTheme="minorEastAsia" w:hAnsiTheme="minorEastAsia"/>
          <w:color w:val="auto"/>
          <w:sz w:val="24"/>
          <w:szCs w:val="24"/>
        </w:rPr>
      </w:pPr>
      <w:r>
        <w:rPr>
          <w:rFonts w:hint="eastAsia" w:asciiTheme="minorEastAsia" w:hAnsiTheme="minorEastAsia"/>
          <w:color w:val="auto"/>
          <w:sz w:val="24"/>
          <w:szCs w:val="24"/>
        </w:rPr>
        <w:t>适用于本机构药物</w:t>
      </w:r>
      <w:r>
        <w:rPr>
          <w:rFonts w:hint="eastAsia" w:asciiTheme="minorEastAsia" w:hAnsiTheme="minorEastAsia"/>
          <w:color w:val="auto"/>
          <w:sz w:val="24"/>
          <w:szCs w:val="24"/>
          <w:lang w:val="en-US" w:eastAsia="zh-CN"/>
        </w:rPr>
        <w:t>/</w:t>
      </w:r>
      <w:r>
        <w:rPr>
          <w:rFonts w:hint="eastAsia" w:asciiTheme="minorEastAsia" w:hAnsiTheme="minorEastAsia"/>
          <w:color w:val="auto"/>
          <w:sz w:val="24"/>
          <w:szCs w:val="24"/>
        </w:rPr>
        <w:t>医疗器械临床研究相关SOP。</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三、规程</w:t>
      </w:r>
    </w:p>
    <w:p>
      <w:pPr>
        <w:spacing w:line="360" w:lineRule="auto"/>
        <w:ind w:left="239" w:leftChars="114" w:firstLine="120" w:firstLineChars="50"/>
        <w:rPr>
          <w:rFonts w:asciiTheme="minorEastAsia" w:hAnsiTheme="minorEastAsia"/>
          <w:color w:val="auto"/>
          <w:sz w:val="24"/>
          <w:szCs w:val="24"/>
        </w:rPr>
      </w:pPr>
      <w:r>
        <w:rPr>
          <w:rFonts w:hint="eastAsia" w:asciiTheme="minorEastAsia" w:hAnsiTheme="minorEastAsia"/>
          <w:color w:val="auto"/>
          <w:sz w:val="24"/>
          <w:szCs w:val="24"/>
        </w:rPr>
        <w:t>（一） SOP的定义及分类。SOP为标准操作规程(</w:t>
      </w:r>
      <w:r>
        <w:rPr>
          <w:rFonts w:ascii="Arial" w:hAnsi="Arial" w:cs="Arial"/>
          <w:color w:val="auto"/>
          <w:szCs w:val="21"/>
          <w:shd w:val="clear" w:color="auto" w:fill="FFFFFF"/>
        </w:rPr>
        <w:t>Standard Operation Procedure</w:t>
      </w:r>
      <w:r>
        <w:rPr>
          <w:rFonts w:hint="eastAsia" w:ascii="Arial" w:hAnsi="Arial" w:cs="Arial"/>
          <w:color w:val="auto"/>
          <w:szCs w:val="21"/>
          <w:shd w:val="clear" w:color="auto" w:fill="FFFFFF"/>
        </w:rPr>
        <w:t>)</w:t>
      </w:r>
      <w:r>
        <w:rPr>
          <w:rFonts w:hint="eastAsia" w:asciiTheme="minorEastAsia" w:hAnsiTheme="minorEastAsia"/>
          <w:color w:val="auto"/>
          <w:sz w:val="24"/>
          <w:szCs w:val="24"/>
        </w:rPr>
        <w:t>，分为工作流程类与设备操作类。</w:t>
      </w:r>
    </w:p>
    <w:p>
      <w:pPr>
        <w:spacing w:line="360" w:lineRule="auto"/>
        <w:ind w:firstLine="360" w:firstLineChars="150"/>
        <w:rPr>
          <w:rFonts w:asciiTheme="minorEastAsia" w:hAnsiTheme="minorEastAsia"/>
          <w:color w:val="auto"/>
          <w:sz w:val="24"/>
          <w:szCs w:val="24"/>
        </w:rPr>
      </w:pPr>
      <w:r>
        <w:rPr>
          <w:rFonts w:hint="eastAsia" w:asciiTheme="minorEastAsia" w:hAnsiTheme="minorEastAsia"/>
          <w:color w:val="auto"/>
          <w:sz w:val="24"/>
          <w:szCs w:val="24"/>
        </w:rPr>
        <w:t>（二) SOP的拟定、讨论与审核、批准、公布与生效、审查与修订、废止。</w:t>
      </w:r>
    </w:p>
    <w:p>
      <w:pPr>
        <w:spacing w:line="360" w:lineRule="auto"/>
        <w:ind w:firstLine="240" w:firstLineChars="100"/>
        <w:rPr>
          <w:rFonts w:asciiTheme="minorEastAsia" w:hAnsiTheme="minorEastAsia"/>
          <w:color w:val="auto"/>
          <w:sz w:val="24"/>
          <w:szCs w:val="24"/>
        </w:rPr>
      </w:pPr>
      <w:r>
        <w:rPr>
          <w:rFonts w:hint="eastAsia" w:asciiTheme="minorEastAsia" w:hAnsiTheme="minorEastAsia"/>
          <w:color w:val="auto"/>
          <w:sz w:val="24"/>
          <w:szCs w:val="24"/>
        </w:rPr>
        <w:t>1、拟定。应由该项工作操作人员或相关人员遵循现行法规、指南和要求初步拟定。</w:t>
      </w:r>
    </w:p>
    <w:p>
      <w:pPr>
        <w:spacing w:line="360" w:lineRule="auto"/>
        <w:ind w:left="239" w:leftChars="114"/>
        <w:rPr>
          <w:rFonts w:asciiTheme="minorEastAsia" w:hAnsiTheme="minorEastAsia"/>
          <w:color w:val="auto"/>
          <w:sz w:val="24"/>
          <w:szCs w:val="24"/>
        </w:rPr>
      </w:pPr>
      <w:r>
        <w:rPr>
          <w:rFonts w:hint="eastAsia" w:asciiTheme="minorEastAsia" w:hAnsiTheme="minorEastAsia"/>
          <w:color w:val="auto"/>
          <w:sz w:val="24"/>
          <w:szCs w:val="24"/>
        </w:rPr>
        <w:t>2、讨论与审核。该项工作属机构办公室管理工作的，由机构办公室主任或相关分管负责人组织讨论或征求意见，修改后予以审核；该项工作由其他科室管理的，则由科室负责人组织讨论或征求意见，修改后予以审核；该项工作与临床研究相关的，由主要研究者安排相关人员组织讨论，予以审核。</w:t>
      </w:r>
    </w:p>
    <w:p>
      <w:pPr>
        <w:spacing w:line="360" w:lineRule="auto"/>
        <w:ind w:left="239" w:leftChars="114"/>
        <w:rPr>
          <w:rFonts w:asciiTheme="minorEastAsia" w:hAnsiTheme="minorEastAsia"/>
          <w:color w:val="auto"/>
          <w:sz w:val="24"/>
          <w:szCs w:val="24"/>
        </w:rPr>
      </w:pPr>
      <w:r>
        <w:rPr>
          <w:rFonts w:hint="eastAsia" w:asciiTheme="minorEastAsia" w:hAnsiTheme="minorEastAsia"/>
          <w:color w:val="auto"/>
          <w:sz w:val="24"/>
          <w:szCs w:val="24"/>
        </w:rPr>
        <w:t>3、批准。临床研究工作流程SOP由机构负责人批准，设备操作类SOP由使用科室负责人批准，临床研究类SOP由主要研究者批准。</w:t>
      </w:r>
    </w:p>
    <w:p>
      <w:pPr>
        <w:spacing w:line="360" w:lineRule="auto"/>
        <w:ind w:left="239" w:leftChars="114"/>
        <w:rPr>
          <w:rFonts w:asciiTheme="minorEastAsia" w:hAnsiTheme="minorEastAsia"/>
          <w:color w:val="auto"/>
          <w:sz w:val="24"/>
          <w:szCs w:val="24"/>
        </w:rPr>
      </w:pPr>
      <w:r>
        <w:rPr>
          <w:rFonts w:hint="eastAsia" w:asciiTheme="minorEastAsia" w:hAnsiTheme="minorEastAsia"/>
          <w:color w:val="auto"/>
          <w:sz w:val="24"/>
          <w:szCs w:val="24"/>
        </w:rPr>
        <w:t>4、公布与生效。SOP形成文件或电子版本后，可以纸质文件发放到个人。便于相关人员查阅。生效时间与发布时间之间相隔若干个工作日，以便相关人员熟悉，组织培训学习。一般情况下，5-10个工作日生效。</w:t>
      </w:r>
    </w:p>
    <w:p>
      <w:pPr>
        <w:spacing w:line="360" w:lineRule="auto"/>
        <w:ind w:left="239" w:leftChars="114"/>
        <w:rPr>
          <w:rFonts w:hint="default" w:asciiTheme="minorEastAsia" w:hAnsiTheme="minorEastAsia" w:eastAsiaTheme="minorEastAsia"/>
          <w:color w:val="auto"/>
          <w:sz w:val="24"/>
          <w:szCs w:val="24"/>
          <w:lang w:val="en-US" w:eastAsia="zh-CN"/>
        </w:rPr>
      </w:pPr>
      <w:r>
        <w:rPr>
          <w:rFonts w:hint="eastAsia" w:asciiTheme="minorEastAsia" w:hAnsiTheme="minorEastAsia"/>
          <w:color w:val="auto"/>
          <w:sz w:val="24"/>
          <w:szCs w:val="24"/>
        </w:rPr>
        <w:t>5、审查/修订。须每半年到一年组织相关人员对现行SOP进行审查，根据最新的法规与指南，或经过实践认为需要修订的，则对原有SOP进行修订，以确保所使用SOP与现行法规、指南一致，修订程序同前。如修订内容不涉及实质内容（如编号、格式、个别文字勘误等）的，则修订程序可简化。</w:t>
      </w:r>
      <w:r>
        <w:rPr>
          <w:rFonts w:hint="eastAsia" w:asciiTheme="minorEastAsia" w:hAnsiTheme="minorEastAsia"/>
          <w:color w:val="auto"/>
          <w:sz w:val="24"/>
          <w:szCs w:val="24"/>
          <w:lang w:val="en-US" w:eastAsia="zh-CN"/>
        </w:rPr>
        <w:t>修订后填写修订记录，记录修订内容。</w:t>
      </w:r>
    </w:p>
    <w:p>
      <w:pPr>
        <w:spacing w:line="360" w:lineRule="auto"/>
        <w:ind w:left="239" w:leftChars="114"/>
        <w:rPr>
          <w:rFonts w:asciiTheme="minorEastAsia" w:hAnsiTheme="minorEastAsia"/>
          <w:color w:val="auto"/>
          <w:sz w:val="24"/>
          <w:szCs w:val="24"/>
        </w:rPr>
      </w:pPr>
      <w:r>
        <w:rPr>
          <w:rFonts w:hint="eastAsia" w:asciiTheme="minorEastAsia" w:hAnsiTheme="minorEastAsia"/>
          <w:color w:val="auto"/>
          <w:sz w:val="24"/>
          <w:szCs w:val="24"/>
        </w:rPr>
        <w:t>6、废止。新SOP生效后，相应的旧版本SOP则自动废止，并从工作场地收回。</w:t>
      </w:r>
    </w:p>
    <w:p>
      <w:pPr>
        <w:pStyle w:val="36"/>
        <w:spacing w:line="360" w:lineRule="auto"/>
        <w:ind w:left="142" w:firstLine="0" w:firstLineChars="0"/>
        <w:rPr>
          <w:rFonts w:asciiTheme="minorEastAsia" w:hAnsiTheme="minorEastAsia"/>
          <w:color w:val="auto"/>
          <w:sz w:val="24"/>
          <w:szCs w:val="24"/>
        </w:rPr>
      </w:pPr>
      <w:r>
        <w:rPr>
          <w:rFonts w:hint="eastAsia" w:asciiTheme="minorEastAsia" w:hAnsiTheme="minorEastAsia"/>
          <w:color w:val="auto"/>
          <w:sz w:val="24"/>
          <w:szCs w:val="24"/>
        </w:rPr>
        <w:t>（三）SOP的格式及编排要求。</w:t>
      </w:r>
    </w:p>
    <w:p>
      <w:pPr>
        <w:pStyle w:val="3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sz w:val="24"/>
          <w:szCs w:val="24"/>
        </w:rPr>
      </w:pPr>
      <w:r>
        <w:rPr>
          <w:rFonts w:hint="eastAsia" w:asciiTheme="minorEastAsia" w:hAnsiTheme="minorEastAsia"/>
          <w:color w:val="auto"/>
          <w:sz w:val="24"/>
          <w:szCs w:val="24"/>
        </w:rPr>
        <w:t>1、结构。</w:t>
      </w:r>
    </w:p>
    <w:p>
      <w:pPr>
        <w:pStyle w:val="3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（1) 一般信息:标题、编写者、编写日期、审核者、审核日期、批准者、批准日期、颁发部门、分发部门、编号、版本号、公布日期、生效日期以及修订登记、审核登记。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color w:val="auto"/>
          <w:sz w:val="24"/>
          <w:szCs w:val="24"/>
        </w:rPr>
      </w:pPr>
      <w:r>
        <w:rPr>
          <w:rFonts w:hint="eastAsia" w:asciiTheme="minorEastAsia" w:hAnsiTheme="minorEastAsia"/>
          <w:color w:val="auto"/>
          <w:sz w:val="24"/>
          <w:szCs w:val="24"/>
        </w:rPr>
        <w:t>（2) 题目：SOP统一标示为：××××的SOP。</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color w:val="auto"/>
          <w:sz w:val="24"/>
          <w:szCs w:val="24"/>
        </w:rPr>
      </w:pPr>
      <w:r>
        <w:rPr>
          <w:rFonts w:hint="eastAsia" w:asciiTheme="minorEastAsia" w:hAnsiTheme="minorEastAsia"/>
          <w:color w:val="auto"/>
          <w:sz w:val="24"/>
          <w:szCs w:val="24"/>
        </w:rPr>
        <w:t>（3) 目的：简述SOP的目的。</w:t>
      </w:r>
    </w:p>
    <w:p>
      <w:pPr>
        <w:pStyle w:val="36"/>
        <w:keepNext w:val="0"/>
        <w:keepLines w:val="0"/>
        <w:pageBreakBefore w:val="0"/>
        <w:widowControl w:val="0"/>
        <w:tabs>
          <w:tab w:val="left" w:pos="6754"/>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olor w:val="auto"/>
          <w:sz w:val="24"/>
          <w:szCs w:val="24"/>
          <w:lang w:eastAsia="zh-CN"/>
        </w:rPr>
      </w:pPr>
      <w:r>
        <w:rPr>
          <w:rFonts w:hint="eastAsia" w:asciiTheme="minorEastAsia" w:hAnsiTheme="minorEastAsia"/>
          <w:color w:val="auto"/>
          <w:sz w:val="24"/>
          <w:szCs w:val="24"/>
        </w:rPr>
        <w:t>（4）范围。简述SOP的适用范围。</w:t>
      </w:r>
      <w:r>
        <w:rPr>
          <w:rFonts w:hint="eastAsia" w:asciiTheme="minorEastAsia" w:hAnsiTheme="minorEastAsia"/>
          <w:color w:val="auto"/>
          <w:sz w:val="24"/>
          <w:szCs w:val="24"/>
          <w:lang w:eastAsia="zh-CN"/>
        </w:rPr>
        <w:tab/>
      </w:r>
    </w:p>
    <w:p>
      <w:pPr>
        <w:pStyle w:val="3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olor w:val="auto"/>
          <w:sz w:val="24"/>
          <w:szCs w:val="24"/>
        </w:rPr>
      </w:pPr>
      <w:r>
        <w:rPr>
          <w:rFonts w:hint="eastAsia" w:asciiTheme="minorEastAsia" w:hAnsiTheme="minorEastAsia"/>
          <w:color w:val="auto"/>
          <w:sz w:val="24"/>
          <w:szCs w:val="24"/>
        </w:rPr>
        <w:t>（5）规程：工作流程或设备操作流程。</w:t>
      </w:r>
    </w:p>
    <w:p>
      <w:pPr>
        <w:pStyle w:val="3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olor w:val="auto"/>
          <w:sz w:val="24"/>
          <w:szCs w:val="24"/>
          <w:lang w:eastAsia="zh-CN"/>
        </w:rPr>
      </w:pPr>
      <w:r>
        <w:rPr>
          <w:rFonts w:hint="eastAsia" w:asciiTheme="minorEastAsia" w:hAnsiTheme="minorEastAsia"/>
          <w:color w:val="auto"/>
          <w:sz w:val="24"/>
          <w:szCs w:val="24"/>
        </w:rPr>
        <w:t>（6）参考文献。列明该SOP所需的相关表格（如适用）</w:t>
      </w:r>
      <w:r>
        <w:rPr>
          <w:rFonts w:hint="eastAsia" w:asciiTheme="minorEastAsia" w:hAnsiTheme="minorEastAsia"/>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heme="minorEastAsia" w:hAnsiTheme="minorEastAsia" w:eastAsiaTheme="minorEastAsia"/>
          <w:color w:val="auto"/>
          <w:sz w:val="24"/>
          <w:szCs w:val="24"/>
          <w:lang w:eastAsia="zh-CN"/>
        </w:rPr>
      </w:pPr>
      <w:r>
        <w:rPr>
          <w:rFonts w:hint="eastAsia" w:asciiTheme="minorEastAsia" w:hAnsiTheme="minorEastAsia"/>
          <w:color w:val="auto"/>
          <w:sz w:val="24"/>
          <w:szCs w:val="24"/>
        </w:rPr>
        <w:t>（7）附表：执行SOP所需要填写的相关表格（如适用）</w:t>
      </w:r>
      <w:r>
        <w:rPr>
          <w:rFonts w:hint="eastAsia" w:asciiTheme="minorEastAsia" w:hAnsiTheme="minorEastAsia"/>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heme="minorEastAsia" w:hAnsiTheme="minorEastAsia" w:eastAsiaTheme="minorEastAsia"/>
          <w:color w:val="auto"/>
          <w:sz w:val="24"/>
          <w:szCs w:val="24"/>
          <w:lang w:val="en-US" w:eastAsia="zh-CN"/>
        </w:rPr>
      </w:pPr>
      <w:r>
        <w:rPr>
          <w:rFonts w:hint="eastAsia" w:asciiTheme="minorEastAsia" w:hAnsiTheme="minorEastAsia"/>
          <w:color w:val="auto"/>
          <w:sz w:val="24"/>
          <w:szCs w:val="24"/>
          <w:lang w:val="en-US" w:eastAsia="zh-CN"/>
        </w:rPr>
        <w:t>（8）修订记录：指SOP历次更新时修订原因、依据和修订内容。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color w:val="auto"/>
          <w:sz w:val="24"/>
          <w:szCs w:val="24"/>
        </w:rPr>
      </w:pPr>
      <w:r>
        <w:rPr>
          <w:rFonts w:hint="eastAsia" w:asciiTheme="minorEastAsia" w:hAnsiTheme="minorEastAsia"/>
          <w:color w:val="auto"/>
          <w:sz w:val="24"/>
          <w:szCs w:val="24"/>
        </w:rPr>
        <w:t>2、编排要求。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color w:val="auto"/>
          <w:sz w:val="24"/>
          <w:szCs w:val="24"/>
        </w:rPr>
      </w:pPr>
      <w:r>
        <w:rPr>
          <w:rFonts w:hint="eastAsia" w:asciiTheme="minorEastAsia" w:hAnsiTheme="minorEastAsia"/>
          <w:color w:val="auto"/>
          <w:sz w:val="24"/>
          <w:szCs w:val="24"/>
        </w:rPr>
        <w:t>（1）页眉、页脚。签字页页眉右侧标注沂源县人民医院，左侧标注国家药物和医疗器械临床试验机构制度/SOP ，页脚正中标注页码；正文页眉左侧标注文件名称，右侧标注文件编号及版本号，页脚正中标注页码。</w:t>
      </w:r>
    </w:p>
    <w:p>
      <w:pPr>
        <w:pStyle w:val="3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sz w:val="24"/>
          <w:szCs w:val="24"/>
        </w:rPr>
      </w:pPr>
      <w:r>
        <w:rPr>
          <w:rFonts w:hint="eastAsia" w:asciiTheme="minorEastAsia" w:hAnsiTheme="minorEastAsia"/>
          <w:color w:val="auto"/>
          <w:sz w:val="24"/>
          <w:szCs w:val="24"/>
        </w:rPr>
        <w:t>（2）编码。编码均按以下格式标注：YYH（医院缩写）-</w:t>
      </w:r>
      <w:r>
        <w:rPr>
          <w:rFonts w:hint="eastAsia" w:asciiTheme="minorEastAsia" w:hAnsiTheme="minorEastAsia"/>
          <w:color w:val="auto"/>
          <w:sz w:val="24"/>
          <w:szCs w:val="24"/>
          <w:lang w:val="en-US" w:eastAsia="zh-CN"/>
        </w:rPr>
        <w:t>SOP</w:t>
      </w:r>
      <w:r>
        <w:rPr>
          <w:rFonts w:hint="eastAsia" w:asciiTheme="minorEastAsia" w:hAnsiTheme="minorEastAsia"/>
          <w:color w:val="auto"/>
          <w:sz w:val="24"/>
          <w:szCs w:val="24"/>
        </w:rPr>
        <w:t>（</w:t>
      </w:r>
      <w:r>
        <w:rPr>
          <w:rFonts w:hint="eastAsia" w:asciiTheme="minorEastAsia" w:hAnsiTheme="minorEastAsia"/>
          <w:color w:val="auto"/>
          <w:sz w:val="24"/>
          <w:szCs w:val="24"/>
          <w:lang w:eastAsia="zh-CN"/>
        </w:rPr>
        <w:t>标准操作规程</w:t>
      </w:r>
      <w:r>
        <w:rPr>
          <w:rFonts w:hint="eastAsia" w:asciiTheme="minorEastAsia" w:hAnsiTheme="minorEastAsia"/>
          <w:color w:val="auto"/>
          <w:sz w:val="24"/>
          <w:szCs w:val="24"/>
        </w:rPr>
        <w:t>的编号）-科室拼音首字母-编号</w:t>
      </w:r>
      <w:r>
        <w:rPr>
          <w:rFonts w:hint="eastAsia" w:asciiTheme="minorEastAsia" w:hAnsiTheme="minorEastAsia"/>
          <w:color w:val="auto"/>
          <w:sz w:val="24"/>
          <w:szCs w:val="24"/>
          <w:lang w:val="en-US" w:eastAsia="zh-CN"/>
        </w:rPr>
        <w:t xml:space="preserve"> 版本号</w:t>
      </w:r>
      <w:r>
        <w:rPr>
          <w:rFonts w:hint="eastAsia" w:asciiTheme="minorEastAsia" w:hAnsiTheme="minorEastAsia"/>
          <w:color w:val="auto"/>
          <w:sz w:val="24"/>
          <w:szCs w:val="24"/>
        </w:rPr>
        <w:t>。机构办公室缩写为“CTC”,I期为“I”,其他科室为科室拼音首字母，如内分泌科为“NFM”。举例：第一个生效</w:t>
      </w:r>
      <w:r>
        <w:rPr>
          <w:rFonts w:hint="eastAsia" w:asciiTheme="minorEastAsia" w:hAnsiTheme="minorEastAsia"/>
          <w:color w:val="auto"/>
          <w:sz w:val="24"/>
          <w:szCs w:val="24"/>
          <w:lang w:val="en-US" w:eastAsia="zh-CN"/>
        </w:rPr>
        <w:t>SOP的</w:t>
      </w:r>
      <w:r>
        <w:rPr>
          <w:rFonts w:hint="eastAsia" w:asciiTheme="minorEastAsia" w:hAnsiTheme="minorEastAsia"/>
          <w:color w:val="auto"/>
          <w:sz w:val="24"/>
          <w:szCs w:val="24"/>
        </w:rPr>
        <w:t>第一版本，其编码为YYH-</w:t>
      </w:r>
      <w:r>
        <w:rPr>
          <w:rFonts w:hint="eastAsia" w:asciiTheme="minorEastAsia" w:hAnsiTheme="minorEastAsia"/>
          <w:color w:val="auto"/>
          <w:sz w:val="24"/>
          <w:szCs w:val="24"/>
          <w:lang w:val="en-US" w:eastAsia="zh-CN"/>
        </w:rPr>
        <w:t>SOP</w:t>
      </w:r>
      <w:r>
        <w:rPr>
          <w:rFonts w:hint="eastAsia" w:asciiTheme="minorEastAsia" w:hAnsiTheme="minorEastAsia"/>
          <w:color w:val="auto"/>
          <w:sz w:val="24"/>
          <w:szCs w:val="24"/>
        </w:rPr>
        <w:t>-CTC-001</w:t>
      </w:r>
      <w:r>
        <w:rPr>
          <w:rFonts w:hint="eastAsia" w:asciiTheme="minorEastAsia" w:hAnsiTheme="minorEastAsia"/>
          <w:color w:val="auto"/>
          <w:sz w:val="24"/>
          <w:szCs w:val="24"/>
          <w:lang w:val="en-US" w:eastAsia="zh-CN"/>
        </w:rPr>
        <w:t xml:space="preserve"> 1.0</w:t>
      </w:r>
      <w:r>
        <w:rPr>
          <w:rFonts w:hint="eastAsia" w:asciiTheme="minorEastAsia" w:hAnsiTheme="minorEastAsia"/>
          <w:color w:val="auto"/>
          <w:sz w:val="24"/>
          <w:szCs w:val="24"/>
          <w:lang w:eastAsia="zh-CN"/>
        </w:rPr>
        <w:t>。</w:t>
      </w:r>
      <w:r>
        <w:rPr>
          <w:rFonts w:hint="eastAsia" w:asciiTheme="minorEastAsia" w:hAnsiTheme="minorEastAsia"/>
          <w:color w:val="auto"/>
          <w:sz w:val="24"/>
          <w:szCs w:val="24"/>
        </w:rPr>
        <w:t>文件修订后对版本号进行升级</w:t>
      </w:r>
      <w:r>
        <w:rPr>
          <w:rFonts w:hint="eastAsia" w:asciiTheme="minorEastAsia" w:hAnsiTheme="minorEastAsia"/>
          <w:color w:val="auto"/>
          <w:sz w:val="24"/>
          <w:szCs w:val="24"/>
          <w:lang w:eastAsia="zh-CN"/>
        </w:rPr>
        <w:t>，例如</w:t>
      </w:r>
      <w:r>
        <w:rPr>
          <w:rFonts w:hint="eastAsia" w:asciiTheme="minorEastAsia" w:hAnsiTheme="minorEastAsia"/>
          <w:color w:val="auto"/>
          <w:sz w:val="24"/>
          <w:szCs w:val="24"/>
        </w:rPr>
        <w:t>YYH-</w:t>
      </w:r>
      <w:r>
        <w:rPr>
          <w:rFonts w:hint="eastAsia" w:asciiTheme="minorEastAsia" w:hAnsiTheme="minorEastAsia"/>
          <w:color w:val="auto"/>
          <w:sz w:val="24"/>
          <w:szCs w:val="24"/>
          <w:lang w:val="en-US" w:eastAsia="zh-CN"/>
        </w:rPr>
        <w:t>SOP</w:t>
      </w:r>
      <w:r>
        <w:rPr>
          <w:rFonts w:hint="eastAsia" w:asciiTheme="minorEastAsia" w:hAnsiTheme="minorEastAsia"/>
          <w:color w:val="auto"/>
          <w:sz w:val="24"/>
          <w:szCs w:val="24"/>
        </w:rPr>
        <w:t>-CTC-001 1.</w:t>
      </w:r>
      <w:r>
        <w:rPr>
          <w:rFonts w:hint="eastAsia" w:asciiTheme="minorEastAsia" w:hAnsiTheme="minorEastAsia"/>
          <w:color w:val="auto"/>
          <w:sz w:val="24"/>
          <w:szCs w:val="24"/>
          <w:lang w:val="en-US" w:eastAsia="zh-CN"/>
        </w:rPr>
        <w:t>1</w:t>
      </w:r>
      <w:r>
        <w:rPr>
          <w:rFonts w:hint="eastAsia" w:asciiTheme="minorEastAsia" w:hAnsiTheme="minorEastAsia"/>
          <w:color w:val="auto"/>
          <w:sz w:val="24"/>
          <w:szCs w:val="24"/>
        </w:rPr>
        <w:t>指第001个</w:t>
      </w:r>
      <w:r>
        <w:rPr>
          <w:rFonts w:hint="eastAsia" w:asciiTheme="minorEastAsia" w:hAnsiTheme="minorEastAsia"/>
          <w:color w:val="auto"/>
          <w:sz w:val="24"/>
          <w:szCs w:val="24"/>
          <w:lang w:val="en-US" w:eastAsia="zh-CN"/>
        </w:rPr>
        <w:t>SOP</w:t>
      </w:r>
      <w:r>
        <w:rPr>
          <w:rFonts w:hint="eastAsia" w:asciiTheme="minorEastAsia" w:hAnsiTheme="minorEastAsia"/>
          <w:color w:val="auto"/>
          <w:sz w:val="24"/>
          <w:szCs w:val="24"/>
        </w:rPr>
        <w:t>的第一版</w:t>
      </w:r>
      <w:r>
        <w:rPr>
          <w:rFonts w:hint="eastAsia" w:asciiTheme="minorEastAsia" w:hAnsiTheme="minorEastAsia"/>
          <w:color w:val="auto"/>
          <w:sz w:val="24"/>
          <w:szCs w:val="24"/>
          <w:lang w:val="en-US" w:eastAsia="zh-CN"/>
        </w:rPr>
        <w:t>的</w:t>
      </w:r>
      <w:r>
        <w:rPr>
          <w:rFonts w:hint="eastAsia" w:asciiTheme="minorEastAsia" w:hAnsiTheme="minorEastAsia"/>
          <w:color w:val="auto"/>
          <w:sz w:val="24"/>
          <w:szCs w:val="24"/>
        </w:rPr>
        <w:t>第一次</w:t>
      </w:r>
      <w:r>
        <w:rPr>
          <w:rFonts w:hint="eastAsia" w:asciiTheme="minorEastAsia" w:hAnsiTheme="minorEastAsia"/>
          <w:color w:val="auto"/>
          <w:sz w:val="24"/>
          <w:szCs w:val="24"/>
          <w:lang w:eastAsia="zh-CN"/>
        </w:rPr>
        <w:t>小</w:t>
      </w:r>
      <w:r>
        <w:rPr>
          <w:rFonts w:hint="eastAsia" w:asciiTheme="minorEastAsia" w:hAnsiTheme="minorEastAsia"/>
          <w:color w:val="auto"/>
          <w:sz w:val="24"/>
          <w:szCs w:val="24"/>
        </w:rPr>
        <w:t>修订，YYH-</w:t>
      </w:r>
      <w:r>
        <w:rPr>
          <w:rFonts w:hint="eastAsia" w:asciiTheme="minorEastAsia" w:hAnsiTheme="minorEastAsia"/>
          <w:color w:val="auto"/>
          <w:sz w:val="24"/>
          <w:szCs w:val="24"/>
          <w:lang w:val="en-US" w:eastAsia="zh-CN"/>
        </w:rPr>
        <w:t>SOP</w:t>
      </w:r>
      <w:r>
        <w:rPr>
          <w:rFonts w:hint="eastAsia" w:asciiTheme="minorEastAsia" w:hAnsiTheme="minorEastAsia"/>
          <w:color w:val="auto"/>
          <w:sz w:val="24"/>
          <w:szCs w:val="24"/>
        </w:rPr>
        <w:t>-CTC-001 2.0第001个</w:t>
      </w:r>
      <w:r>
        <w:rPr>
          <w:rFonts w:hint="eastAsia" w:asciiTheme="minorEastAsia" w:hAnsiTheme="minorEastAsia"/>
          <w:color w:val="auto"/>
          <w:sz w:val="24"/>
          <w:szCs w:val="24"/>
          <w:lang w:val="en-US" w:eastAsia="zh-CN"/>
        </w:rPr>
        <w:t>SOP</w:t>
      </w:r>
      <w:r>
        <w:rPr>
          <w:rFonts w:hint="eastAsia" w:asciiTheme="minorEastAsia" w:hAnsiTheme="minorEastAsia"/>
          <w:color w:val="auto"/>
          <w:sz w:val="24"/>
          <w:szCs w:val="24"/>
        </w:rPr>
        <w:t>的第一版的</w:t>
      </w:r>
      <w:r>
        <w:rPr>
          <w:rFonts w:hint="eastAsia" w:asciiTheme="minorEastAsia" w:hAnsiTheme="minorEastAsia"/>
          <w:color w:val="auto"/>
          <w:sz w:val="24"/>
          <w:szCs w:val="24"/>
          <w:lang w:val="en-US" w:eastAsia="zh-CN"/>
        </w:rPr>
        <w:t>第一次</w:t>
      </w:r>
      <w:r>
        <w:rPr>
          <w:rFonts w:hint="eastAsia" w:asciiTheme="minorEastAsia" w:hAnsiTheme="minorEastAsia"/>
          <w:color w:val="auto"/>
          <w:sz w:val="24"/>
          <w:szCs w:val="24"/>
        </w:rPr>
        <w:t>大修订</w:t>
      </w:r>
      <w:r>
        <w:rPr>
          <w:rFonts w:hint="eastAsia" w:asciiTheme="minorEastAsia" w:hAnsiTheme="minorEastAsia"/>
          <w:color w:val="auto"/>
          <w:sz w:val="24"/>
          <w:szCs w:val="24"/>
          <w:lang w:eastAsia="zh-CN"/>
        </w:rPr>
        <w:t>。</w:t>
      </w:r>
      <w:r>
        <w:rPr>
          <w:rFonts w:hint="eastAsia" w:asciiTheme="minorEastAsia" w:hAnsiTheme="minorEastAsia"/>
          <w:color w:val="auto"/>
          <w:sz w:val="24"/>
          <w:szCs w:val="24"/>
        </w:rPr>
        <w:t>新增</w:t>
      </w:r>
      <w:r>
        <w:rPr>
          <w:rFonts w:hint="eastAsia" w:asciiTheme="minorEastAsia" w:hAnsiTheme="minorEastAsia"/>
          <w:color w:val="auto"/>
          <w:sz w:val="24"/>
          <w:szCs w:val="24"/>
          <w:lang w:val="en-US" w:eastAsia="zh-CN"/>
        </w:rPr>
        <w:t>SOP</w:t>
      </w:r>
      <w:r>
        <w:rPr>
          <w:rFonts w:hint="eastAsia" w:asciiTheme="minorEastAsia" w:hAnsiTheme="minorEastAsia"/>
          <w:color w:val="auto"/>
          <w:sz w:val="24"/>
          <w:szCs w:val="24"/>
        </w:rPr>
        <w:t>编号按顺序顺延。</w:t>
      </w:r>
    </w:p>
    <w:p>
      <w:pPr>
        <w:pStyle w:val="3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附表以附件形式单独编号，例如</w:t>
      </w:r>
      <w:r>
        <w:rPr>
          <w:rFonts w:hint="eastAsia" w:asciiTheme="minorEastAsia" w:hAnsiTheme="minorEastAsia"/>
          <w:color w:val="auto"/>
          <w:sz w:val="24"/>
          <w:szCs w:val="24"/>
        </w:rPr>
        <w:t>YYH（医院缩写）-</w:t>
      </w:r>
      <w:r>
        <w:rPr>
          <w:rFonts w:hint="eastAsia" w:asciiTheme="minorEastAsia" w:hAnsiTheme="minorEastAsia"/>
          <w:color w:val="auto"/>
          <w:sz w:val="24"/>
          <w:szCs w:val="24"/>
          <w:lang w:val="en-US" w:eastAsia="zh-CN"/>
        </w:rPr>
        <w:t>SOP</w:t>
      </w:r>
      <w:r>
        <w:rPr>
          <w:rFonts w:hint="eastAsia" w:asciiTheme="minorEastAsia" w:hAnsiTheme="minorEastAsia"/>
          <w:color w:val="auto"/>
          <w:sz w:val="24"/>
          <w:szCs w:val="24"/>
        </w:rPr>
        <w:t>（制度的编号）-科室拼音首字母-编号</w:t>
      </w:r>
      <w:r>
        <w:rPr>
          <w:rFonts w:hint="eastAsia" w:asciiTheme="minorEastAsia" w:hAnsiTheme="minorEastAsia"/>
          <w:color w:val="auto"/>
          <w:sz w:val="24"/>
          <w:szCs w:val="24"/>
          <w:lang w:val="en-US" w:eastAsia="zh-CN"/>
        </w:rPr>
        <w:t>-版本号-ABB，A为附件的缩写，两位数BB代表附件的序号，例如A01指第一份附件。附表使用时格式为页眉左侧</w:t>
      </w:r>
      <w:r>
        <w:rPr>
          <w:rFonts w:hint="eastAsia" w:asciiTheme="minorEastAsia" w:hAnsiTheme="minorEastAsia"/>
          <w:color w:val="auto"/>
          <w:sz w:val="24"/>
          <w:szCs w:val="24"/>
        </w:rPr>
        <w:t>标注</w:t>
      </w:r>
      <w:r>
        <w:rPr>
          <w:rFonts w:hint="eastAsia" w:asciiTheme="minorEastAsia" w:hAnsiTheme="minorEastAsia"/>
          <w:color w:val="auto"/>
          <w:sz w:val="24"/>
          <w:szCs w:val="24"/>
          <w:lang w:val="en-US" w:eastAsia="zh-CN"/>
        </w:rPr>
        <w:t>表格编号，页眉</w:t>
      </w:r>
      <w:r>
        <w:rPr>
          <w:rFonts w:hint="eastAsia" w:asciiTheme="minorEastAsia" w:hAnsiTheme="minorEastAsia"/>
          <w:color w:val="auto"/>
          <w:sz w:val="24"/>
          <w:szCs w:val="24"/>
        </w:rPr>
        <w:t>右侧</w:t>
      </w:r>
      <w:r>
        <w:rPr>
          <w:rFonts w:hint="eastAsia" w:asciiTheme="minorEastAsia" w:hAnsiTheme="minorEastAsia"/>
          <w:color w:val="auto"/>
          <w:sz w:val="24"/>
          <w:szCs w:val="24"/>
          <w:lang w:val="en-US" w:eastAsia="zh-CN"/>
        </w:rPr>
        <w:t>标注沂源县人民医院标识。</w:t>
      </w:r>
    </w:p>
    <w:p>
      <w:pPr>
        <w:pStyle w:val="3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3</w:t>
      </w: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SOP</w:t>
      </w:r>
      <w:r>
        <w:rPr>
          <w:rFonts w:hint="eastAsia" w:asciiTheme="minorEastAsia" w:hAnsiTheme="minorEastAsia"/>
          <w:color w:val="auto"/>
          <w:sz w:val="24"/>
          <w:szCs w:val="24"/>
        </w:rPr>
        <w:t>编码。应与文件一一对应，一旦该制度停止使用，编码便作废，停止使用。</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4</w:t>
      </w:r>
      <w:r>
        <w:rPr>
          <w:rFonts w:hint="eastAsia" w:asciiTheme="minorEastAsia" w:hAnsiTheme="minorEastAsia"/>
          <w:color w:val="auto"/>
          <w:sz w:val="24"/>
          <w:szCs w:val="24"/>
        </w:rPr>
        <w:t>）字体与格式。均采用宋体字体，全文1.5倍行距，标题均用黑体。字体大小：总标题用四号字体；目录编号为：一级目录采用“一、”表示，采用小四号字体；二级目录应采用“（一）”表示，二级以下目录采用小四号字体；三级目录采用阿拉伯数字“1.”表示，以此类推；正文采用小四字体。</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Theme="minorEastAsia" w:hAnsiTheme="minorEastAsia"/>
          <w:color w:val="auto"/>
          <w:sz w:val="24"/>
          <w:szCs w:val="24"/>
        </w:rPr>
      </w:pPr>
      <w:r>
        <w:rPr>
          <w:rFonts w:hint="eastAsia" w:asciiTheme="minorEastAsia" w:hAnsiTheme="minorEastAsia"/>
          <w:color w:val="auto"/>
          <w:sz w:val="24"/>
          <w:szCs w:val="24"/>
        </w:rPr>
        <w:t>（5）旧版</w:t>
      </w:r>
      <w:r>
        <w:rPr>
          <w:rFonts w:hint="eastAsia" w:asciiTheme="minorEastAsia" w:hAnsiTheme="minorEastAsia"/>
          <w:color w:val="auto"/>
          <w:sz w:val="24"/>
          <w:szCs w:val="24"/>
          <w:lang w:val="en-US" w:eastAsia="zh-CN"/>
        </w:rPr>
        <w:t>SOP</w:t>
      </w:r>
      <w:r>
        <w:rPr>
          <w:rFonts w:hint="eastAsia" w:asciiTheme="minorEastAsia" w:hAnsiTheme="minorEastAsia"/>
          <w:color w:val="auto"/>
          <w:sz w:val="24"/>
          <w:szCs w:val="24"/>
        </w:rPr>
        <w:t>格式内容与本SOP规定差异较大。因此，如有新增或新修订的制度，则遵循本SOP规定；如原有制度未修订并继续有效，则本SOP生效后，统一按原格式，在下次升级后按照本SOP规定进行编写。</w:t>
      </w:r>
    </w:p>
    <w:p>
      <w:pPr>
        <w:keepNext w:val="0"/>
        <w:keepLines w:val="0"/>
        <w:pageBreakBefore w:val="0"/>
        <w:widowControl w:val="0"/>
        <w:kinsoku/>
        <w:wordWrap/>
        <w:overflowPunct/>
        <w:topLinePunct w:val="0"/>
        <w:autoSpaceDE/>
        <w:autoSpaceDN/>
        <w:bidi w:val="0"/>
        <w:adjustRightInd/>
        <w:snapToGrid/>
        <w:spacing w:line="360" w:lineRule="auto"/>
        <w:ind w:left="240" w:leftChars="0" w:hanging="240" w:hangingChars="100"/>
        <w:textAlignment w:val="auto"/>
        <w:rPr>
          <w:rFonts w:asciiTheme="minorEastAsia" w:hAnsiTheme="minorEastAsia"/>
          <w:color w:val="auto"/>
          <w:sz w:val="24"/>
          <w:szCs w:val="24"/>
        </w:rPr>
      </w:pPr>
      <w:r>
        <w:rPr>
          <w:rFonts w:hint="eastAsia" w:asciiTheme="minorEastAsia" w:hAnsiTheme="minorEastAsia"/>
          <w:color w:val="auto"/>
          <w:sz w:val="24"/>
          <w:szCs w:val="24"/>
        </w:rPr>
        <w:t>（四）SOP的保存。SOP原件由机构专人统一归档保存，应放于便于查阅处。废止SOP归档至临床研究机构档案室。项目批准的SOP由项目组专人保存。</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四、参考文献</w:t>
      </w:r>
    </w:p>
    <w:p>
      <w:pPr>
        <w:pStyle w:val="36"/>
        <w:keepNext w:val="0"/>
        <w:keepLines w:val="0"/>
        <w:pageBreakBefore w:val="0"/>
        <w:widowControl w:val="0"/>
        <w:numPr>
          <w:ilvl w:val="0"/>
          <w:numId w:val="38"/>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38"/>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国家药品监督管理局，国家卫生健康委员会. 关于发布《医疗器械临床试验质量管理规范》的公告（2022年第28号）.[2022-03-31]. https://www.nmpa.gov.cn/xxgk/ggtg/qtggtg/20220331144903101.html.</w:t>
      </w:r>
    </w:p>
    <w:p>
      <w:pPr>
        <w:pStyle w:val="36"/>
        <w:keepNext w:val="0"/>
        <w:keepLines w:val="0"/>
        <w:pageBreakBefore w:val="0"/>
        <w:widowControl w:val="0"/>
        <w:numPr>
          <w:ilvl w:val="0"/>
          <w:numId w:val="38"/>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eastAsiaTheme="minorEastAsia"/>
          <w:b w:val="0"/>
          <w:bCs/>
          <w:color w:val="auto"/>
          <w:sz w:val="24"/>
          <w:szCs w:val="24"/>
          <w:lang w:val="en-US" w:eastAsia="zh-CN"/>
        </w:rPr>
      </w:pPr>
      <w:r>
        <w:rPr>
          <w:rFonts w:hint="eastAsia" w:asciiTheme="minorEastAsia" w:hAnsiTheme="minorEastAsia"/>
          <w:b w:val="0"/>
          <w:bCs/>
          <w:color w:val="auto"/>
          <w:sz w:val="24"/>
          <w:szCs w:val="24"/>
          <w:lang w:val="en-US" w:eastAsia="zh-CN"/>
        </w:rPr>
        <w:t>曹玉，元唯安. 药物临床试验实践 [M].北京：中国医药科技出版社，2021.</w:t>
      </w:r>
    </w:p>
    <w:p>
      <w:pPr>
        <w:pStyle w:val="36"/>
        <w:keepNext w:val="0"/>
        <w:keepLines w:val="0"/>
        <w:pageBreakBefore w:val="0"/>
        <w:widowControl w:val="0"/>
        <w:numPr>
          <w:ilvl w:val="0"/>
          <w:numId w:val="38"/>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eastAsiaTheme="minorEastAsia"/>
          <w:b w:val="0"/>
          <w:bCs/>
          <w:color w:val="auto"/>
          <w:sz w:val="24"/>
          <w:szCs w:val="24"/>
          <w:lang w:val="en-US" w:eastAsia="zh-CN"/>
        </w:rPr>
      </w:pPr>
      <w:r>
        <w:rPr>
          <w:rFonts w:hint="eastAsia" w:asciiTheme="minorEastAsia" w:hAnsiTheme="minorEastAsia"/>
          <w:b w:val="0"/>
          <w:bCs/>
          <w:color w:val="auto"/>
          <w:sz w:val="24"/>
          <w:szCs w:val="24"/>
          <w:lang w:val="en-US" w:eastAsia="zh-CN"/>
        </w:rPr>
        <w:t>王白璐医疗器械临床试验机构操作手册 [M]. 北京：人民卫生出版社，2022.</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color w:val="auto"/>
          <w:sz w:val="24"/>
          <w:szCs w:val="24"/>
          <w:lang w:val="en-US" w:eastAsia="zh-CN"/>
        </w:rPr>
      </w:pPr>
      <w:r>
        <w:rPr>
          <w:rFonts w:hint="eastAsia"/>
          <w:color w:val="auto"/>
          <w:sz w:val="24"/>
          <w:szCs w:val="24"/>
          <w:lang w:val="en-US" w:eastAsia="zh-CN"/>
        </w:rPr>
        <w:t>五、修订记录</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4"/>
        <w:gridCol w:w="907"/>
        <w:gridCol w:w="918"/>
        <w:gridCol w:w="2111"/>
        <w:gridCol w:w="2924"/>
        <w:gridCol w:w="19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44"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eastAsia="宋体"/>
                <w:color w:val="auto"/>
                <w:sz w:val="21"/>
                <w:szCs w:val="21"/>
                <w:lang w:eastAsia="zh-CN"/>
              </w:rPr>
            </w:pPr>
            <w:r>
              <w:rPr>
                <w:rFonts w:hint="eastAsia" w:ascii="宋体" w:hAnsi="宋体"/>
                <w:color w:val="auto"/>
                <w:sz w:val="21"/>
                <w:szCs w:val="21"/>
                <w:lang w:val="en-US" w:eastAsia="zh-CN"/>
              </w:rPr>
              <w:t>序号</w:t>
            </w:r>
          </w:p>
        </w:tc>
        <w:tc>
          <w:tcPr>
            <w:tcW w:w="907"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kern w:val="2"/>
                <w:sz w:val="21"/>
                <w:szCs w:val="21"/>
                <w:lang w:val="en-US" w:eastAsia="zh-CN" w:bidi="ar-SA"/>
              </w:rPr>
            </w:pPr>
            <w:r>
              <w:rPr>
                <w:rFonts w:hint="eastAsia" w:ascii="宋体" w:hAnsi="宋体"/>
                <w:color w:val="auto"/>
                <w:sz w:val="21"/>
                <w:szCs w:val="21"/>
                <w:lang w:val="en-US" w:eastAsia="zh-CN"/>
              </w:rPr>
              <w:t>修订前版本号</w:t>
            </w:r>
          </w:p>
        </w:tc>
        <w:tc>
          <w:tcPr>
            <w:tcW w:w="918"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宋体"/>
                <w:color w:val="auto"/>
                <w:kern w:val="2"/>
                <w:sz w:val="21"/>
                <w:szCs w:val="21"/>
                <w:lang w:val="en-US" w:eastAsia="zh-CN" w:bidi="ar-SA"/>
              </w:rPr>
            </w:pPr>
            <w:r>
              <w:rPr>
                <w:rFonts w:hint="eastAsia" w:ascii="宋体" w:hAnsi="宋体"/>
                <w:color w:val="auto"/>
                <w:sz w:val="21"/>
                <w:szCs w:val="21"/>
                <w:lang w:val="en-US" w:eastAsia="zh-CN"/>
              </w:rPr>
              <w:t>修订后版本号</w:t>
            </w:r>
          </w:p>
        </w:tc>
        <w:tc>
          <w:tcPr>
            <w:tcW w:w="2111"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修订原因、依据</w:t>
            </w:r>
          </w:p>
        </w:tc>
        <w:tc>
          <w:tcPr>
            <w:tcW w:w="2924"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修订内容</w:t>
            </w:r>
          </w:p>
        </w:tc>
        <w:tc>
          <w:tcPr>
            <w:tcW w:w="191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eastAsiaTheme="minorEastAsia"/>
                <w:color w:val="auto"/>
                <w:sz w:val="21"/>
                <w:szCs w:val="21"/>
                <w:lang w:eastAsia="zh-CN"/>
              </w:rPr>
            </w:pPr>
            <w:r>
              <w:rPr>
                <w:rFonts w:hint="eastAsia" w:ascii="宋体" w:hAnsi="宋体"/>
                <w:color w:val="auto"/>
                <w:sz w:val="21"/>
                <w:szCs w:val="21"/>
                <w:lang w:eastAsia="zh-CN"/>
              </w:rPr>
              <w:t>修订人</w:t>
            </w:r>
            <w:r>
              <w:rPr>
                <w:rFonts w:hint="eastAsia" w:ascii="宋体" w:hAnsi="宋体"/>
                <w:color w:val="auto"/>
                <w:sz w:val="21"/>
                <w:szCs w:val="21"/>
                <w:lang w:val="en-US" w:eastAsia="zh-CN"/>
              </w:rPr>
              <w:t>/</w:t>
            </w:r>
            <w:r>
              <w:rPr>
                <w:rFonts w:hint="eastAsia" w:ascii="宋体" w:hAnsi="宋体"/>
                <w:color w:val="auto"/>
                <w:sz w:val="21"/>
                <w:szCs w:val="21"/>
                <w:lang w:eastAsia="zh-CN"/>
              </w:rPr>
              <w:t>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2" w:hRule="atLeast"/>
          <w:jc w:val="center"/>
        </w:trPr>
        <w:tc>
          <w:tcPr>
            <w:tcW w:w="644" w:type="dxa"/>
            <w:vAlign w:val="center"/>
          </w:tcPr>
          <w:p>
            <w:pPr>
              <w:jc w:val="center"/>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1</w:t>
            </w:r>
          </w:p>
        </w:tc>
        <w:tc>
          <w:tcPr>
            <w:tcW w:w="907" w:type="dxa"/>
            <w:vAlign w:val="center"/>
          </w:tcPr>
          <w:p>
            <w:pPr>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3.0</w:t>
            </w:r>
          </w:p>
        </w:tc>
        <w:tc>
          <w:tcPr>
            <w:tcW w:w="918" w:type="dxa"/>
            <w:vAlign w:val="center"/>
          </w:tcPr>
          <w:p>
            <w:pPr>
              <w:jc w:val="center"/>
              <w:rPr>
                <w:rFonts w:hint="default" w:ascii="宋体" w:hAnsi="宋体"/>
                <w:color w:val="auto"/>
                <w:sz w:val="21"/>
                <w:szCs w:val="21"/>
                <w:lang w:val="en-US" w:eastAsia="zh-CN"/>
              </w:rPr>
            </w:pPr>
            <w:r>
              <w:rPr>
                <w:rFonts w:hint="eastAsia" w:ascii="宋体" w:hAnsi="宋体"/>
                <w:color w:val="auto"/>
                <w:sz w:val="21"/>
                <w:szCs w:val="21"/>
                <w:lang w:val="en-US" w:eastAsia="zh-CN"/>
              </w:rPr>
              <w:t>3.1</w:t>
            </w:r>
          </w:p>
        </w:tc>
        <w:tc>
          <w:tcPr>
            <w:tcW w:w="2111" w:type="dxa"/>
            <w:vAlign w:val="center"/>
          </w:tcPr>
          <w:p>
            <w:pPr>
              <w:numPr>
                <w:ilvl w:val="0"/>
                <w:numId w:val="0"/>
              </w:numPr>
              <w:jc w:val="left"/>
              <w:rPr>
                <w:rFonts w:hint="default" w:ascii="宋体" w:hAnsi="宋体"/>
                <w:color w:val="auto"/>
                <w:sz w:val="21"/>
                <w:szCs w:val="21"/>
                <w:lang w:val="en-US" w:eastAsia="zh-CN"/>
              </w:rPr>
            </w:pPr>
            <w:r>
              <w:rPr>
                <w:rFonts w:hint="eastAsia" w:ascii="宋体" w:hAnsi="宋体"/>
                <w:color w:val="auto"/>
                <w:sz w:val="21"/>
                <w:szCs w:val="21"/>
                <w:lang w:val="en-US" w:eastAsia="zh-CN"/>
              </w:rPr>
              <w:t>1.根据实际工作需要，对制度的格式内容进行调整。</w:t>
            </w:r>
          </w:p>
        </w:tc>
        <w:tc>
          <w:tcPr>
            <w:tcW w:w="2924" w:type="dxa"/>
            <w:vAlign w:val="center"/>
          </w:tcPr>
          <w:p>
            <w:pPr>
              <w:numPr>
                <w:ilvl w:val="0"/>
                <w:numId w:val="0"/>
              </w:numPr>
              <w:jc w:val="left"/>
              <w:rPr>
                <w:rFonts w:hint="default"/>
                <w:color w:val="auto"/>
                <w:lang w:val="en-US" w:eastAsia="zh-CN"/>
              </w:rPr>
            </w:pPr>
            <w:r>
              <w:rPr>
                <w:rFonts w:hint="eastAsia"/>
                <w:color w:val="auto"/>
                <w:lang w:val="en-US" w:eastAsia="zh-CN"/>
              </w:rPr>
              <w:t>1.新增附表编号格式要求。</w:t>
            </w:r>
          </w:p>
          <w:p>
            <w:pPr>
              <w:numPr>
                <w:ilvl w:val="0"/>
                <w:numId w:val="0"/>
              </w:numPr>
              <w:jc w:val="left"/>
              <w:rPr>
                <w:rFonts w:hint="eastAsia"/>
                <w:color w:val="auto"/>
                <w:lang w:val="en-US" w:eastAsia="zh-CN"/>
              </w:rPr>
            </w:pPr>
            <w:r>
              <w:rPr>
                <w:rFonts w:hint="eastAsia"/>
                <w:color w:val="auto"/>
                <w:lang w:val="en-US" w:eastAsia="zh-CN"/>
              </w:rPr>
              <w:t>2.新增修订记录项。</w:t>
            </w:r>
          </w:p>
          <w:p>
            <w:pPr>
              <w:numPr>
                <w:ilvl w:val="0"/>
                <w:numId w:val="0"/>
              </w:numPr>
              <w:jc w:val="left"/>
              <w:rPr>
                <w:rFonts w:hint="default"/>
                <w:color w:val="auto"/>
                <w:lang w:val="en-US" w:eastAsia="zh-CN"/>
              </w:rPr>
            </w:pPr>
            <w:r>
              <w:rPr>
                <w:rFonts w:hint="eastAsia"/>
                <w:color w:val="auto"/>
                <w:lang w:val="en-US" w:eastAsia="zh-CN"/>
              </w:rPr>
              <w:t>3.新增参考文献。</w:t>
            </w:r>
          </w:p>
        </w:tc>
        <w:tc>
          <w:tcPr>
            <w:tcW w:w="1910" w:type="dxa"/>
            <w:vAlign w:val="center"/>
          </w:tcPr>
          <w:p>
            <w:pPr>
              <w:numPr>
                <w:ilvl w:val="0"/>
                <w:numId w:val="0"/>
              </w:numPr>
              <w:jc w:val="left"/>
              <w:rPr>
                <w:rFonts w:hint="eastAsia"/>
                <w:color w:val="auto"/>
                <w:lang w:val="en-US" w:eastAsia="zh-CN"/>
              </w:rPr>
            </w:pPr>
          </w:p>
        </w:tc>
      </w:tr>
    </w:tbl>
    <w:p>
      <w:pPr>
        <w:ind w:firstLine="2811" w:firstLineChars="1000"/>
        <w:rPr>
          <w:rFonts w:hint="eastAsia" w:ascii="黑体" w:hAnsi="黑体" w:eastAsia="黑体" w:cs="黑体"/>
          <w:b/>
          <w:bCs/>
          <w:color w:val="auto"/>
          <w:sz w:val="28"/>
          <w:szCs w:val="28"/>
        </w:rPr>
        <w:sectPr>
          <w:headerReference r:id="rId69" w:type="default"/>
          <w:footerReference r:id="rId70"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jc w:val="center"/>
        <w:rPr>
          <w:rFonts w:ascii="黑体" w:hAnsi="黑体" w:eastAsia="黑体" w:cs="黑体"/>
          <w:b/>
          <w:bCs/>
          <w:color w:val="auto"/>
          <w:sz w:val="28"/>
          <w:szCs w:val="28"/>
          <w:highlight w:val="none"/>
        </w:rPr>
      </w:pPr>
      <w:r>
        <w:rPr>
          <w:rFonts w:hint="eastAsia" w:ascii="黑体" w:hAnsi="黑体" w:eastAsia="黑体" w:cs="黑体"/>
          <w:b/>
          <w:bCs/>
          <w:color w:val="auto"/>
          <w:sz w:val="28"/>
          <w:szCs w:val="28"/>
          <w:highlight w:val="none"/>
        </w:rPr>
        <w:t>临床试验方案设计的SOP</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一、目的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建立</w:t>
      </w:r>
      <w:r>
        <w:rPr>
          <w:rFonts w:hint="eastAsia" w:asciiTheme="minorEastAsia" w:hAnsiTheme="minorEastAsia" w:cstheme="minorEastAsia"/>
          <w:color w:val="auto"/>
          <w:sz w:val="24"/>
          <w:szCs w:val="24"/>
          <w:lang w:eastAsia="zh-CN"/>
        </w:rPr>
        <w:t>临床</w:t>
      </w:r>
      <w:r>
        <w:rPr>
          <w:rFonts w:hint="eastAsia" w:asciiTheme="minorEastAsia" w:hAnsiTheme="minorEastAsia" w:cstheme="minorEastAsia"/>
          <w:color w:val="auto"/>
          <w:sz w:val="24"/>
          <w:szCs w:val="24"/>
        </w:rPr>
        <w:t>试验</w:t>
      </w:r>
      <w:r>
        <w:rPr>
          <w:rFonts w:hint="eastAsia" w:asciiTheme="minorEastAsia" w:hAnsiTheme="minorEastAsia" w:cstheme="minorEastAsia"/>
          <w:color w:val="auto"/>
          <w:sz w:val="24"/>
          <w:szCs w:val="24"/>
          <w:lang w:eastAsia="zh-CN"/>
        </w:rPr>
        <w:t>方案</w:t>
      </w:r>
      <w:r>
        <w:rPr>
          <w:rFonts w:hint="eastAsia" w:asciiTheme="minorEastAsia" w:hAnsiTheme="minorEastAsia" w:cstheme="minorEastAsia"/>
          <w:color w:val="auto"/>
          <w:sz w:val="24"/>
          <w:szCs w:val="24"/>
        </w:rPr>
        <w:t>设计</w:t>
      </w:r>
      <w:r>
        <w:rPr>
          <w:rFonts w:hint="eastAsia" w:asciiTheme="minorEastAsia" w:hAnsiTheme="minorEastAsia" w:cstheme="minorEastAsia"/>
          <w:color w:val="auto"/>
          <w:sz w:val="24"/>
          <w:szCs w:val="24"/>
          <w:lang w:eastAsia="zh-CN"/>
        </w:rPr>
        <w:t>的标准操作规程</w:t>
      </w:r>
      <w:r>
        <w:rPr>
          <w:rFonts w:hint="eastAsia" w:asciiTheme="minorEastAsia" w:hAnsiTheme="minorEastAsia" w:cstheme="minorEastAsia"/>
          <w:color w:val="auto"/>
          <w:sz w:val="24"/>
          <w:szCs w:val="24"/>
        </w:rPr>
        <w:t>，确保试验方案的规范性和可操作性。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二、范围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适用于所有药物</w:t>
      </w:r>
      <w:r>
        <w:rPr>
          <w:rFonts w:hint="eastAsia" w:asciiTheme="minorEastAsia" w:hAnsiTheme="minorEastAsia" w:cstheme="minorEastAsia"/>
          <w:color w:val="auto"/>
          <w:sz w:val="24"/>
          <w:szCs w:val="24"/>
          <w:lang w:val="en-US" w:eastAsia="zh-CN"/>
        </w:rPr>
        <w:t>/</w:t>
      </w:r>
      <w:r>
        <w:rPr>
          <w:rFonts w:hint="eastAsia" w:asciiTheme="minorEastAsia" w:hAnsiTheme="minorEastAsia" w:cstheme="minorEastAsia"/>
          <w:color w:val="auto"/>
          <w:sz w:val="24"/>
          <w:szCs w:val="24"/>
        </w:rPr>
        <w:t>医疗器械临床试验。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三、规程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（一）申办者制定初步试验方案。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（二）临床试验机构办公室接到申办者提供的初步试验方案及相关临床前资料，通过审核后，由临床试验机构主任指派的试验负责人确定研究小组成员。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（三）试验负责人指定研究小组成员或本人与申办者共同起草试验方案。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（四）试验方案应当清晰、详细、可操作。试验方案制定时应当明确保护受试者权益和安全以及保证临床试验结果可靠的关键环节和数据。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w:t>
      </w:r>
      <w:r>
        <w:rPr>
          <w:rFonts w:hint="eastAsia" w:asciiTheme="minorEastAsia" w:hAnsiTheme="minorEastAsia" w:cstheme="minorEastAsia"/>
          <w:color w:val="auto"/>
          <w:sz w:val="24"/>
          <w:szCs w:val="24"/>
          <w:lang w:val="en-US" w:eastAsia="zh-CN"/>
        </w:rPr>
        <w:t>五</w:t>
      </w:r>
      <w:r>
        <w:rPr>
          <w:rFonts w:hint="eastAsia" w:asciiTheme="minorEastAsia" w:hAnsiTheme="minorEastAsia" w:cstheme="minorEastAsia"/>
          <w:color w:val="auto"/>
          <w:sz w:val="24"/>
          <w:szCs w:val="24"/>
        </w:rPr>
        <w:t>）药物试验方案应包括以下内容：</w:t>
      </w:r>
    </w:p>
    <w:p>
      <w:pPr>
        <w:keepNext w:val="0"/>
        <w:keepLines w:val="0"/>
        <w:widowControl/>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1.试验方案中基本信息一般包含：</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（1）试验方案标题、编号、版本号和日期。</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（2）申办者的名称和地址。</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（3）申办者授权签署、修改试验方案的人员姓名、职务和单位。</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（4）申办者的医学专家姓名、职务、所在单位地址和电话。</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（5）研究者姓名、职称、职务，临床试验机构的地址和电话。</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（6）参与临床试验的单位及相关部门名称、地址。</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2.试验方案中研究背景资料通常包含：</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（1）试验用药品名称与介绍。</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（2）试验药物在非临床研究和临床研究中与临床试验相关、具有潜在临床意义的发现。</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（3）对受试人群的已知和潜在的风险和获益。</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（4）试验用药品的给药途径、给药剂量、给药方法及治疗时程的描述，并说明理由。</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（5）强调临床试验需要按照试验方案、本规范及相关法律法规实施。</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（6）临床试验的目标人群。</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（7）临床试验相关的研究背景资料、参考文献和数据来源。</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3.试验方案中应当详细描述临床试验的目的。</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4.临床试验的科学性和试验数据的可靠性，主要取决于试验设计，试验设计通常包括：</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（1）明确临床试验的主要终点和次要终点。</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（2）对照组选择的理由和试验设计的描述（如双盲、安慰剂对照、平行组设计），并对研究设计、流程和不同阶段以流程图形式表示。</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（3）减少或者控制偏倚所采取的措施，包括随机化和盲法的方法和过程。采用单盲或者开放性试验需要说明理由和控制偏倚的措施。</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（4）治疗方法、试验用药品的剂量、给药方案；试验用药品的剂型、包装、标签。</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（5）受试者参与临床试验的预期时长和具体安排，包括随访等。</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（6）受试者、部分临床试验及全部临床试验的“暂停试验标准”、“终止试验标准”。</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（7）试验用药品管理流程。</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（8）盲底保存和揭盲的程序。</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（9）明确何种试验数据可作为源数据直接记录在病例报告表中。</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5.试验方案中通常包括临床和实验室检查的项目内容。</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6.受试者的选择和退出通常包括：</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（1）受试者的入选标准。</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（2）受试者的排除标准。</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（3）受试者退出临床试验的标准和程序。</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7.受试者的治疗通常包括：</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（1）受试者在临床试验各组应用的所有试验用药品名称、给药剂量、给药方案、给药途径和治疗时间以及随访期限。</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（2）临床试验前和临床试验中允许的合并用药（包括急救治疗用药）或者治疗，和禁止使用的药物或者治疗。</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（3）评价受试者依从性的方法。</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8.制定明确的访视和随访计划，包括临床试验期间、临床试验终点、不良事件评估及试验结束后的随访和医疗处理。</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9.有效性评价通常包括：</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（1）详细描述临床试验的有效性指标。</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（2）详细描述有效性指标的评价、记录、分析方法和时间点。</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10.安全性评价通常包括：</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（1）详细描述临床试验的安全性指标。</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（2）详细描述安全性指标的评价、记录、分析方法和时间点。</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（3）不良事件和伴随疾病的记录和报告程序。</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（4）不良事件的随访方式与期限。</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11.统计通常包括：</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（1）确定受试者样本量，并根据前期试验或者文献数据说明理由。</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（2）显著性水平，如有调整说明考虑。</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（3）说明主要评价指标的统计假设，包括原假设和备择假设，简要描述拟采用的具体统计方法和统计分析软件。若需要进行期中分析，应当说明理由、分析时点及操作规程。</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（4）缺失数据、未用数据和不合逻辑数据的处理方法。</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（5）明确偏离原定统计分析计划的修改程序。</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（6）明确定义用于统计分析的受试者数据集，包括所有参加随机化的受试者、所有服用过试验用药品的受试者、所有符合入选的受试者和可用于临床试验结果评价的受试者。</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12.试验方案中应当包括实施临床试验质量控制和质量保证。</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13.试验方案中通常包括该试验相关的伦理学问题的考虑。</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14.试验方案中通常说明试验数据的采集与管理流程、数据管理与采集所使用的系统、数据管理各步骤及任务，以及数据管理的质量保障措施。</w:t>
      </w:r>
    </w:p>
    <w:p>
      <w:pPr>
        <w:keepNext w:val="0"/>
        <w:keepLines w:val="0"/>
        <w:widowControl w:val="0"/>
        <w:suppressLineNumbers w:val="0"/>
        <w:autoSpaceDE w:val="0"/>
        <w:autoSpaceDN/>
        <w:spacing w:before="0" w:beforeAutospacing="0" w:after="0" w:afterAutospacing="0" w:line="360" w:lineRule="auto"/>
        <w:ind w:left="0" w:right="0" w:firstLine="0" w:firstLineChars="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15. 如果合同或者协议没有规定，试验方案中通常包括临床试验相关的直接查阅源文件、数据处理和记录保存、财务和保险。</w:t>
      </w:r>
    </w:p>
    <w:p>
      <w:pPr>
        <w:spacing w:line="360" w:lineRule="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rPr>
        <w:t>（</w:t>
      </w:r>
      <w:r>
        <w:rPr>
          <w:rFonts w:hint="eastAsia" w:asciiTheme="minorEastAsia" w:hAnsiTheme="minorEastAsia" w:cstheme="minorEastAsia"/>
          <w:color w:val="auto"/>
          <w:sz w:val="24"/>
          <w:szCs w:val="24"/>
          <w:lang w:val="en-US" w:eastAsia="zh-CN"/>
        </w:rPr>
        <w:t>六</w:t>
      </w:r>
      <w:r>
        <w:rPr>
          <w:rFonts w:hint="eastAsia" w:asciiTheme="minorEastAsia" w:hAnsiTheme="minorEastAsia" w:cstheme="minorEastAsia"/>
          <w:color w:val="auto"/>
          <w:sz w:val="24"/>
          <w:szCs w:val="24"/>
        </w:rPr>
        <w:t>）医疗器械临床试验方案一般包含产品基本信息、临床试验基本信息、试验目的、风险受益分析、试验设计要素、试验设计的合理性论证、统计学考虑、实施方式（方法、内容、步骤）、临床试验终点、数据管理、对临床试验方案修正的规定、不良事件和器械缺陷定义和报告的规定、伦理学考虑等内容。医疗器械临床试验方案范本</w:t>
      </w:r>
      <w:r>
        <w:rPr>
          <w:rFonts w:hint="eastAsia" w:asciiTheme="minorEastAsia" w:hAnsiTheme="minorEastAsia" w:cstheme="minorEastAsia"/>
          <w:color w:val="auto"/>
          <w:sz w:val="24"/>
          <w:szCs w:val="24"/>
          <w:lang w:val="en-US" w:eastAsia="zh-CN"/>
        </w:rPr>
        <w:t>见附件1。</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b w:val="0"/>
          <w:bCs w:val="0"/>
          <w:color w:val="auto"/>
          <w:sz w:val="24"/>
          <w:szCs w:val="24"/>
          <w:lang w:val="en-US" w:eastAsia="zh-CN"/>
        </w:rPr>
      </w:pPr>
      <w:r>
        <w:rPr>
          <w:rFonts w:hint="eastAsia" w:asciiTheme="minorEastAsia" w:hAnsiTheme="minorEastAsia"/>
          <w:b w:val="0"/>
          <w:bCs w:val="0"/>
          <w:color w:val="auto"/>
          <w:sz w:val="24"/>
          <w:szCs w:val="24"/>
          <w:lang w:val="en-US" w:eastAsia="zh-CN"/>
        </w:rPr>
        <w:t>四、参考文献</w:t>
      </w:r>
    </w:p>
    <w:p>
      <w:pPr>
        <w:pStyle w:val="36"/>
        <w:keepNext w:val="0"/>
        <w:keepLines w:val="0"/>
        <w:pageBreakBefore w:val="0"/>
        <w:widowControl w:val="0"/>
        <w:numPr>
          <w:ilvl w:val="0"/>
          <w:numId w:val="39"/>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39"/>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国家药品监督管理局，国家卫生健康委员会. 关于发布《医疗器械临床试验质量管理规范》的公告（2022年第28号）.[2022-03-31]. https://www.nmpa.gov.cn/xxgk/ggtg/qtggtg/20220331144903101.html.</w:t>
      </w:r>
    </w:p>
    <w:p>
      <w:pPr>
        <w:pStyle w:val="36"/>
        <w:keepNext w:val="0"/>
        <w:keepLines w:val="0"/>
        <w:pageBreakBefore w:val="0"/>
        <w:widowControl w:val="0"/>
        <w:numPr>
          <w:ilvl w:val="0"/>
          <w:numId w:val="39"/>
        </w:numPr>
        <w:tabs>
          <w:tab w:val="left" w:pos="2790"/>
        </w:tabs>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color w:val="auto"/>
          <w:sz w:val="24"/>
          <w:szCs w:val="24"/>
        </w:rPr>
      </w:pPr>
      <w:r>
        <w:rPr>
          <w:rFonts w:hint="eastAsia" w:asciiTheme="minorEastAsia" w:hAnsiTheme="minorEastAsia"/>
          <w:color w:val="auto"/>
          <w:sz w:val="24"/>
          <w:szCs w:val="24"/>
          <w:lang w:val="en-US" w:eastAsia="zh-CN"/>
        </w:rPr>
        <w:t xml:space="preserve">国家药监局. 关于实施《医疗器械临床试验质量管理规范》有关事项的通告（2022年第21号）医疗器械临床试验方案范本[2022-03-31]. </w:t>
      </w:r>
      <w:r>
        <w:rPr>
          <w:rFonts w:hint="eastAsia" w:asciiTheme="minorEastAsia" w:hAnsiTheme="minorEastAsia"/>
          <w:color w:val="auto"/>
          <w:sz w:val="24"/>
          <w:szCs w:val="24"/>
          <w:u w:val="none"/>
          <w:lang w:val="en-US" w:eastAsia="zh-CN"/>
        </w:rPr>
        <w:t>https://www.nmpa.gov.cn/ylqx/ylqxggtg/20220331161452151.html</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四、</w:t>
      </w:r>
      <w:r>
        <w:rPr>
          <w:rFonts w:hint="eastAsia" w:ascii="宋体" w:hAnsi="宋体" w:eastAsia="宋体" w:cs="宋体"/>
          <w:color w:val="auto"/>
          <w:sz w:val="24"/>
          <w:szCs w:val="24"/>
          <w:lang w:val="en-US" w:eastAsia="zh-CN"/>
        </w:rPr>
        <w:t xml:space="preserve">附件 </w:t>
      </w:r>
    </w:p>
    <w:p>
      <w:pPr>
        <w:pStyle w:val="33"/>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附件1：医疗器械临床试验方案范本</w:t>
      </w:r>
    </w:p>
    <w:p>
      <w:pPr>
        <w:pStyle w:val="9"/>
        <w:tabs>
          <w:tab w:val="left" w:pos="450"/>
        </w:tabs>
        <w:jc w:val="center"/>
        <w:rPr>
          <w:rFonts w:hint="eastAsia" w:ascii="宋体" w:hAnsi="宋体" w:eastAsia="宋体" w:cs="宋体"/>
          <w:color w:val="auto"/>
          <w:sz w:val="24"/>
          <w:szCs w:val="24"/>
        </w:rPr>
        <w:sectPr>
          <w:headerReference r:id="rId71"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pStyle w:val="9"/>
        <w:tabs>
          <w:tab w:val="left" w:pos="450"/>
        </w:tabs>
        <w:jc w:val="center"/>
        <w:rPr>
          <w:rFonts w:hint="eastAsia" w:ascii="黑体" w:hAnsi="黑体" w:eastAsia="黑体" w:cs="黑体"/>
          <w:color w:val="auto"/>
          <w:sz w:val="28"/>
          <w:szCs w:val="28"/>
        </w:rPr>
      </w:pPr>
      <w:r>
        <w:rPr>
          <w:rFonts w:hint="eastAsia" w:ascii="黑体" w:hAnsi="黑体" w:eastAsia="黑体" w:cs="黑体"/>
          <w:color w:val="auto"/>
          <w:sz w:val="28"/>
          <w:szCs w:val="28"/>
        </w:rPr>
        <w:t>医疗器械临床试验方案范本</w:t>
      </w:r>
    </w:p>
    <w:p>
      <w:pPr>
        <w:pStyle w:val="11"/>
        <w:ind w:left="1020" w:hanging="600"/>
        <w:rPr>
          <w:rFonts w:ascii="宋体" w:eastAsia="宋体"/>
          <w:color w:val="auto"/>
          <w:sz w:val="24"/>
          <w:szCs w:val="24"/>
        </w:rPr>
      </w:pPr>
      <w:r>
        <w:rPr>
          <w:rFonts w:hint="eastAsia" w:ascii="宋体" w:eastAsia="宋体"/>
          <w:color w:val="auto"/>
          <w:sz w:val="24"/>
          <w:szCs w:val="24"/>
        </w:rPr>
        <w:t>方案编号：</w:t>
      </w:r>
    </w:p>
    <w:p>
      <w:pPr>
        <w:pStyle w:val="10"/>
        <w:spacing w:before="156" w:after="156"/>
        <w:ind w:firstLine="2387" w:firstLineChars="700"/>
        <w:rPr>
          <w:b/>
          <w:color w:val="auto"/>
          <w:sz w:val="24"/>
          <w:szCs w:val="24"/>
        </w:rPr>
      </w:pPr>
      <w:r>
        <w:rPr>
          <w:rFonts w:hint="eastAsia"/>
          <w:b/>
          <w:color w:val="auto"/>
          <w:spacing w:val="50"/>
          <w:sz w:val="24"/>
          <w:szCs w:val="24"/>
        </w:rPr>
        <w:t>×××</w:t>
      </w:r>
      <w:r>
        <w:rPr>
          <w:rFonts w:hint="eastAsia"/>
          <w:b/>
          <w:color w:val="auto"/>
          <w:sz w:val="24"/>
          <w:szCs w:val="24"/>
        </w:rPr>
        <w:t>临床试验方案</w:t>
      </w:r>
    </w:p>
    <w:p>
      <w:pPr>
        <w:spacing w:before="50" w:after="50"/>
        <w:rPr>
          <w:rFonts w:ascii="宋体"/>
          <w:color w:val="auto"/>
          <w:sz w:val="24"/>
          <w:szCs w:val="24"/>
        </w:rPr>
      </w:pPr>
    </w:p>
    <w:p>
      <w:pPr>
        <w:pStyle w:val="10"/>
        <w:spacing w:before="156" w:after="156"/>
        <w:ind w:firstLine="360" w:firstLineChars="150"/>
        <w:rPr>
          <w:color w:val="auto"/>
          <w:sz w:val="24"/>
          <w:szCs w:val="24"/>
        </w:rPr>
      </w:pPr>
      <w:r>
        <w:rPr>
          <w:rFonts w:hint="eastAsia"/>
          <w:color w:val="auto"/>
          <w:sz w:val="24"/>
          <w:szCs w:val="24"/>
        </w:rPr>
        <w:t>试验医疗器械名称：</w:t>
      </w:r>
    </w:p>
    <w:p>
      <w:pPr>
        <w:pStyle w:val="11"/>
        <w:ind w:left="980" w:hanging="560"/>
        <w:rPr>
          <w:rFonts w:ascii="宋体" w:eastAsia="宋体"/>
          <w:color w:val="auto"/>
          <w:sz w:val="24"/>
          <w:szCs w:val="24"/>
        </w:rPr>
      </w:pPr>
      <w:r>
        <w:rPr>
          <w:rFonts w:hint="eastAsia" w:ascii="宋体" w:eastAsia="宋体"/>
          <w:color w:val="auto"/>
          <w:sz w:val="24"/>
          <w:szCs w:val="24"/>
        </w:rPr>
        <w:t>型号规格：</w:t>
      </w:r>
    </w:p>
    <w:p>
      <w:pPr>
        <w:pStyle w:val="11"/>
        <w:ind w:left="980" w:hanging="560"/>
        <w:rPr>
          <w:rFonts w:ascii="宋体" w:eastAsia="宋体"/>
          <w:color w:val="auto"/>
          <w:sz w:val="24"/>
          <w:szCs w:val="24"/>
        </w:rPr>
      </w:pPr>
      <w:r>
        <w:rPr>
          <w:rFonts w:hint="eastAsia" w:ascii="宋体" w:eastAsia="宋体"/>
          <w:color w:val="auto"/>
          <w:sz w:val="24"/>
          <w:szCs w:val="24"/>
        </w:rPr>
        <w:t>需进行临床试验审批的第三类医疗器械  是□  否□</w:t>
      </w:r>
    </w:p>
    <w:p>
      <w:pPr>
        <w:pStyle w:val="11"/>
        <w:ind w:left="980" w:hanging="560"/>
        <w:rPr>
          <w:rFonts w:ascii="宋体" w:eastAsia="宋体"/>
          <w:color w:val="auto"/>
          <w:sz w:val="24"/>
          <w:szCs w:val="24"/>
        </w:rPr>
      </w:pPr>
      <w:r>
        <w:rPr>
          <w:rFonts w:hint="eastAsia" w:ascii="宋体" w:eastAsia="宋体"/>
          <w:color w:val="auto"/>
          <w:sz w:val="24"/>
          <w:szCs w:val="24"/>
        </w:rPr>
        <w:t>方案版本号和日期：</w:t>
      </w:r>
    </w:p>
    <w:p>
      <w:pPr>
        <w:pStyle w:val="11"/>
        <w:ind w:left="980" w:hanging="560"/>
        <w:rPr>
          <w:rFonts w:ascii="宋体" w:eastAsia="宋体"/>
          <w:color w:val="auto"/>
          <w:sz w:val="24"/>
          <w:szCs w:val="24"/>
        </w:rPr>
      </w:pPr>
      <w:r>
        <w:rPr>
          <w:rFonts w:hint="eastAsia" w:ascii="宋体" w:eastAsia="宋体"/>
          <w:color w:val="auto"/>
          <w:sz w:val="24"/>
          <w:szCs w:val="24"/>
        </w:rPr>
        <w:t>临床试验机构：</w:t>
      </w:r>
    </w:p>
    <w:p>
      <w:pPr>
        <w:pStyle w:val="11"/>
        <w:ind w:left="980" w:hanging="560"/>
        <w:rPr>
          <w:rFonts w:ascii="宋体" w:eastAsia="宋体"/>
          <w:color w:val="auto"/>
          <w:sz w:val="24"/>
          <w:szCs w:val="24"/>
        </w:rPr>
      </w:pPr>
      <w:r>
        <w:rPr>
          <w:rFonts w:hint="eastAsia" w:ascii="宋体" w:eastAsia="宋体"/>
          <w:color w:val="auto"/>
          <w:sz w:val="24"/>
          <w:szCs w:val="24"/>
        </w:rPr>
        <w:t>主要研究者：</w:t>
      </w:r>
    </w:p>
    <w:p>
      <w:pPr>
        <w:pStyle w:val="11"/>
        <w:ind w:left="980" w:hanging="560"/>
        <w:rPr>
          <w:rFonts w:ascii="宋体" w:eastAsia="宋体"/>
          <w:color w:val="auto"/>
          <w:sz w:val="24"/>
          <w:szCs w:val="24"/>
        </w:rPr>
      </w:pPr>
      <w:r>
        <w:rPr>
          <w:rFonts w:hint="eastAsia" w:ascii="宋体" w:eastAsia="宋体"/>
          <w:color w:val="auto"/>
          <w:sz w:val="24"/>
          <w:szCs w:val="24"/>
        </w:rPr>
        <w:t>临床试验组长单位/协调研究者（</w:t>
      </w:r>
      <w:r>
        <w:rPr>
          <w:rFonts w:ascii="宋体" w:eastAsia="宋体" w:cs="Times New Roman"/>
          <w:color w:val="auto"/>
          <w:sz w:val="24"/>
          <w:szCs w:val="24"/>
        </w:rPr>
        <w:t>多中心临床试验</w:t>
      </w:r>
      <w:r>
        <w:rPr>
          <w:rFonts w:hint="eastAsia" w:ascii="宋体" w:eastAsia="宋体" w:cs="Times New Roman"/>
          <w:color w:val="auto"/>
          <w:sz w:val="24"/>
          <w:szCs w:val="24"/>
        </w:rPr>
        <w:t>适用</w:t>
      </w:r>
      <w:r>
        <w:rPr>
          <w:rFonts w:hint="eastAsia" w:ascii="宋体" w:eastAsia="宋体"/>
          <w:color w:val="auto"/>
          <w:sz w:val="24"/>
          <w:szCs w:val="24"/>
        </w:rPr>
        <w:t>）：</w:t>
      </w:r>
    </w:p>
    <w:p>
      <w:pPr>
        <w:pStyle w:val="11"/>
        <w:ind w:left="980" w:hanging="56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申办者：</w:t>
      </w:r>
    </w:p>
    <w:p>
      <w:pPr>
        <w:spacing w:before="50" w:after="50"/>
        <w:rPr>
          <w:rFonts w:ascii="宋体"/>
          <w:color w:val="auto"/>
          <w:sz w:val="24"/>
          <w:szCs w:val="24"/>
        </w:rPr>
      </w:pPr>
    </w:p>
    <w:p>
      <w:pPr>
        <w:spacing w:before="50" w:after="50"/>
        <w:rPr>
          <w:rFonts w:ascii="宋体"/>
          <w:color w:val="auto"/>
          <w:sz w:val="24"/>
          <w:szCs w:val="24"/>
        </w:rPr>
      </w:pPr>
    </w:p>
    <w:p>
      <w:pPr>
        <w:spacing w:before="50" w:after="50"/>
        <w:rPr>
          <w:rFonts w:ascii="宋体"/>
          <w:color w:val="auto"/>
          <w:sz w:val="24"/>
          <w:szCs w:val="24"/>
        </w:rPr>
      </w:pPr>
    </w:p>
    <w:p>
      <w:pPr>
        <w:spacing w:before="50" w:after="50"/>
        <w:jc w:val="center"/>
        <w:rPr>
          <w:rFonts w:ascii="黑体" w:hAnsi="黑体" w:eastAsia="黑体"/>
          <w:color w:val="auto"/>
          <w:sz w:val="24"/>
          <w:szCs w:val="24"/>
        </w:rPr>
      </w:pPr>
      <w:r>
        <w:rPr>
          <w:color w:val="auto"/>
          <w:sz w:val="24"/>
          <w:szCs w:val="24"/>
        </w:rPr>
        <w:br w:type="page"/>
      </w:r>
      <w:r>
        <w:rPr>
          <w:rFonts w:hint="eastAsia" w:ascii="黑体" w:hAnsi="黑体" w:eastAsia="黑体"/>
          <w:color w:val="auto"/>
          <w:sz w:val="24"/>
          <w:szCs w:val="24"/>
        </w:rPr>
        <w:t>填写说明</w:t>
      </w:r>
    </w:p>
    <w:p>
      <w:pPr>
        <w:pStyle w:val="9"/>
        <w:jc w:val="center"/>
        <w:rPr>
          <w:rFonts w:ascii="宋体" w:eastAsia="宋体"/>
          <w:color w:val="auto"/>
          <w:sz w:val="24"/>
          <w:szCs w:val="24"/>
        </w:rPr>
      </w:pPr>
    </w:p>
    <w:p>
      <w:pPr>
        <w:pStyle w:val="25"/>
        <w:spacing w:after="0" w:line="560" w:lineRule="exact"/>
        <w:ind w:firstLine="0" w:firstLineChars="0"/>
        <w:rPr>
          <w:rFonts w:ascii="Times New Roman" w:hAnsi="Times New Roman" w:eastAsia="宋体"/>
          <w:color w:val="auto"/>
          <w:sz w:val="24"/>
          <w:szCs w:val="24"/>
        </w:rPr>
      </w:pPr>
      <w:r>
        <w:rPr>
          <w:rFonts w:ascii="Times New Roman" w:hAnsi="Times New Roman" w:eastAsia="宋体"/>
          <w:color w:val="auto"/>
          <w:sz w:val="24"/>
          <w:szCs w:val="24"/>
        </w:rPr>
        <w:t>1.申办者应当根据试验目的，综合考虑试验医疗器械的风险、技术特征、适用范围等，组织制定科学、合理的临床试验方案。</w:t>
      </w:r>
    </w:p>
    <w:p>
      <w:pPr>
        <w:pStyle w:val="25"/>
        <w:spacing w:after="0" w:line="560" w:lineRule="exact"/>
        <w:ind w:firstLine="0" w:firstLineChars="0"/>
        <w:rPr>
          <w:rFonts w:ascii="Times New Roman" w:hAnsi="Times New Roman" w:eastAsia="宋体"/>
          <w:color w:val="auto"/>
          <w:sz w:val="24"/>
          <w:szCs w:val="24"/>
        </w:rPr>
      </w:pPr>
      <w:r>
        <w:rPr>
          <w:rFonts w:ascii="Times New Roman" w:hAnsi="Times New Roman" w:eastAsia="宋体"/>
          <w:color w:val="auto"/>
          <w:sz w:val="24"/>
          <w:szCs w:val="24"/>
        </w:rPr>
        <w:t>2.本方案应当由主要研究者签名和注明日期，经医疗器械临床试验机构审核签章后交申办者。</w:t>
      </w:r>
    </w:p>
    <w:p>
      <w:pPr>
        <w:pStyle w:val="9"/>
        <w:spacing w:after="0" w:line="56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3.可附方案历次修订情况以及理由。</w:t>
      </w:r>
    </w:p>
    <w:p>
      <w:pPr>
        <w:pStyle w:val="9"/>
        <w:spacing w:after="0" w:line="56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4.方案应当有目录。</w:t>
      </w:r>
    </w:p>
    <w:p>
      <w:pPr>
        <w:pStyle w:val="9"/>
        <w:spacing w:after="0" w:line="56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5.可根据需要增加缩略语表、参考文献等内容。</w:t>
      </w: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一、申办者信息</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（一）申办者名称</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（二）申办者地址</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（三）申办者联系方式</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二、临床试验机构和主要研究者信息</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三、临床试验的背景资料</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（一）研发背景</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（二）产品基本信息（包括结构组成、工作原理、作用机理、产品特点等）</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（三）适用范围</w:t>
      </w:r>
      <w:r>
        <w:rPr>
          <w:rFonts w:hint="eastAsia" w:ascii="Times New Roman" w:hAnsi="Times New Roman" w:eastAsia="宋体" w:cs="Times New Roman"/>
          <w:color w:val="auto"/>
          <w:sz w:val="24"/>
          <w:szCs w:val="24"/>
        </w:rPr>
        <w:t>以</w:t>
      </w:r>
      <w:r>
        <w:rPr>
          <w:rFonts w:ascii="Times New Roman" w:hAnsi="Times New Roman" w:eastAsia="宋体" w:cs="Times New Roman"/>
          <w:color w:val="auto"/>
          <w:sz w:val="24"/>
          <w:szCs w:val="24"/>
        </w:rPr>
        <w:t>及相关信息（包括适应症、适用人群、使用部位、与人体接触的方式和时间、疾病的严重程度和阶段、使用条件、重复使用、使用方法、禁忌症、警告</w:t>
      </w:r>
      <w:r>
        <w:rPr>
          <w:rFonts w:hint="eastAsia" w:ascii="Times New Roman" w:hAnsi="Times New Roman" w:eastAsia="宋体" w:cs="Times New Roman"/>
          <w:color w:val="auto"/>
          <w:sz w:val="24"/>
          <w:szCs w:val="24"/>
        </w:rPr>
        <w:t>以</w:t>
      </w:r>
      <w:r>
        <w:rPr>
          <w:rFonts w:ascii="Times New Roman" w:hAnsi="Times New Roman" w:eastAsia="宋体" w:cs="Times New Roman"/>
          <w:color w:val="auto"/>
          <w:sz w:val="24"/>
          <w:szCs w:val="24"/>
        </w:rPr>
        <w:t>及预防措施等）</w:t>
      </w:r>
    </w:p>
    <w:p>
      <w:pPr>
        <w:pStyle w:val="20"/>
        <w:spacing w:line="560" w:lineRule="exact"/>
        <w:ind w:left="0" w:firstLine="480" w:firstLineChars="200"/>
        <w:rPr>
          <w:rFonts w:ascii="Times New Roman" w:hAnsi="Times New Roman" w:eastAsia="黑体" w:cs="Times New Roman"/>
          <w:color w:val="auto"/>
          <w:sz w:val="24"/>
          <w:szCs w:val="24"/>
        </w:rPr>
      </w:pPr>
      <w:r>
        <w:rPr>
          <w:rFonts w:ascii="Times New Roman" w:hAnsi="Times New Roman" w:eastAsia="黑体" w:cs="Times New Roman"/>
          <w:color w:val="auto"/>
          <w:sz w:val="24"/>
          <w:szCs w:val="24"/>
        </w:rPr>
        <w:t>四、试验目的</w:t>
      </w:r>
    </w:p>
    <w:p>
      <w:pPr>
        <w:pStyle w:val="20"/>
        <w:spacing w:line="560" w:lineRule="exact"/>
        <w:ind w:left="0" w:firstLine="480" w:firstLineChars="200"/>
        <w:rPr>
          <w:rFonts w:ascii="Times New Roman" w:hAnsi="Times New Roman" w:eastAsia="黑体" w:cs="Times New Roman"/>
          <w:color w:val="auto"/>
          <w:sz w:val="24"/>
          <w:szCs w:val="24"/>
        </w:rPr>
      </w:pPr>
      <w:r>
        <w:rPr>
          <w:rFonts w:ascii="Times New Roman" w:hAnsi="Times New Roman" w:eastAsia="黑体" w:cs="Times New Roman"/>
          <w:color w:val="auto"/>
          <w:sz w:val="24"/>
          <w:szCs w:val="24"/>
        </w:rPr>
        <w:t>五、试验设计</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（一）总体设计</w:t>
      </w:r>
      <w:r>
        <w:rPr>
          <w:rFonts w:hint="eastAsia" w:ascii="Times New Roman" w:hAnsi="Times New Roman" w:eastAsia="宋体" w:cs="Times New Roman"/>
          <w:color w:val="auto"/>
          <w:sz w:val="24"/>
          <w:szCs w:val="24"/>
        </w:rPr>
        <w:t>以</w:t>
      </w:r>
      <w:r>
        <w:rPr>
          <w:rFonts w:ascii="Times New Roman" w:hAnsi="Times New Roman" w:eastAsia="宋体" w:cs="Times New Roman"/>
          <w:color w:val="auto"/>
          <w:sz w:val="24"/>
          <w:szCs w:val="24"/>
        </w:rPr>
        <w:t>及确定依据</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（二）受试者选择</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1.入选标准</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2.排除标准</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3.受试者退出标准和程序</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（三）评价方法</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1.有效性评价</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（1）评价指标以及其观察目的、定义、观察时间点、测定方法、计算公式（如适用）、判定标准（适用于定性指标和等级指标）等。如适用，明确规定主要评价指标和次要评价指标。</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（2）确定依据</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2.安全性评价</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（1）评价指标以及其观察目的、定义、观察时间点、测定方法、计算公式（如适用）、判定标准（适用于定性指标和等级指标）等。如适用，明确规定主要评价指标和次要评价指标。</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（2）确定依据</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（四）试验医疗器械和对照医疗器械/对照诊疗方法（如适用）</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（五）试验流程</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1.试验流程图</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2.试验实施（方法、内容、步骤等）</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3.用械规范</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4.合并治疗（如用药）规范</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（六）偏倚控制措施</w:t>
      </w:r>
    </w:p>
    <w:p>
      <w:pPr>
        <w:pStyle w:val="20"/>
        <w:spacing w:line="560" w:lineRule="exact"/>
        <w:ind w:left="0" w:firstLine="480" w:firstLineChars="200"/>
        <w:rPr>
          <w:rFonts w:ascii="Times New Roman" w:hAnsi="Times New Roman" w:eastAsia="黑体" w:cs="Times New Roman"/>
          <w:color w:val="auto"/>
          <w:sz w:val="24"/>
          <w:szCs w:val="24"/>
        </w:rPr>
      </w:pPr>
      <w:r>
        <w:rPr>
          <w:rFonts w:ascii="Times New Roman" w:hAnsi="Times New Roman" w:eastAsia="黑体" w:cs="Times New Roman"/>
          <w:color w:val="auto"/>
          <w:sz w:val="24"/>
          <w:szCs w:val="24"/>
        </w:rPr>
        <w:t>六、统计学考虑</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（一）样本量估算</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1.计算公式、各参数取值（如显著性水平、把握度、预期脱落率、界值等）以及其确定依据，计算结果</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2.样本量分配以及其确定依据（如适用）</w:t>
      </w:r>
    </w:p>
    <w:p>
      <w:pPr>
        <w:pStyle w:val="23"/>
        <w:spacing w:after="0"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（二）分析数据集</w:t>
      </w:r>
    </w:p>
    <w:p>
      <w:pPr>
        <w:pStyle w:val="23"/>
        <w:spacing w:after="0"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（三）受试者剔除标准</w:t>
      </w:r>
    </w:p>
    <w:p>
      <w:pPr>
        <w:pStyle w:val="23"/>
        <w:spacing w:after="0"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（四）统计方法</w:t>
      </w:r>
    </w:p>
    <w:p>
      <w:pPr>
        <w:pStyle w:val="23"/>
        <w:spacing w:after="0"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（五）缺失值和异常值的处理</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七、监查计划</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八、数据管理</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九、风险受益分析</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十、临床试验的质量控制</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十一、临床试验的伦理问题</w:t>
      </w:r>
      <w:r>
        <w:rPr>
          <w:rFonts w:hint="eastAsia" w:ascii="黑体" w:hAnsi="黑体" w:eastAsia="黑体" w:cs="Times New Roman"/>
          <w:color w:val="auto"/>
          <w:sz w:val="24"/>
          <w:szCs w:val="24"/>
        </w:rPr>
        <w:t>以</w:t>
      </w:r>
      <w:r>
        <w:rPr>
          <w:rFonts w:ascii="黑体" w:hAnsi="黑体" w:eastAsia="黑体" w:cs="Times New Roman"/>
          <w:color w:val="auto"/>
          <w:sz w:val="24"/>
          <w:szCs w:val="24"/>
        </w:rPr>
        <w:t>及知情同意</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（一）伦理方面的考虑</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（二）知情同意过程</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十二、对不良事件和器械缺陷报告的规定</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（一）不良事件的定义和报告规定</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（二）器械缺陷</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（三）严重不良事件的定义</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（四）报告程序、联络人信息</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十三、临床试验方案的偏离与临床试验方案修正的规定</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十四、直接访问源数据、文件</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十五、临床试验报告</w:t>
      </w:r>
      <w:r>
        <w:rPr>
          <w:rFonts w:hint="eastAsia" w:ascii="黑体" w:hAnsi="黑体" w:eastAsia="黑体" w:cs="Times New Roman"/>
          <w:color w:val="auto"/>
          <w:sz w:val="24"/>
          <w:szCs w:val="24"/>
        </w:rPr>
        <w:t>应当</w:t>
      </w:r>
      <w:r>
        <w:rPr>
          <w:rFonts w:ascii="黑体" w:hAnsi="黑体" w:eastAsia="黑体" w:cs="Times New Roman"/>
          <w:color w:val="auto"/>
          <w:sz w:val="24"/>
          <w:szCs w:val="24"/>
        </w:rPr>
        <w:t>涵盖的内容</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十六、保密原则</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十七、各方承担的职责</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十八、其他需要说明的内容</w:t>
      </w:r>
    </w:p>
    <w:p>
      <w:pPr>
        <w:pStyle w:val="12"/>
        <w:spacing w:after="0"/>
        <w:ind w:left="0" w:leftChars="0"/>
        <w:rPr>
          <w:rFonts w:ascii="Times New Roman" w:hAnsi="Times New Roman" w:eastAsia="宋体" w:cs="Times New Roman"/>
          <w:b/>
          <w:color w:val="auto"/>
          <w:sz w:val="24"/>
          <w:szCs w:val="24"/>
        </w:rPr>
      </w:pPr>
      <w:r>
        <w:rPr>
          <w:rFonts w:ascii="Times New Roman" w:hAnsi="Times New Roman" w:eastAsia="黑体" w:cs="Times New Roman"/>
          <w:color w:val="auto"/>
          <w:sz w:val="24"/>
          <w:szCs w:val="24"/>
        </w:rPr>
        <w:t>研究者声明</w:t>
      </w:r>
    </w:p>
    <w:p>
      <w:pPr>
        <w:pStyle w:val="12"/>
        <w:spacing w:after="0"/>
        <w:ind w:left="0" w:leftChars="0" w:firstLine="480" w:firstLineChars="200"/>
        <w:rPr>
          <w:rFonts w:ascii="宋体" w:eastAsia="宋体" w:cs="Times New Roman"/>
          <w:color w:val="auto"/>
          <w:sz w:val="24"/>
          <w:szCs w:val="24"/>
        </w:rPr>
      </w:pPr>
      <w:r>
        <w:rPr>
          <w:rFonts w:ascii="宋体" w:eastAsia="宋体" w:cs="Times New Roman"/>
          <w:color w:val="auto"/>
          <w:sz w:val="24"/>
          <w:szCs w:val="24"/>
        </w:rPr>
        <w:t>我同意：</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1.严格按照赫尔辛基宣言、中国现行法规、以及试验方案的要求进行本次临床试验。</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2.将所要求的全部数据准确记录于病例报告表（CRF）中，配合完成临床试验报告。</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3.试验医疗器械仅用于本次临床试验，在临床试验过程中完整准确地记录试验医疗器械的接收和使用情况，并保存记录。</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4.允许申办者授权或派遣的监查员、稽查员和监管部门对该项临床试验进行监查、稽查和检查。</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5.严格履行各方签署的临床试验合同/协议条款。</w:t>
      </w:r>
    </w:p>
    <w:p>
      <w:pPr>
        <w:pStyle w:val="20"/>
        <w:spacing w:line="560" w:lineRule="exact"/>
        <w:ind w:left="0" w:firstLine="480" w:firstLineChars="200"/>
        <w:rPr>
          <w:rFonts w:ascii="Times New Roman" w:hAnsi="Times New Roman" w:eastAsia="宋体" w:cs="Times New Roman"/>
          <w:color w:val="auto"/>
          <w:sz w:val="24"/>
          <w:szCs w:val="24"/>
        </w:rPr>
      </w:pP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我已全部阅读了临床试验方案，包括以上的声明，我同意以上全部内容。</w:t>
      </w:r>
    </w:p>
    <w:tbl>
      <w:tblPr>
        <w:tblStyle w:val="27"/>
        <w:tblW w:w="7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7920" w:type="dxa"/>
            <w:tcBorders>
              <w:top w:val="single" w:color="auto" w:sz="4" w:space="0"/>
              <w:left w:val="single" w:color="auto" w:sz="4" w:space="0"/>
              <w:bottom w:val="single" w:color="auto" w:sz="4" w:space="0"/>
              <w:right w:val="single" w:color="auto" w:sz="4" w:space="0"/>
            </w:tcBorders>
          </w:tcPr>
          <w:p>
            <w:pPr>
              <w:spacing w:before="50" w:after="50"/>
              <w:rPr>
                <w:rFonts w:ascii="宋体"/>
                <w:color w:val="auto"/>
                <w:sz w:val="24"/>
                <w:szCs w:val="24"/>
              </w:rPr>
            </w:pPr>
            <w:r>
              <w:rPr>
                <w:rFonts w:hint="eastAsia" w:ascii="宋体"/>
                <w:color w:val="auto"/>
                <w:sz w:val="24"/>
                <w:szCs w:val="24"/>
              </w:rPr>
              <w:t>主要研究者</w:t>
            </w:r>
          </w:p>
          <w:p>
            <w:pPr>
              <w:spacing w:before="50" w:after="50"/>
              <w:rPr>
                <w:rFonts w:ascii="宋体"/>
                <w:color w:val="auto"/>
                <w:sz w:val="24"/>
                <w:szCs w:val="24"/>
              </w:rPr>
            </w:pPr>
            <w:r>
              <w:rPr>
                <w:rFonts w:hint="eastAsia" w:ascii="宋体"/>
                <w:color w:val="auto"/>
                <w:sz w:val="24"/>
                <w:szCs w:val="24"/>
              </w:rPr>
              <w:t xml:space="preserve">                              签名</w:t>
            </w:r>
          </w:p>
          <w:p>
            <w:pPr>
              <w:spacing w:before="50" w:after="50"/>
              <w:ind w:left="5600" w:hanging="4800" w:hangingChars="2000"/>
              <w:rPr>
                <w:rFonts w:ascii="宋体"/>
                <w:color w:val="auto"/>
                <w:sz w:val="24"/>
                <w:szCs w:val="24"/>
              </w:rPr>
            </w:pPr>
            <w:r>
              <w:rPr>
                <w:rFonts w:hint="eastAsia" w:ascii="宋体"/>
                <w:color w:val="auto"/>
                <w:sz w:val="24"/>
                <w:szCs w:val="24"/>
              </w:rPr>
              <w:t>　　　　　　　　　　　　　　　年　　月　　日</w:t>
            </w:r>
          </w:p>
        </w:tc>
      </w:tr>
    </w:tbl>
    <w:p>
      <w:pPr>
        <w:spacing w:line="240" w:lineRule="exact"/>
        <w:rPr>
          <w:rFonts w:ascii="宋体"/>
          <w:color w:val="auto"/>
          <w:sz w:val="24"/>
          <w:szCs w:val="24"/>
        </w:rPr>
      </w:pPr>
    </w:p>
    <w:tbl>
      <w:tblPr>
        <w:tblStyle w:val="27"/>
        <w:tblW w:w="7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7920" w:type="dxa"/>
          </w:tcPr>
          <w:p>
            <w:pPr>
              <w:spacing w:before="50" w:after="50"/>
              <w:rPr>
                <w:rFonts w:ascii="宋体"/>
                <w:color w:val="auto"/>
                <w:sz w:val="24"/>
                <w:szCs w:val="24"/>
              </w:rPr>
            </w:pPr>
            <w:r>
              <w:rPr>
                <w:rFonts w:hint="eastAsia" w:ascii="宋体"/>
                <w:color w:val="auto"/>
                <w:sz w:val="24"/>
                <w:szCs w:val="24"/>
              </w:rPr>
              <w:t>医疗器械临床试验机构</w:t>
            </w:r>
          </w:p>
          <w:p>
            <w:pPr>
              <w:spacing w:before="50" w:after="50"/>
              <w:rPr>
                <w:rFonts w:ascii="宋体"/>
                <w:color w:val="auto"/>
                <w:sz w:val="24"/>
                <w:szCs w:val="24"/>
              </w:rPr>
            </w:pPr>
            <w:r>
              <w:rPr>
                <w:rFonts w:hint="eastAsia" w:ascii="宋体"/>
                <w:color w:val="auto"/>
                <w:sz w:val="24"/>
                <w:szCs w:val="24"/>
              </w:rPr>
              <w:t>　　　　　　　　　　　　　　　　　　　　　　　　　　　　　　　　　　　　　　</w:t>
            </w:r>
          </w:p>
          <w:p>
            <w:pPr>
              <w:spacing w:before="50" w:after="50"/>
              <w:ind w:left="5880" w:hanging="5040" w:hangingChars="2100"/>
              <w:rPr>
                <w:rFonts w:ascii="宋体"/>
                <w:color w:val="auto"/>
                <w:sz w:val="24"/>
                <w:szCs w:val="24"/>
              </w:rPr>
            </w:pPr>
            <w:r>
              <w:rPr>
                <w:rFonts w:hint="eastAsia" w:ascii="宋体"/>
                <w:color w:val="auto"/>
                <w:sz w:val="24"/>
                <w:szCs w:val="24"/>
              </w:rPr>
              <w:t>　　　　　　　　　　　　　　　 　签章</w:t>
            </w:r>
          </w:p>
          <w:p>
            <w:pPr>
              <w:spacing w:before="50" w:after="50"/>
              <w:rPr>
                <w:rFonts w:ascii="宋体"/>
                <w:color w:val="auto"/>
                <w:sz w:val="24"/>
                <w:szCs w:val="24"/>
              </w:rPr>
            </w:pPr>
            <w:r>
              <w:rPr>
                <w:rFonts w:hint="eastAsia" w:ascii="宋体"/>
                <w:color w:val="auto"/>
                <w:sz w:val="24"/>
                <w:szCs w:val="24"/>
              </w:rPr>
              <w:t>　　　　　　　　　　　　　　　　年　　月　　日　　</w:t>
            </w:r>
          </w:p>
        </w:tc>
      </w:tr>
    </w:tbl>
    <w:p>
      <w:pPr>
        <w:spacing w:line="240" w:lineRule="exact"/>
        <w:rPr>
          <w:rFonts w:ascii="宋体"/>
          <w:color w:val="auto"/>
          <w:sz w:val="24"/>
          <w:szCs w:val="24"/>
        </w:rPr>
      </w:pPr>
    </w:p>
    <w:tbl>
      <w:tblPr>
        <w:tblStyle w:val="27"/>
        <w:tblW w:w="7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jc w:val="center"/>
        </w:trPr>
        <w:tc>
          <w:tcPr>
            <w:tcW w:w="7932" w:type="dxa"/>
          </w:tcPr>
          <w:p>
            <w:pPr>
              <w:spacing w:before="50" w:after="50"/>
              <w:rPr>
                <w:rFonts w:hint="eastAsia" w:ascii="宋体"/>
                <w:color w:val="auto"/>
                <w:sz w:val="24"/>
                <w:szCs w:val="24"/>
              </w:rPr>
            </w:pPr>
            <w:r>
              <w:rPr>
                <w:rFonts w:hint="eastAsia" w:ascii="宋体"/>
                <w:color w:val="auto"/>
                <w:sz w:val="24"/>
                <w:szCs w:val="24"/>
              </w:rPr>
              <w:t>申办者　　　　　　　　　</w:t>
            </w:r>
          </w:p>
          <w:p>
            <w:pPr>
              <w:spacing w:before="50" w:after="50"/>
              <w:rPr>
                <w:rFonts w:ascii="宋体"/>
                <w:color w:val="auto"/>
                <w:sz w:val="24"/>
                <w:szCs w:val="24"/>
              </w:rPr>
            </w:pPr>
            <w:r>
              <w:rPr>
                <w:rFonts w:hint="eastAsia" w:ascii="宋体"/>
                <w:color w:val="auto"/>
                <w:sz w:val="24"/>
                <w:szCs w:val="24"/>
              </w:rPr>
              <w:t>　　　　　　　　　　　　　　　　　　　</w:t>
            </w:r>
          </w:p>
          <w:p>
            <w:pPr>
              <w:spacing w:before="50" w:after="50"/>
              <w:ind w:left="5880" w:hanging="5040" w:hangingChars="2100"/>
              <w:rPr>
                <w:rFonts w:ascii="宋体"/>
                <w:color w:val="auto"/>
                <w:sz w:val="24"/>
                <w:szCs w:val="24"/>
              </w:rPr>
            </w:pPr>
            <w:r>
              <w:rPr>
                <w:rFonts w:hint="eastAsia" w:ascii="宋体"/>
                <w:color w:val="auto"/>
                <w:sz w:val="24"/>
                <w:szCs w:val="24"/>
              </w:rPr>
              <w:t>　　　　　　　　　　　　　　　 　签章</w:t>
            </w:r>
          </w:p>
          <w:p>
            <w:pPr>
              <w:spacing w:before="50" w:after="50"/>
              <w:rPr>
                <w:rFonts w:ascii="宋体"/>
                <w:color w:val="auto"/>
                <w:sz w:val="24"/>
                <w:szCs w:val="24"/>
              </w:rPr>
            </w:pPr>
            <w:r>
              <w:rPr>
                <w:rFonts w:hint="eastAsia" w:ascii="宋体"/>
                <w:color w:val="auto"/>
                <w:sz w:val="24"/>
                <w:szCs w:val="24"/>
              </w:rPr>
              <w:t>　　　　　　　　　　　　　　　　年　　月　　日　　</w:t>
            </w:r>
          </w:p>
        </w:tc>
      </w:tr>
    </w:tbl>
    <w:p>
      <w:pPr>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906"/>
        <w:gridCol w:w="915"/>
        <w:gridCol w:w="3072"/>
        <w:gridCol w:w="2715"/>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36"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90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3072"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2715"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217"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3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0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3.0</w:t>
            </w:r>
          </w:p>
        </w:tc>
        <w:tc>
          <w:tcPr>
            <w:tcW w:w="91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3072" w:type="dxa"/>
            <w:vAlign w:val="center"/>
          </w:tcPr>
          <w:p>
            <w:pPr>
              <w:rPr>
                <w:rFonts w:hint="default" w:ascii="宋体" w:hAnsi="宋体" w:eastAsia="宋体" w:cs="宋体"/>
                <w:color w:val="auto"/>
                <w:lang w:val="en-US" w:eastAsia="zh-CN"/>
              </w:rPr>
            </w:pPr>
            <w:r>
              <w:rPr>
                <w:rFonts w:hint="eastAsia" w:ascii="宋体" w:hAnsi="宋体" w:eastAsia="宋体" w:cs="宋体"/>
                <w:color w:val="auto"/>
                <w:lang w:val="en-US" w:eastAsia="zh-CN"/>
              </w:rPr>
              <w:t>1.根据最新版药物和</w:t>
            </w:r>
            <w:r>
              <w:rPr>
                <w:rFonts w:hint="eastAsia" w:ascii="宋体" w:hAnsi="宋体" w:cs="宋体"/>
                <w:color w:val="auto"/>
                <w:lang w:val="en-US" w:eastAsia="zh-CN"/>
              </w:rPr>
              <w:t>器械</w:t>
            </w:r>
            <w:r>
              <w:rPr>
                <w:rFonts w:hint="eastAsia" w:ascii="宋体" w:hAnsi="宋体" w:eastAsia="宋体" w:cs="宋体"/>
                <w:color w:val="auto"/>
                <w:lang w:val="en-US" w:eastAsia="zh-CN"/>
              </w:rPr>
              <w:t>GCP</w:t>
            </w:r>
            <w:r>
              <w:rPr>
                <w:rFonts w:hint="eastAsia" w:ascii="宋体" w:hAnsi="宋体" w:cs="宋体"/>
                <w:color w:val="auto"/>
                <w:lang w:val="en-US" w:eastAsia="zh-CN"/>
              </w:rPr>
              <w:t>修订临床试验方案主要内容相关规定。</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2.为确保制度的严谨性，增加参考文献。</w:t>
            </w:r>
          </w:p>
        </w:tc>
        <w:tc>
          <w:tcPr>
            <w:tcW w:w="2715" w:type="dxa"/>
            <w:vAlign w:val="center"/>
          </w:tcPr>
          <w:p>
            <w:pPr>
              <w:rPr>
                <w:rFonts w:hint="default" w:ascii="宋体" w:hAnsi="宋体" w:eastAsia="宋体" w:cs="宋体"/>
                <w:color w:val="auto"/>
                <w:lang w:val="en-US" w:eastAsia="zh-CN"/>
              </w:rPr>
            </w:pPr>
            <w:r>
              <w:rPr>
                <w:rFonts w:hint="eastAsia" w:ascii="宋体" w:hAnsi="宋体" w:eastAsia="宋体" w:cs="宋体"/>
                <w:color w:val="auto"/>
                <w:lang w:val="en-US" w:eastAsia="zh-CN"/>
              </w:rPr>
              <w:t>1.</w:t>
            </w:r>
            <w:r>
              <w:rPr>
                <w:rFonts w:hint="eastAsia" w:ascii="宋体" w:hAnsi="宋体" w:cs="宋体"/>
                <w:color w:val="auto"/>
                <w:lang w:val="en-US" w:eastAsia="zh-CN"/>
              </w:rPr>
              <w:t>修订药物和医疗器械临床试验方案主要内容。</w:t>
            </w:r>
          </w:p>
          <w:p>
            <w:pPr>
              <w:rPr>
                <w:rFonts w:hint="eastAsia"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新增参考文献。</w:t>
            </w:r>
          </w:p>
          <w:p>
            <w:pPr>
              <w:rPr>
                <w:rFonts w:hint="eastAsia" w:ascii="宋体" w:hAnsi="宋体" w:eastAsia="宋体" w:cs="宋体"/>
                <w:color w:val="auto"/>
                <w:lang w:val="en-US" w:eastAsia="zh-CN"/>
              </w:rPr>
            </w:pPr>
          </w:p>
        </w:tc>
        <w:tc>
          <w:tcPr>
            <w:tcW w:w="1217" w:type="dxa"/>
            <w:vAlign w:val="center"/>
          </w:tcPr>
          <w:p>
            <w:pPr>
              <w:rPr>
                <w:rFonts w:hint="eastAsia" w:ascii="宋体" w:hAnsi="宋体" w:eastAsia="宋体" w:cs="宋体"/>
                <w:color w:val="auto"/>
                <w:lang w:val="en-US" w:eastAsia="zh-CN"/>
              </w:rPr>
            </w:pPr>
          </w:p>
        </w:tc>
      </w:tr>
    </w:tbl>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 w:val="24"/>
          <w:szCs w:val="24"/>
        </w:rPr>
      </w:pPr>
    </w:p>
    <w:p>
      <w:pPr>
        <w:spacing w:line="360" w:lineRule="auto"/>
        <w:ind w:firstLine="3092" w:firstLineChars="1100"/>
        <w:rPr>
          <w:rFonts w:ascii="黑体" w:hAnsi="黑体" w:eastAsia="黑体" w:cs="黑体"/>
          <w:b/>
          <w:color w:val="auto"/>
          <w:sz w:val="28"/>
          <w:szCs w:val="28"/>
        </w:rPr>
        <w:sectPr>
          <w:headerReference r:id="rId72" w:type="default"/>
          <w:footerReference r:id="rId73" w:type="default"/>
          <w:pgSz w:w="11906" w:h="16838"/>
          <w:pgMar w:top="1417" w:right="1191" w:bottom="1474" w:left="1474" w:header="0" w:footer="992" w:gutter="0"/>
          <w:pgBorders>
            <w:top w:val="none" w:sz="0" w:space="0"/>
            <w:left w:val="none" w:sz="0" w:space="0"/>
            <w:bottom w:val="none" w:sz="0" w:space="0"/>
            <w:right w:val="none" w:sz="0" w:space="0"/>
          </w:pgBorders>
          <w:pgNumType w:fmt="decimal"/>
          <w:cols w:space="0" w:num="1"/>
          <w:docGrid w:type="lines" w:linePitch="312" w:charSpace="0"/>
        </w:sectPr>
      </w:pPr>
    </w:p>
    <w:p>
      <w:pPr>
        <w:spacing w:line="360" w:lineRule="auto"/>
        <w:jc w:val="center"/>
        <w:rPr>
          <w:rFonts w:ascii="黑体" w:hAnsi="黑体" w:eastAsia="黑体" w:cs="黑体"/>
          <w:b/>
          <w:bCs/>
          <w:color w:val="auto"/>
          <w:sz w:val="28"/>
          <w:szCs w:val="28"/>
        </w:rPr>
      </w:pPr>
      <w:r>
        <w:rPr>
          <w:rFonts w:hint="eastAsia" w:ascii="黑体" w:hAnsi="黑体" w:eastAsia="黑体" w:cs="黑体"/>
          <w:b/>
          <w:bCs/>
          <w:color w:val="auto"/>
          <w:sz w:val="28"/>
          <w:szCs w:val="28"/>
        </w:rPr>
        <w:t>临床试验申请</w:t>
      </w:r>
      <w:r>
        <w:rPr>
          <w:rFonts w:hint="eastAsia" w:ascii="黑体" w:hAnsi="黑体" w:eastAsia="黑体" w:cs="黑体"/>
          <w:b/>
          <w:bCs/>
          <w:color w:val="auto"/>
          <w:sz w:val="28"/>
          <w:szCs w:val="28"/>
          <w:lang w:eastAsia="zh-CN"/>
        </w:rPr>
        <w:t>、</w:t>
      </w:r>
      <w:r>
        <w:rPr>
          <w:rFonts w:hint="eastAsia" w:ascii="黑体" w:hAnsi="黑体" w:eastAsia="黑体" w:cs="黑体"/>
          <w:b/>
          <w:bCs/>
          <w:color w:val="auto"/>
          <w:sz w:val="28"/>
          <w:szCs w:val="28"/>
          <w:lang w:val="en-US" w:eastAsia="zh-CN"/>
        </w:rPr>
        <w:t>评估</w:t>
      </w:r>
      <w:r>
        <w:rPr>
          <w:rFonts w:hint="eastAsia" w:ascii="黑体" w:hAnsi="黑体" w:eastAsia="黑体" w:cs="黑体"/>
          <w:b/>
          <w:bCs/>
          <w:color w:val="auto"/>
          <w:sz w:val="28"/>
          <w:szCs w:val="28"/>
        </w:rPr>
        <w:t>及立项审批的SOP</w:t>
      </w:r>
    </w:p>
    <w:p>
      <w:pPr>
        <w:numPr>
          <w:ilvl w:val="0"/>
          <w:numId w:val="40"/>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目的</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为了规范药物</w:t>
      </w:r>
      <w:r>
        <w:rPr>
          <w:rFonts w:hint="eastAsia" w:asciiTheme="minorEastAsia" w:hAnsiTheme="minorEastAsia" w:cstheme="minorEastAsia"/>
          <w:color w:val="auto"/>
          <w:sz w:val="24"/>
          <w:szCs w:val="24"/>
          <w:lang w:val="en-US" w:eastAsia="zh-CN"/>
        </w:rPr>
        <w:t>/</w:t>
      </w:r>
      <w:r>
        <w:rPr>
          <w:rFonts w:hint="eastAsia" w:asciiTheme="minorEastAsia" w:hAnsiTheme="minorEastAsia" w:cstheme="minorEastAsia"/>
          <w:color w:val="auto"/>
          <w:sz w:val="24"/>
          <w:szCs w:val="24"/>
        </w:rPr>
        <w:t>医疗器械临床试验项目的申请</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评估</w:t>
      </w:r>
      <w:r>
        <w:rPr>
          <w:rFonts w:hint="eastAsia" w:asciiTheme="minorEastAsia" w:hAnsiTheme="minorEastAsia" w:cstheme="minorEastAsia"/>
          <w:color w:val="auto"/>
          <w:sz w:val="24"/>
          <w:szCs w:val="24"/>
        </w:rPr>
        <w:t>及立项审核批准，保证项目的合法、科学运行。</w:t>
      </w:r>
    </w:p>
    <w:p>
      <w:pPr>
        <w:numPr>
          <w:ilvl w:val="0"/>
          <w:numId w:val="40"/>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适用范围</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所有药物</w:t>
      </w:r>
      <w:r>
        <w:rPr>
          <w:rFonts w:hint="eastAsia" w:asciiTheme="minorEastAsia" w:hAnsiTheme="minorEastAsia" w:cstheme="minorEastAsia"/>
          <w:color w:val="auto"/>
          <w:sz w:val="24"/>
          <w:szCs w:val="24"/>
          <w:lang w:val="en-US" w:eastAsia="zh-CN"/>
        </w:rPr>
        <w:t>/</w:t>
      </w:r>
      <w:r>
        <w:rPr>
          <w:rFonts w:hint="eastAsia" w:asciiTheme="minorEastAsia" w:hAnsiTheme="minorEastAsia" w:cstheme="minorEastAsia"/>
          <w:color w:val="auto"/>
          <w:sz w:val="24"/>
          <w:szCs w:val="24"/>
        </w:rPr>
        <w:t>医疗器械临床试验的申请</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评估</w:t>
      </w:r>
      <w:r>
        <w:rPr>
          <w:rFonts w:hint="eastAsia" w:asciiTheme="minorEastAsia" w:hAnsiTheme="minorEastAsia" w:cstheme="minorEastAsia"/>
          <w:color w:val="auto"/>
          <w:sz w:val="24"/>
          <w:szCs w:val="24"/>
        </w:rPr>
        <w:t>及审批立项。</w:t>
      </w:r>
    </w:p>
    <w:p>
      <w:pPr>
        <w:numPr>
          <w:ilvl w:val="0"/>
          <w:numId w:val="40"/>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规程</w:t>
      </w:r>
    </w:p>
    <w:p>
      <w:pPr>
        <w:numPr>
          <w:ilvl w:val="0"/>
          <w:numId w:val="41"/>
        </w:numPr>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rPr>
        <w:t>申办者直接联系机构办公室（电话0533-3241667，邮箱yiyuan_ctc@163.com）或专业组，就临床试验合作事宜进行洽谈，有初步合作意向后，机构办公室与专业组商定项目负责人及研究团队，主要考虑项目负责人的</w:t>
      </w:r>
      <w:r>
        <w:rPr>
          <w:rFonts w:hint="eastAsia" w:asciiTheme="minorEastAsia" w:hAnsiTheme="minorEastAsia" w:cstheme="minorEastAsia"/>
          <w:color w:val="auto"/>
          <w:sz w:val="24"/>
          <w:szCs w:val="24"/>
          <w:highlight w:val="none"/>
        </w:rPr>
        <w:t>资质、时间、团队是否符合试验要求。</w:t>
      </w:r>
    </w:p>
    <w:p>
      <w:pPr>
        <w:spacing w:line="360" w:lineRule="auto"/>
        <w:rPr>
          <w:rFonts w:hint="eastAsia" w:ascii="宋体" w:hAnsi="宋体" w:cs="宋体"/>
          <w:color w:val="auto"/>
          <w:sz w:val="24"/>
          <w:szCs w:val="24"/>
          <w:highlight w:val="none"/>
        </w:rPr>
      </w:pPr>
      <w:r>
        <w:rPr>
          <w:rFonts w:hint="eastAsia" w:asciiTheme="minorEastAsia" w:hAnsiTheme="minorEastAsia" w:cstheme="minorEastAsia"/>
          <w:color w:val="auto"/>
          <w:sz w:val="24"/>
          <w:szCs w:val="24"/>
          <w:highlight w:val="none"/>
        </w:rPr>
        <w:t>药物临床试验项目，申办者与研究者共同按要求填写“药物</w:t>
      </w:r>
      <w:r>
        <w:rPr>
          <w:rFonts w:hint="eastAsia" w:asciiTheme="minorEastAsia" w:hAnsiTheme="minorEastAsia" w:cstheme="minorEastAsia"/>
          <w:color w:val="auto"/>
          <w:sz w:val="24"/>
          <w:szCs w:val="24"/>
          <w:highlight w:val="none"/>
          <w:lang w:val="en-US" w:eastAsia="zh-CN"/>
        </w:rPr>
        <w:t>/医疗器械</w:t>
      </w:r>
      <w:r>
        <w:rPr>
          <w:rFonts w:hint="eastAsia" w:asciiTheme="minorEastAsia" w:hAnsiTheme="minorEastAsia" w:cstheme="minorEastAsia"/>
          <w:color w:val="auto"/>
          <w:sz w:val="24"/>
          <w:szCs w:val="24"/>
          <w:highlight w:val="none"/>
        </w:rPr>
        <w:t>临床试验申请表”（附件1</w:t>
      </w:r>
      <w:r>
        <w:rPr>
          <w:rFonts w:hint="eastAsia" w:asciiTheme="minorEastAsia" w:hAnsiTheme="minorEastAsia" w:cstheme="minorEastAsia"/>
          <w:color w:val="auto"/>
          <w:sz w:val="24"/>
          <w:szCs w:val="24"/>
          <w:highlight w:val="none"/>
          <w:lang w:val="en-US" w:eastAsia="zh-CN"/>
        </w:rPr>
        <w:t>/ 附件3</w:t>
      </w:r>
      <w:r>
        <w:rPr>
          <w:rFonts w:hint="eastAsia" w:asciiTheme="minorEastAsia" w:hAnsi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val="en-US" w:eastAsia="zh-CN"/>
        </w:rPr>
        <w:t>由机构秘书</w:t>
      </w:r>
      <w:r>
        <w:rPr>
          <w:rFonts w:hint="eastAsia" w:ascii="宋体" w:hAnsi="宋体" w:cs="宋体"/>
          <w:color w:val="auto"/>
          <w:sz w:val="24"/>
          <w:szCs w:val="24"/>
          <w:highlight w:val="none"/>
        </w:rPr>
        <w:t>受理通知</w:t>
      </w:r>
      <w:r>
        <w:rPr>
          <w:rFonts w:hint="eastAsia" w:ascii="宋体" w:hAnsi="宋体" w:cs="宋体"/>
          <w:color w:val="auto"/>
          <w:sz w:val="24"/>
          <w:szCs w:val="24"/>
          <w:highlight w:val="none"/>
          <w:lang w:val="en-US" w:eastAsia="zh-CN"/>
        </w:rPr>
        <w:t>并</w:t>
      </w:r>
      <w:r>
        <w:rPr>
          <w:rFonts w:hint="eastAsia" w:ascii="宋体" w:hAnsi="宋体" w:cs="宋体"/>
          <w:color w:val="auto"/>
          <w:sz w:val="24"/>
          <w:szCs w:val="24"/>
          <w:highlight w:val="none"/>
        </w:rPr>
        <w:t>标注受理号。◇受理号的编码规则：格式为“20★★</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w:t>
      </w:r>
    </w:p>
    <w:p>
      <w:pPr>
        <w:spacing w:line="360" w:lineRule="auto"/>
        <w:rPr>
          <w:rFonts w:hint="default" w:ascii="宋体" w:hAnsi="宋体" w:cs="宋体" w:eastAsiaTheme="minorEastAsia"/>
          <w:color w:val="auto"/>
          <w:sz w:val="24"/>
          <w:szCs w:val="24"/>
          <w:lang w:val="en-US" w:eastAsia="zh-CN"/>
        </w:rPr>
      </w:pPr>
      <w:r>
        <w:rPr>
          <w:rFonts w:hint="eastAsia" w:ascii="宋体" w:hAnsi="宋体" w:cs="宋体"/>
          <w:color w:val="auto"/>
          <w:sz w:val="24"/>
          <w:szCs w:val="24"/>
        </w:rPr>
        <w:t>◇编码规则说明：①主字段：“20★★</w:t>
      </w:r>
      <w:r>
        <w:rPr>
          <w:rFonts w:hint="eastAsia" w:ascii="宋体" w:hAnsi="宋体" w:cs="宋体"/>
          <w:color w:val="auto"/>
          <w:sz w:val="24"/>
          <w:szCs w:val="24"/>
          <w:lang w:eastAsia="zh-CN"/>
        </w:rPr>
        <w:t>—</w:t>
      </w:r>
      <w:r>
        <w:rPr>
          <w:rFonts w:hint="eastAsia" w:ascii="宋体" w:hAnsi="宋体" w:cs="宋体"/>
          <w:color w:val="auto"/>
          <w:sz w:val="24"/>
          <w:szCs w:val="24"/>
        </w:rPr>
        <w:t>★★”为送审的年份</w:t>
      </w:r>
      <w:r>
        <w:rPr>
          <w:rFonts w:hint="eastAsia" w:ascii="宋体" w:hAnsi="宋体" w:cs="宋体"/>
          <w:color w:val="auto"/>
          <w:sz w:val="24"/>
          <w:szCs w:val="24"/>
          <w:lang w:val="en-US" w:eastAsia="zh-CN"/>
        </w:rPr>
        <w:t>及月份</w:t>
      </w:r>
      <w:r>
        <w:rPr>
          <w:rFonts w:hint="eastAsia" w:ascii="宋体" w:hAnsi="宋体" w:cs="宋体"/>
          <w:color w:val="auto"/>
          <w:sz w:val="24"/>
          <w:szCs w:val="24"/>
        </w:rPr>
        <w:t>；②后缀字段“</w:t>
      </w:r>
      <w:r>
        <w:rPr>
          <w:rFonts w:hint="eastAsia" w:ascii="宋体" w:hAnsi="宋体" w:cs="宋体"/>
          <w:color w:val="auto"/>
          <w:sz w:val="24"/>
          <w:szCs w:val="24"/>
          <w:lang w:eastAsia="zh-CN"/>
        </w:rPr>
        <w:t>—</w:t>
      </w:r>
      <w:r>
        <w:rPr>
          <w:rFonts w:hint="eastAsia" w:ascii="宋体" w:hAnsi="宋体" w:cs="宋体"/>
          <w:color w:val="auto"/>
          <w:sz w:val="24"/>
          <w:szCs w:val="24"/>
        </w:rPr>
        <w:t>★★”：为</w:t>
      </w:r>
      <w:r>
        <w:rPr>
          <w:rFonts w:hint="eastAsia" w:ascii="宋体" w:hAnsi="宋体" w:cs="宋体"/>
          <w:color w:val="auto"/>
          <w:sz w:val="24"/>
          <w:szCs w:val="24"/>
          <w:lang w:val="en-US" w:eastAsia="zh-CN"/>
        </w:rPr>
        <w:t>该月份第几个项目的受理序号。</w:t>
      </w:r>
    </w:p>
    <w:p>
      <w:pPr>
        <w:numPr>
          <w:ilvl w:val="0"/>
          <w:numId w:val="41"/>
        </w:numPr>
        <w:spacing w:line="360" w:lineRule="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并按申请表所列清单准备初审资料，包括：（1）申办者或CRO委托临床试验机构进行临床试验的委托函（2）NMPA批件或临床试验通知书/备案文件或注册临床批件（IV期试验）（编号________）（3）申办者的资质（营业执照等）、GMP证书或满足GMP条件的声明（4）申办者给CRO的委托函和CRO资质（如适用）（5）中心实验室或第三方实验室（如适用）资质及室间质评证书）（6）监查员委托函、简历及资质（7）我国人类遗传资源采集、保藏、利用、对外提供的既往审批/备案材料（申请书、受理文件、批件、备案证明等）（8）组长单位的伦理批件和成员表（如适用）（9）研究者手册（版本号，日期）（10）试验方案（版本号、日期）（11）病例报告表（或EDC）样表（版本号，日期）（12）研究病历样表（版本号、日期）（13）知情同意书（版本号、日期）（14）受试者招募广告（如适用）（15）其他受试者相关材料（如适用）（16）试验用药品的药检证明（17）试验用药品的说明书（如适用）（18）临床试验责任保险单（19）盲法试验的揭盲程序（如适用）（20）申办者、CRO、统计单位、参加单位信息表（21）本中心拟参加本试验的研究者名单（22）本中心拟参加本试验的研究者资质（23）选择安慰剂对照的原因说明（如适用）（24）风险管理计划（如适用）（25）SMO和CRC资质资料（如适用）（26）药物临床试验申请表（27）研究者利益冲突声明。“药物临床申请表”需主要研究者和专业组负责人填写意见并签字确认。</w:t>
      </w:r>
    </w:p>
    <w:p>
      <w:pPr>
        <w:numPr>
          <w:ilvl w:val="0"/>
          <w:numId w:val="41"/>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医疗器械临床试验项目，申办者与研究者共同按要求填写“医疗器械临床试验申请表”（附件3），并按申请表所列清单准备初审资料，包括：（1）申办者或CRO委托临床试验机构进行临床试验的委托函（2）NMPA审批证明或备案证明（3）申办者的资质证明文件（营业执照；生产许可证等）（4）申办者委托CRO的委托函及CRO营业执照（如适用）（5）中心实验室或第三方实验室委托函、资质证明文件及室间质评证书（如适用）（6）监查员委托函、简历及资质（7）申办者/CRO委托SMO的委托函及SMO的营业执照（如适用）（8）申办者、CRO、统计单位等试验参加单位信息表（9）我国人类遗传资源采集、保藏、利用、对外提供的既往审批/备案材料（申请书、受理文件、批件、备案证明等）（10）组长单位的伦理批件和成员表（11）研究者手册（注明版本号，版本日期）（如适用）（12）试验方案（注明版本号、版本日期）（13）病例报告表（或电子病例报告表或EDC）样表（注明版本号，版本日期）（14）研究病历样表（注明版本号、版本日期）（15）知情同意书（注明版本号、版本日期）（16）受试者招募广告（如适用）（17）其他受试者相关材料（如适用）（18）基于产品技术要求的产品检验报告</w:t>
      </w:r>
      <w:r>
        <w:rPr>
          <w:rFonts w:hint="eastAsia" w:asciiTheme="minorEastAsia" w:hAnsiTheme="minorEastAsia" w:cstheme="minorEastAsia"/>
          <w:color w:val="auto"/>
          <w:sz w:val="24"/>
          <w:szCs w:val="24"/>
          <w:lang w:eastAsia="zh-CN"/>
        </w:rPr>
        <w:t>（产品检验报告应当符合国务院药品监督管理部门的要求，可以是医疗器械注册申请人、备案人的自检报告，也可以是委托有资质的医疗器械检验机构出具的检验报告）</w:t>
      </w:r>
      <w:r>
        <w:rPr>
          <w:rFonts w:hint="eastAsia" w:asciiTheme="minorEastAsia" w:hAnsiTheme="minorEastAsia" w:cstheme="minorEastAsia"/>
          <w:color w:val="auto"/>
          <w:sz w:val="24"/>
          <w:szCs w:val="24"/>
        </w:rPr>
        <w:t>（19）试验用医疗器械的研制符合适用的医疗器械质量管理体系相关要求的声明（20）产品的动物试验报告（21）临床试验保险证明（22）盲法试验的揭盲程序（如适用）（23）本中心拟参加本试验的研究者名单（24）本中心拟参加本试验的研究者资质（25）研究者利益冲突声明（26）申办者保证所提供资料真实性的声明（27）研究者保证所提供资料真实性的声明（28）医疗器械临床试验申请表</w:t>
      </w:r>
      <w:r>
        <w:rPr>
          <w:rFonts w:hint="eastAsia"/>
          <w:color w:val="auto"/>
          <w:sz w:val="24"/>
          <w:szCs w:val="24"/>
        </w:rPr>
        <w:t>。</w:t>
      </w:r>
      <w:r>
        <w:rPr>
          <w:rFonts w:hint="eastAsia" w:asciiTheme="minorEastAsia" w:hAnsiTheme="minorEastAsia" w:cstheme="minorEastAsia"/>
          <w:color w:val="auto"/>
          <w:sz w:val="24"/>
          <w:szCs w:val="24"/>
        </w:rPr>
        <w:t>“医疗器械临床申请表”需主要研究者和专业组负责人填写意见并签字确认。</w:t>
      </w:r>
    </w:p>
    <w:p>
      <w:pPr>
        <w:numPr>
          <w:ilvl w:val="0"/>
          <w:numId w:val="41"/>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申办者与研究者共同确定申请表所填写内容无误，准备好相关材料，交机构秘书，机构秘书填写申请表中受理日期和</w:t>
      </w:r>
      <w:r>
        <w:rPr>
          <w:rFonts w:hint="eastAsia" w:asciiTheme="minorEastAsia" w:hAnsiTheme="minorEastAsia" w:cstheme="minorEastAsia"/>
          <w:color w:val="auto"/>
          <w:sz w:val="24"/>
          <w:szCs w:val="24"/>
          <w:lang w:val="en-US" w:eastAsia="zh-CN"/>
        </w:rPr>
        <w:t>受理</w:t>
      </w:r>
      <w:r>
        <w:rPr>
          <w:rFonts w:hint="eastAsia" w:asciiTheme="minorEastAsia" w:hAnsiTheme="minorEastAsia" w:cstheme="minorEastAsia"/>
          <w:color w:val="auto"/>
          <w:sz w:val="24"/>
          <w:szCs w:val="24"/>
        </w:rPr>
        <w:t>编号。</w:t>
      </w:r>
    </w:p>
    <w:p>
      <w:pPr>
        <w:numPr>
          <w:ilvl w:val="0"/>
          <w:numId w:val="41"/>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秘书进行形式审核，基本符合要求后，将材料整理好转交机构办公室主任。</w:t>
      </w:r>
    </w:p>
    <w:p>
      <w:pPr>
        <w:numPr>
          <w:ilvl w:val="0"/>
          <w:numId w:val="41"/>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办公室主任进一步审核，并对专业科室进行立项评估，填写《临床试验立项评估表》</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附件5</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，必要时邀请相关专家参与审核，确定审批意见后发出“沂源县人民医院</w:t>
      </w:r>
      <w:r>
        <w:rPr>
          <w:rFonts w:hint="eastAsia" w:asciiTheme="minorEastAsia" w:hAnsiTheme="minorEastAsia" w:cstheme="minorEastAsia"/>
          <w:color w:val="auto"/>
          <w:sz w:val="24"/>
          <w:szCs w:val="24"/>
          <w:lang w:val="en-US" w:eastAsia="zh-CN"/>
        </w:rPr>
        <w:t>药物/医疗器械</w:t>
      </w:r>
      <w:r>
        <w:rPr>
          <w:rFonts w:hint="eastAsia" w:asciiTheme="minorEastAsia" w:hAnsiTheme="minorEastAsia" w:cstheme="minorEastAsia"/>
          <w:color w:val="auto"/>
          <w:sz w:val="24"/>
          <w:szCs w:val="24"/>
        </w:rPr>
        <w:t>临床试验审批表”（附件</w:t>
      </w:r>
      <w:r>
        <w:rPr>
          <w:rFonts w:hint="eastAsia" w:asciiTheme="minorEastAsia" w:hAnsiTheme="minorEastAsia" w:cstheme="minorEastAsia"/>
          <w:color w:val="auto"/>
          <w:sz w:val="24"/>
          <w:szCs w:val="24"/>
          <w:lang w:val="en-US" w:eastAsia="zh-CN"/>
        </w:rPr>
        <w:t>2/附件4</w:t>
      </w:r>
      <w:r>
        <w:rPr>
          <w:rFonts w:hint="eastAsia" w:asciiTheme="minorEastAsia" w:hAnsiTheme="minorEastAsia" w:cstheme="minorEastAsia"/>
          <w:color w:val="auto"/>
          <w:sz w:val="24"/>
          <w:szCs w:val="24"/>
        </w:rPr>
        <w:t>），审批意见根据补充的材料建议进行修改的内容等，机构秘书将审批表交给申办者及研究者，机构审批意见详细解释给申办者与研究者，申办者与研究者根据意见修改，将修改后的材料再次递交给机构。</w:t>
      </w:r>
    </w:p>
    <w:p>
      <w:pPr>
        <w:numPr>
          <w:ilvl w:val="0"/>
          <w:numId w:val="41"/>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机构</w:t>
      </w:r>
      <w:r>
        <w:rPr>
          <w:rFonts w:hint="eastAsia" w:asciiTheme="minorEastAsia" w:hAnsiTheme="minorEastAsia" w:cstheme="minorEastAsia"/>
          <w:color w:val="auto"/>
          <w:sz w:val="24"/>
          <w:szCs w:val="24"/>
          <w:lang w:val="en-US" w:eastAsia="zh-CN"/>
        </w:rPr>
        <w:t>办</w:t>
      </w:r>
      <w:r>
        <w:rPr>
          <w:rFonts w:hint="eastAsia" w:asciiTheme="minorEastAsia" w:hAnsiTheme="minorEastAsia" w:cstheme="minorEastAsia"/>
          <w:color w:val="auto"/>
          <w:sz w:val="24"/>
          <w:szCs w:val="24"/>
        </w:rPr>
        <w:t>主任对修改后材料做最后审核，做出“同意或不同意进行该项临床试验”立项的最终回复。</w:t>
      </w:r>
    </w:p>
    <w:p>
      <w:pPr>
        <w:numPr>
          <w:ilvl w:val="0"/>
          <w:numId w:val="41"/>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经机构审核同意立项的试验项目转交伦理委员会进一步审批。</w:t>
      </w:r>
    </w:p>
    <w:p>
      <w:pPr>
        <w:numPr>
          <w:ilvl w:val="0"/>
          <w:numId w:val="41"/>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伦理审查通过后，申办者与医院签署试验合同，项目组召开启动会，临床试验正式开始启动，所有合同经费按合同约定时间转账至我院账号。</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四、参考文献</w:t>
      </w:r>
    </w:p>
    <w:p>
      <w:pPr>
        <w:pStyle w:val="36"/>
        <w:keepNext w:val="0"/>
        <w:keepLines w:val="0"/>
        <w:pageBreakBefore w:val="0"/>
        <w:widowControl w:val="0"/>
        <w:numPr>
          <w:ilvl w:val="0"/>
          <w:numId w:val="42"/>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42"/>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 xml:space="preserve">国家药品监督管理局，国家卫生健康委员会. 关于发布《医疗器械临床试验质量管理规范》的公告（2022年第28号）.[2022-03-31]. </w:t>
      </w:r>
      <w:r>
        <w:rPr>
          <w:rFonts w:hint="eastAsia" w:asciiTheme="minorEastAsia" w:hAnsiTheme="minorEastAsia"/>
          <w:color w:val="auto"/>
          <w:sz w:val="24"/>
          <w:szCs w:val="24"/>
          <w:u w:val="none"/>
          <w:lang w:val="en-US" w:eastAsia="zh-CN"/>
        </w:rPr>
        <w:t>https://www.nmpa.gov.cn/xxgk/ggtg/qtggtg/20220331144903101.html.</w:t>
      </w:r>
    </w:p>
    <w:p>
      <w:pPr>
        <w:pStyle w:val="36"/>
        <w:keepNext w:val="0"/>
        <w:keepLines w:val="0"/>
        <w:pageBreakBefore w:val="0"/>
        <w:widowControl w:val="0"/>
        <w:numPr>
          <w:ilvl w:val="0"/>
          <w:numId w:val="42"/>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山东省区域临床研究协作组</w:t>
      </w:r>
      <w:r>
        <w:rPr>
          <w:rFonts w:hint="eastAsia" w:asciiTheme="minorEastAsia" w:hAnsiTheme="minorEastAsia"/>
          <w:color w:val="auto"/>
          <w:sz w:val="24"/>
          <w:szCs w:val="24"/>
          <w:lang w:val="en-US" w:eastAsia="zh-CN"/>
        </w:rPr>
        <w:t xml:space="preserve"> “一套药物临床试验立项资料通行山东” ——山东省发布药物临床试验立项资料提交标准. 2020-12-22.</w:t>
      </w:r>
      <w:r>
        <w:rPr>
          <w:rFonts w:hint="default" w:asciiTheme="minorEastAsia" w:hAnsiTheme="minorEastAsia"/>
          <w:color w:val="auto"/>
          <w:sz w:val="24"/>
          <w:szCs w:val="24"/>
          <w:lang w:val="en-US" w:eastAsia="zh-CN"/>
        </w:rPr>
        <w:t xml:space="preserve"> </w:t>
      </w:r>
    </w:p>
    <w:p>
      <w:pPr>
        <w:pStyle w:val="36"/>
        <w:keepNext w:val="0"/>
        <w:keepLines w:val="0"/>
        <w:pageBreakBefore w:val="0"/>
        <w:widowControl w:val="0"/>
        <w:numPr>
          <w:ilvl w:val="0"/>
          <w:numId w:val="42"/>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国家药监局 国家卫生健康委关于发布药物临床试验机构管理规定的公告(2019年第101号)[EB/OL].[2019-11-29]. https://www.nmpa.gov.cn/xxgk/ggtg/qtggtg/20191129174401214.html.</w:t>
      </w:r>
    </w:p>
    <w:p>
      <w:pPr>
        <w:pStyle w:val="36"/>
        <w:keepNext w:val="0"/>
        <w:keepLines w:val="0"/>
        <w:pageBreakBefore w:val="0"/>
        <w:widowControl w:val="0"/>
        <w:numPr>
          <w:ilvl w:val="0"/>
          <w:numId w:val="42"/>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国家药监局核查中心. 关于公开征求《药物临床试验机构监督检查要点和判定原则（征求意见稿）》意见的通知.[EB/OL]. [2023-07-03]. https://www.cfdi.org.cn/resource/news/15515.html</w:t>
      </w:r>
      <w:r>
        <w:rPr>
          <w:rFonts w:hint="eastAsia" w:asciiTheme="minorEastAsia" w:hAnsiTheme="minorEastAsia"/>
          <w:color w:val="auto"/>
          <w:sz w:val="24"/>
          <w:szCs w:val="24"/>
          <w:lang w:val="en-US" w:eastAsia="zh-CN"/>
        </w:rPr>
        <w:t>.</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val="en-US" w:eastAsia="zh-CN"/>
        </w:rPr>
        <w:t>五</w:t>
      </w:r>
      <w:r>
        <w:rPr>
          <w:rFonts w:hint="eastAsia" w:asciiTheme="minorEastAsia" w:hAnsiTheme="minorEastAsia" w:cstheme="minorEastAsia"/>
          <w:color w:val="auto"/>
          <w:sz w:val="24"/>
          <w:szCs w:val="24"/>
        </w:rPr>
        <w:t>、附件</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附件1.（YYH-SOP-CTC-0</w:t>
      </w:r>
      <w:r>
        <w:rPr>
          <w:rFonts w:hint="eastAsia" w:asciiTheme="minorEastAsia" w:hAnsiTheme="minorEastAsia" w:cstheme="minorEastAsia"/>
          <w:color w:val="auto"/>
          <w:sz w:val="24"/>
          <w:szCs w:val="24"/>
          <w:lang w:val="en-US" w:eastAsia="zh-CN"/>
        </w:rPr>
        <w:t>04</w:t>
      </w:r>
      <w:r>
        <w:rPr>
          <w:rFonts w:hint="eastAsia" w:asciiTheme="minorEastAsia" w:hAnsiTheme="minorEastAsia" w:cstheme="minorEastAsia"/>
          <w:color w:val="auto"/>
          <w:sz w:val="24"/>
          <w:szCs w:val="24"/>
        </w:rPr>
        <w:t>-3.</w:t>
      </w:r>
      <w:r>
        <w:rPr>
          <w:rFonts w:hint="eastAsia" w:asciiTheme="minorEastAsia" w:hAnsiTheme="minorEastAsia" w:cstheme="minorEastAsia"/>
          <w:color w:val="auto"/>
          <w:sz w:val="24"/>
          <w:szCs w:val="24"/>
          <w:lang w:val="en-US" w:eastAsia="zh-CN"/>
        </w:rPr>
        <w:t>3</w:t>
      </w:r>
      <w:r>
        <w:rPr>
          <w:rFonts w:hint="eastAsia" w:asciiTheme="minorEastAsia" w:hAnsiTheme="minorEastAsia" w:cstheme="minorEastAsia"/>
          <w:color w:val="auto"/>
          <w:sz w:val="24"/>
          <w:szCs w:val="24"/>
        </w:rPr>
        <w:t>-A01）沂源县人民医院药物临床试验申请表</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附件2.（YYH-SOP-CTC-004-3.</w:t>
      </w:r>
      <w:r>
        <w:rPr>
          <w:rFonts w:hint="eastAsia" w:asciiTheme="minorEastAsia" w:hAnsiTheme="minorEastAsia" w:cstheme="minorEastAsia"/>
          <w:color w:val="auto"/>
          <w:sz w:val="24"/>
          <w:szCs w:val="24"/>
          <w:lang w:val="en-US" w:eastAsia="zh-CN"/>
        </w:rPr>
        <w:t>3</w:t>
      </w:r>
      <w:r>
        <w:rPr>
          <w:rFonts w:hint="eastAsia" w:asciiTheme="minorEastAsia" w:hAnsiTheme="minorEastAsia" w:cstheme="minorEastAsia"/>
          <w:color w:val="auto"/>
          <w:sz w:val="24"/>
          <w:szCs w:val="24"/>
        </w:rPr>
        <w:t>-A0</w:t>
      </w:r>
      <w:r>
        <w:rPr>
          <w:rFonts w:hint="eastAsia" w:asciiTheme="minorEastAsia" w:hAnsiTheme="minorEastAsia" w:cstheme="minorEastAsia"/>
          <w:color w:val="auto"/>
          <w:sz w:val="24"/>
          <w:szCs w:val="24"/>
          <w:lang w:val="en-US" w:eastAsia="zh-CN"/>
        </w:rPr>
        <w:t>2</w:t>
      </w:r>
      <w:r>
        <w:rPr>
          <w:rFonts w:hint="eastAsia" w:asciiTheme="minorEastAsia" w:hAnsiTheme="minorEastAsia" w:cstheme="minorEastAsia"/>
          <w:color w:val="auto"/>
          <w:sz w:val="24"/>
          <w:szCs w:val="24"/>
        </w:rPr>
        <w:t xml:space="preserve">） 沂源县人民医院药物临床试验审批表      </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附件3.（YYH-SOP-CTC-004-3.</w:t>
      </w:r>
      <w:r>
        <w:rPr>
          <w:rFonts w:hint="eastAsia" w:asciiTheme="minorEastAsia" w:hAnsiTheme="minorEastAsia" w:cstheme="minorEastAsia"/>
          <w:color w:val="auto"/>
          <w:sz w:val="24"/>
          <w:szCs w:val="24"/>
          <w:lang w:val="en-US" w:eastAsia="zh-CN"/>
        </w:rPr>
        <w:t>3</w:t>
      </w:r>
      <w:r>
        <w:rPr>
          <w:rFonts w:hint="eastAsia" w:asciiTheme="minorEastAsia" w:hAnsiTheme="minorEastAsia" w:cstheme="minorEastAsia"/>
          <w:color w:val="auto"/>
          <w:sz w:val="24"/>
          <w:szCs w:val="24"/>
        </w:rPr>
        <w:t>-A0</w:t>
      </w:r>
      <w:r>
        <w:rPr>
          <w:rFonts w:hint="eastAsia" w:asciiTheme="minorEastAsia" w:hAnsiTheme="minorEastAsia" w:cstheme="minorEastAsia"/>
          <w:color w:val="auto"/>
          <w:sz w:val="24"/>
          <w:szCs w:val="24"/>
          <w:lang w:val="en-US" w:eastAsia="zh-CN"/>
        </w:rPr>
        <w:t>3</w:t>
      </w:r>
      <w:r>
        <w:rPr>
          <w:rFonts w:hint="eastAsia" w:asciiTheme="minorEastAsia" w:hAnsiTheme="minorEastAsia" w:cstheme="minorEastAsia"/>
          <w:color w:val="auto"/>
          <w:sz w:val="24"/>
          <w:szCs w:val="24"/>
        </w:rPr>
        <w:t>） 沂源县人民医院医疗器械临床试验申请表</w:t>
      </w:r>
    </w:p>
    <w:p>
      <w:pPr>
        <w:spacing w:line="360" w:lineRule="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附件4.（YYH-SOP-CTC-004-3.</w:t>
      </w:r>
      <w:r>
        <w:rPr>
          <w:rFonts w:hint="eastAsia" w:asciiTheme="minorEastAsia" w:hAnsiTheme="minorEastAsia" w:cstheme="minorEastAsia"/>
          <w:color w:val="auto"/>
          <w:sz w:val="24"/>
          <w:szCs w:val="24"/>
          <w:lang w:val="en-US" w:eastAsia="zh-CN"/>
        </w:rPr>
        <w:t>3</w:t>
      </w:r>
      <w:r>
        <w:rPr>
          <w:rFonts w:hint="eastAsia" w:asciiTheme="minorEastAsia" w:hAnsiTheme="minorEastAsia" w:cstheme="minorEastAsia"/>
          <w:color w:val="auto"/>
          <w:sz w:val="24"/>
          <w:szCs w:val="24"/>
        </w:rPr>
        <w:t>-A0</w:t>
      </w:r>
      <w:r>
        <w:rPr>
          <w:rFonts w:hint="eastAsia" w:asciiTheme="minorEastAsia" w:hAnsiTheme="minorEastAsia" w:cstheme="minorEastAsia"/>
          <w:color w:val="auto"/>
          <w:sz w:val="24"/>
          <w:szCs w:val="24"/>
          <w:lang w:val="en-US" w:eastAsia="zh-CN"/>
        </w:rPr>
        <w:t>4</w:t>
      </w:r>
      <w:r>
        <w:rPr>
          <w:rFonts w:hint="eastAsia" w:asciiTheme="minorEastAsia" w:hAnsiTheme="minorEastAsia" w:cstheme="minorEastAsia"/>
          <w:color w:val="auto"/>
          <w:sz w:val="24"/>
          <w:szCs w:val="24"/>
        </w:rPr>
        <w:t xml:space="preserve">）沂源县人民医院医疗器械临床试验审批表   </w:t>
      </w:r>
    </w:p>
    <w:p>
      <w:pPr>
        <w:spacing w:line="360" w:lineRule="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lang w:val="en-US" w:eastAsia="zh-CN"/>
        </w:rPr>
        <w:t>附件5.（</w:t>
      </w:r>
      <w:r>
        <w:rPr>
          <w:rFonts w:hint="eastAsia" w:asciiTheme="minorEastAsia" w:hAnsiTheme="minorEastAsia" w:cstheme="minorEastAsia"/>
          <w:color w:val="auto"/>
          <w:sz w:val="24"/>
          <w:szCs w:val="24"/>
        </w:rPr>
        <w:t>YYH-SOP-CTC-004-3.</w:t>
      </w:r>
      <w:r>
        <w:rPr>
          <w:rFonts w:hint="eastAsia" w:asciiTheme="minorEastAsia" w:hAnsiTheme="minorEastAsia" w:cstheme="minorEastAsia"/>
          <w:color w:val="auto"/>
          <w:sz w:val="24"/>
          <w:szCs w:val="24"/>
          <w:lang w:val="en-US" w:eastAsia="zh-CN"/>
        </w:rPr>
        <w:t>3</w:t>
      </w:r>
      <w:r>
        <w:rPr>
          <w:rFonts w:hint="eastAsia" w:asciiTheme="minorEastAsia" w:hAnsiTheme="minorEastAsia" w:cstheme="minorEastAsia"/>
          <w:color w:val="auto"/>
          <w:sz w:val="24"/>
          <w:szCs w:val="24"/>
        </w:rPr>
        <w:t>-A0</w:t>
      </w:r>
      <w:r>
        <w:rPr>
          <w:rFonts w:hint="eastAsia" w:asciiTheme="minorEastAsia" w:hAnsiTheme="minorEastAsia" w:cstheme="minorEastAsia"/>
          <w:color w:val="auto"/>
          <w:sz w:val="24"/>
          <w:szCs w:val="24"/>
          <w:lang w:val="en-US" w:eastAsia="zh-CN"/>
        </w:rPr>
        <w:t>5）</w:t>
      </w:r>
      <w:r>
        <w:rPr>
          <w:rFonts w:hint="eastAsia" w:asciiTheme="minorEastAsia" w:hAnsiTheme="minorEastAsia" w:cstheme="minorEastAsia"/>
          <w:color w:val="auto"/>
          <w:sz w:val="24"/>
          <w:szCs w:val="24"/>
        </w:rPr>
        <w:t>沂源县人民医院医疗器械临床试验</w:t>
      </w:r>
      <w:r>
        <w:rPr>
          <w:rFonts w:hint="eastAsia" w:asciiTheme="minorEastAsia" w:hAnsiTheme="minorEastAsia" w:cstheme="minorEastAsia"/>
          <w:color w:val="auto"/>
          <w:sz w:val="24"/>
          <w:szCs w:val="24"/>
          <w:lang w:val="en-US" w:eastAsia="zh-CN"/>
        </w:rPr>
        <w:t>立项评估表</w:t>
      </w:r>
      <w:r>
        <w:rPr>
          <w:rFonts w:hint="eastAsia" w:asciiTheme="minorEastAsia" w:hAnsiTheme="minorEastAsia" w:cstheme="minorEastAsia"/>
          <w:color w:val="auto"/>
          <w:sz w:val="24"/>
          <w:szCs w:val="24"/>
        </w:rPr>
        <w:t xml:space="preserve">    </w:t>
      </w:r>
    </w:p>
    <w:p>
      <w:pPr>
        <w:spacing w:line="360" w:lineRule="auto"/>
        <w:rPr>
          <w:rFonts w:hint="eastAsia" w:asciiTheme="minorEastAsia" w:hAnsiTheme="minorEastAsia" w:cstheme="minorEastAsia"/>
          <w:b/>
          <w:bCs/>
          <w:color w:val="auto"/>
          <w:sz w:val="24"/>
          <w:szCs w:val="24"/>
        </w:rPr>
      </w:pPr>
    </w:p>
    <w:p>
      <w:pPr>
        <w:spacing w:line="360" w:lineRule="auto"/>
        <w:jc w:val="center"/>
        <w:rPr>
          <w:color w:val="auto"/>
          <w:sz w:val="24"/>
          <w:szCs w:val="24"/>
        </w:rPr>
      </w:pPr>
      <w:r>
        <w:rPr>
          <w:rFonts w:hint="eastAsia" w:asciiTheme="minorEastAsia" w:hAnsiTheme="minorEastAsia" w:cstheme="minorEastAsia"/>
          <w:b/>
          <w:bCs/>
          <w:color w:val="auto"/>
          <w:sz w:val="24"/>
          <w:szCs w:val="24"/>
        </w:rPr>
        <w:t>附件1 （YYH-SOP-CTC-004-3.</w:t>
      </w:r>
      <w:r>
        <w:rPr>
          <w:rFonts w:hint="eastAsia" w:asciiTheme="minorEastAsia" w:hAnsiTheme="minorEastAsia" w:cstheme="minorEastAsia"/>
          <w:b/>
          <w:bCs/>
          <w:color w:val="auto"/>
          <w:sz w:val="24"/>
          <w:szCs w:val="24"/>
          <w:lang w:val="en-US" w:eastAsia="zh-CN"/>
        </w:rPr>
        <w:t>3</w:t>
      </w:r>
      <w:r>
        <w:rPr>
          <w:rFonts w:hint="eastAsia" w:asciiTheme="minorEastAsia" w:hAnsiTheme="minorEastAsia" w:cstheme="minorEastAsia"/>
          <w:b/>
          <w:bCs/>
          <w:color w:val="auto"/>
          <w:sz w:val="24"/>
          <w:szCs w:val="24"/>
        </w:rPr>
        <w:t>-A01）沂源县人民医院药物临床试验申请表</w:t>
      </w:r>
    </w:p>
    <w:tbl>
      <w:tblPr>
        <w:tblStyle w:val="28"/>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2205"/>
        <w:gridCol w:w="767"/>
        <w:gridCol w:w="439"/>
        <w:gridCol w:w="433"/>
        <w:gridCol w:w="784"/>
        <w:gridCol w:w="1304"/>
        <w:gridCol w:w="488"/>
        <w:gridCol w:w="1358"/>
        <w:gridCol w:w="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73" w:type="dxa"/>
            <w:gridSpan w:val="2"/>
            <w:vAlign w:val="center"/>
          </w:tcPr>
          <w:p>
            <w:pPr>
              <w:rPr>
                <w:color w:val="auto"/>
              </w:rPr>
            </w:pPr>
            <w:r>
              <w:rPr>
                <w:rFonts w:hint="eastAsia"/>
                <w:color w:val="auto"/>
              </w:rPr>
              <w:t>项目名称</w:t>
            </w:r>
          </w:p>
        </w:tc>
        <w:tc>
          <w:tcPr>
            <w:tcW w:w="6044" w:type="dxa"/>
            <w:gridSpan w:val="8"/>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673" w:type="dxa"/>
            <w:gridSpan w:val="2"/>
            <w:vAlign w:val="center"/>
          </w:tcPr>
          <w:p>
            <w:pPr>
              <w:rPr>
                <w:color w:val="auto"/>
              </w:rPr>
            </w:pPr>
            <w:r>
              <w:rPr>
                <w:rFonts w:hint="eastAsia"/>
                <w:color w:val="auto"/>
              </w:rPr>
              <w:t>受理日期（机构填）</w:t>
            </w:r>
          </w:p>
        </w:tc>
        <w:tc>
          <w:tcPr>
            <w:tcW w:w="2423" w:type="dxa"/>
            <w:gridSpan w:val="4"/>
          </w:tcPr>
          <w:p>
            <w:pPr>
              <w:rPr>
                <w:color w:val="auto"/>
              </w:rPr>
            </w:pPr>
          </w:p>
        </w:tc>
        <w:tc>
          <w:tcPr>
            <w:tcW w:w="1304" w:type="dxa"/>
          </w:tcPr>
          <w:p>
            <w:pPr>
              <w:rPr>
                <w:color w:val="auto"/>
              </w:rPr>
            </w:pPr>
            <w:r>
              <w:rPr>
                <w:rFonts w:hint="eastAsia"/>
                <w:color w:val="auto"/>
              </w:rPr>
              <w:t>受理编号（机构填）</w:t>
            </w:r>
          </w:p>
        </w:tc>
        <w:tc>
          <w:tcPr>
            <w:tcW w:w="2317" w:type="dxa"/>
            <w:gridSpan w:val="3"/>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673" w:type="dxa"/>
            <w:gridSpan w:val="2"/>
            <w:vAlign w:val="center"/>
          </w:tcPr>
          <w:p>
            <w:pPr>
              <w:rPr>
                <w:color w:val="auto"/>
              </w:rPr>
            </w:pPr>
            <w:r>
              <w:rPr>
                <w:rFonts w:hint="eastAsia"/>
                <w:color w:val="auto"/>
              </w:rPr>
              <w:t>申办单位（CRO）</w:t>
            </w:r>
          </w:p>
        </w:tc>
        <w:tc>
          <w:tcPr>
            <w:tcW w:w="6044" w:type="dxa"/>
            <w:gridSpan w:val="8"/>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673" w:type="dxa"/>
            <w:gridSpan w:val="2"/>
            <w:vAlign w:val="center"/>
          </w:tcPr>
          <w:p>
            <w:pPr>
              <w:rPr>
                <w:color w:val="auto"/>
              </w:rPr>
            </w:pPr>
            <w:r>
              <w:rPr>
                <w:rFonts w:hint="eastAsia"/>
                <w:color w:val="auto"/>
              </w:rPr>
              <w:t>监查员姓名/电话/邮箱</w:t>
            </w:r>
          </w:p>
        </w:tc>
        <w:tc>
          <w:tcPr>
            <w:tcW w:w="6044" w:type="dxa"/>
            <w:gridSpan w:val="8"/>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2673" w:type="dxa"/>
            <w:gridSpan w:val="2"/>
            <w:vAlign w:val="center"/>
          </w:tcPr>
          <w:p>
            <w:pPr>
              <w:rPr>
                <w:color w:val="auto"/>
                <w:szCs w:val="21"/>
              </w:rPr>
            </w:pPr>
            <w:r>
              <w:rPr>
                <w:rFonts w:hint="eastAsia"/>
                <w:color w:val="auto"/>
                <w:szCs w:val="21"/>
              </w:rPr>
              <w:t>药品分类</w:t>
            </w:r>
          </w:p>
        </w:tc>
        <w:tc>
          <w:tcPr>
            <w:tcW w:w="4215" w:type="dxa"/>
            <w:gridSpan w:val="6"/>
          </w:tcPr>
          <w:p>
            <w:pPr>
              <w:rPr>
                <w:color w:val="auto"/>
              </w:rPr>
            </w:pPr>
            <w:r>
              <w:rPr>
                <w:rFonts w:hint="eastAsia" w:ascii="宋体" w:hAnsi="宋体" w:eastAsia="宋体" w:cs="宋体"/>
                <w:color w:val="auto"/>
              </w:rPr>
              <w:t>□</w:t>
            </w:r>
            <w:r>
              <w:rPr>
                <w:rFonts w:hint="eastAsia"/>
                <w:color w:val="auto"/>
              </w:rPr>
              <w:t xml:space="preserve">化药  </w:t>
            </w:r>
            <w:r>
              <w:rPr>
                <w:rFonts w:hint="eastAsia" w:ascii="宋体" w:hAnsi="宋体" w:eastAsia="宋体" w:cs="宋体"/>
                <w:color w:val="auto"/>
              </w:rPr>
              <w:t>□</w:t>
            </w:r>
            <w:r>
              <w:rPr>
                <w:rFonts w:hint="eastAsia"/>
                <w:color w:val="auto"/>
              </w:rPr>
              <w:t xml:space="preserve">中药   </w:t>
            </w:r>
            <w:r>
              <w:rPr>
                <w:rFonts w:hint="eastAsia" w:ascii="宋体" w:hAnsi="宋体" w:eastAsia="宋体" w:cs="宋体"/>
                <w:color w:val="auto"/>
              </w:rPr>
              <w:t>□</w:t>
            </w:r>
            <w:r>
              <w:rPr>
                <w:rFonts w:hint="eastAsia"/>
                <w:color w:val="auto"/>
              </w:rPr>
              <w:t xml:space="preserve">生物制品  </w:t>
            </w:r>
            <w:r>
              <w:rPr>
                <w:rFonts w:hint="eastAsia" w:ascii="宋体" w:hAnsi="宋体" w:eastAsia="宋体" w:cs="宋体"/>
                <w:color w:val="auto"/>
              </w:rPr>
              <w:t>□</w:t>
            </w:r>
            <w:r>
              <w:rPr>
                <w:rFonts w:hint="eastAsia"/>
                <w:color w:val="auto"/>
              </w:rPr>
              <w:t xml:space="preserve">进口药   </w:t>
            </w:r>
            <w:r>
              <w:rPr>
                <w:rFonts w:hint="eastAsia" w:ascii="宋体" w:hAnsi="宋体" w:eastAsia="宋体" w:cs="宋体"/>
                <w:color w:val="auto"/>
              </w:rPr>
              <w:t>□</w:t>
            </w:r>
            <w:r>
              <w:rPr>
                <w:rFonts w:hint="eastAsia"/>
                <w:color w:val="auto"/>
              </w:rPr>
              <w:t>其它</w:t>
            </w:r>
          </w:p>
        </w:tc>
        <w:tc>
          <w:tcPr>
            <w:tcW w:w="1829" w:type="dxa"/>
            <w:gridSpan w:val="2"/>
            <w:vAlign w:val="center"/>
          </w:tcPr>
          <w:p>
            <w:pPr>
              <w:jc w:val="both"/>
              <w:rPr>
                <w:color w:val="auto"/>
              </w:rPr>
            </w:pPr>
            <w:r>
              <w:rPr>
                <w:rFonts w:hint="eastAsia"/>
                <w:color w:val="auto"/>
              </w:rPr>
              <w:t>属第 类新药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673" w:type="dxa"/>
            <w:gridSpan w:val="2"/>
            <w:vAlign w:val="center"/>
          </w:tcPr>
          <w:p>
            <w:pPr>
              <w:rPr>
                <w:color w:val="auto"/>
                <w:szCs w:val="21"/>
              </w:rPr>
            </w:pPr>
            <w:r>
              <w:rPr>
                <w:rFonts w:hint="eastAsia"/>
                <w:color w:val="auto"/>
                <w:szCs w:val="21"/>
              </w:rPr>
              <w:t>试验分期</w:t>
            </w:r>
          </w:p>
        </w:tc>
        <w:tc>
          <w:tcPr>
            <w:tcW w:w="6044" w:type="dxa"/>
            <w:gridSpan w:val="8"/>
          </w:tcPr>
          <w:p>
            <w:pPr>
              <w:rPr>
                <w:color w:val="auto"/>
              </w:rPr>
            </w:pPr>
            <w:r>
              <w:rPr>
                <w:rFonts w:hint="eastAsia" w:ascii="宋体" w:hAnsi="宋体" w:eastAsia="宋体" w:cs="宋体"/>
                <w:color w:val="auto"/>
              </w:rPr>
              <w:t>□Ⅰ</w:t>
            </w:r>
            <w:r>
              <w:rPr>
                <w:rFonts w:hint="eastAsia"/>
                <w:color w:val="auto"/>
              </w:rPr>
              <w:t xml:space="preserve">期  </w:t>
            </w:r>
            <w:r>
              <w:rPr>
                <w:rFonts w:hint="eastAsia" w:ascii="宋体" w:hAnsi="宋体" w:eastAsia="宋体" w:cs="宋体"/>
                <w:color w:val="auto"/>
              </w:rPr>
              <w:t>□Ⅱ</w:t>
            </w:r>
            <w:r>
              <w:rPr>
                <w:rFonts w:hint="eastAsia"/>
                <w:color w:val="auto"/>
              </w:rPr>
              <w:t xml:space="preserve">期  </w:t>
            </w:r>
            <w:r>
              <w:rPr>
                <w:rFonts w:hint="eastAsia" w:ascii="宋体" w:hAnsi="宋体" w:eastAsia="宋体" w:cs="宋体"/>
                <w:color w:val="auto"/>
              </w:rPr>
              <w:t>□Ⅲ</w:t>
            </w:r>
            <w:r>
              <w:rPr>
                <w:rFonts w:hint="eastAsia"/>
                <w:color w:val="auto"/>
              </w:rPr>
              <w:t xml:space="preserve">期  </w:t>
            </w:r>
            <w:r>
              <w:rPr>
                <w:rFonts w:hint="eastAsia" w:ascii="宋体" w:hAnsi="宋体" w:eastAsia="宋体" w:cs="宋体"/>
                <w:color w:val="auto"/>
              </w:rPr>
              <w:t>□Ⅳ</w:t>
            </w:r>
            <w:r>
              <w:rPr>
                <w:rFonts w:hint="eastAsia"/>
                <w:color w:val="auto"/>
              </w:rPr>
              <w:t xml:space="preserve">期  </w:t>
            </w:r>
            <w:r>
              <w:rPr>
                <w:rFonts w:hint="eastAsia" w:ascii="宋体" w:hAnsi="宋体" w:eastAsia="宋体" w:cs="宋体"/>
                <w:color w:val="auto"/>
              </w:rPr>
              <w:t>□</w:t>
            </w:r>
            <w:r>
              <w:rPr>
                <w:rFonts w:hint="eastAsia"/>
                <w:color w:val="auto"/>
              </w:rPr>
              <w:t xml:space="preserve">随机对照临床试验  </w:t>
            </w:r>
          </w:p>
          <w:p>
            <w:pPr>
              <w:rPr>
                <w:rFonts w:ascii="宋体" w:hAnsi="宋体" w:eastAsia="宋体" w:cs="宋体"/>
                <w:color w:val="auto"/>
              </w:rPr>
            </w:pPr>
            <w:r>
              <w:rPr>
                <w:rFonts w:hint="eastAsia" w:ascii="宋体" w:hAnsi="宋体" w:eastAsia="宋体" w:cs="宋体"/>
                <w:color w:val="auto"/>
              </w:rPr>
              <w:t>□</w:t>
            </w:r>
            <w:r>
              <w:rPr>
                <w:rFonts w:hint="eastAsia"/>
                <w:color w:val="auto"/>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673" w:type="dxa"/>
            <w:gridSpan w:val="2"/>
            <w:vAlign w:val="center"/>
          </w:tcPr>
          <w:p>
            <w:pPr>
              <w:rPr>
                <w:color w:val="auto"/>
              </w:rPr>
            </w:pPr>
            <w:r>
              <w:rPr>
                <w:rFonts w:hint="eastAsia"/>
                <w:color w:val="auto"/>
              </w:rPr>
              <w:t>试验药名称</w:t>
            </w:r>
          </w:p>
        </w:tc>
        <w:tc>
          <w:tcPr>
            <w:tcW w:w="2423" w:type="dxa"/>
            <w:gridSpan w:val="4"/>
          </w:tcPr>
          <w:p>
            <w:pPr>
              <w:rPr>
                <w:color w:val="auto"/>
              </w:rPr>
            </w:pPr>
          </w:p>
        </w:tc>
        <w:tc>
          <w:tcPr>
            <w:tcW w:w="1792" w:type="dxa"/>
            <w:gridSpan w:val="2"/>
            <w:vAlign w:val="center"/>
          </w:tcPr>
          <w:p>
            <w:pPr>
              <w:jc w:val="both"/>
              <w:rPr>
                <w:color w:val="auto"/>
              </w:rPr>
            </w:pPr>
            <w:r>
              <w:rPr>
                <w:rFonts w:hint="eastAsia"/>
                <w:color w:val="auto"/>
              </w:rPr>
              <w:t>对照药名称</w:t>
            </w:r>
          </w:p>
        </w:tc>
        <w:tc>
          <w:tcPr>
            <w:tcW w:w="1829" w:type="dxa"/>
            <w:gridSpan w:val="2"/>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673" w:type="dxa"/>
            <w:gridSpan w:val="2"/>
            <w:vAlign w:val="center"/>
          </w:tcPr>
          <w:p>
            <w:pPr>
              <w:rPr>
                <w:color w:val="auto"/>
              </w:rPr>
            </w:pPr>
            <w:r>
              <w:rPr>
                <w:rFonts w:hint="eastAsia"/>
                <w:color w:val="auto"/>
              </w:rPr>
              <w:t>申请科室</w:t>
            </w:r>
          </w:p>
        </w:tc>
        <w:tc>
          <w:tcPr>
            <w:tcW w:w="2423" w:type="dxa"/>
            <w:gridSpan w:val="4"/>
          </w:tcPr>
          <w:p>
            <w:pPr>
              <w:rPr>
                <w:color w:val="auto"/>
              </w:rPr>
            </w:pPr>
          </w:p>
        </w:tc>
        <w:tc>
          <w:tcPr>
            <w:tcW w:w="1792" w:type="dxa"/>
            <w:gridSpan w:val="2"/>
            <w:vAlign w:val="center"/>
          </w:tcPr>
          <w:p>
            <w:pPr>
              <w:jc w:val="both"/>
              <w:rPr>
                <w:color w:val="auto"/>
              </w:rPr>
            </w:pPr>
            <w:r>
              <w:rPr>
                <w:rFonts w:hint="eastAsia"/>
                <w:color w:val="auto"/>
              </w:rPr>
              <w:t>主要研究者</w:t>
            </w:r>
          </w:p>
        </w:tc>
        <w:tc>
          <w:tcPr>
            <w:tcW w:w="1829" w:type="dxa"/>
            <w:gridSpan w:val="2"/>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673" w:type="dxa"/>
            <w:gridSpan w:val="2"/>
            <w:vAlign w:val="center"/>
          </w:tcPr>
          <w:p>
            <w:pPr>
              <w:rPr>
                <w:color w:val="auto"/>
              </w:rPr>
            </w:pPr>
            <w:r>
              <w:rPr>
                <w:rFonts w:hint="eastAsia"/>
                <w:color w:val="auto"/>
              </w:rPr>
              <w:t>PI指定联系人姓名/电话</w:t>
            </w:r>
          </w:p>
        </w:tc>
        <w:tc>
          <w:tcPr>
            <w:tcW w:w="6044" w:type="dxa"/>
            <w:gridSpan w:val="8"/>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673" w:type="dxa"/>
            <w:gridSpan w:val="2"/>
            <w:vAlign w:val="center"/>
          </w:tcPr>
          <w:p>
            <w:pPr>
              <w:rPr>
                <w:color w:val="auto"/>
                <w:szCs w:val="21"/>
              </w:rPr>
            </w:pPr>
            <w:r>
              <w:rPr>
                <w:rFonts w:hint="eastAsia"/>
                <w:color w:val="auto"/>
                <w:szCs w:val="21"/>
              </w:rPr>
              <w:t>预期试验时限</w:t>
            </w:r>
          </w:p>
        </w:tc>
        <w:tc>
          <w:tcPr>
            <w:tcW w:w="2423" w:type="dxa"/>
            <w:gridSpan w:val="4"/>
          </w:tcPr>
          <w:p>
            <w:pPr>
              <w:rPr>
                <w:color w:val="auto"/>
              </w:rPr>
            </w:pPr>
          </w:p>
        </w:tc>
        <w:tc>
          <w:tcPr>
            <w:tcW w:w="1792" w:type="dxa"/>
            <w:gridSpan w:val="2"/>
            <w:vAlign w:val="center"/>
          </w:tcPr>
          <w:p>
            <w:pPr>
              <w:jc w:val="both"/>
              <w:rPr>
                <w:color w:val="auto"/>
              </w:rPr>
            </w:pPr>
            <w:r>
              <w:rPr>
                <w:rFonts w:hint="eastAsia"/>
                <w:color w:val="auto"/>
              </w:rPr>
              <w:t>NMPA批件号</w:t>
            </w:r>
          </w:p>
        </w:tc>
        <w:tc>
          <w:tcPr>
            <w:tcW w:w="1829" w:type="dxa"/>
            <w:gridSpan w:val="2"/>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673" w:type="dxa"/>
            <w:gridSpan w:val="2"/>
            <w:vAlign w:val="center"/>
          </w:tcPr>
          <w:p>
            <w:pPr>
              <w:rPr>
                <w:color w:val="auto"/>
              </w:rPr>
            </w:pPr>
            <w:r>
              <w:rPr>
                <w:rFonts w:hint="eastAsia"/>
                <w:color w:val="auto"/>
              </w:rPr>
              <w:t>临床试验组长单位</w:t>
            </w:r>
          </w:p>
        </w:tc>
        <w:tc>
          <w:tcPr>
            <w:tcW w:w="6044" w:type="dxa"/>
            <w:gridSpan w:val="8"/>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8717" w:type="dxa"/>
            <w:gridSpan w:val="10"/>
            <w:vAlign w:val="center"/>
          </w:tcPr>
          <w:p>
            <w:pPr>
              <w:jc w:val="center"/>
              <w:rPr>
                <w:color w:val="auto"/>
                <w:sz w:val="24"/>
                <w:szCs w:val="24"/>
              </w:rPr>
            </w:pPr>
            <w:r>
              <w:rPr>
                <w:rFonts w:hint="eastAsia"/>
                <w:color w:val="auto"/>
                <w:szCs w:val="21"/>
              </w:rPr>
              <w:t>申请药物临床试验需准备的资料（备注：相关材料如有请在空格里打</w:t>
            </w:r>
            <w:r>
              <w:rPr>
                <w:rFonts w:ascii="Arial" w:hAnsi="Arial" w:cs="Arial"/>
                <w:color w:val="auto"/>
                <w:szCs w:val="21"/>
              </w:rPr>
              <w:t>√</w:t>
            </w:r>
            <w:r>
              <w:rPr>
                <w:rFonts w:hint="eastAsia" w:asciiTheme="minorEastAsia" w:hAnsiTheme="minorEastAsia" w:cs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8" w:type="dxa"/>
            <w:vAlign w:val="center"/>
          </w:tcPr>
          <w:p>
            <w:pPr>
              <w:jc w:val="both"/>
              <w:rPr>
                <w:color w:val="auto"/>
              </w:rPr>
            </w:pPr>
            <w:r>
              <w:rPr>
                <w:rFonts w:hint="eastAsia"/>
                <w:color w:val="auto"/>
              </w:rPr>
              <w:t>1</w:t>
            </w:r>
          </w:p>
        </w:tc>
        <w:tc>
          <w:tcPr>
            <w:tcW w:w="2972" w:type="dxa"/>
            <w:gridSpan w:val="2"/>
            <w:vAlign w:val="center"/>
          </w:tcPr>
          <w:p>
            <w:pPr>
              <w:jc w:val="both"/>
              <w:rPr>
                <w:color w:val="auto"/>
              </w:rPr>
            </w:pPr>
            <w:r>
              <w:rPr>
                <w:rFonts w:hint="eastAsia"/>
                <w:color w:val="auto"/>
                <w:lang w:val="en-US" w:eastAsia="zh-CN"/>
              </w:rPr>
              <w:t>申办者或CRO委托临床试验机构进行临床试验的委托函</w:t>
            </w:r>
          </w:p>
        </w:tc>
        <w:tc>
          <w:tcPr>
            <w:tcW w:w="439" w:type="dxa"/>
            <w:vAlign w:val="center"/>
          </w:tcPr>
          <w:p>
            <w:pPr>
              <w:jc w:val="both"/>
              <w:rPr>
                <w:color w:val="auto"/>
              </w:rPr>
            </w:pPr>
          </w:p>
        </w:tc>
        <w:tc>
          <w:tcPr>
            <w:tcW w:w="433" w:type="dxa"/>
            <w:vAlign w:val="center"/>
          </w:tcPr>
          <w:p>
            <w:pPr>
              <w:jc w:val="both"/>
              <w:rPr>
                <w:color w:val="auto"/>
              </w:rPr>
            </w:pPr>
            <w:r>
              <w:rPr>
                <w:rFonts w:hint="eastAsia"/>
                <w:color w:val="auto"/>
                <w:lang w:val="en-US" w:eastAsia="zh-CN"/>
              </w:rPr>
              <w:t>15</w:t>
            </w:r>
          </w:p>
        </w:tc>
        <w:tc>
          <w:tcPr>
            <w:tcW w:w="3934" w:type="dxa"/>
            <w:gridSpan w:val="4"/>
            <w:vAlign w:val="center"/>
          </w:tcPr>
          <w:p>
            <w:pPr>
              <w:jc w:val="both"/>
              <w:rPr>
                <w:color w:val="auto"/>
              </w:rPr>
            </w:pPr>
            <w:r>
              <w:rPr>
                <w:rFonts w:hint="eastAsia"/>
                <w:color w:val="auto"/>
                <w:lang w:val="en-US" w:eastAsia="zh-CN"/>
              </w:rPr>
              <w:t>其他受试者相关材料（如适用）</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68" w:type="dxa"/>
            <w:vAlign w:val="center"/>
          </w:tcPr>
          <w:p>
            <w:pPr>
              <w:jc w:val="both"/>
              <w:rPr>
                <w:color w:val="auto"/>
              </w:rPr>
            </w:pPr>
            <w:r>
              <w:rPr>
                <w:rFonts w:hint="eastAsia"/>
                <w:color w:val="auto"/>
              </w:rPr>
              <w:t>2</w:t>
            </w:r>
          </w:p>
        </w:tc>
        <w:tc>
          <w:tcPr>
            <w:tcW w:w="2972" w:type="dxa"/>
            <w:gridSpan w:val="2"/>
            <w:vAlign w:val="center"/>
          </w:tcPr>
          <w:p>
            <w:pPr>
              <w:jc w:val="both"/>
              <w:rPr>
                <w:color w:val="auto"/>
              </w:rPr>
            </w:pPr>
            <w:r>
              <w:rPr>
                <w:rFonts w:hint="eastAsia"/>
                <w:color w:val="auto"/>
                <w:lang w:val="en-US" w:eastAsia="zh-CN"/>
              </w:rPr>
              <w:t>NMPA批件或临床试验通知书/备案文件或注册临床批件（IV期试验）（编号_____________）</w:t>
            </w:r>
          </w:p>
        </w:tc>
        <w:tc>
          <w:tcPr>
            <w:tcW w:w="439" w:type="dxa"/>
            <w:vAlign w:val="center"/>
          </w:tcPr>
          <w:p>
            <w:pPr>
              <w:jc w:val="both"/>
              <w:rPr>
                <w:color w:val="auto"/>
              </w:rPr>
            </w:pPr>
          </w:p>
        </w:tc>
        <w:tc>
          <w:tcPr>
            <w:tcW w:w="433" w:type="dxa"/>
            <w:vAlign w:val="center"/>
          </w:tcPr>
          <w:p>
            <w:pPr>
              <w:jc w:val="both"/>
              <w:rPr>
                <w:color w:val="auto"/>
              </w:rPr>
            </w:pPr>
            <w:r>
              <w:rPr>
                <w:rFonts w:hint="eastAsia"/>
                <w:color w:val="auto"/>
                <w:lang w:val="en-US" w:eastAsia="zh-CN"/>
              </w:rPr>
              <w:t>16</w:t>
            </w:r>
          </w:p>
        </w:tc>
        <w:tc>
          <w:tcPr>
            <w:tcW w:w="3934" w:type="dxa"/>
            <w:gridSpan w:val="4"/>
            <w:vAlign w:val="center"/>
          </w:tcPr>
          <w:p>
            <w:pPr>
              <w:jc w:val="both"/>
              <w:rPr>
                <w:color w:val="auto"/>
              </w:rPr>
            </w:pPr>
            <w:r>
              <w:rPr>
                <w:rFonts w:hint="eastAsia"/>
                <w:color w:val="auto"/>
                <w:lang w:val="en-US" w:eastAsia="zh-CN"/>
              </w:rPr>
              <w:t>试验用药品的药检证明</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68" w:type="dxa"/>
            <w:vAlign w:val="center"/>
          </w:tcPr>
          <w:p>
            <w:pPr>
              <w:jc w:val="both"/>
              <w:rPr>
                <w:color w:val="auto"/>
              </w:rPr>
            </w:pPr>
            <w:r>
              <w:rPr>
                <w:rFonts w:hint="eastAsia"/>
                <w:color w:val="auto"/>
              </w:rPr>
              <w:t>3</w:t>
            </w:r>
          </w:p>
        </w:tc>
        <w:tc>
          <w:tcPr>
            <w:tcW w:w="2972" w:type="dxa"/>
            <w:gridSpan w:val="2"/>
            <w:vAlign w:val="center"/>
          </w:tcPr>
          <w:p>
            <w:pPr>
              <w:jc w:val="both"/>
              <w:rPr>
                <w:color w:val="auto"/>
              </w:rPr>
            </w:pPr>
            <w:r>
              <w:rPr>
                <w:rFonts w:hint="eastAsia"/>
                <w:color w:val="auto"/>
                <w:lang w:val="en-US" w:eastAsia="zh-CN"/>
              </w:rPr>
              <w:t>申办者的资质（营业执照等）、GMP证书或满足GMP条件的声明</w:t>
            </w:r>
          </w:p>
        </w:tc>
        <w:tc>
          <w:tcPr>
            <w:tcW w:w="439" w:type="dxa"/>
            <w:vAlign w:val="center"/>
          </w:tcPr>
          <w:p>
            <w:pPr>
              <w:jc w:val="both"/>
              <w:rPr>
                <w:color w:val="auto"/>
              </w:rPr>
            </w:pPr>
          </w:p>
        </w:tc>
        <w:tc>
          <w:tcPr>
            <w:tcW w:w="433" w:type="dxa"/>
            <w:vAlign w:val="center"/>
          </w:tcPr>
          <w:p>
            <w:pPr>
              <w:jc w:val="both"/>
              <w:rPr>
                <w:color w:val="auto"/>
              </w:rPr>
            </w:pPr>
            <w:r>
              <w:rPr>
                <w:rFonts w:hint="eastAsia"/>
                <w:color w:val="auto"/>
                <w:lang w:val="en-US" w:eastAsia="zh-CN"/>
              </w:rPr>
              <w:t>17</w:t>
            </w:r>
          </w:p>
        </w:tc>
        <w:tc>
          <w:tcPr>
            <w:tcW w:w="3934" w:type="dxa"/>
            <w:gridSpan w:val="4"/>
            <w:vAlign w:val="center"/>
          </w:tcPr>
          <w:p>
            <w:pPr>
              <w:jc w:val="both"/>
              <w:rPr>
                <w:color w:val="auto"/>
              </w:rPr>
            </w:pPr>
            <w:r>
              <w:rPr>
                <w:rFonts w:hint="eastAsia"/>
                <w:color w:val="auto"/>
                <w:lang w:val="en-US" w:eastAsia="zh-CN"/>
              </w:rPr>
              <w:t>试验用药品的说明书（如适用）</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68" w:type="dxa"/>
            <w:vAlign w:val="center"/>
          </w:tcPr>
          <w:p>
            <w:pPr>
              <w:jc w:val="both"/>
              <w:rPr>
                <w:color w:val="auto"/>
              </w:rPr>
            </w:pPr>
            <w:r>
              <w:rPr>
                <w:rFonts w:hint="eastAsia"/>
                <w:color w:val="auto"/>
              </w:rPr>
              <w:t>4</w:t>
            </w:r>
          </w:p>
        </w:tc>
        <w:tc>
          <w:tcPr>
            <w:tcW w:w="2972" w:type="dxa"/>
            <w:gridSpan w:val="2"/>
            <w:vAlign w:val="center"/>
          </w:tcPr>
          <w:p>
            <w:pPr>
              <w:jc w:val="both"/>
              <w:rPr>
                <w:color w:val="auto"/>
              </w:rPr>
            </w:pPr>
            <w:r>
              <w:rPr>
                <w:rFonts w:hint="eastAsia"/>
                <w:color w:val="auto"/>
                <w:lang w:val="en-US" w:eastAsia="zh-CN"/>
              </w:rPr>
              <w:t>申办者给CRO的委托函和CRO资质（如适用）</w:t>
            </w:r>
          </w:p>
        </w:tc>
        <w:tc>
          <w:tcPr>
            <w:tcW w:w="439" w:type="dxa"/>
            <w:vAlign w:val="center"/>
          </w:tcPr>
          <w:p>
            <w:pPr>
              <w:jc w:val="both"/>
              <w:rPr>
                <w:color w:val="auto"/>
              </w:rPr>
            </w:pPr>
          </w:p>
        </w:tc>
        <w:tc>
          <w:tcPr>
            <w:tcW w:w="433" w:type="dxa"/>
            <w:vAlign w:val="center"/>
          </w:tcPr>
          <w:p>
            <w:pPr>
              <w:jc w:val="both"/>
              <w:rPr>
                <w:color w:val="auto"/>
              </w:rPr>
            </w:pPr>
            <w:r>
              <w:rPr>
                <w:rFonts w:hint="eastAsia"/>
                <w:color w:val="auto"/>
                <w:lang w:val="en-US" w:eastAsia="zh-CN"/>
              </w:rPr>
              <w:t>18</w:t>
            </w:r>
          </w:p>
        </w:tc>
        <w:tc>
          <w:tcPr>
            <w:tcW w:w="3934" w:type="dxa"/>
            <w:gridSpan w:val="4"/>
            <w:vAlign w:val="center"/>
          </w:tcPr>
          <w:p>
            <w:pPr>
              <w:jc w:val="both"/>
              <w:rPr>
                <w:color w:val="auto"/>
              </w:rPr>
            </w:pPr>
            <w:r>
              <w:rPr>
                <w:rFonts w:hint="eastAsia"/>
                <w:color w:val="auto"/>
                <w:lang w:val="en-US" w:eastAsia="zh-CN"/>
              </w:rPr>
              <w:t>临床试验责任保险单</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68" w:type="dxa"/>
            <w:vAlign w:val="center"/>
          </w:tcPr>
          <w:p>
            <w:pPr>
              <w:jc w:val="both"/>
              <w:rPr>
                <w:color w:val="auto"/>
              </w:rPr>
            </w:pPr>
            <w:r>
              <w:rPr>
                <w:rFonts w:hint="eastAsia"/>
                <w:color w:val="auto"/>
              </w:rPr>
              <w:t>5</w:t>
            </w:r>
          </w:p>
        </w:tc>
        <w:tc>
          <w:tcPr>
            <w:tcW w:w="2972" w:type="dxa"/>
            <w:gridSpan w:val="2"/>
            <w:vAlign w:val="center"/>
          </w:tcPr>
          <w:p>
            <w:pPr>
              <w:jc w:val="both"/>
              <w:rPr>
                <w:color w:val="auto"/>
              </w:rPr>
            </w:pPr>
            <w:r>
              <w:rPr>
                <w:rFonts w:hint="eastAsia"/>
                <w:color w:val="auto"/>
                <w:lang w:val="en-US" w:eastAsia="zh-CN"/>
              </w:rPr>
              <w:t>中心实验室或第三方实验室（如适用）资质及室间质评证书</w:t>
            </w:r>
          </w:p>
        </w:tc>
        <w:tc>
          <w:tcPr>
            <w:tcW w:w="439" w:type="dxa"/>
            <w:vAlign w:val="center"/>
          </w:tcPr>
          <w:p>
            <w:pPr>
              <w:jc w:val="both"/>
              <w:rPr>
                <w:color w:val="auto"/>
              </w:rPr>
            </w:pPr>
          </w:p>
        </w:tc>
        <w:tc>
          <w:tcPr>
            <w:tcW w:w="433" w:type="dxa"/>
            <w:vAlign w:val="center"/>
          </w:tcPr>
          <w:p>
            <w:pPr>
              <w:jc w:val="both"/>
              <w:rPr>
                <w:color w:val="auto"/>
              </w:rPr>
            </w:pPr>
            <w:r>
              <w:rPr>
                <w:rFonts w:hint="eastAsia"/>
                <w:color w:val="auto"/>
                <w:lang w:val="en-US" w:eastAsia="zh-CN"/>
              </w:rPr>
              <w:t>19</w:t>
            </w:r>
          </w:p>
        </w:tc>
        <w:tc>
          <w:tcPr>
            <w:tcW w:w="3934" w:type="dxa"/>
            <w:gridSpan w:val="4"/>
            <w:vAlign w:val="center"/>
          </w:tcPr>
          <w:p>
            <w:pPr>
              <w:jc w:val="both"/>
              <w:rPr>
                <w:color w:val="auto"/>
              </w:rPr>
            </w:pPr>
            <w:r>
              <w:rPr>
                <w:rFonts w:hint="eastAsia"/>
                <w:color w:val="auto"/>
                <w:lang w:val="en-US" w:eastAsia="zh-CN"/>
              </w:rPr>
              <w:t>盲法试验的揭盲程序（如适用）</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68" w:type="dxa"/>
            <w:vAlign w:val="center"/>
          </w:tcPr>
          <w:p>
            <w:pPr>
              <w:jc w:val="both"/>
              <w:rPr>
                <w:color w:val="auto"/>
              </w:rPr>
            </w:pPr>
            <w:r>
              <w:rPr>
                <w:rFonts w:hint="eastAsia"/>
                <w:color w:val="auto"/>
              </w:rPr>
              <w:t>6</w:t>
            </w:r>
          </w:p>
        </w:tc>
        <w:tc>
          <w:tcPr>
            <w:tcW w:w="2972" w:type="dxa"/>
            <w:gridSpan w:val="2"/>
            <w:vAlign w:val="center"/>
          </w:tcPr>
          <w:p>
            <w:pPr>
              <w:jc w:val="both"/>
              <w:rPr>
                <w:color w:val="auto"/>
              </w:rPr>
            </w:pPr>
            <w:r>
              <w:rPr>
                <w:rFonts w:hint="eastAsia"/>
                <w:color w:val="auto"/>
                <w:lang w:val="en-US" w:eastAsia="zh-CN"/>
              </w:rPr>
              <w:t>监查员委托函、简历及资质</w:t>
            </w:r>
          </w:p>
        </w:tc>
        <w:tc>
          <w:tcPr>
            <w:tcW w:w="439" w:type="dxa"/>
            <w:vAlign w:val="center"/>
          </w:tcPr>
          <w:p>
            <w:pPr>
              <w:jc w:val="both"/>
              <w:rPr>
                <w:color w:val="auto"/>
              </w:rPr>
            </w:pPr>
          </w:p>
        </w:tc>
        <w:tc>
          <w:tcPr>
            <w:tcW w:w="433" w:type="dxa"/>
            <w:vAlign w:val="center"/>
          </w:tcPr>
          <w:p>
            <w:pPr>
              <w:jc w:val="both"/>
              <w:rPr>
                <w:color w:val="auto"/>
              </w:rPr>
            </w:pPr>
            <w:r>
              <w:rPr>
                <w:rFonts w:hint="eastAsia"/>
                <w:color w:val="auto"/>
                <w:lang w:val="en-US" w:eastAsia="zh-CN"/>
              </w:rPr>
              <w:t>20</w:t>
            </w:r>
          </w:p>
        </w:tc>
        <w:tc>
          <w:tcPr>
            <w:tcW w:w="3934" w:type="dxa"/>
            <w:gridSpan w:val="4"/>
            <w:vAlign w:val="center"/>
          </w:tcPr>
          <w:p>
            <w:pPr>
              <w:jc w:val="both"/>
              <w:rPr>
                <w:color w:val="auto"/>
              </w:rPr>
            </w:pPr>
            <w:r>
              <w:rPr>
                <w:rFonts w:hint="eastAsia"/>
                <w:color w:val="auto"/>
                <w:lang w:val="en-US" w:eastAsia="zh-CN"/>
              </w:rPr>
              <w:t>申办者、CRO、统计单位、参加单位信息表</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468" w:type="dxa"/>
            <w:vAlign w:val="center"/>
          </w:tcPr>
          <w:p>
            <w:pPr>
              <w:jc w:val="both"/>
              <w:rPr>
                <w:color w:val="auto"/>
              </w:rPr>
            </w:pPr>
            <w:r>
              <w:rPr>
                <w:rFonts w:hint="eastAsia"/>
                <w:color w:val="auto"/>
              </w:rPr>
              <w:t>7</w:t>
            </w:r>
          </w:p>
        </w:tc>
        <w:tc>
          <w:tcPr>
            <w:tcW w:w="2972" w:type="dxa"/>
            <w:gridSpan w:val="2"/>
            <w:vAlign w:val="center"/>
          </w:tcPr>
          <w:p>
            <w:pPr>
              <w:jc w:val="both"/>
              <w:rPr>
                <w:color w:val="auto"/>
              </w:rPr>
            </w:pPr>
            <w:r>
              <w:rPr>
                <w:rFonts w:hint="eastAsia"/>
                <w:color w:val="auto"/>
                <w:lang w:val="en-US" w:eastAsia="zh-CN"/>
              </w:rPr>
              <w:t>我国人类遗传资源采集、保藏、利用、对外提供的既往审批/备案材料（如适用）</w:t>
            </w:r>
          </w:p>
        </w:tc>
        <w:tc>
          <w:tcPr>
            <w:tcW w:w="439" w:type="dxa"/>
            <w:vAlign w:val="center"/>
          </w:tcPr>
          <w:p>
            <w:pPr>
              <w:jc w:val="both"/>
              <w:rPr>
                <w:color w:val="auto"/>
              </w:rPr>
            </w:pPr>
          </w:p>
        </w:tc>
        <w:tc>
          <w:tcPr>
            <w:tcW w:w="433" w:type="dxa"/>
            <w:vAlign w:val="center"/>
          </w:tcPr>
          <w:p>
            <w:pPr>
              <w:jc w:val="both"/>
              <w:rPr>
                <w:color w:val="auto"/>
              </w:rPr>
            </w:pPr>
            <w:r>
              <w:rPr>
                <w:rFonts w:hint="eastAsia"/>
                <w:color w:val="auto"/>
                <w:lang w:val="en-US" w:eastAsia="zh-CN"/>
              </w:rPr>
              <w:t>21</w:t>
            </w:r>
          </w:p>
        </w:tc>
        <w:tc>
          <w:tcPr>
            <w:tcW w:w="3934" w:type="dxa"/>
            <w:gridSpan w:val="4"/>
            <w:vAlign w:val="center"/>
          </w:tcPr>
          <w:p>
            <w:pPr>
              <w:jc w:val="both"/>
              <w:rPr>
                <w:color w:val="auto"/>
              </w:rPr>
            </w:pPr>
            <w:r>
              <w:rPr>
                <w:rFonts w:hint="eastAsia"/>
                <w:color w:val="auto"/>
                <w:lang w:val="en-US" w:eastAsia="zh-CN"/>
              </w:rPr>
              <w:t>本中心拟参加本试验的研究者名单</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68" w:type="dxa"/>
            <w:vAlign w:val="center"/>
          </w:tcPr>
          <w:p>
            <w:pPr>
              <w:jc w:val="both"/>
              <w:rPr>
                <w:rFonts w:hint="eastAsia" w:eastAsiaTheme="minorEastAsia"/>
                <w:color w:val="auto"/>
                <w:lang w:val="en-US" w:eastAsia="zh-CN"/>
              </w:rPr>
            </w:pPr>
            <w:r>
              <w:rPr>
                <w:rFonts w:hint="eastAsia"/>
                <w:color w:val="auto"/>
                <w:lang w:val="en-US" w:eastAsia="zh-CN"/>
              </w:rPr>
              <w:t>8</w:t>
            </w:r>
          </w:p>
        </w:tc>
        <w:tc>
          <w:tcPr>
            <w:tcW w:w="2972" w:type="dxa"/>
            <w:gridSpan w:val="2"/>
            <w:vAlign w:val="center"/>
          </w:tcPr>
          <w:p>
            <w:pPr>
              <w:jc w:val="both"/>
              <w:rPr>
                <w:rFonts w:hint="eastAsia"/>
                <w:color w:val="auto"/>
              </w:rPr>
            </w:pPr>
            <w:r>
              <w:rPr>
                <w:rFonts w:hint="eastAsia"/>
                <w:color w:val="auto"/>
                <w:lang w:val="en-US" w:eastAsia="zh-CN"/>
              </w:rPr>
              <w:t>组长单位的伦理批件和成员表（如适用）</w:t>
            </w:r>
          </w:p>
        </w:tc>
        <w:tc>
          <w:tcPr>
            <w:tcW w:w="439" w:type="dxa"/>
            <w:vAlign w:val="center"/>
          </w:tcPr>
          <w:p>
            <w:pPr>
              <w:jc w:val="both"/>
              <w:rPr>
                <w:color w:val="auto"/>
              </w:rPr>
            </w:pPr>
          </w:p>
        </w:tc>
        <w:tc>
          <w:tcPr>
            <w:tcW w:w="433" w:type="dxa"/>
            <w:vAlign w:val="center"/>
          </w:tcPr>
          <w:p>
            <w:pPr>
              <w:jc w:val="both"/>
              <w:rPr>
                <w:rFonts w:hint="eastAsia"/>
                <w:color w:val="auto"/>
              </w:rPr>
            </w:pPr>
            <w:r>
              <w:rPr>
                <w:rFonts w:hint="eastAsia"/>
                <w:color w:val="auto"/>
                <w:lang w:val="en-US" w:eastAsia="zh-CN"/>
              </w:rPr>
              <w:t>22</w:t>
            </w:r>
          </w:p>
        </w:tc>
        <w:tc>
          <w:tcPr>
            <w:tcW w:w="3934" w:type="dxa"/>
            <w:gridSpan w:val="4"/>
            <w:vAlign w:val="center"/>
          </w:tcPr>
          <w:p>
            <w:pPr>
              <w:jc w:val="both"/>
              <w:rPr>
                <w:rFonts w:hint="eastAsia"/>
                <w:color w:val="auto"/>
              </w:rPr>
            </w:pPr>
            <w:r>
              <w:rPr>
                <w:rFonts w:hint="eastAsia"/>
                <w:color w:val="auto"/>
                <w:lang w:val="en-US" w:eastAsia="zh-CN"/>
              </w:rPr>
              <w:t>本中心拟参加本试验的研究者资质</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68" w:type="dxa"/>
            <w:vAlign w:val="center"/>
          </w:tcPr>
          <w:p>
            <w:pPr>
              <w:jc w:val="both"/>
              <w:rPr>
                <w:rFonts w:hint="eastAsia" w:eastAsiaTheme="minorEastAsia"/>
                <w:color w:val="auto"/>
                <w:lang w:val="en-US" w:eastAsia="zh-CN"/>
              </w:rPr>
            </w:pPr>
            <w:r>
              <w:rPr>
                <w:rFonts w:hint="eastAsia"/>
                <w:color w:val="auto"/>
                <w:lang w:val="en-US" w:eastAsia="zh-CN"/>
              </w:rPr>
              <w:t>9</w:t>
            </w:r>
          </w:p>
        </w:tc>
        <w:tc>
          <w:tcPr>
            <w:tcW w:w="2972" w:type="dxa"/>
            <w:gridSpan w:val="2"/>
            <w:vAlign w:val="center"/>
          </w:tcPr>
          <w:p>
            <w:pPr>
              <w:jc w:val="both"/>
              <w:rPr>
                <w:rFonts w:hint="eastAsia"/>
                <w:color w:val="auto"/>
              </w:rPr>
            </w:pPr>
            <w:r>
              <w:rPr>
                <w:rFonts w:hint="eastAsia"/>
                <w:color w:val="auto"/>
                <w:lang w:val="en-US" w:eastAsia="zh-CN"/>
              </w:rPr>
              <w:t>研究者手册（版本号，日期）</w:t>
            </w:r>
          </w:p>
        </w:tc>
        <w:tc>
          <w:tcPr>
            <w:tcW w:w="439" w:type="dxa"/>
            <w:vAlign w:val="center"/>
          </w:tcPr>
          <w:p>
            <w:pPr>
              <w:jc w:val="both"/>
              <w:rPr>
                <w:color w:val="auto"/>
              </w:rPr>
            </w:pPr>
          </w:p>
        </w:tc>
        <w:tc>
          <w:tcPr>
            <w:tcW w:w="433" w:type="dxa"/>
            <w:vAlign w:val="center"/>
          </w:tcPr>
          <w:p>
            <w:pPr>
              <w:jc w:val="both"/>
              <w:rPr>
                <w:rFonts w:hint="eastAsia"/>
                <w:color w:val="auto"/>
              </w:rPr>
            </w:pPr>
            <w:r>
              <w:rPr>
                <w:rFonts w:hint="eastAsia"/>
                <w:color w:val="auto"/>
                <w:lang w:val="en-US" w:eastAsia="zh-CN"/>
              </w:rPr>
              <w:t>23</w:t>
            </w:r>
          </w:p>
        </w:tc>
        <w:tc>
          <w:tcPr>
            <w:tcW w:w="3934" w:type="dxa"/>
            <w:gridSpan w:val="4"/>
            <w:vAlign w:val="center"/>
          </w:tcPr>
          <w:p>
            <w:pPr>
              <w:jc w:val="both"/>
              <w:rPr>
                <w:rFonts w:hint="eastAsia"/>
                <w:color w:val="auto"/>
              </w:rPr>
            </w:pPr>
            <w:r>
              <w:rPr>
                <w:rFonts w:hint="eastAsia"/>
                <w:color w:val="auto"/>
                <w:lang w:val="en-US" w:eastAsia="zh-CN"/>
              </w:rPr>
              <w:t>选择安慰剂对照的原因说明（如适用）</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68" w:type="dxa"/>
            <w:vAlign w:val="center"/>
          </w:tcPr>
          <w:p>
            <w:pPr>
              <w:jc w:val="both"/>
              <w:rPr>
                <w:rFonts w:hint="default" w:eastAsiaTheme="minorEastAsia"/>
                <w:color w:val="auto"/>
                <w:lang w:val="en-US" w:eastAsia="zh-CN"/>
              </w:rPr>
            </w:pPr>
            <w:r>
              <w:rPr>
                <w:rFonts w:hint="eastAsia"/>
                <w:color w:val="auto"/>
                <w:lang w:val="en-US" w:eastAsia="zh-CN"/>
              </w:rPr>
              <w:t>10</w:t>
            </w:r>
          </w:p>
        </w:tc>
        <w:tc>
          <w:tcPr>
            <w:tcW w:w="2972" w:type="dxa"/>
            <w:gridSpan w:val="2"/>
            <w:vAlign w:val="center"/>
          </w:tcPr>
          <w:p>
            <w:pPr>
              <w:jc w:val="both"/>
              <w:rPr>
                <w:rFonts w:hint="eastAsia"/>
                <w:color w:val="auto"/>
              </w:rPr>
            </w:pPr>
            <w:r>
              <w:rPr>
                <w:rFonts w:hint="eastAsia"/>
                <w:color w:val="auto"/>
                <w:lang w:val="en-US" w:eastAsia="zh-CN"/>
              </w:rPr>
              <w:t>试验方案（版本号、日期）</w:t>
            </w:r>
          </w:p>
        </w:tc>
        <w:tc>
          <w:tcPr>
            <w:tcW w:w="439" w:type="dxa"/>
            <w:vAlign w:val="center"/>
          </w:tcPr>
          <w:p>
            <w:pPr>
              <w:jc w:val="both"/>
              <w:rPr>
                <w:color w:val="auto"/>
              </w:rPr>
            </w:pPr>
          </w:p>
        </w:tc>
        <w:tc>
          <w:tcPr>
            <w:tcW w:w="433" w:type="dxa"/>
            <w:vAlign w:val="center"/>
          </w:tcPr>
          <w:p>
            <w:pPr>
              <w:jc w:val="both"/>
              <w:rPr>
                <w:rFonts w:hint="eastAsia"/>
                <w:color w:val="auto"/>
              </w:rPr>
            </w:pPr>
            <w:r>
              <w:rPr>
                <w:rFonts w:hint="eastAsia"/>
                <w:color w:val="auto"/>
                <w:lang w:val="en-US" w:eastAsia="zh-CN"/>
              </w:rPr>
              <w:t>24</w:t>
            </w:r>
          </w:p>
        </w:tc>
        <w:tc>
          <w:tcPr>
            <w:tcW w:w="3934" w:type="dxa"/>
            <w:gridSpan w:val="4"/>
            <w:vAlign w:val="center"/>
          </w:tcPr>
          <w:p>
            <w:pPr>
              <w:jc w:val="both"/>
              <w:rPr>
                <w:rFonts w:hint="eastAsia"/>
                <w:color w:val="auto"/>
              </w:rPr>
            </w:pPr>
            <w:r>
              <w:rPr>
                <w:rFonts w:hint="eastAsia"/>
                <w:color w:val="auto"/>
                <w:lang w:val="en-US" w:eastAsia="zh-CN"/>
              </w:rPr>
              <w:t>风险管理计划（如适用）</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68" w:type="dxa"/>
            <w:vAlign w:val="center"/>
          </w:tcPr>
          <w:p>
            <w:pPr>
              <w:jc w:val="both"/>
              <w:rPr>
                <w:rFonts w:hint="default" w:eastAsiaTheme="minorEastAsia"/>
                <w:color w:val="auto"/>
                <w:lang w:val="en-US" w:eastAsia="zh-CN"/>
              </w:rPr>
            </w:pPr>
            <w:r>
              <w:rPr>
                <w:rFonts w:hint="eastAsia"/>
                <w:color w:val="auto"/>
                <w:lang w:val="en-US" w:eastAsia="zh-CN"/>
              </w:rPr>
              <w:t>11</w:t>
            </w:r>
          </w:p>
        </w:tc>
        <w:tc>
          <w:tcPr>
            <w:tcW w:w="2972" w:type="dxa"/>
            <w:gridSpan w:val="2"/>
            <w:vAlign w:val="center"/>
          </w:tcPr>
          <w:p>
            <w:pPr>
              <w:jc w:val="both"/>
              <w:rPr>
                <w:rFonts w:hint="eastAsia"/>
                <w:color w:val="auto"/>
              </w:rPr>
            </w:pPr>
            <w:r>
              <w:rPr>
                <w:rFonts w:hint="eastAsia"/>
                <w:color w:val="auto"/>
                <w:lang w:val="en-US" w:eastAsia="zh-CN"/>
              </w:rPr>
              <w:t>病例报告表（或EDC）样表（版本号，日期）</w:t>
            </w:r>
          </w:p>
        </w:tc>
        <w:tc>
          <w:tcPr>
            <w:tcW w:w="439" w:type="dxa"/>
            <w:vAlign w:val="center"/>
          </w:tcPr>
          <w:p>
            <w:pPr>
              <w:jc w:val="both"/>
              <w:rPr>
                <w:color w:val="auto"/>
              </w:rPr>
            </w:pPr>
          </w:p>
        </w:tc>
        <w:tc>
          <w:tcPr>
            <w:tcW w:w="433" w:type="dxa"/>
            <w:vAlign w:val="center"/>
          </w:tcPr>
          <w:p>
            <w:pPr>
              <w:jc w:val="both"/>
              <w:rPr>
                <w:rFonts w:hint="eastAsia"/>
                <w:color w:val="auto"/>
              </w:rPr>
            </w:pPr>
            <w:r>
              <w:rPr>
                <w:rFonts w:hint="eastAsia"/>
                <w:color w:val="auto"/>
                <w:lang w:val="en-US" w:eastAsia="zh-CN"/>
              </w:rPr>
              <w:t>25</w:t>
            </w:r>
          </w:p>
        </w:tc>
        <w:tc>
          <w:tcPr>
            <w:tcW w:w="3934" w:type="dxa"/>
            <w:gridSpan w:val="4"/>
            <w:vAlign w:val="center"/>
          </w:tcPr>
          <w:p>
            <w:pPr>
              <w:jc w:val="both"/>
              <w:rPr>
                <w:rFonts w:hint="eastAsia"/>
                <w:color w:val="auto"/>
              </w:rPr>
            </w:pPr>
            <w:r>
              <w:rPr>
                <w:rFonts w:hint="eastAsia"/>
                <w:color w:val="auto"/>
                <w:lang w:val="en-US" w:eastAsia="zh-CN"/>
              </w:rPr>
              <w:t>SMO和CRC资质资料（如适用）</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68" w:type="dxa"/>
            <w:vAlign w:val="center"/>
          </w:tcPr>
          <w:p>
            <w:pPr>
              <w:jc w:val="both"/>
              <w:rPr>
                <w:rFonts w:hint="default"/>
                <w:color w:val="auto"/>
                <w:lang w:val="en-US" w:eastAsia="zh-CN"/>
              </w:rPr>
            </w:pPr>
            <w:r>
              <w:rPr>
                <w:rFonts w:hint="eastAsia"/>
                <w:color w:val="auto"/>
                <w:lang w:val="en-US" w:eastAsia="zh-CN"/>
              </w:rPr>
              <w:t>12</w:t>
            </w:r>
          </w:p>
        </w:tc>
        <w:tc>
          <w:tcPr>
            <w:tcW w:w="2972" w:type="dxa"/>
            <w:gridSpan w:val="2"/>
            <w:vAlign w:val="center"/>
          </w:tcPr>
          <w:p>
            <w:pPr>
              <w:jc w:val="both"/>
              <w:rPr>
                <w:rFonts w:hint="eastAsia"/>
                <w:color w:val="auto"/>
              </w:rPr>
            </w:pPr>
            <w:r>
              <w:rPr>
                <w:rFonts w:hint="eastAsia"/>
                <w:color w:val="auto"/>
                <w:lang w:val="en-US" w:eastAsia="zh-CN"/>
              </w:rPr>
              <w:t>研究病历样表（版本号、日期）</w:t>
            </w:r>
          </w:p>
        </w:tc>
        <w:tc>
          <w:tcPr>
            <w:tcW w:w="439" w:type="dxa"/>
            <w:vAlign w:val="center"/>
          </w:tcPr>
          <w:p>
            <w:pPr>
              <w:jc w:val="both"/>
              <w:rPr>
                <w:color w:val="auto"/>
              </w:rPr>
            </w:pPr>
          </w:p>
        </w:tc>
        <w:tc>
          <w:tcPr>
            <w:tcW w:w="433" w:type="dxa"/>
            <w:vAlign w:val="center"/>
          </w:tcPr>
          <w:p>
            <w:pPr>
              <w:jc w:val="both"/>
              <w:rPr>
                <w:rFonts w:hint="eastAsia"/>
                <w:color w:val="auto"/>
              </w:rPr>
            </w:pPr>
            <w:r>
              <w:rPr>
                <w:rFonts w:hint="eastAsia"/>
                <w:color w:val="auto"/>
                <w:lang w:val="en-US" w:eastAsia="zh-CN"/>
              </w:rPr>
              <w:t>26</w:t>
            </w:r>
          </w:p>
        </w:tc>
        <w:tc>
          <w:tcPr>
            <w:tcW w:w="3934" w:type="dxa"/>
            <w:gridSpan w:val="4"/>
            <w:vAlign w:val="center"/>
          </w:tcPr>
          <w:p>
            <w:pPr>
              <w:jc w:val="both"/>
              <w:rPr>
                <w:rFonts w:hint="eastAsia"/>
                <w:color w:val="auto"/>
              </w:rPr>
            </w:pPr>
            <w:r>
              <w:rPr>
                <w:rFonts w:hint="eastAsia"/>
                <w:color w:val="auto"/>
                <w:lang w:val="en-US" w:eastAsia="zh-CN"/>
              </w:rPr>
              <w:t>药物临床试验申请表</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68" w:type="dxa"/>
            <w:vAlign w:val="center"/>
          </w:tcPr>
          <w:p>
            <w:pPr>
              <w:jc w:val="both"/>
              <w:rPr>
                <w:rFonts w:hint="default"/>
                <w:color w:val="auto"/>
                <w:lang w:val="en-US" w:eastAsia="zh-CN"/>
              </w:rPr>
            </w:pPr>
            <w:r>
              <w:rPr>
                <w:rFonts w:hint="eastAsia"/>
                <w:color w:val="auto"/>
                <w:lang w:val="en-US" w:eastAsia="zh-CN"/>
              </w:rPr>
              <w:t>13</w:t>
            </w:r>
          </w:p>
        </w:tc>
        <w:tc>
          <w:tcPr>
            <w:tcW w:w="2972" w:type="dxa"/>
            <w:gridSpan w:val="2"/>
            <w:vAlign w:val="center"/>
          </w:tcPr>
          <w:p>
            <w:pPr>
              <w:jc w:val="both"/>
              <w:rPr>
                <w:rFonts w:hint="eastAsia"/>
                <w:color w:val="auto"/>
              </w:rPr>
            </w:pPr>
            <w:r>
              <w:rPr>
                <w:rFonts w:hint="eastAsia"/>
                <w:color w:val="auto"/>
                <w:lang w:val="en-US" w:eastAsia="zh-CN"/>
              </w:rPr>
              <w:t>知情同意书（版本号、日期）</w:t>
            </w:r>
          </w:p>
        </w:tc>
        <w:tc>
          <w:tcPr>
            <w:tcW w:w="439" w:type="dxa"/>
            <w:vAlign w:val="center"/>
          </w:tcPr>
          <w:p>
            <w:pPr>
              <w:jc w:val="both"/>
              <w:rPr>
                <w:color w:val="auto"/>
              </w:rPr>
            </w:pPr>
          </w:p>
        </w:tc>
        <w:tc>
          <w:tcPr>
            <w:tcW w:w="433" w:type="dxa"/>
            <w:vAlign w:val="center"/>
          </w:tcPr>
          <w:p>
            <w:pPr>
              <w:jc w:val="both"/>
              <w:rPr>
                <w:rFonts w:hint="eastAsia"/>
                <w:color w:val="auto"/>
              </w:rPr>
            </w:pPr>
            <w:r>
              <w:rPr>
                <w:rFonts w:hint="eastAsia"/>
                <w:color w:val="auto"/>
                <w:lang w:val="en-US" w:eastAsia="zh-CN"/>
              </w:rPr>
              <w:t>27</w:t>
            </w:r>
          </w:p>
        </w:tc>
        <w:tc>
          <w:tcPr>
            <w:tcW w:w="3934" w:type="dxa"/>
            <w:gridSpan w:val="4"/>
            <w:vAlign w:val="center"/>
          </w:tcPr>
          <w:p>
            <w:pPr>
              <w:jc w:val="both"/>
              <w:rPr>
                <w:rFonts w:hint="eastAsia"/>
                <w:color w:val="auto"/>
              </w:rPr>
            </w:pPr>
            <w:r>
              <w:rPr>
                <w:rFonts w:hint="eastAsia"/>
                <w:color w:val="auto"/>
                <w:lang w:val="en-US" w:eastAsia="zh-CN"/>
              </w:rPr>
              <w:t>研究者利益冲突声明</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68" w:type="dxa"/>
            <w:vAlign w:val="center"/>
          </w:tcPr>
          <w:p>
            <w:pPr>
              <w:jc w:val="both"/>
              <w:rPr>
                <w:rFonts w:hint="default"/>
                <w:color w:val="auto"/>
                <w:lang w:val="en-US" w:eastAsia="zh-CN"/>
              </w:rPr>
            </w:pPr>
            <w:r>
              <w:rPr>
                <w:rFonts w:hint="eastAsia"/>
                <w:color w:val="auto"/>
                <w:lang w:val="en-US" w:eastAsia="zh-CN"/>
              </w:rPr>
              <w:t>14</w:t>
            </w:r>
          </w:p>
        </w:tc>
        <w:tc>
          <w:tcPr>
            <w:tcW w:w="2972" w:type="dxa"/>
            <w:gridSpan w:val="2"/>
            <w:vAlign w:val="center"/>
          </w:tcPr>
          <w:p>
            <w:pPr>
              <w:jc w:val="both"/>
              <w:rPr>
                <w:rFonts w:hint="eastAsia"/>
                <w:color w:val="auto"/>
              </w:rPr>
            </w:pPr>
            <w:r>
              <w:rPr>
                <w:rFonts w:hint="eastAsia"/>
                <w:color w:val="auto"/>
                <w:lang w:val="en-US" w:eastAsia="zh-CN"/>
              </w:rPr>
              <w:t>受试者招募广告（如适用）</w:t>
            </w:r>
          </w:p>
        </w:tc>
        <w:tc>
          <w:tcPr>
            <w:tcW w:w="439" w:type="dxa"/>
            <w:vAlign w:val="center"/>
          </w:tcPr>
          <w:p>
            <w:pPr>
              <w:jc w:val="both"/>
              <w:rPr>
                <w:color w:val="auto"/>
              </w:rPr>
            </w:pPr>
          </w:p>
        </w:tc>
        <w:tc>
          <w:tcPr>
            <w:tcW w:w="433" w:type="dxa"/>
            <w:vAlign w:val="center"/>
          </w:tcPr>
          <w:p>
            <w:pPr>
              <w:jc w:val="both"/>
              <w:rPr>
                <w:rFonts w:hint="eastAsia"/>
                <w:color w:val="auto"/>
              </w:rPr>
            </w:pPr>
          </w:p>
        </w:tc>
        <w:tc>
          <w:tcPr>
            <w:tcW w:w="3934" w:type="dxa"/>
            <w:gridSpan w:val="4"/>
            <w:vAlign w:val="center"/>
          </w:tcPr>
          <w:p>
            <w:pPr>
              <w:jc w:val="both"/>
              <w:rPr>
                <w:rFonts w:hint="eastAsia"/>
                <w:color w:val="auto"/>
              </w:rPr>
            </w:pP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jc w:val="center"/>
        </w:trPr>
        <w:tc>
          <w:tcPr>
            <w:tcW w:w="4312" w:type="dxa"/>
            <w:gridSpan w:val="5"/>
            <w:vAlign w:val="top"/>
          </w:tcPr>
          <w:p>
            <w:pPr>
              <w:keepNext w:val="0"/>
              <w:keepLines w:val="0"/>
              <w:pageBreakBefore w:val="0"/>
              <w:widowControl w:val="0"/>
              <w:kinsoku/>
              <w:wordWrap/>
              <w:overflowPunct/>
              <w:topLinePunct w:val="0"/>
              <w:autoSpaceDE/>
              <w:autoSpaceDN/>
              <w:bidi w:val="0"/>
              <w:adjustRightInd/>
              <w:snapToGrid/>
              <w:spacing w:before="63" w:beforeLines="20"/>
              <w:jc w:val="both"/>
              <w:textAlignment w:val="auto"/>
              <w:rPr>
                <w:color w:val="auto"/>
                <w:szCs w:val="21"/>
              </w:rPr>
            </w:pPr>
            <w:r>
              <w:rPr>
                <w:rFonts w:hint="eastAsia"/>
                <w:color w:val="auto"/>
                <w:szCs w:val="21"/>
              </w:rPr>
              <w:t>科室意见：</w:t>
            </w:r>
          </w:p>
          <w:p>
            <w:pPr>
              <w:jc w:val="both"/>
              <w:rPr>
                <w:color w:val="auto"/>
                <w:szCs w:val="21"/>
              </w:rPr>
            </w:pPr>
          </w:p>
          <w:p>
            <w:pPr>
              <w:jc w:val="both"/>
              <w:rPr>
                <w:color w:val="auto"/>
                <w:szCs w:val="21"/>
              </w:rPr>
            </w:pPr>
          </w:p>
          <w:p>
            <w:pPr>
              <w:jc w:val="both"/>
              <w:rPr>
                <w:color w:val="auto"/>
                <w:szCs w:val="21"/>
              </w:rPr>
            </w:pPr>
          </w:p>
          <w:p>
            <w:pPr>
              <w:jc w:val="both"/>
              <w:rPr>
                <w:color w:val="auto"/>
                <w:szCs w:val="21"/>
              </w:rPr>
            </w:pPr>
            <w:r>
              <w:rPr>
                <w:rFonts w:hint="eastAsia"/>
                <w:color w:val="auto"/>
                <w:szCs w:val="21"/>
              </w:rPr>
              <w:t xml:space="preserve">                     签名：</w:t>
            </w:r>
          </w:p>
          <w:p>
            <w:pPr>
              <w:keepNext w:val="0"/>
              <w:keepLines w:val="0"/>
              <w:pageBreakBefore w:val="0"/>
              <w:widowControl w:val="0"/>
              <w:kinsoku/>
              <w:wordWrap/>
              <w:overflowPunct/>
              <w:topLinePunct w:val="0"/>
              <w:autoSpaceDE/>
              <w:autoSpaceDN/>
              <w:bidi w:val="0"/>
              <w:adjustRightInd/>
              <w:snapToGrid/>
              <w:spacing w:after="63" w:afterLines="20"/>
              <w:jc w:val="both"/>
              <w:textAlignment w:val="auto"/>
              <w:rPr>
                <w:color w:val="auto"/>
              </w:rPr>
            </w:pPr>
            <w:r>
              <w:rPr>
                <w:rFonts w:hint="eastAsia"/>
                <w:color w:val="auto"/>
                <w:szCs w:val="21"/>
              </w:rPr>
              <w:t xml:space="preserve">                     日期：</w:t>
            </w:r>
          </w:p>
        </w:tc>
        <w:tc>
          <w:tcPr>
            <w:tcW w:w="4405" w:type="dxa"/>
            <w:gridSpan w:val="5"/>
            <w:vAlign w:val="top"/>
          </w:tcPr>
          <w:p>
            <w:pPr>
              <w:keepNext w:val="0"/>
              <w:keepLines w:val="0"/>
              <w:pageBreakBefore w:val="0"/>
              <w:widowControl w:val="0"/>
              <w:kinsoku/>
              <w:wordWrap/>
              <w:overflowPunct/>
              <w:topLinePunct w:val="0"/>
              <w:autoSpaceDE/>
              <w:autoSpaceDN/>
              <w:bidi w:val="0"/>
              <w:adjustRightInd/>
              <w:snapToGrid/>
              <w:spacing w:before="63" w:beforeLines="20"/>
              <w:jc w:val="both"/>
              <w:textAlignment w:val="auto"/>
              <w:rPr>
                <w:color w:val="auto"/>
                <w:szCs w:val="21"/>
              </w:rPr>
            </w:pPr>
            <w:r>
              <w:rPr>
                <w:rFonts w:hint="eastAsia"/>
                <w:color w:val="auto"/>
                <w:szCs w:val="21"/>
              </w:rPr>
              <w:t>主要研究者申明：</w:t>
            </w:r>
          </w:p>
          <w:p>
            <w:pPr>
              <w:jc w:val="both"/>
              <w:rPr>
                <w:color w:val="auto"/>
                <w:szCs w:val="21"/>
              </w:rPr>
            </w:pPr>
          </w:p>
          <w:p>
            <w:pPr>
              <w:jc w:val="both"/>
              <w:rPr>
                <w:color w:val="auto"/>
                <w:szCs w:val="21"/>
              </w:rPr>
            </w:pPr>
          </w:p>
          <w:p>
            <w:pPr>
              <w:jc w:val="both"/>
              <w:rPr>
                <w:color w:val="auto"/>
                <w:szCs w:val="21"/>
              </w:rPr>
            </w:pPr>
          </w:p>
          <w:p>
            <w:pPr>
              <w:ind w:firstLine="2310" w:firstLineChars="1100"/>
              <w:jc w:val="both"/>
              <w:rPr>
                <w:color w:val="auto"/>
                <w:szCs w:val="21"/>
              </w:rPr>
            </w:pPr>
            <w:r>
              <w:rPr>
                <w:rFonts w:hint="eastAsia"/>
                <w:color w:val="auto"/>
                <w:szCs w:val="21"/>
              </w:rPr>
              <w:t>签名：</w:t>
            </w:r>
          </w:p>
          <w:p>
            <w:pPr>
              <w:keepNext w:val="0"/>
              <w:keepLines w:val="0"/>
              <w:pageBreakBefore w:val="0"/>
              <w:widowControl w:val="0"/>
              <w:kinsoku/>
              <w:wordWrap/>
              <w:overflowPunct/>
              <w:topLinePunct w:val="0"/>
              <w:autoSpaceDE/>
              <w:autoSpaceDN/>
              <w:bidi w:val="0"/>
              <w:adjustRightInd/>
              <w:snapToGrid/>
              <w:spacing w:after="63" w:afterLines="20"/>
              <w:jc w:val="both"/>
              <w:textAlignment w:val="auto"/>
              <w:rPr>
                <w:color w:val="auto"/>
              </w:rPr>
            </w:pPr>
            <w:r>
              <w:rPr>
                <w:rFonts w:hint="eastAsia"/>
                <w:color w:val="auto"/>
                <w:szCs w:val="21"/>
              </w:rPr>
              <w:t xml:space="preserve">                      日期：</w:t>
            </w:r>
          </w:p>
        </w:tc>
      </w:tr>
    </w:tbl>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rPr>
          <w:rFonts w:hint="eastAsia"/>
          <w:b/>
          <w:bCs/>
          <w:color w:val="auto"/>
          <w:szCs w:val="21"/>
        </w:rPr>
      </w:pPr>
    </w:p>
    <w:p>
      <w:pPr>
        <w:jc w:val="center"/>
        <w:rPr>
          <w:rFonts w:ascii="宋体" w:hAnsi="宋体" w:eastAsia="宋体" w:cs="宋体"/>
          <w:b/>
          <w:bCs/>
          <w:color w:val="auto"/>
          <w:sz w:val="24"/>
          <w:szCs w:val="24"/>
        </w:rPr>
      </w:pPr>
      <w:r>
        <w:rPr>
          <w:rFonts w:hint="eastAsia"/>
          <w:b/>
          <w:bCs/>
          <w:color w:val="auto"/>
          <w:sz w:val="24"/>
          <w:szCs w:val="24"/>
        </w:rPr>
        <w:t>附件2 （YYH-SOP-CTC-004-3.</w:t>
      </w:r>
      <w:r>
        <w:rPr>
          <w:rFonts w:hint="eastAsia"/>
          <w:b/>
          <w:bCs/>
          <w:color w:val="auto"/>
          <w:sz w:val="24"/>
          <w:szCs w:val="24"/>
          <w:lang w:val="en-US" w:eastAsia="zh-CN"/>
        </w:rPr>
        <w:t>3</w:t>
      </w:r>
      <w:r>
        <w:rPr>
          <w:rFonts w:hint="eastAsia"/>
          <w:b/>
          <w:bCs/>
          <w:color w:val="auto"/>
          <w:sz w:val="24"/>
          <w:szCs w:val="24"/>
        </w:rPr>
        <w:t>-A0</w:t>
      </w:r>
      <w:r>
        <w:rPr>
          <w:rFonts w:hint="eastAsia"/>
          <w:b/>
          <w:bCs/>
          <w:color w:val="auto"/>
          <w:sz w:val="24"/>
          <w:szCs w:val="24"/>
          <w:lang w:val="en-US" w:eastAsia="zh-CN"/>
        </w:rPr>
        <w:t>2</w:t>
      </w:r>
      <w:r>
        <w:rPr>
          <w:rFonts w:hint="eastAsia"/>
          <w:b/>
          <w:bCs/>
          <w:color w:val="auto"/>
          <w:sz w:val="24"/>
          <w:szCs w:val="24"/>
        </w:rPr>
        <w:t>）</w:t>
      </w:r>
      <w:r>
        <w:rPr>
          <w:rFonts w:hint="eastAsia" w:ascii="宋体" w:hAnsi="宋体" w:eastAsia="宋体" w:cs="宋体"/>
          <w:b/>
          <w:bCs/>
          <w:color w:val="auto"/>
          <w:sz w:val="24"/>
          <w:szCs w:val="24"/>
        </w:rPr>
        <w:t>沂源县人民医院药物临床试验审批表</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904"/>
        <w:gridCol w:w="739"/>
        <w:gridCol w:w="519"/>
        <w:gridCol w:w="519"/>
        <w:gridCol w:w="74"/>
        <w:gridCol w:w="2131"/>
        <w:gridCol w:w="1579"/>
        <w:gridCol w:w="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409" w:type="dxa"/>
            <w:gridSpan w:val="2"/>
            <w:vAlign w:val="center"/>
          </w:tcPr>
          <w:p>
            <w:pPr>
              <w:rPr>
                <w:color w:val="auto"/>
              </w:rPr>
            </w:pPr>
            <w:r>
              <w:rPr>
                <w:rFonts w:hint="eastAsia"/>
                <w:color w:val="auto"/>
              </w:rPr>
              <w:t>项目名称</w:t>
            </w:r>
          </w:p>
        </w:tc>
        <w:tc>
          <w:tcPr>
            <w:tcW w:w="6113" w:type="dxa"/>
            <w:gridSpan w:val="7"/>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409" w:type="dxa"/>
            <w:gridSpan w:val="2"/>
            <w:vAlign w:val="center"/>
          </w:tcPr>
          <w:p>
            <w:pPr>
              <w:rPr>
                <w:color w:val="auto"/>
              </w:rPr>
            </w:pPr>
            <w:r>
              <w:rPr>
                <w:rFonts w:hint="eastAsia"/>
                <w:color w:val="auto"/>
              </w:rPr>
              <w:t>药品分类</w:t>
            </w:r>
          </w:p>
        </w:tc>
        <w:tc>
          <w:tcPr>
            <w:tcW w:w="1851" w:type="dxa"/>
            <w:gridSpan w:val="4"/>
          </w:tcPr>
          <w:p>
            <w:pPr>
              <w:rPr>
                <w:color w:val="auto"/>
              </w:rPr>
            </w:pPr>
          </w:p>
        </w:tc>
        <w:tc>
          <w:tcPr>
            <w:tcW w:w="2131" w:type="dxa"/>
            <w:vAlign w:val="center"/>
          </w:tcPr>
          <w:p>
            <w:pPr>
              <w:rPr>
                <w:color w:val="auto"/>
              </w:rPr>
            </w:pPr>
            <w:r>
              <w:rPr>
                <w:rFonts w:hint="eastAsia"/>
                <w:color w:val="auto"/>
              </w:rPr>
              <w:t>药物临床试验分期</w:t>
            </w:r>
          </w:p>
        </w:tc>
        <w:tc>
          <w:tcPr>
            <w:tcW w:w="2131" w:type="dxa"/>
            <w:gridSpan w:val="2"/>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409" w:type="dxa"/>
            <w:gridSpan w:val="2"/>
            <w:vAlign w:val="center"/>
          </w:tcPr>
          <w:p>
            <w:pPr>
              <w:rPr>
                <w:color w:val="auto"/>
              </w:rPr>
            </w:pPr>
            <w:r>
              <w:rPr>
                <w:rFonts w:hint="eastAsia"/>
                <w:color w:val="auto"/>
              </w:rPr>
              <w:t>申办单位</w:t>
            </w:r>
          </w:p>
        </w:tc>
        <w:tc>
          <w:tcPr>
            <w:tcW w:w="6113" w:type="dxa"/>
            <w:gridSpan w:val="7"/>
            <w:vAlign w:val="cente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409" w:type="dxa"/>
            <w:gridSpan w:val="2"/>
            <w:vMerge w:val="restart"/>
            <w:vAlign w:val="center"/>
          </w:tcPr>
          <w:p>
            <w:pPr>
              <w:rPr>
                <w:color w:val="auto"/>
              </w:rPr>
            </w:pPr>
            <w:r>
              <w:rPr>
                <w:rFonts w:hint="eastAsia"/>
                <w:color w:val="auto"/>
              </w:rPr>
              <w:t>申请科室</w:t>
            </w:r>
          </w:p>
        </w:tc>
        <w:tc>
          <w:tcPr>
            <w:tcW w:w="1851" w:type="dxa"/>
            <w:gridSpan w:val="4"/>
            <w:vMerge w:val="restart"/>
          </w:tcPr>
          <w:p>
            <w:pPr>
              <w:rPr>
                <w:color w:val="auto"/>
              </w:rPr>
            </w:pPr>
          </w:p>
        </w:tc>
        <w:tc>
          <w:tcPr>
            <w:tcW w:w="2131" w:type="dxa"/>
            <w:vAlign w:val="center"/>
          </w:tcPr>
          <w:p>
            <w:pPr>
              <w:rPr>
                <w:color w:val="auto"/>
              </w:rPr>
            </w:pPr>
            <w:r>
              <w:rPr>
                <w:rFonts w:hint="eastAsia"/>
                <w:color w:val="auto"/>
              </w:rPr>
              <w:t>专业组负责人</w:t>
            </w:r>
          </w:p>
        </w:tc>
        <w:tc>
          <w:tcPr>
            <w:tcW w:w="2131" w:type="dxa"/>
            <w:gridSpan w:val="2"/>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409" w:type="dxa"/>
            <w:gridSpan w:val="2"/>
            <w:vMerge w:val="continue"/>
          </w:tcPr>
          <w:p>
            <w:pPr>
              <w:rPr>
                <w:color w:val="auto"/>
              </w:rPr>
            </w:pPr>
          </w:p>
        </w:tc>
        <w:tc>
          <w:tcPr>
            <w:tcW w:w="1851" w:type="dxa"/>
            <w:gridSpan w:val="4"/>
            <w:vMerge w:val="continue"/>
          </w:tcPr>
          <w:p>
            <w:pPr>
              <w:rPr>
                <w:color w:val="auto"/>
              </w:rPr>
            </w:pPr>
          </w:p>
        </w:tc>
        <w:tc>
          <w:tcPr>
            <w:tcW w:w="2131" w:type="dxa"/>
            <w:vAlign w:val="center"/>
          </w:tcPr>
          <w:p>
            <w:pPr>
              <w:rPr>
                <w:color w:val="auto"/>
              </w:rPr>
            </w:pPr>
            <w:r>
              <w:rPr>
                <w:rFonts w:hint="eastAsia"/>
                <w:color w:val="auto"/>
              </w:rPr>
              <w:t>项目负责人</w:t>
            </w:r>
          </w:p>
        </w:tc>
        <w:tc>
          <w:tcPr>
            <w:tcW w:w="2131" w:type="dxa"/>
            <w:gridSpan w:val="2"/>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522" w:type="dxa"/>
            <w:gridSpan w:val="9"/>
            <w:vAlign w:val="center"/>
          </w:tcPr>
          <w:p>
            <w:pPr>
              <w:jc w:val="center"/>
              <w:rPr>
                <w:color w:val="auto"/>
              </w:rPr>
            </w:pPr>
            <w:r>
              <w:rPr>
                <w:rFonts w:hint="eastAsia"/>
                <w:color w:val="auto"/>
              </w:rPr>
              <w:t>药物临床试验递交资料审核清单</w:t>
            </w:r>
            <w:r>
              <w:rPr>
                <w:rFonts w:hint="eastAsia"/>
                <w:color w:val="auto"/>
                <w:szCs w:val="21"/>
              </w:rPr>
              <w:t>（备注：相关材料如有请在空格里打</w:t>
            </w:r>
            <w:r>
              <w:rPr>
                <w:rFonts w:ascii="Arial" w:hAnsi="Arial" w:cs="Arial"/>
                <w:color w:val="auto"/>
                <w:szCs w:val="21"/>
              </w:rPr>
              <w:t>√</w:t>
            </w:r>
            <w:r>
              <w:rPr>
                <w:rFonts w:hint="eastAsia" w:asciiTheme="minorEastAsia" w:hAnsiTheme="minorEastAsia" w:cs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5" w:type="dxa"/>
            <w:vAlign w:val="center"/>
          </w:tcPr>
          <w:p>
            <w:pPr>
              <w:jc w:val="both"/>
              <w:rPr>
                <w:color w:val="auto"/>
              </w:rPr>
            </w:pPr>
            <w:r>
              <w:rPr>
                <w:rFonts w:hint="eastAsia"/>
                <w:color w:val="auto"/>
              </w:rPr>
              <w:t>1</w:t>
            </w:r>
          </w:p>
        </w:tc>
        <w:tc>
          <w:tcPr>
            <w:tcW w:w="2643" w:type="dxa"/>
            <w:gridSpan w:val="2"/>
            <w:vAlign w:val="center"/>
          </w:tcPr>
          <w:p>
            <w:pPr>
              <w:jc w:val="both"/>
              <w:rPr>
                <w:color w:val="auto"/>
              </w:rPr>
            </w:pPr>
            <w:r>
              <w:rPr>
                <w:rFonts w:hint="eastAsia"/>
                <w:color w:val="auto"/>
                <w:lang w:val="en-US" w:eastAsia="zh-CN"/>
              </w:rPr>
              <w:t>申办者或CRO委托临床试验机构进行临床试验的委托函</w:t>
            </w:r>
          </w:p>
        </w:tc>
        <w:tc>
          <w:tcPr>
            <w:tcW w:w="519" w:type="dxa"/>
            <w:vAlign w:val="center"/>
          </w:tcPr>
          <w:p>
            <w:pPr>
              <w:jc w:val="both"/>
              <w:rPr>
                <w:color w:val="auto"/>
              </w:rPr>
            </w:pPr>
          </w:p>
        </w:tc>
        <w:tc>
          <w:tcPr>
            <w:tcW w:w="519" w:type="dxa"/>
            <w:vAlign w:val="center"/>
          </w:tcPr>
          <w:p>
            <w:pPr>
              <w:jc w:val="center"/>
              <w:rPr>
                <w:color w:val="auto"/>
              </w:rPr>
            </w:pPr>
            <w:r>
              <w:rPr>
                <w:rFonts w:hint="eastAsia"/>
                <w:color w:val="auto"/>
                <w:lang w:val="en-US" w:eastAsia="zh-CN"/>
              </w:rPr>
              <w:t>15</w:t>
            </w:r>
          </w:p>
        </w:tc>
        <w:tc>
          <w:tcPr>
            <w:tcW w:w="3784" w:type="dxa"/>
            <w:gridSpan w:val="3"/>
            <w:vAlign w:val="center"/>
          </w:tcPr>
          <w:p>
            <w:pPr>
              <w:jc w:val="both"/>
              <w:rPr>
                <w:rFonts w:hint="default" w:eastAsiaTheme="minorEastAsia"/>
                <w:color w:val="auto"/>
                <w:lang w:val="en-US" w:eastAsia="zh-CN"/>
              </w:rPr>
            </w:pPr>
            <w:r>
              <w:rPr>
                <w:rFonts w:hint="eastAsia"/>
                <w:color w:val="auto"/>
                <w:lang w:val="en-US" w:eastAsia="zh-CN"/>
              </w:rPr>
              <w:t>其他受试者相关材料（如适用）</w:t>
            </w:r>
          </w:p>
        </w:tc>
        <w:tc>
          <w:tcPr>
            <w:tcW w:w="55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05" w:type="dxa"/>
            <w:vAlign w:val="center"/>
          </w:tcPr>
          <w:p>
            <w:pPr>
              <w:jc w:val="both"/>
              <w:rPr>
                <w:color w:val="auto"/>
              </w:rPr>
            </w:pPr>
            <w:r>
              <w:rPr>
                <w:rFonts w:hint="eastAsia"/>
                <w:color w:val="auto"/>
              </w:rPr>
              <w:t>2</w:t>
            </w:r>
          </w:p>
        </w:tc>
        <w:tc>
          <w:tcPr>
            <w:tcW w:w="2643" w:type="dxa"/>
            <w:gridSpan w:val="2"/>
            <w:vAlign w:val="center"/>
          </w:tcPr>
          <w:p>
            <w:pPr>
              <w:jc w:val="both"/>
              <w:rPr>
                <w:color w:val="auto"/>
              </w:rPr>
            </w:pPr>
            <w:r>
              <w:rPr>
                <w:rFonts w:hint="eastAsia"/>
                <w:color w:val="auto"/>
                <w:lang w:val="en-US" w:eastAsia="zh-CN"/>
              </w:rPr>
              <w:t>NMPA批件或临床试验通知书/备案文件或注册临床批件（IV期试验）（编号_____________）</w:t>
            </w:r>
          </w:p>
        </w:tc>
        <w:tc>
          <w:tcPr>
            <w:tcW w:w="519" w:type="dxa"/>
            <w:vAlign w:val="center"/>
          </w:tcPr>
          <w:p>
            <w:pPr>
              <w:jc w:val="both"/>
              <w:rPr>
                <w:color w:val="auto"/>
              </w:rPr>
            </w:pPr>
          </w:p>
        </w:tc>
        <w:tc>
          <w:tcPr>
            <w:tcW w:w="519" w:type="dxa"/>
            <w:vAlign w:val="center"/>
          </w:tcPr>
          <w:p>
            <w:pPr>
              <w:jc w:val="center"/>
              <w:rPr>
                <w:color w:val="auto"/>
              </w:rPr>
            </w:pPr>
            <w:r>
              <w:rPr>
                <w:rFonts w:hint="eastAsia"/>
                <w:color w:val="auto"/>
                <w:lang w:val="en-US" w:eastAsia="zh-CN"/>
              </w:rPr>
              <w:t>16</w:t>
            </w:r>
          </w:p>
        </w:tc>
        <w:tc>
          <w:tcPr>
            <w:tcW w:w="3784" w:type="dxa"/>
            <w:gridSpan w:val="3"/>
            <w:vAlign w:val="center"/>
          </w:tcPr>
          <w:p>
            <w:pPr>
              <w:jc w:val="both"/>
              <w:rPr>
                <w:color w:val="auto"/>
              </w:rPr>
            </w:pPr>
            <w:r>
              <w:rPr>
                <w:rFonts w:hint="eastAsia"/>
                <w:color w:val="auto"/>
                <w:lang w:val="en-US" w:eastAsia="zh-CN"/>
              </w:rPr>
              <w:t>试验用药品的药检证明</w:t>
            </w:r>
          </w:p>
        </w:tc>
        <w:tc>
          <w:tcPr>
            <w:tcW w:w="55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05" w:type="dxa"/>
            <w:vAlign w:val="center"/>
          </w:tcPr>
          <w:p>
            <w:pPr>
              <w:jc w:val="both"/>
              <w:rPr>
                <w:color w:val="auto"/>
              </w:rPr>
            </w:pPr>
            <w:r>
              <w:rPr>
                <w:rFonts w:hint="eastAsia"/>
                <w:color w:val="auto"/>
              </w:rPr>
              <w:t>3</w:t>
            </w:r>
          </w:p>
        </w:tc>
        <w:tc>
          <w:tcPr>
            <w:tcW w:w="2643" w:type="dxa"/>
            <w:gridSpan w:val="2"/>
            <w:vAlign w:val="center"/>
          </w:tcPr>
          <w:p>
            <w:pPr>
              <w:jc w:val="both"/>
              <w:rPr>
                <w:color w:val="auto"/>
              </w:rPr>
            </w:pPr>
            <w:r>
              <w:rPr>
                <w:rFonts w:hint="eastAsia"/>
                <w:color w:val="auto"/>
                <w:lang w:val="en-US" w:eastAsia="zh-CN"/>
              </w:rPr>
              <w:t>申办者的资质（营业执照等）、GMP证书或满足GMP条件的声明</w:t>
            </w:r>
          </w:p>
        </w:tc>
        <w:tc>
          <w:tcPr>
            <w:tcW w:w="519" w:type="dxa"/>
            <w:vAlign w:val="center"/>
          </w:tcPr>
          <w:p>
            <w:pPr>
              <w:jc w:val="both"/>
              <w:rPr>
                <w:color w:val="auto"/>
              </w:rPr>
            </w:pPr>
          </w:p>
        </w:tc>
        <w:tc>
          <w:tcPr>
            <w:tcW w:w="519" w:type="dxa"/>
            <w:vAlign w:val="center"/>
          </w:tcPr>
          <w:p>
            <w:pPr>
              <w:jc w:val="center"/>
              <w:rPr>
                <w:color w:val="auto"/>
              </w:rPr>
            </w:pPr>
            <w:r>
              <w:rPr>
                <w:rFonts w:hint="eastAsia"/>
                <w:color w:val="auto"/>
                <w:lang w:val="en-US" w:eastAsia="zh-CN"/>
              </w:rPr>
              <w:t>17</w:t>
            </w:r>
          </w:p>
        </w:tc>
        <w:tc>
          <w:tcPr>
            <w:tcW w:w="3784" w:type="dxa"/>
            <w:gridSpan w:val="3"/>
            <w:vAlign w:val="center"/>
          </w:tcPr>
          <w:p>
            <w:pPr>
              <w:jc w:val="both"/>
              <w:rPr>
                <w:color w:val="auto"/>
              </w:rPr>
            </w:pPr>
            <w:r>
              <w:rPr>
                <w:rFonts w:hint="eastAsia"/>
                <w:color w:val="auto"/>
                <w:lang w:val="en-US" w:eastAsia="zh-CN"/>
              </w:rPr>
              <w:t>试验用药品的说明书（如适用）</w:t>
            </w:r>
          </w:p>
        </w:tc>
        <w:tc>
          <w:tcPr>
            <w:tcW w:w="55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05" w:type="dxa"/>
            <w:vAlign w:val="center"/>
          </w:tcPr>
          <w:p>
            <w:pPr>
              <w:jc w:val="both"/>
              <w:rPr>
                <w:color w:val="auto"/>
              </w:rPr>
            </w:pPr>
            <w:r>
              <w:rPr>
                <w:rFonts w:hint="eastAsia"/>
                <w:color w:val="auto"/>
              </w:rPr>
              <w:t>4</w:t>
            </w:r>
          </w:p>
        </w:tc>
        <w:tc>
          <w:tcPr>
            <w:tcW w:w="2643" w:type="dxa"/>
            <w:gridSpan w:val="2"/>
            <w:vAlign w:val="center"/>
          </w:tcPr>
          <w:p>
            <w:pPr>
              <w:jc w:val="both"/>
              <w:rPr>
                <w:color w:val="auto"/>
              </w:rPr>
            </w:pPr>
            <w:r>
              <w:rPr>
                <w:rFonts w:hint="eastAsia"/>
                <w:color w:val="auto"/>
                <w:lang w:val="en-US" w:eastAsia="zh-CN"/>
              </w:rPr>
              <w:t>申办者给CRO的委托函和CRO资质（如适用）</w:t>
            </w:r>
          </w:p>
        </w:tc>
        <w:tc>
          <w:tcPr>
            <w:tcW w:w="519" w:type="dxa"/>
            <w:vAlign w:val="center"/>
          </w:tcPr>
          <w:p>
            <w:pPr>
              <w:jc w:val="both"/>
              <w:rPr>
                <w:color w:val="auto"/>
              </w:rPr>
            </w:pPr>
          </w:p>
        </w:tc>
        <w:tc>
          <w:tcPr>
            <w:tcW w:w="519" w:type="dxa"/>
            <w:vAlign w:val="center"/>
          </w:tcPr>
          <w:p>
            <w:pPr>
              <w:jc w:val="center"/>
              <w:rPr>
                <w:color w:val="auto"/>
              </w:rPr>
            </w:pPr>
            <w:r>
              <w:rPr>
                <w:rFonts w:hint="eastAsia"/>
                <w:color w:val="auto"/>
                <w:lang w:val="en-US" w:eastAsia="zh-CN"/>
              </w:rPr>
              <w:t>18</w:t>
            </w:r>
          </w:p>
        </w:tc>
        <w:tc>
          <w:tcPr>
            <w:tcW w:w="3784" w:type="dxa"/>
            <w:gridSpan w:val="3"/>
            <w:vAlign w:val="center"/>
          </w:tcPr>
          <w:p>
            <w:pPr>
              <w:jc w:val="both"/>
              <w:rPr>
                <w:color w:val="auto"/>
              </w:rPr>
            </w:pPr>
            <w:r>
              <w:rPr>
                <w:rFonts w:hint="eastAsia"/>
                <w:color w:val="auto"/>
                <w:lang w:val="en-US" w:eastAsia="zh-CN"/>
              </w:rPr>
              <w:t>临床试验责任保险单</w:t>
            </w:r>
          </w:p>
        </w:tc>
        <w:tc>
          <w:tcPr>
            <w:tcW w:w="55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505" w:type="dxa"/>
            <w:vAlign w:val="center"/>
          </w:tcPr>
          <w:p>
            <w:pPr>
              <w:jc w:val="both"/>
              <w:rPr>
                <w:color w:val="auto"/>
              </w:rPr>
            </w:pPr>
            <w:r>
              <w:rPr>
                <w:rFonts w:hint="eastAsia"/>
                <w:color w:val="auto"/>
              </w:rPr>
              <w:t>5</w:t>
            </w:r>
          </w:p>
        </w:tc>
        <w:tc>
          <w:tcPr>
            <w:tcW w:w="2643" w:type="dxa"/>
            <w:gridSpan w:val="2"/>
            <w:vAlign w:val="center"/>
          </w:tcPr>
          <w:p>
            <w:pPr>
              <w:jc w:val="both"/>
              <w:rPr>
                <w:color w:val="auto"/>
              </w:rPr>
            </w:pPr>
            <w:r>
              <w:rPr>
                <w:rFonts w:hint="eastAsia"/>
                <w:color w:val="auto"/>
                <w:lang w:val="en-US" w:eastAsia="zh-CN"/>
              </w:rPr>
              <w:t>中心实验室或第三方实验室（如适用）资质及室间质评证书</w:t>
            </w:r>
          </w:p>
        </w:tc>
        <w:tc>
          <w:tcPr>
            <w:tcW w:w="519" w:type="dxa"/>
            <w:vAlign w:val="center"/>
          </w:tcPr>
          <w:p>
            <w:pPr>
              <w:jc w:val="both"/>
              <w:rPr>
                <w:color w:val="auto"/>
              </w:rPr>
            </w:pPr>
          </w:p>
        </w:tc>
        <w:tc>
          <w:tcPr>
            <w:tcW w:w="519" w:type="dxa"/>
            <w:vAlign w:val="center"/>
          </w:tcPr>
          <w:p>
            <w:pPr>
              <w:jc w:val="center"/>
              <w:rPr>
                <w:color w:val="auto"/>
              </w:rPr>
            </w:pPr>
            <w:r>
              <w:rPr>
                <w:rFonts w:hint="eastAsia"/>
                <w:color w:val="auto"/>
                <w:lang w:val="en-US" w:eastAsia="zh-CN"/>
              </w:rPr>
              <w:t>19</w:t>
            </w:r>
          </w:p>
        </w:tc>
        <w:tc>
          <w:tcPr>
            <w:tcW w:w="3784" w:type="dxa"/>
            <w:gridSpan w:val="3"/>
            <w:vAlign w:val="center"/>
          </w:tcPr>
          <w:p>
            <w:pPr>
              <w:jc w:val="both"/>
              <w:rPr>
                <w:color w:val="auto"/>
              </w:rPr>
            </w:pPr>
            <w:r>
              <w:rPr>
                <w:rFonts w:hint="eastAsia"/>
                <w:color w:val="auto"/>
                <w:lang w:val="en-US" w:eastAsia="zh-CN"/>
              </w:rPr>
              <w:t>盲法试验的揭盲程序（如适用）</w:t>
            </w:r>
          </w:p>
        </w:tc>
        <w:tc>
          <w:tcPr>
            <w:tcW w:w="55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 w:type="dxa"/>
            <w:vAlign w:val="center"/>
          </w:tcPr>
          <w:p>
            <w:pPr>
              <w:jc w:val="both"/>
              <w:rPr>
                <w:color w:val="auto"/>
              </w:rPr>
            </w:pPr>
            <w:r>
              <w:rPr>
                <w:rFonts w:hint="eastAsia"/>
                <w:color w:val="auto"/>
              </w:rPr>
              <w:t>6</w:t>
            </w:r>
          </w:p>
        </w:tc>
        <w:tc>
          <w:tcPr>
            <w:tcW w:w="2643" w:type="dxa"/>
            <w:gridSpan w:val="2"/>
            <w:vAlign w:val="center"/>
          </w:tcPr>
          <w:p>
            <w:pPr>
              <w:jc w:val="both"/>
              <w:rPr>
                <w:color w:val="auto"/>
              </w:rPr>
            </w:pPr>
            <w:r>
              <w:rPr>
                <w:rFonts w:hint="eastAsia"/>
                <w:color w:val="auto"/>
                <w:lang w:val="en-US" w:eastAsia="zh-CN"/>
              </w:rPr>
              <w:t>监查员委托函、简历及资质</w:t>
            </w:r>
          </w:p>
        </w:tc>
        <w:tc>
          <w:tcPr>
            <w:tcW w:w="519" w:type="dxa"/>
            <w:vAlign w:val="center"/>
          </w:tcPr>
          <w:p>
            <w:pPr>
              <w:jc w:val="both"/>
              <w:rPr>
                <w:color w:val="auto"/>
              </w:rPr>
            </w:pPr>
          </w:p>
        </w:tc>
        <w:tc>
          <w:tcPr>
            <w:tcW w:w="519" w:type="dxa"/>
            <w:vAlign w:val="center"/>
          </w:tcPr>
          <w:p>
            <w:pPr>
              <w:jc w:val="center"/>
              <w:rPr>
                <w:color w:val="auto"/>
              </w:rPr>
            </w:pPr>
            <w:r>
              <w:rPr>
                <w:rFonts w:hint="eastAsia"/>
                <w:color w:val="auto"/>
                <w:lang w:val="en-US" w:eastAsia="zh-CN"/>
              </w:rPr>
              <w:t>20</w:t>
            </w:r>
          </w:p>
        </w:tc>
        <w:tc>
          <w:tcPr>
            <w:tcW w:w="3784" w:type="dxa"/>
            <w:gridSpan w:val="3"/>
            <w:vAlign w:val="center"/>
          </w:tcPr>
          <w:p>
            <w:pPr>
              <w:jc w:val="both"/>
              <w:rPr>
                <w:color w:val="auto"/>
              </w:rPr>
            </w:pPr>
            <w:r>
              <w:rPr>
                <w:rFonts w:hint="eastAsia"/>
                <w:color w:val="auto"/>
                <w:lang w:val="en-US" w:eastAsia="zh-CN"/>
              </w:rPr>
              <w:t>申办者、CRO、统计单位、参加单位信息表</w:t>
            </w:r>
          </w:p>
        </w:tc>
        <w:tc>
          <w:tcPr>
            <w:tcW w:w="55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05" w:type="dxa"/>
            <w:vAlign w:val="center"/>
          </w:tcPr>
          <w:p>
            <w:pPr>
              <w:jc w:val="both"/>
              <w:rPr>
                <w:color w:val="auto"/>
              </w:rPr>
            </w:pPr>
            <w:r>
              <w:rPr>
                <w:rFonts w:hint="eastAsia"/>
                <w:color w:val="auto"/>
              </w:rPr>
              <w:t>7</w:t>
            </w:r>
          </w:p>
        </w:tc>
        <w:tc>
          <w:tcPr>
            <w:tcW w:w="2643" w:type="dxa"/>
            <w:gridSpan w:val="2"/>
            <w:vAlign w:val="center"/>
          </w:tcPr>
          <w:p>
            <w:pPr>
              <w:jc w:val="both"/>
              <w:rPr>
                <w:color w:val="auto"/>
              </w:rPr>
            </w:pPr>
            <w:r>
              <w:rPr>
                <w:rFonts w:hint="eastAsia"/>
                <w:color w:val="auto"/>
                <w:lang w:val="en-US" w:eastAsia="zh-CN"/>
              </w:rPr>
              <w:t>我国人类遗传资源采集、保藏、利用、对外提供的既往审批/备案材料（如适用）</w:t>
            </w:r>
          </w:p>
        </w:tc>
        <w:tc>
          <w:tcPr>
            <w:tcW w:w="519" w:type="dxa"/>
            <w:vAlign w:val="center"/>
          </w:tcPr>
          <w:p>
            <w:pPr>
              <w:jc w:val="both"/>
              <w:rPr>
                <w:color w:val="auto"/>
              </w:rPr>
            </w:pPr>
          </w:p>
        </w:tc>
        <w:tc>
          <w:tcPr>
            <w:tcW w:w="519" w:type="dxa"/>
            <w:vAlign w:val="center"/>
          </w:tcPr>
          <w:p>
            <w:pPr>
              <w:jc w:val="center"/>
              <w:rPr>
                <w:color w:val="auto"/>
              </w:rPr>
            </w:pPr>
            <w:r>
              <w:rPr>
                <w:rFonts w:hint="eastAsia"/>
                <w:color w:val="auto"/>
                <w:lang w:val="en-US" w:eastAsia="zh-CN"/>
              </w:rPr>
              <w:t>21</w:t>
            </w:r>
          </w:p>
        </w:tc>
        <w:tc>
          <w:tcPr>
            <w:tcW w:w="3784" w:type="dxa"/>
            <w:gridSpan w:val="3"/>
            <w:vAlign w:val="center"/>
          </w:tcPr>
          <w:p>
            <w:pPr>
              <w:jc w:val="both"/>
              <w:rPr>
                <w:color w:val="auto"/>
              </w:rPr>
            </w:pPr>
            <w:r>
              <w:rPr>
                <w:rFonts w:hint="eastAsia"/>
                <w:color w:val="auto"/>
                <w:lang w:val="en-US" w:eastAsia="zh-CN"/>
              </w:rPr>
              <w:t>本中心拟参加本试验的研究者名单</w:t>
            </w:r>
          </w:p>
        </w:tc>
        <w:tc>
          <w:tcPr>
            <w:tcW w:w="55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05" w:type="dxa"/>
            <w:vAlign w:val="center"/>
          </w:tcPr>
          <w:p>
            <w:pPr>
              <w:jc w:val="both"/>
              <w:rPr>
                <w:rFonts w:hint="eastAsia"/>
                <w:color w:val="auto"/>
              </w:rPr>
            </w:pPr>
            <w:r>
              <w:rPr>
                <w:rFonts w:hint="eastAsia"/>
                <w:color w:val="auto"/>
                <w:lang w:val="en-US" w:eastAsia="zh-CN"/>
              </w:rPr>
              <w:t>8</w:t>
            </w:r>
          </w:p>
        </w:tc>
        <w:tc>
          <w:tcPr>
            <w:tcW w:w="2643" w:type="dxa"/>
            <w:gridSpan w:val="2"/>
            <w:vAlign w:val="center"/>
          </w:tcPr>
          <w:p>
            <w:pPr>
              <w:jc w:val="both"/>
              <w:rPr>
                <w:rFonts w:hint="eastAsia"/>
                <w:color w:val="auto"/>
              </w:rPr>
            </w:pPr>
            <w:r>
              <w:rPr>
                <w:rFonts w:hint="eastAsia"/>
                <w:color w:val="auto"/>
                <w:lang w:val="en-US" w:eastAsia="zh-CN"/>
              </w:rPr>
              <w:t>组长单位的伦理批件和成员表（如适用）</w:t>
            </w:r>
          </w:p>
        </w:tc>
        <w:tc>
          <w:tcPr>
            <w:tcW w:w="519" w:type="dxa"/>
            <w:vAlign w:val="center"/>
          </w:tcPr>
          <w:p>
            <w:pPr>
              <w:jc w:val="both"/>
              <w:rPr>
                <w:color w:val="auto"/>
              </w:rPr>
            </w:pPr>
          </w:p>
        </w:tc>
        <w:tc>
          <w:tcPr>
            <w:tcW w:w="519" w:type="dxa"/>
            <w:vAlign w:val="center"/>
          </w:tcPr>
          <w:p>
            <w:pPr>
              <w:jc w:val="center"/>
              <w:rPr>
                <w:rFonts w:hint="eastAsia"/>
                <w:color w:val="auto"/>
              </w:rPr>
            </w:pPr>
            <w:r>
              <w:rPr>
                <w:rFonts w:hint="eastAsia"/>
                <w:color w:val="auto"/>
                <w:lang w:val="en-US" w:eastAsia="zh-CN"/>
              </w:rPr>
              <w:t>22</w:t>
            </w:r>
          </w:p>
        </w:tc>
        <w:tc>
          <w:tcPr>
            <w:tcW w:w="3784" w:type="dxa"/>
            <w:gridSpan w:val="3"/>
            <w:vAlign w:val="center"/>
          </w:tcPr>
          <w:p>
            <w:pPr>
              <w:jc w:val="both"/>
              <w:rPr>
                <w:rFonts w:hint="eastAsia"/>
                <w:color w:val="auto"/>
              </w:rPr>
            </w:pPr>
            <w:r>
              <w:rPr>
                <w:rFonts w:hint="eastAsia"/>
                <w:color w:val="auto"/>
                <w:lang w:val="en-US" w:eastAsia="zh-CN"/>
              </w:rPr>
              <w:t>本中心拟参加本试验的研究者资质</w:t>
            </w:r>
          </w:p>
        </w:tc>
        <w:tc>
          <w:tcPr>
            <w:tcW w:w="55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05" w:type="dxa"/>
            <w:vAlign w:val="center"/>
          </w:tcPr>
          <w:p>
            <w:pPr>
              <w:jc w:val="both"/>
              <w:rPr>
                <w:rFonts w:hint="eastAsia"/>
                <w:color w:val="auto"/>
              </w:rPr>
            </w:pPr>
            <w:r>
              <w:rPr>
                <w:rFonts w:hint="eastAsia"/>
                <w:color w:val="auto"/>
                <w:lang w:val="en-US" w:eastAsia="zh-CN"/>
              </w:rPr>
              <w:t>9</w:t>
            </w:r>
          </w:p>
        </w:tc>
        <w:tc>
          <w:tcPr>
            <w:tcW w:w="2643" w:type="dxa"/>
            <w:gridSpan w:val="2"/>
            <w:vAlign w:val="center"/>
          </w:tcPr>
          <w:p>
            <w:pPr>
              <w:jc w:val="both"/>
              <w:rPr>
                <w:rFonts w:hint="eastAsia"/>
                <w:color w:val="auto"/>
              </w:rPr>
            </w:pPr>
            <w:r>
              <w:rPr>
                <w:rFonts w:hint="eastAsia"/>
                <w:color w:val="auto"/>
                <w:lang w:val="en-US" w:eastAsia="zh-CN"/>
              </w:rPr>
              <w:t>研究者手册（版本号，日期）</w:t>
            </w:r>
          </w:p>
        </w:tc>
        <w:tc>
          <w:tcPr>
            <w:tcW w:w="519" w:type="dxa"/>
            <w:vAlign w:val="center"/>
          </w:tcPr>
          <w:p>
            <w:pPr>
              <w:jc w:val="both"/>
              <w:rPr>
                <w:color w:val="auto"/>
              </w:rPr>
            </w:pPr>
          </w:p>
        </w:tc>
        <w:tc>
          <w:tcPr>
            <w:tcW w:w="519" w:type="dxa"/>
            <w:vAlign w:val="center"/>
          </w:tcPr>
          <w:p>
            <w:pPr>
              <w:jc w:val="center"/>
              <w:rPr>
                <w:rFonts w:hint="eastAsia"/>
                <w:color w:val="auto"/>
              </w:rPr>
            </w:pPr>
            <w:r>
              <w:rPr>
                <w:rFonts w:hint="eastAsia"/>
                <w:color w:val="auto"/>
                <w:lang w:val="en-US" w:eastAsia="zh-CN"/>
              </w:rPr>
              <w:t>23</w:t>
            </w:r>
          </w:p>
        </w:tc>
        <w:tc>
          <w:tcPr>
            <w:tcW w:w="3784" w:type="dxa"/>
            <w:gridSpan w:val="3"/>
            <w:vAlign w:val="center"/>
          </w:tcPr>
          <w:p>
            <w:pPr>
              <w:jc w:val="both"/>
              <w:rPr>
                <w:rFonts w:hint="eastAsia"/>
                <w:color w:val="auto"/>
              </w:rPr>
            </w:pPr>
            <w:r>
              <w:rPr>
                <w:rFonts w:hint="eastAsia"/>
                <w:color w:val="auto"/>
                <w:lang w:val="en-US" w:eastAsia="zh-CN"/>
              </w:rPr>
              <w:t>选择安慰剂对照的原因说明（如适用）</w:t>
            </w:r>
          </w:p>
        </w:tc>
        <w:tc>
          <w:tcPr>
            <w:tcW w:w="55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05" w:type="dxa"/>
            <w:vAlign w:val="center"/>
          </w:tcPr>
          <w:p>
            <w:pPr>
              <w:jc w:val="both"/>
              <w:rPr>
                <w:rFonts w:hint="eastAsia"/>
                <w:color w:val="auto"/>
              </w:rPr>
            </w:pPr>
            <w:r>
              <w:rPr>
                <w:rFonts w:hint="eastAsia"/>
                <w:color w:val="auto"/>
                <w:lang w:val="en-US" w:eastAsia="zh-CN"/>
              </w:rPr>
              <w:t>10</w:t>
            </w:r>
          </w:p>
        </w:tc>
        <w:tc>
          <w:tcPr>
            <w:tcW w:w="2643" w:type="dxa"/>
            <w:gridSpan w:val="2"/>
            <w:vAlign w:val="center"/>
          </w:tcPr>
          <w:p>
            <w:pPr>
              <w:jc w:val="both"/>
              <w:rPr>
                <w:rFonts w:hint="eastAsia"/>
                <w:color w:val="auto"/>
              </w:rPr>
            </w:pPr>
            <w:r>
              <w:rPr>
                <w:rFonts w:hint="eastAsia"/>
                <w:color w:val="auto"/>
                <w:lang w:val="en-US" w:eastAsia="zh-CN"/>
              </w:rPr>
              <w:t>试验方案（版本号、日期）</w:t>
            </w:r>
          </w:p>
        </w:tc>
        <w:tc>
          <w:tcPr>
            <w:tcW w:w="519" w:type="dxa"/>
            <w:vAlign w:val="center"/>
          </w:tcPr>
          <w:p>
            <w:pPr>
              <w:jc w:val="both"/>
              <w:rPr>
                <w:color w:val="auto"/>
              </w:rPr>
            </w:pPr>
          </w:p>
        </w:tc>
        <w:tc>
          <w:tcPr>
            <w:tcW w:w="519" w:type="dxa"/>
            <w:vAlign w:val="center"/>
          </w:tcPr>
          <w:p>
            <w:pPr>
              <w:jc w:val="center"/>
              <w:rPr>
                <w:rFonts w:hint="eastAsia"/>
                <w:color w:val="auto"/>
              </w:rPr>
            </w:pPr>
            <w:r>
              <w:rPr>
                <w:rFonts w:hint="eastAsia"/>
                <w:color w:val="auto"/>
                <w:lang w:val="en-US" w:eastAsia="zh-CN"/>
              </w:rPr>
              <w:t>24</w:t>
            </w:r>
          </w:p>
        </w:tc>
        <w:tc>
          <w:tcPr>
            <w:tcW w:w="3784" w:type="dxa"/>
            <w:gridSpan w:val="3"/>
            <w:vAlign w:val="center"/>
          </w:tcPr>
          <w:p>
            <w:pPr>
              <w:jc w:val="both"/>
              <w:rPr>
                <w:rFonts w:hint="eastAsia"/>
                <w:color w:val="auto"/>
              </w:rPr>
            </w:pPr>
            <w:r>
              <w:rPr>
                <w:rFonts w:hint="eastAsia"/>
                <w:color w:val="auto"/>
                <w:lang w:val="en-US" w:eastAsia="zh-CN"/>
              </w:rPr>
              <w:t>风险管理计划（如适用）</w:t>
            </w:r>
          </w:p>
        </w:tc>
        <w:tc>
          <w:tcPr>
            <w:tcW w:w="55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05" w:type="dxa"/>
            <w:vAlign w:val="center"/>
          </w:tcPr>
          <w:p>
            <w:pPr>
              <w:jc w:val="both"/>
              <w:rPr>
                <w:rFonts w:hint="eastAsia"/>
                <w:color w:val="auto"/>
              </w:rPr>
            </w:pPr>
            <w:r>
              <w:rPr>
                <w:rFonts w:hint="eastAsia"/>
                <w:color w:val="auto"/>
                <w:lang w:val="en-US" w:eastAsia="zh-CN"/>
              </w:rPr>
              <w:t>11</w:t>
            </w:r>
          </w:p>
        </w:tc>
        <w:tc>
          <w:tcPr>
            <w:tcW w:w="2643" w:type="dxa"/>
            <w:gridSpan w:val="2"/>
            <w:vAlign w:val="center"/>
          </w:tcPr>
          <w:p>
            <w:pPr>
              <w:jc w:val="both"/>
              <w:rPr>
                <w:rFonts w:hint="eastAsia"/>
                <w:color w:val="auto"/>
              </w:rPr>
            </w:pPr>
            <w:r>
              <w:rPr>
                <w:rFonts w:hint="eastAsia"/>
                <w:color w:val="auto"/>
                <w:lang w:val="en-US" w:eastAsia="zh-CN"/>
              </w:rPr>
              <w:t>病例报告表（或EDC）样表（版本号，日期）</w:t>
            </w:r>
          </w:p>
        </w:tc>
        <w:tc>
          <w:tcPr>
            <w:tcW w:w="519" w:type="dxa"/>
            <w:vAlign w:val="center"/>
          </w:tcPr>
          <w:p>
            <w:pPr>
              <w:jc w:val="both"/>
              <w:rPr>
                <w:color w:val="auto"/>
              </w:rPr>
            </w:pPr>
          </w:p>
        </w:tc>
        <w:tc>
          <w:tcPr>
            <w:tcW w:w="519" w:type="dxa"/>
            <w:vAlign w:val="center"/>
          </w:tcPr>
          <w:p>
            <w:pPr>
              <w:jc w:val="center"/>
              <w:rPr>
                <w:rFonts w:hint="eastAsia"/>
                <w:color w:val="auto"/>
              </w:rPr>
            </w:pPr>
            <w:r>
              <w:rPr>
                <w:rFonts w:hint="eastAsia"/>
                <w:color w:val="auto"/>
                <w:lang w:val="en-US" w:eastAsia="zh-CN"/>
              </w:rPr>
              <w:t>25</w:t>
            </w:r>
          </w:p>
        </w:tc>
        <w:tc>
          <w:tcPr>
            <w:tcW w:w="3784" w:type="dxa"/>
            <w:gridSpan w:val="3"/>
            <w:vAlign w:val="center"/>
          </w:tcPr>
          <w:p>
            <w:pPr>
              <w:jc w:val="both"/>
              <w:rPr>
                <w:rFonts w:hint="eastAsia"/>
                <w:color w:val="auto"/>
              </w:rPr>
            </w:pPr>
            <w:r>
              <w:rPr>
                <w:rFonts w:hint="eastAsia"/>
                <w:color w:val="auto"/>
                <w:lang w:val="en-US" w:eastAsia="zh-CN"/>
              </w:rPr>
              <w:t>SMO和CRC资质资料（如适用）</w:t>
            </w:r>
          </w:p>
        </w:tc>
        <w:tc>
          <w:tcPr>
            <w:tcW w:w="55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05" w:type="dxa"/>
            <w:vAlign w:val="center"/>
          </w:tcPr>
          <w:p>
            <w:pPr>
              <w:jc w:val="both"/>
              <w:rPr>
                <w:rFonts w:hint="eastAsia"/>
                <w:color w:val="auto"/>
              </w:rPr>
            </w:pPr>
            <w:r>
              <w:rPr>
                <w:rFonts w:hint="eastAsia"/>
                <w:color w:val="auto"/>
                <w:lang w:val="en-US" w:eastAsia="zh-CN"/>
              </w:rPr>
              <w:t>12</w:t>
            </w:r>
          </w:p>
        </w:tc>
        <w:tc>
          <w:tcPr>
            <w:tcW w:w="2643" w:type="dxa"/>
            <w:gridSpan w:val="2"/>
            <w:vAlign w:val="center"/>
          </w:tcPr>
          <w:p>
            <w:pPr>
              <w:jc w:val="both"/>
              <w:rPr>
                <w:rFonts w:hint="eastAsia"/>
                <w:color w:val="auto"/>
              </w:rPr>
            </w:pPr>
            <w:r>
              <w:rPr>
                <w:rFonts w:hint="eastAsia"/>
                <w:color w:val="auto"/>
                <w:lang w:val="en-US" w:eastAsia="zh-CN"/>
              </w:rPr>
              <w:t>研究病历样表（版本号、日期）</w:t>
            </w:r>
          </w:p>
        </w:tc>
        <w:tc>
          <w:tcPr>
            <w:tcW w:w="519" w:type="dxa"/>
            <w:vAlign w:val="center"/>
          </w:tcPr>
          <w:p>
            <w:pPr>
              <w:jc w:val="both"/>
              <w:rPr>
                <w:color w:val="auto"/>
              </w:rPr>
            </w:pPr>
          </w:p>
        </w:tc>
        <w:tc>
          <w:tcPr>
            <w:tcW w:w="519" w:type="dxa"/>
            <w:vAlign w:val="center"/>
          </w:tcPr>
          <w:p>
            <w:pPr>
              <w:jc w:val="center"/>
              <w:rPr>
                <w:rFonts w:hint="eastAsia"/>
                <w:color w:val="auto"/>
              </w:rPr>
            </w:pPr>
            <w:r>
              <w:rPr>
                <w:rFonts w:hint="eastAsia"/>
                <w:color w:val="auto"/>
                <w:lang w:val="en-US" w:eastAsia="zh-CN"/>
              </w:rPr>
              <w:t>26</w:t>
            </w:r>
          </w:p>
        </w:tc>
        <w:tc>
          <w:tcPr>
            <w:tcW w:w="3784" w:type="dxa"/>
            <w:gridSpan w:val="3"/>
            <w:vAlign w:val="center"/>
          </w:tcPr>
          <w:p>
            <w:pPr>
              <w:jc w:val="both"/>
              <w:rPr>
                <w:rFonts w:hint="eastAsia"/>
                <w:color w:val="auto"/>
              </w:rPr>
            </w:pPr>
            <w:r>
              <w:rPr>
                <w:rFonts w:hint="eastAsia"/>
                <w:color w:val="auto"/>
                <w:lang w:val="en-US" w:eastAsia="zh-CN"/>
              </w:rPr>
              <w:t>药物临床试验申请表</w:t>
            </w:r>
          </w:p>
        </w:tc>
        <w:tc>
          <w:tcPr>
            <w:tcW w:w="55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05" w:type="dxa"/>
            <w:vAlign w:val="center"/>
          </w:tcPr>
          <w:p>
            <w:pPr>
              <w:jc w:val="both"/>
              <w:rPr>
                <w:rFonts w:hint="eastAsia"/>
                <w:color w:val="auto"/>
              </w:rPr>
            </w:pPr>
            <w:r>
              <w:rPr>
                <w:rFonts w:hint="eastAsia"/>
                <w:color w:val="auto"/>
                <w:lang w:val="en-US" w:eastAsia="zh-CN"/>
              </w:rPr>
              <w:t>13</w:t>
            </w:r>
          </w:p>
        </w:tc>
        <w:tc>
          <w:tcPr>
            <w:tcW w:w="2643" w:type="dxa"/>
            <w:gridSpan w:val="2"/>
            <w:vAlign w:val="center"/>
          </w:tcPr>
          <w:p>
            <w:pPr>
              <w:jc w:val="both"/>
              <w:rPr>
                <w:rFonts w:hint="eastAsia"/>
                <w:color w:val="auto"/>
              </w:rPr>
            </w:pPr>
            <w:r>
              <w:rPr>
                <w:rFonts w:hint="eastAsia"/>
                <w:color w:val="auto"/>
                <w:lang w:val="en-US" w:eastAsia="zh-CN"/>
              </w:rPr>
              <w:t>知情同意书（版本号、日期）</w:t>
            </w:r>
          </w:p>
        </w:tc>
        <w:tc>
          <w:tcPr>
            <w:tcW w:w="519" w:type="dxa"/>
            <w:vAlign w:val="center"/>
          </w:tcPr>
          <w:p>
            <w:pPr>
              <w:jc w:val="both"/>
              <w:rPr>
                <w:color w:val="auto"/>
              </w:rPr>
            </w:pPr>
          </w:p>
        </w:tc>
        <w:tc>
          <w:tcPr>
            <w:tcW w:w="519" w:type="dxa"/>
            <w:vAlign w:val="center"/>
          </w:tcPr>
          <w:p>
            <w:pPr>
              <w:jc w:val="center"/>
              <w:rPr>
                <w:rFonts w:hint="eastAsia"/>
                <w:color w:val="auto"/>
              </w:rPr>
            </w:pPr>
            <w:r>
              <w:rPr>
                <w:rFonts w:hint="eastAsia"/>
                <w:color w:val="auto"/>
                <w:lang w:val="en-US" w:eastAsia="zh-CN"/>
              </w:rPr>
              <w:t>27</w:t>
            </w:r>
          </w:p>
        </w:tc>
        <w:tc>
          <w:tcPr>
            <w:tcW w:w="3784" w:type="dxa"/>
            <w:gridSpan w:val="3"/>
            <w:vAlign w:val="center"/>
          </w:tcPr>
          <w:p>
            <w:pPr>
              <w:jc w:val="both"/>
              <w:rPr>
                <w:rFonts w:hint="eastAsia"/>
                <w:color w:val="auto"/>
              </w:rPr>
            </w:pPr>
            <w:r>
              <w:rPr>
                <w:rFonts w:hint="eastAsia"/>
                <w:color w:val="auto"/>
                <w:lang w:val="en-US" w:eastAsia="zh-CN"/>
              </w:rPr>
              <w:t>研究者利益冲突声明</w:t>
            </w:r>
          </w:p>
        </w:tc>
        <w:tc>
          <w:tcPr>
            <w:tcW w:w="55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05" w:type="dxa"/>
            <w:vAlign w:val="center"/>
          </w:tcPr>
          <w:p>
            <w:pPr>
              <w:jc w:val="both"/>
              <w:rPr>
                <w:rFonts w:hint="eastAsia"/>
                <w:color w:val="auto"/>
              </w:rPr>
            </w:pPr>
            <w:r>
              <w:rPr>
                <w:rFonts w:hint="eastAsia"/>
                <w:color w:val="auto"/>
                <w:lang w:val="en-US" w:eastAsia="zh-CN"/>
              </w:rPr>
              <w:t>14</w:t>
            </w:r>
          </w:p>
        </w:tc>
        <w:tc>
          <w:tcPr>
            <w:tcW w:w="2643" w:type="dxa"/>
            <w:gridSpan w:val="2"/>
            <w:vAlign w:val="center"/>
          </w:tcPr>
          <w:p>
            <w:pPr>
              <w:jc w:val="both"/>
              <w:rPr>
                <w:rFonts w:hint="eastAsia"/>
                <w:color w:val="auto"/>
              </w:rPr>
            </w:pPr>
            <w:r>
              <w:rPr>
                <w:rFonts w:hint="eastAsia"/>
                <w:color w:val="auto"/>
                <w:lang w:val="en-US" w:eastAsia="zh-CN"/>
              </w:rPr>
              <w:t>受试者招募广告（如适用）</w:t>
            </w:r>
          </w:p>
        </w:tc>
        <w:tc>
          <w:tcPr>
            <w:tcW w:w="519" w:type="dxa"/>
            <w:vAlign w:val="center"/>
          </w:tcPr>
          <w:p>
            <w:pPr>
              <w:jc w:val="both"/>
              <w:rPr>
                <w:color w:val="auto"/>
              </w:rPr>
            </w:pPr>
          </w:p>
        </w:tc>
        <w:tc>
          <w:tcPr>
            <w:tcW w:w="519" w:type="dxa"/>
            <w:vAlign w:val="center"/>
          </w:tcPr>
          <w:p>
            <w:pPr>
              <w:jc w:val="both"/>
              <w:rPr>
                <w:rFonts w:hint="default" w:eastAsiaTheme="minorEastAsia"/>
                <w:color w:val="auto"/>
                <w:lang w:val="en-US" w:eastAsia="zh-CN"/>
              </w:rPr>
            </w:pPr>
            <w:r>
              <w:rPr>
                <w:rFonts w:hint="eastAsia"/>
                <w:color w:val="auto"/>
                <w:lang w:val="en-US" w:eastAsia="zh-CN"/>
              </w:rPr>
              <w:t>28</w:t>
            </w:r>
          </w:p>
        </w:tc>
        <w:tc>
          <w:tcPr>
            <w:tcW w:w="3784" w:type="dxa"/>
            <w:gridSpan w:val="3"/>
            <w:vAlign w:val="center"/>
          </w:tcPr>
          <w:p>
            <w:pPr>
              <w:jc w:val="both"/>
              <w:rPr>
                <w:rFonts w:hint="default" w:eastAsiaTheme="minorEastAsia"/>
                <w:color w:val="auto"/>
                <w:lang w:val="en-US" w:eastAsia="zh-CN"/>
              </w:rPr>
            </w:pPr>
            <w:r>
              <w:rPr>
                <w:rFonts w:hint="eastAsia"/>
                <w:color w:val="auto"/>
                <w:lang w:val="en-US" w:eastAsia="zh-CN"/>
              </w:rPr>
              <w:t>临床试验立项评估表</w:t>
            </w:r>
          </w:p>
        </w:tc>
        <w:tc>
          <w:tcPr>
            <w:tcW w:w="552"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2409" w:type="dxa"/>
            <w:gridSpan w:val="2"/>
            <w:vAlign w:val="center"/>
          </w:tcPr>
          <w:p>
            <w:pPr>
              <w:rPr>
                <w:color w:val="auto"/>
              </w:rPr>
            </w:pPr>
            <w:r>
              <w:rPr>
                <w:rFonts w:hint="eastAsia"/>
                <w:color w:val="auto"/>
              </w:rPr>
              <w:t>形式审查中存在的问题</w:t>
            </w:r>
          </w:p>
        </w:tc>
        <w:tc>
          <w:tcPr>
            <w:tcW w:w="6113" w:type="dxa"/>
            <w:gridSpan w:val="7"/>
            <w:vAlign w:val="center"/>
          </w:tcPr>
          <w:p>
            <w:pPr>
              <w:jc w:val="both"/>
              <w:rPr>
                <w:color w:val="auto"/>
              </w:rPr>
            </w:pPr>
          </w:p>
          <w:p>
            <w:pPr>
              <w:jc w:val="both"/>
              <w:rPr>
                <w:color w:val="auto"/>
              </w:rPr>
            </w:pPr>
          </w:p>
          <w:p>
            <w:pPr>
              <w:jc w:val="both"/>
              <w:rPr>
                <w:color w:val="auto"/>
              </w:rPr>
            </w:pPr>
          </w:p>
          <w:p>
            <w:pPr>
              <w:jc w:val="both"/>
              <w:rPr>
                <w:color w:val="auto"/>
              </w:rPr>
            </w:pPr>
            <w:r>
              <w:rPr>
                <w:rFonts w:hint="eastAsia"/>
                <w:color w:val="auto"/>
              </w:rPr>
              <w:t xml:space="preserve">                                机构秘书签名：</w:t>
            </w:r>
          </w:p>
          <w:p>
            <w:pPr>
              <w:jc w:val="both"/>
              <w:rPr>
                <w:color w:val="auto"/>
              </w:rPr>
            </w:pPr>
            <w:r>
              <w:rPr>
                <w:rFonts w:hint="eastAsia"/>
                <w:color w:val="auto"/>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2409" w:type="dxa"/>
            <w:gridSpan w:val="2"/>
          </w:tcPr>
          <w:p>
            <w:pPr>
              <w:rPr>
                <w:color w:val="auto"/>
              </w:rPr>
            </w:pPr>
          </w:p>
          <w:p>
            <w:pPr>
              <w:rPr>
                <w:color w:val="auto"/>
              </w:rPr>
            </w:pPr>
          </w:p>
          <w:p>
            <w:pPr>
              <w:jc w:val="center"/>
              <w:rPr>
                <w:rFonts w:hint="eastAsia"/>
                <w:color w:val="auto"/>
              </w:rPr>
            </w:pPr>
            <w:r>
              <w:rPr>
                <w:rFonts w:hint="eastAsia"/>
                <w:color w:val="auto"/>
              </w:rPr>
              <w:t>临床试验机构</w:t>
            </w:r>
          </w:p>
          <w:p>
            <w:pPr>
              <w:jc w:val="center"/>
              <w:rPr>
                <w:color w:val="auto"/>
              </w:rPr>
            </w:pPr>
            <w:r>
              <w:rPr>
                <w:rFonts w:hint="eastAsia"/>
                <w:color w:val="auto"/>
              </w:rPr>
              <w:t>办公室主任意见</w:t>
            </w:r>
          </w:p>
        </w:tc>
        <w:tc>
          <w:tcPr>
            <w:tcW w:w="6113" w:type="dxa"/>
            <w:gridSpan w:val="7"/>
            <w:vAlign w:val="center"/>
          </w:tcPr>
          <w:p>
            <w:pPr>
              <w:jc w:val="both"/>
              <w:rPr>
                <w:color w:val="auto"/>
              </w:rPr>
            </w:pPr>
          </w:p>
          <w:p>
            <w:pPr>
              <w:jc w:val="both"/>
              <w:rPr>
                <w:color w:val="auto"/>
              </w:rPr>
            </w:pPr>
          </w:p>
          <w:p>
            <w:pPr>
              <w:jc w:val="both"/>
              <w:rPr>
                <w:color w:val="auto"/>
              </w:rPr>
            </w:pPr>
          </w:p>
          <w:p>
            <w:pPr>
              <w:jc w:val="both"/>
              <w:rPr>
                <w:color w:val="auto"/>
              </w:rPr>
            </w:pPr>
            <w:r>
              <w:rPr>
                <w:rFonts w:hint="eastAsia"/>
                <w:color w:val="auto"/>
              </w:rPr>
              <w:t xml:space="preserve">                                        签名：</w:t>
            </w:r>
          </w:p>
          <w:p>
            <w:pPr>
              <w:jc w:val="both"/>
              <w:rPr>
                <w:color w:val="auto"/>
              </w:rPr>
            </w:pPr>
            <w:r>
              <w:rPr>
                <w:rFonts w:hint="eastAsia"/>
                <w:color w:val="auto"/>
              </w:rPr>
              <w:t xml:space="preserve">                                        日期：</w:t>
            </w: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sz w:val="20"/>
          <w:szCs w:val="21"/>
        </w:rPr>
      </w:pPr>
    </w:p>
    <w:p>
      <w:pPr>
        <w:rPr>
          <w:color w:val="auto"/>
        </w:rPr>
      </w:pPr>
    </w:p>
    <w:p>
      <w:pPr>
        <w:rPr>
          <w:color w:val="auto"/>
        </w:rPr>
      </w:pPr>
    </w:p>
    <w:p>
      <w:pPr>
        <w:spacing w:line="360" w:lineRule="auto"/>
        <w:jc w:val="center"/>
        <w:rPr>
          <w:color w:val="auto"/>
        </w:rPr>
      </w:pPr>
      <w:r>
        <w:rPr>
          <w:rFonts w:hint="eastAsia" w:asciiTheme="minorEastAsia" w:hAnsiTheme="minorEastAsia" w:cstheme="minorEastAsia"/>
          <w:b/>
          <w:bCs/>
          <w:color w:val="auto"/>
          <w:sz w:val="24"/>
          <w:szCs w:val="24"/>
        </w:rPr>
        <w:t>附件3 （YYH-SOP-CTC-004-3.</w:t>
      </w:r>
      <w:r>
        <w:rPr>
          <w:rFonts w:hint="eastAsia" w:asciiTheme="minorEastAsia" w:hAnsiTheme="minorEastAsia" w:cstheme="minorEastAsia"/>
          <w:b/>
          <w:bCs/>
          <w:color w:val="auto"/>
          <w:sz w:val="24"/>
          <w:szCs w:val="24"/>
          <w:lang w:val="en-US" w:eastAsia="zh-CN"/>
        </w:rPr>
        <w:t>3</w:t>
      </w:r>
      <w:r>
        <w:rPr>
          <w:rFonts w:hint="eastAsia" w:asciiTheme="minorEastAsia" w:hAnsiTheme="minorEastAsia" w:cstheme="minorEastAsia"/>
          <w:b/>
          <w:bCs/>
          <w:color w:val="auto"/>
          <w:sz w:val="24"/>
          <w:szCs w:val="24"/>
        </w:rPr>
        <w:t>-A0</w:t>
      </w:r>
      <w:r>
        <w:rPr>
          <w:rFonts w:hint="eastAsia" w:asciiTheme="minorEastAsia" w:hAnsiTheme="minorEastAsia" w:cstheme="minorEastAsia"/>
          <w:b/>
          <w:bCs/>
          <w:color w:val="auto"/>
          <w:sz w:val="24"/>
          <w:szCs w:val="24"/>
          <w:lang w:val="en-US" w:eastAsia="zh-CN"/>
        </w:rPr>
        <w:t>3</w:t>
      </w:r>
      <w:r>
        <w:rPr>
          <w:rFonts w:hint="eastAsia" w:asciiTheme="minorEastAsia" w:hAnsiTheme="minorEastAsia" w:cstheme="minorEastAsia"/>
          <w:b/>
          <w:bCs/>
          <w:color w:val="auto"/>
          <w:sz w:val="24"/>
          <w:szCs w:val="24"/>
        </w:rPr>
        <w:t>）沂源县人民医院医疗器械临床试验申请表</w:t>
      </w:r>
    </w:p>
    <w:tbl>
      <w:tblPr>
        <w:tblStyle w:val="2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993"/>
        <w:gridCol w:w="767"/>
        <w:gridCol w:w="439"/>
        <w:gridCol w:w="433"/>
        <w:gridCol w:w="784"/>
        <w:gridCol w:w="1304"/>
        <w:gridCol w:w="208"/>
        <w:gridCol w:w="27"/>
        <w:gridCol w:w="1611"/>
        <w:gridCol w:w="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478" w:type="dxa"/>
            <w:gridSpan w:val="2"/>
            <w:vAlign w:val="center"/>
          </w:tcPr>
          <w:p>
            <w:pPr>
              <w:jc w:val="center"/>
              <w:rPr>
                <w:color w:val="auto"/>
              </w:rPr>
            </w:pPr>
            <w:r>
              <w:rPr>
                <w:rFonts w:hint="eastAsia"/>
                <w:color w:val="auto"/>
              </w:rPr>
              <w:t>项目名称</w:t>
            </w:r>
          </w:p>
        </w:tc>
        <w:tc>
          <w:tcPr>
            <w:tcW w:w="6044" w:type="dxa"/>
            <w:gridSpan w:val="9"/>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478" w:type="dxa"/>
            <w:gridSpan w:val="2"/>
            <w:vAlign w:val="center"/>
          </w:tcPr>
          <w:p>
            <w:pPr>
              <w:jc w:val="center"/>
              <w:rPr>
                <w:color w:val="auto"/>
              </w:rPr>
            </w:pPr>
            <w:r>
              <w:rPr>
                <w:rFonts w:hint="eastAsia"/>
                <w:color w:val="auto"/>
              </w:rPr>
              <w:t>受理日期（机构填）</w:t>
            </w:r>
          </w:p>
        </w:tc>
        <w:tc>
          <w:tcPr>
            <w:tcW w:w="2423" w:type="dxa"/>
            <w:gridSpan w:val="4"/>
          </w:tcPr>
          <w:p>
            <w:pPr>
              <w:jc w:val="center"/>
              <w:rPr>
                <w:color w:val="auto"/>
              </w:rPr>
            </w:pPr>
          </w:p>
        </w:tc>
        <w:tc>
          <w:tcPr>
            <w:tcW w:w="1304" w:type="dxa"/>
          </w:tcPr>
          <w:p>
            <w:pPr>
              <w:jc w:val="center"/>
              <w:rPr>
                <w:color w:val="auto"/>
              </w:rPr>
            </w:pPr>
            <w:r>
              <w:rPr>
                <w:rFonts w:hint="eastAsia"/>
                <w:color w:val="auto"/>
              </w:rPr>
              <w:t>受理编号（机构填）</w:t>
            </w:r>
          </w:p>
        </w:tc>
        <w:tc>
          <w:tcPr>
            <w:tcW w:w="2317" w:type="dxa"/>
            <w:gridSpan w:val="4"/>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478" w:type="dxa"/>
            <w:gridSpan w:val="2"/>
            <w:vAlign w:val="center"/>
          </w:tcPr>
          <w:p>
            <w:pPr>
              <w:jc w:val="center"/>
              <w:rPr>
                <w:color w:val="auto"/>
              </w:rPr>
            </w:pPr>
            <w:r>
              <w:rPr>
                <w:rFonts w:hint="eastAsia"/>
                <w:color w:val="auto"/>
              </w:rPr>
              <w:t>申办单位（CRO）</w:t>
            </w:r>
          </w:p>
        </w:tc>
        <w:tc>
          <w:tcPr>
            <w:tcW w:w="6044" w:type="dxa"/>
            <w:gridSpan w:val="9"/>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478" w:type="dxa"/>
            <w:gridSpan w:val="2"/>
            <w:vAlign w:val="center"/>
          </w:tcPr>
          <w:p>
            <w:pPr>
              <w:jc w:val="center"/>
              <w:rPr>
                <w:color w:val="auto"/>
              </w:rPr>
            </w:pPr>
            <w:r>
              <w:rPr>
                <w:rFonts w:hint="eastAsia"/>
                <w:color w:val="auto"/>
              </w:rPr>
              <w:t>监查员姓名/电话/邮箱</w:t>
            </w:r>
          </w:p>
        </w:tc>
        <w:tc>
          <w:tcPr>
            <w:tcW w:w="6044" w:type="dxa"/>
            <w:gridSpan w:val="9"/>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2478" w:type="dxa"/>
            <w:gridSpan w:val="2"/>
            <w:vAlign w:val="center"/>
          </w:tcPr>
          <w:p>
            <w:pPr>
              <w:jc w:val="center"/>
              <w:rPr>
                <w:color w:val="auto"/>
                <w:szCs w:val="21"/>
              </w:rPr>
            </w:pPr>
            <w:r>
              <w:rPr>
                <w:rFonts w:hint="eastAsia"/>
                <w:color w:val="auto"/>
                <w:szCs w:val="21"/>
              </w:rPr>
              <w:t>医疗器械分类</w:t>
            </w:r>
          </w:p>
          <w:p>
            <w:pPr>
              <w:jc w:val="center"/>
              <w:rPr>
                <w:color w:val="auto"/>
                <w:szCs w:val="21"/>
              </w:rPr>
            </w:pPr>
            <w:r>
              <w:rPr>
                <w:rFonts w:hint="eastAsia"/>
                <w:color w:val="auto"/>
                <w:szCs w:val="21"/>
              </w:rPr>
              <w:t>（复选）</w:t>
            </w:r>
          </w:p>
        </w:tc>
        <w:tc>
          <w:tcPr>
            <w:tcW w:w="6044" w:type="dxa"/>
            <w:gridSpan w:val="9"/>
            <w:vAlign w:val="center"/>
          </w:tcPr>
          <w:p>
            <w:pPr>
              <w:numPr>
                <w:ilvl w:val="0"/>
                <w:numId w:val="43"/>
              </w:numPr>
              <w:rPr>
                <w:color w:val="auto"/>
              </w:rPr>
            </w:pPr>
            <w:r>
              <w:rPr>
                <w:rFonts w:hint="eastAsia" w:ascii="宋体" w:hAnsi="宋体" w:eastAsia="宋体" w:cs="宋体"/>
                <w:color w:val="auto"/>
              </w:rPr>
              <w:t>□境内Ⅱ类</w:t>
            </w:r>
            <w:r>
              <w:rPr>
                <w:rFonts w:hint="eastAsia"/>
                <w:color w:val="auto"/>
              </w:rPr>
              <w:t xml:space="preserve">  </w:t>
            </w:r>
            <w:r>
              <w:rPr>
                <w:rFonts w:hint="eastAsia" w:ascii="宋体" w:hAnsi="宋体" w:eastAsia="宋体" w:cs="宋体"/>
                <w:color w:val="auto"/>
              </w:rPr>
              <w:t xml:space="preserve">□境内Ⅲ类 </w:t>
            </w:r>
            <w:r>
              <w:rPr>
                <w:rFonts w:hint="eastAsia" w:ascii="宋体" w:hAnsi="宋体" w:eastAsia="宋体" w:cs="宋体"/>
                <w:color w:val="auto"/>
              </w:rPr>
              <w:sym w:font="Wingdings 2" w:char="00A3"/>
            </w:r>
            <w:r>
              <w:rPr>
                <w:rFonts w:hint="eastAsia" w:ascii="宋体" w:hAnsi="宋体" w:eastAsia="宋体" w:cs="宋体"/>
                <w:color w:val="auto"/>
              </w:rPr>
              <w:t>境外Ⅱ类</w:t>
            </w:r>
            <w:r>
              <w:rPr>
                <w:rFonts w:hint="eastAsia"/>
                <w:color w:val="auto"/>
              </w:rPr>
              <w:t xml:space="preserve">  </w:t>
            </w:r>
            <w:r>
              <w:rPr>
                <w:rFonts w:hint="eastAsia" w:ascii="宋体" w:hAnsi="宋体" w:eastAsia="宋体" w:cs="宋体"/>
                <w:color w:val="auto"/>
              </w:rPr>
              <w:t>□境外Ⅲ类</w:t>
            </w:r>
          </w:p>
          <w:p>
            <w:pPr>
              <w:numPr>
                <w:ilvl w:val="0"/>
                <w:numId w:val="43"/>
              </w:numPr>
              <w:rPr>
                <w:color w:val="auto"/>
              </w:rPr>
            </w:pPr>
            <w:r>
              <w:rPr>
                <w:rFonts w:hint="eastAsia" w:ascii="宋体" w:hAnsi="宋体" w:eastAsia="宋体" w:cs="宋体"/>
                <w:color w:val="auto"/>
              </w:rPr>
              <w:t>□有源</w:t>
            </w:r>
            <w:r>
              <w:rPr>
                <w:rFonts w:hint="eastAsia"/>
                <w:color w:val="auto"/>
              </w:rPr>
              <w:t xml:space="preserve">  </w:t>
            </w:r>
            <w:r>
              <w:rPr>
                <w:rFonts w:hint="eastAsia" w:ascii="宋体" w:hAnsi="宋体" w:eastAsia="宋体" w:cs="宋体"/>
                <w:color w:val="auto"/>
              </w:rPr>
              <w:t>□无源</w:t>
            </w:r>
          </w:p>
          <w:p>
            <w:pPr>
              <w:numPr>
                <w:ilvl w:val="0"/>
                <w:numId w:val="43"/>
              </w:numPr>
              <w:rPr>
                <w:color w:val="auto"/>
              </w:rPr>
            </w:pPr>
            <w:r>
              <w:rPr>
                <w:rFonts w:hint="eastAsia" w:ascii="宋体" w:hAnsi="宋体" w:eastAsia="宋体" w:cs="宋体"/>
                <w:color w:val="auto"/>
              </w:rPr>
              <w:t>□植入</w:t>
            </w:r>
            <w:r>
              <w:rPr>
                <w:rFonts w:hint="eastAsia"/>
                <w:color w:val="auto"/>
              </w:rPr>
              <w:t xml:space="preserve">  </w:t>
            </w:r>
            <w:r>
              <w:rPr>
                <w:rFonts w:hint="eastAsia" w:ascii="宋体" w:hAnsi="宋体" w:eastAsia="宋体" w:cs="宋体"/>
                <w:color w:val="auto"/>
              </w:rPr>
              <w:t>□非植入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8" w:type="dxa"/>
            <w:gridSpan w:val="2"/>
            <w:vAlign w:val="center"/>
          </w:tcPr>
          <w:p>
            <w:pPr>
              <w:jc w:val="center"/>
              <w:rPr>
                <w:color w:val="auto"/>
                <w:szCs w:val="21"/>
              </w:rPr>
            </w:pPr>
            <w:r>
              <w:rPr>
                <w:rFonts w:hint="eastAsia"/>
                <w:color w:val="auto"/>
                <w:szCs w:val="21"/>
              </w:rPr>
              <w:t>产品名称</w:t>
            </w:r>
          </w:p>
        </w:tc>
        <w:tc>
          <w:tcPr>
            <w:tcW w:w="2423" w:type="dxa"/>
            <w:gridSpan w:val="4"/>
            <w:vAlign w:val="center"/>
          </w:tcPr>
          <w:p>
            <w:pPr>
              <w:jc w:val="center"/>
              <w:rPr>
                <w:color w:val="auto"/>
                <w:szCs w:val="21"/>
              </w:rPr>
            </w:pPr>
          </w:p>
        </w:tc>
        <w:tc>
          <w:tcPr>
            <w:tcW w:w="1512" w:type="dxa"/>
            <w:gridSpan w:val="2"/>
            <w:vAlign w:val="center"/>
          </w:tcPr>
          <w:p>
            <w:pPr>
              <w:jc w:val="center"/>
              <w:rPr>
                <w:color w:val="auto"/>
                <w:szCs w:val="21"/>
              </w:rPr>
            </w:pPr>
            <w:r>
              <w:rPr>
                <w:rFonts w:hint="eastAsia"/>
                <w:color w:val="auto"/>
                <w:szCs w:val="21"/>
              </w:rPr>
              <w:t>规格型号</w:t>
            </w:r>
          </w:p>
        </w:tc>
        <w:tc>
          <w:tcPr>
            <w:tcW w:w="2109" w:type="dxa"/>
            <w:gridSpan w:val="3"/>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8" w:type="dxa"/>
            <w:gridSpan w:val="2"/>
            <w:vAlign w:val="center"/>
          </w:tcPr>
          <w:p>
            <w:pPr>
              <w:jc w:val="center"/>
              <w:rPr>
                <w:color w:val="auto"/>
                <w:szCs w:val="21"/>
              </w:rPr>
            </w:pPr>
            <w:r>
              <w:rPr>
                <w:rFonts w:hint="eastAsia"/>
                <w:color w:val="auto"/>
                <w:szCs w:val="21"/>
              </w:rPr>
              <w:t>申请科室</w:t>
            </w:r>
          </w:p>
        </w:tc>
        <w:tc>
          <w:tcPr>
            <w:tcW w:w="2423" w:type="dxa"/>
            <w:gridSpan w:val="4"/>
            <w:vAlign w:val="center"/>
          </w:tcPr>
          <w:p>
            <w:pPr>
              <w:jc w:val="center"/>
              <w:rPr>
                <w:color w:val="auto"/>
                <w:szCs w:val="21"/>
              </w:rPr>
            </w:pPr>
          </w:p>
        </w:tc>
        <w:tc>
          <w:tcPr>
            <w:tcW w:w="1512" w:type="dxa"/>
            <w:gridSpan w:val="2"/>
            <w:vAlign w:val="center"/>
          </w:tcPr>
          <w:p>
            <w:pPr>
              <w:jc w:val="center"/>
              <w:rPr>
                <w:color w:val="auto"/>
                <w:szCs w:val="21"/>
              </w:rPr>
            </w:pPr>
            <w:r>
              <w:rPr>
                <w:rFonts w:hint="eastAsia"/>
                <w:color w:val="auto"/>
                <w:szCs w:val="21"/>
              </w:rPr>
              <w:t>主要研究者</w:t>
            </w:r>
          </w:p>
        </w:tc>
        <w:tc>
          <w:tcPr>
            <w:tcW w:w="2109" w:type="dxa"/>
            <w:gridSpan w:val="3"/>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8" w:type="dxa"/>
            <w:gridSpan w:val="2"/>
            <w:vAlign w:val="center"/>
          </w:tcPr>
          <w:p>
            <w:pPr>
              <w:jc w:val="center"/>
              <w:rPr>
                <w:color w:val="auto"/>
                <w:szCs w:val="21"/>
              </w:rPr>
            </w:pPr>
            <w:r>
              <w:rPr>
                <w:rFonts w:hint="eastAsia"/>
                <w:color w:val="auto"/>
                <w:szCs w:val="21"/>
              </w:rPr>
              <w:t>PI指定联系人姓名/电话</w:t>
            </w:r>
          </w:p>
        </w:tc>
        <w:tc>
          <w:tcPr>
            <w:tcW w:w="6044" w:type="dxa"/>
            <w:gridSpan w:val="9"/>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8" w:type="dxa"/>
            <w:gridSpan w:val="2"/>
            <w:vAlign w:val="center"/>
          </w:tcPr>
          <w:p>
            <w:pPr>
              <w:jc w:val="center"/>
              <w:rPr>
                <w:color w:val="auto"/>
                <w:szCs w:val="21"/>
              </w:rPr>
            </w:pPr>
            <w:r>
              <w:rPr>
                <w:rFonts w:hint="eastAsia"/>
                <w:color w:val="auto"/>
                <w:szCs w:val="21"/>
              </w:rPr>
              <w:t>预期试验时限</w:t>
            </w:r>
          </w:p>
        </w:tc>
        <w:tc>
          <w:tcPr>
            <w:tcW w:w="2423" w:type="dxa"/>
            <w:gridSpan w:val="4"/>
            <w:vAlign w:val="center"/>
          </w:tcPr>
          <w:p>
            <w:pPr>
              <w:jc w:val="center"/>
              <w:rPr>
                <w:color w:val="auto"/>
                <w:szCs w:val="21"/>
              </w:rPr>
            </w:pPr>
          </w:p>
        </w:tc>
        <w:tc>
          <w:tcPr>
            <w:tcW w:w="1539" w:type="dxa"/>
            <w:gridSpan w:val="3"/>
            <w:vAlign w:val="center"/>
          </w:tcPr>
          <w:p>
            <w:pPr>
              <w:jc w:val="center"/>
              <w:rPr>
                <w:rFonts w:hint="default" w:eastAsiaTheme="minorEastAsia"/>
                <w:color w:val="auto"/>
                <w:szCs w:val="21"/>
                <w:lang w:val="en-US" w:eastAsia="zh-CN"/>
              </w:rPr>
            </w:pPr>
            <w:r>
              <w:rPr>
                <w:rFonts w:hint="eastAsia"/>
                <w:color w:val="auto"/>
                <w:szCs w:val="21"/>
                <w:lang w:val="en-US" w:eastAsia="zh-CN"/>
              </w:rPr>
              <w:t>NMPA批件号</w:t>
            </w:r>
          </w:p>
        </w:tc>
        <w:tc>
          <w:tcPr>
            <w:tcW w:w="2082" w:type="dxa"/>
            <w:gridSpan w:val="2"/>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8" w:type="dxa"/>
            <w:gridSpan w:val="2"/>
            <w:vAlign w:val="center"/>
          </w:tcPr>
          <w:p>
            <w:pPr>
              <w:jc w:val="center"/>
              <w:rPr>
                <w:color w:val="auto"/>
                <w:szCs w:val="21"/>
              </w:rPr>
            </w:pPr>
            <w:r>
              <w:rPr>
                <w:rFonts w:hint="eastAsia"/>
                <w:color w:val="auto"/>
                <w:szCs w:val="21"/>
              </w:rPr>
              <w:t>试验总例数</w:t>
            </w:r>
          </w:p>
        </w:tc>
        <w:tc>
          <w:tcPr>
            <w:tcW w:w="2423" w:type="dxa"/>
            <w:gridSpan w:val="4"/>
            <w:vAlign w:val="center"/>
          </w:tcPr>
          <w:p>
            <w:pPr>
              <w:jc w:val="center"/>
              <w:rPr>
                <w:color w:val="auto"/>
                <w:szCs w:val="21"/>
              </w:rPr>
            </w:pPr>
            <w:r>
              <w:rPr>
                <w:rFonts w:hint="eastAsia"/>
                <w:color w:val="auto"/>
                <w:szCs w:val="21"/>
              </w:rPr>
              <w:t xml:space="preserve">       例</w:t>
            </w:r>
          </w:p>
        </w:tc>
        <w:tc>
          <w:tcPr>
            <w:tcW w:w="1539" w:type="dxa"/>
            <w:gridSpan w:val="3"/>
            <w:vAlign w:val="center"/>
          </w:tcPr>
          <w:p>
            <w:pPr>
              <w:jc w:val="center"/>
              <w:rPr>
                <w:color w:val="auto"/>
                <w:szCs w:val="21"/>
              </w:rPr>
            </w:pPr>
            <w:r>
              <w:rPr>
                <w:rFonts w:hint="eastAsia"/>
                <w:color w:val="auto"/>
                <w:szCs w:val="21"/>
              </w:rPr>
              <w:t>本机构承担</w:t>
            </w:r>
          </w:p>
        </w:tc>
        <w:tc>
          <w:tcPr>
            <w:tcW w:w="2082" w:type="dxa"/>
            <w:gridSpan w:val="2"/>
            <w:vAlign w:val="center"/>
          </w:tcPr>
          <w:p>
            <w:pPr>
              <w:jc w:val="center"/>
              <w:rPr>
                <w:color w:val="auto"/>
              </w:rPr>
            </w:pPr>
            <w:r>
              <w:rPr>
                <w:rFonts w:hint="eastAsia"/>
                <w:color w:val="auto"/>
              </w:rPr>
              <w:t xml:space="preserve">    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78" w:type="dxa"/>
            <w:gridSpan w:val="2"/>
            <w:vAlign w:val="center"/>
          </w:tcPr>
          <w:p>
            <w:pPr>
              <w:jc w:val="center"/>
              <w:rPr>
                <w:color w:val="auto"/>
              </w:rPr>
            </w:pPr>
            <w:r>
              <w:rPr>
                <w:rFonts w:hint="eastAsia"/>
                <w:color w:val="auto"/>
              </w:rPr>
              <w:t>临床试验组长单位</w:t>
            </w:r>
          </w:p>
        </w:tc>
        <w:tc>
          <w:tcPr>
            <w:tcW w:w="6044" w:type="dxa"/>
            <w:gridSpan w:val="9"/>
            <w:vAlign w:val="center"/>
          </w:tcPr>
          <w:p>
            <w:pPr>
              <w:jc w:val="both"/>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522" w:type="dxa"/>
            <w:gridSpan w:val="11"/>
            <w:vAlign w:val="center"/>
          </w:tcPr>
          <w:p>
            <w:pPr>
              <w:jc w:val="center"/>
              <w:rPr>
                <w:color w:val="auto"/>
                <w:sz w:val="24"/>
                <w:szCs w:val="24"/>
              </w:rPr>
            </w:pPr>
            <w:r>
              <w:rPr>
                <w:rFonts w:hint="eastAsia"/>
                <w:color w:val="auto"/>
                <w:szCs w:val="21"/>
              </w:rPr>
              <w:t>申请医疗器械临床试验需准备的资料（备注：相关材料如有请在空格里打</w:t>
            </w:r>
            <w:r>
              <w:rPr>
                <w:rFonts w:ascii="Arial" w:hAnsi="Arial" w:cs="Arial"/>
                <w:color w:val="auto"/>
                <w:szCs w:val="21"/>
              </w:rPr>
              <w:t>√</w:t>
            </w:r>
            <w:r>
              <w:rPr>
                <w:rFonts w:hint="eastAsia" w:asciiTheme="minorEastAsia" w:hAnsiTheme="minorEastAsia" w:cs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 w:type="dxa"/>
            <w:vAlign w:val="center"/>
          </w:tcPr>
          <w:p>
            <w:pPr>
              <w:jc w:val="center"/>
              <w:rPr>
                <w:color w:val="auto"/>
              </w:rPr>
            </w:pPr>
            <w:r>
              <w:rPr>
                <w:rFonts w:hint="eastAsia"/>
                <w:color w:val="auto"/>
              </w:rPr>
              <w:t>1</w:t>
            </w:r>
          </w:p>
        </w:tc>
        <w:tc>
          <w:tcPr>
            <w:tcW w:w="2760" w:type="dxa"/>
            <w:gridSpan w:val="2"/>
            <w:vAlign w:val="center"/>
          </w:tcPr>
          <w:p>
            <w:pPr>
              <w:jc w:val="both"/>
              <w:rPr>
                <w:color w:val="auto"/>
              </w:rPr>
            </w:pPr>
            <w:r>
              <w:rPr>
                <w:rFonts w:hint="eastAsia"/>
                <w:color w:val="auto"/>
              </w:rPr>
              <w:t>申办者或CRO委托临床试验机构进行临床试验的委托函</w:t>
            </w:r>
          </w:p>
        </w:tc>
        <w:tc>
          <w:tcPr>
            <w:tcW w:w="439" w:type="dxa"/>
            <w:vAlign w:val="center"/>
          </w:tcPr>
          <w:p>
            <w:pPr>
              <w:rPr>
                <w:color w:val="auto"/>
              </w:rPr>
            </w:pPr>
          </w:p>
        </w:tc>
        <w:tc>
          <w:tcPr>
            <w:tcW w:w="433" w:type="dxa"/>
            <w:vAlign w:val="center"/>
          </w:tcPr>
          <w:p>
            <w:pPr>
              <w:jc w:val="center"/>
              <w:rPr>
                <w:rFonts w:hint="default" w:eastAsiaTheme="minorEastAsia"/>
                <w:color w:val="auto"/>
                <w:lang w:val="en-US" w:eastAsia="zh-CN"/>
              </w:rPr>
            </w:pPr>
            <w:r>
              <w:rPr>
                <w:rFonts w:hint="eastAsia"/>
                <w:color w:val="auto"/>
                <w:lang w:val="en-US" w:eastAsia="zh-CN"/>
              </w:rPr>
              <w:t>15</w:t>
            </w:r>
          </w:p>
        </w:tc>
        <w:tc>
          <w:tcPr>
            <w:tcW w:w="3934" w:type="dxa"/>
            <w:gridSpan w:val="5"/>
            <w:vAlign w:val="center"/>
          </w:tcPr>
          <w:p>
            <w:pPr>
              <w:jc w:val="both"/>
              <w:rPr>
                <w:color w:val="auto"/>
              </w:rPr>
            </w:pPr>
            <w:r>
              <w:rPr>
                <w:rFonts w:hint="eastAsia"/>
                <w:color w:val="auto"/>
              </w:rPr>
              <w:t>知情同意书（注明版本号、版本日期）</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85" w:type="dxa"/>
            <w:vAlign w:val="center"/>
          </w:tcPr>
          <w:p>
            <w:pPr>
              <w:jc w:val="center"/>
              <w:rPr>
                <w:color w:val="auto"/>
              </w:rPr>
            </w:pPr>
            <w:r>
              <w:rPr>
                <w:rFonts w:hint="eastAsia"/>
                <w:color w:val="auto"/>
              </w:rPr>
              <w:t>2</w:t>
            </w:r>
          </w:p>
        </w:tc>
        <w:tc>
          <w:tcPr>
            <w:tcW w:w="2760" w:type="dxa"/>
            <w:gridSpan w:val="2"/>
            <w:vAlign w:val="center"/>
          </w:tcPr>
          <w:p>
            <w:pPr>
              <w:jc w:val="both"/>
              <w:rPr>
                <w:color w:val="auto"/>
              </w:rPr>
            </w:pPr>
            <w:r>
              <w:rPr>
                <w:rFonts w:hint="eastAsia"/>
                <w:color w:val="auto"/>
              </w:rPr>
              <w:t>NMPA审批证明或备案证明</w:t>
            </w:r>
          </w:p>
        </w:tc>
        <w:tc>
          <w:tcPr>
            <w:tcW w:w="439" w:type="dxa"/>
            <w:vAlign w:val="center"/>
          </w:tcPr>
          <w:p>
            <w:pPr>
              <w:rPr>
                <w:color w:val="auto"/>
              </w:rPr>
            </w:pPr>
          </w:p>
        </w:tc>
        <w:tc>
          <w:tcPr>
            <w:tcW w:w="433" w:type="dxa"/>
            <w:vAlign w:val="center"/>
          </w:tcPr>
          <w:p>
            <w:pPr>
              <w:jc w:val="center"/>
              <w:rPr>
                <w:rFonts w:hint="default" w:eastAsiaTheme="minorEastAsia"/>
                <w:color w:val="auto"/>
                <w:lang w:val="en-US" w:eastAsia="zh-CN"/>
              </w:rPr>
            </w:pPr>
            <w:r>
              <w:rPr>
                <w:rFonts w:hint="eastAsia"/>
                <w:color w:val="auto"/>
                <w:lang w:val="en-US" w:eastAsia="zh-CN"/>
              </w:rPr>
              <w:t>16</w:t>
            </w:r>
          </w:p>
        </w:tc>
        <w:tc>
          <w:tcPr>
            <w:tcW w:w="3934" w:type="dxa"/>
            <w:gridSpan w:val="5"/>
            <w:vAlign w:val="center"/>
          </w:tcPr>
          <w:p>
            <w:pPr>
              <w:jc w:val="both"/>
              <w:rPr>
                <w:color w:val="auto"/>
              </w:rPr>
            </w:pPr>
            <w:r>
              <w:rPr>
                <w:rFonts w:hint="eastAsia"/>
                <w:color w:val="auto"/>
              </w:rPr>
              <w:t>受试者招募广告（如适用）</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85" w:type="dxa"/>
            <w:vAlign w:val="center"/>
          </w:tcPr>
          <w:p>
            <w:pPr>
              <w:jc w:val="center"/>
              <w:rPr>
                <w:color w:val="auto"/>
              </w:rPr>
            </w:pPr>
            <w:r>
              <w:rPr>
                <w:rFonts w:hint="eastAsia"/>
                <w:color w:val="auto"/>
              </w:rPr>
              <w:t>3</w:t>
            </w:r>
          </w:p>
        </w:tc>
        <w:tc>
          <w:tcPr>
            <w:tcW w:w="2760" w:type="dxa"/>
            <w:gridSpan w:val="2"/>
            <w:vAlign w:val="center"/>
          </w:tcPr>
          <w:p>
            <w:pPr>
              <w:jc w:val="both"/>
              <w:rPr>
                <w:color w:val="auto"/>
              </w:rPr>
            </w:pPr>
            <w:r>
              <w:rPr>
                <w:rFonts w:hint="eastAsia"/>
                <w:color w:val="auto"/>
              </w:rPr>
              <w:t>申办者的资质证明文件（营业执照；生产许可证等。）</w:t>
            </w:r>
          </w:p>
        </w:tc>
        <w:tc>
          <w:tcPr>
            <w:tcW w:w="439" w:type="dxa"/>
            <w:vAlign w:val="center"/>
          </w:tcPr>
          <w:p>
            <w:pPr>
              <w:rPr>
                <w:color w:val="auto"/>
              </w:rPr>
            </w:pPr>
          </w:p>
        </w:tc>
        <w:tc>
          <w:tcPr>
            <w:tcW w:w="433" w:type="dxa"/>
            <w:vAlign w:val="center"/>
          </w:tcPr>
          <w:p>
            <w:pPr>
              <w:jc w:val="center"/>
              <w:rPr>
                <w:rFonts w:hint="default" w:eastAsiaTheme="minorEastAsia"/>
                <w:color w:val="auto"/>
                <w:lang w:val="en-US" w:eastAsia="zh-CN"/>
              </w:rPr>
            </w:pPr>
            <w:r>
              <w:rPr>
                <w:rFonts w:hint="eastAsia"/>
                <w:color w:val="auto"/>
                <w:lang w:val="en-US" w:eastAsia="zh-CN"/>
              </w:rPr>
              <w:t>17</w:t>
            </w:r>
          </w:p>
        </w:tc>
        <w:tc>
          <w:tcPr>
            <w:tcW w:w="3934" w:type="dxa"/>
            <w:gridSpan w:val="5"/>
            <w:vAlign w:val="center"/>
          </w:tcPr>
          <w:p>
            <w:pPr>
              <w:jc w:val="both"/>
              <w:rPr>
                <w:color w:val="auto"/>
              </w:rPr>
            </w:pPr>
            <w:r>
              <w:rPr>
                <w:rFonts w:hint="eastAsia"/>
                <w:color w:val="auto"/>
              </w:rPr>
              <w:t>其他受试者相关材料（如适用）</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 w:type="dxa"/>
            <w:vAlign w:val="center"/>
          </w:tcPr>
          <w:p>
            <w:pPr>
              <w:jc w:val="center"/>
              <w:rPr>
                <w:color w:val="auto"/>
              </w:rPr>
            </w:pPr>
            <w:r>
              <w:rPr>
                <w:rFonts w:hint="eastAsia"/>
                <w:color w:val="auto"/>
              </w:rPr>
              <w:t>4</w:t>
            </w:r>
          </w:p>
        </w:tc>
        <w:tc>
          <w:tcPr>
            <w:tcW w:w="2760" w:type="dxa"/>
            <w:gridSpan w:val="2"/>
            <w:vAlign w:val="center"/>
          </w:tcPr>
          <w:p>
            <w:pPr>
              <w:jc w:val="both"/>
              <w:rPr>
                <w:color w:val="auto"/>
              </w:rPr>
            </w:pPr>
            <w:r>
              <w:rPr>
                <w:rFonts w:hint="eastAsia"/>
                <w:color w:val="auto"/>
              </w:rPr>
              <w:t>申办者委托CRO的委托函及CRO营业执照（如适用）</w:t>
            </w:r>
          </w:p>
        </w:tc>
        <w:tc>
          <w:tcPr>
            <w:tcW w:w="439" w:type="dxa"/>
            <w:vAlign w:val="center"/>
          </w:tcPr>
          <w:p>
            <w:pPr>
              <w:rPr>
                <w:color w:val="auto"/>
              </w:rPr>
            </w:pPr>
          </w:p>
        </w:tc>
        <w:tc>
          <w:tcPr>
            <w:tcW w:w="433" w:type="dxa"/>
            <w:vAlign w:val="center"/>
          </w:tcPr>
          <w:p>
            <w:pPr>
              <w:jc w:val="center"/>
              <w:rPr>
                <w:rFonts w:hint="default" w:eastAsiaTheme="minorEastAsia"/>
                <w:color w:val="auto"/>
                <w:lang w:val="en-US" w:eastAsia="zh-CN"/>
              </w:rPr>
            </w:pPr>
            <w:r>
              <w:rPr>
                <w:rFonts w:hint="eastAsia"/>
                <w:color w:val="auto"/>
                <w:lang w:val="en-US" w:eastAsia="zh-CN"/>
              </w:rPr>
              <w:t>18</w:t>
            </w:r>
          </w:p>
        </w:tc>
        <w:tc>
          <w:tcPr>
            <w:tcW w:w="3934" w:type="dxa"/>
            <w:gridSpan w:val="5"/>
            <w:vAlign w:val="center"/>
          </w:tcPr>
          <w:p>
            <w:pPr>
              <w:jc w:val="both"/>
              <w:rPr>
                <w:rFonts w:hint="eastAsia" w:eastAsiaTheme="minorEastAsia"/>
                <w:color w:val="auto"/>
                <w:lang w:eastAsia="zh-CN"/>
              </w:rPr>
            </w:pPr>
            <w:r>
              <w:rPr>
                <w:rFonts w:hint="eastAsia"/>
                <w:color w:val="auto"/>
              </w:rPr>
              <w:t>基于产品技术要求的产品检验报告</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 w:type="dxa"/>
            <w:vAlign w:val="center"/>
          </w:tcPr>
          <w:p>
            <w:pPr>
              <w:jc w:val="center"/>
              <w:rPr>
                <w:color w:val="auto"/>
              </w:rPr>
            </w:pPr>
            <w:r>
              <w:rPr>
                <w:rFonts w:hint="eastAsia"/>
                <w:color w:val="auto"/>
              </w:rPr>
              <w:t>5</w:t>
            </w:r>
          </w:p>
        </w:tc>
        <w:tc>
          <w:tcPr>
            <w:tcW w:w="2760" w:type="dxa"/>
            <w:gridSpan w:val="2"/>
            <w:vAlign w:val="center"/>
          </w:tcPr>
          <w:p>
            <w:pPr>
              <w:jc w:val="both"/>
              <w:rPr>
                <w:color w:val="auto"/>
              </w:rPr>
            </w:pPr>
            <w:r>
              <w:rPr>
                <w:rFonts w:hint="eastAsia"/>
                <w:color w:val="auto"/>
              </w:rPr>
              <w:t>中心实验室或第三方实验室委托函、资质证明文件及室间质评证书（如适用）</w:t>
            </w:r>
          </w:p>
        </w:tc>
        <w:tc>
          <w:tcPr>
            <w:tcW w:w="439" w:type="dxa"/>
            <w:vAlign w:val="center"/>
          </w:tcPr>
          <w:p>
            <w:pPr>
              <w:rPr>
                <w:color w:val="auto"/>
              </w:rPr>
            </w:pPr>
          </w:p>
        </w:tc>
        <w:tc>
          <w:tcPr>
            <w:tcW w:w="433" w:type="dxa"/>
            <w:vAlign w:val="center"/>
          </w:tcPr>
          <w:p>
            <w:pPr>
              <w:jc w:val="center"/>
              <w:rPr>
                <w:rFonts w:hint="default" w:eastAsiaTheme="minorEastAsia"/>
                <w:color w:val="auto"/>
                <w:lang w:val="en-US" w:eastAsia="zh-CN"/>
              </w:rPr>
            </w:pPr>
            <w:r>
              <w:rPr>
                <w:rFonts w:hint="eastAsia"/>
                <w:color w:val="auto"/>
                <w:lang w:val="en-US" w:eastAsia="zh-CN"/>
              </w:rPr>
              <w:t>19</w:t>
            </w:r>
          </w:p>
        </w:tc>
        <w:tc>
          <w:tcPr>
            <w:tcW w:w="3934" w:type="dxa"/>
            <w:gridSpan w:val="5"/>
            <w:vAlign w:val="center"/>
          </w:tcPr>
          <w:p>
            <w:pPr>
              <w:jc w:val="both"/>
              <w:rPr>
                <w:color w:val="auto"/>
              </w:rPr>
            </w:pPr>
            <w:r>
              <w:rPr>
                <w:rFonts w:hint="eastAsia"/>
                <w:color w:val="auto"/>
              </w:rPr>
              <w:t>试验用医疗器械的研制符合适用的医疗器械质量管理体系相关要求的声明</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85" w:type="dxa"/>
            <w:vAlign w:val="center"/>
          </w:tcPr>
          <w:p>
            <w:pPr>
              <w:jc w:val="center"/>
              <w:rPr>
                <w:color w:val="auto"/>
              </w:rPr>
            </w:pPr>
            <w:r>
              <w:rPr>
                <w:rFonts w:hint="eastAsia"/>
                <w:color w:val="auto"/>
              </w:rPr>
              <w:t>6</w:t>
            </w:r>
          </w:p>
        </w:tc>
        <w:tc>
          <w:tcPr>
            <w:tcW w:w="2760" w:type="dxa"/>
            <w:gridSpan w:val="2"/>
            <w:vAlign w:val="center"/>
          </w:tcPr>
          <w:p>
            <w:pPr>
              <w:jc w:val="both"/>
              <w:rPr>
                <w:color w:val="auto"/>
              </w:rPr>
            </w:pPr>
            <w:r>
              <w:rPr>
                <w:rFonts w:hint="eastAsia"/>
                <w:color w:val="auto"/>
              </w:rPr>
              <w:t>监查员委托函、简历及资质</w:t>
            </w:r>
          </w:p>
        </w:tc>
        <w:tc>
          <w:tcPr>
            <w:tcW w:w="439" w:type="dxa"/>
            <w:vAlign w:val="center"/>
          </w:tcPr>
          <w:p>
            <w:pPr>
              <w:rPr>
                <w:color w:val="auto"/>
              </w:rPr>
            </w:pPr>
          </w:p>
        </w:tc>
        <w:tc>
          <w:tcPr>
            <w:tcW w:w="433" w:type="dxa"/>
            <w:vAlign w:val="center"/>
          </w:tcPr>
          <w:p>
            <w:pPr>
              <w:jc w:val="center"/>
              <w:rPr>
                <w:rFonts w:hint="default" w:eastAsiaTheme="minorEastAsia"/>
                <w:color w:val="auto"/>
                <w:lang w:val="en-US" w:eastAsia="zh-CN"/>
              </w:rPr>
            </w:pPr>
            <w:r>
              <w:rPr>
                <w:rFonts w:hint="eastAsia"/>
                <w:color w:val="auto"/>
                <w:lang w:val="en-US" w:eastAsia="zh-CN"/>
              </w:rPr>
              <w:t>20</w:t>
            </w:r>
          </w:p>
        </w:tc>
        <w:tc>
          <w:tcPr>
            <w:tcW w:w="3934" w:type="dxa"/>
            <w:gridSpan w:val="5"/>
            <w:vAlign w:val="center"/>
          </w:tcPr>
          <w:p>
            <w:pPr>
              <w:jc w:val="both"/>
              <w:rPr>
                <w:color w:val="auto"/>
              </w:rPr>
            </w:pPr>
            <w:r>
              <w:rPr>
                <w:rFonts w:hint="eastAsia"/>
                <w:color w:val="auto"/>
              </w:rPr>
              <w:t>产品的动物试验报告</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85" w:type="dxa"/>
          </w:tcPr>
          <w:p>
            <w:pPr>
              <w:jc w:val="center"/>
              <w:rPr>
                <w:color w:val="auto"/>
              </w:rPr>
            </w:pPr>
            <w:r>
              <w:rPr>
                <w:rFonts w:hint="eastAsia"/>
                <w:color w:val="auto"/>
              </w:rPr>
              <w:t>7</w:t>
            </w:r>
          </w:p>
        </w:tc>
        <w:tc>
          <w:tcPr>
            <w:tcW w:w="2760" w:type="dxa"/>
            <w:gridSpan w:val="2"/>
            <w:vAlign w:val="center"/>
          </w:tcPr>
          <w:p>
            <w:pPr>
              <w:jc w:val="both"/>
              <w:rPr>
                <w:color w:val="auto"/>
              </w:rPr>
            </w:pPr>
            <w:r>
              <w:rPr>
                <w:rFonts w:hint="eastAsia"/>
                <w:color w:val="auto"/>
              </w:rPr>
              <w:t>申办者/CRO委托SMO的委托函及SMO的营业执照（如适用）</w:t>
            </w:r>
          </w:p>
        </w:tc>
        <w:tc>
          <w:tcPr>
            <w:tcW w:w="439" w:type="dxa"/>
          </w:tcPr>
          <w:p>
            <w:pPr>
              <w:rPr>
                <w:color w:val="auto"/>
              </w:rPr>
            </w:pPr>
          </w:p>
        </w:tc>
        <w:tc>
          <w:tcPr>
            <w:tcW w:w="433" w:type="dxa"/>
            <w:vAlign w:val="center"/>
          </w:tcPr>
          <w:p>
            <w:pPr>
              <w:jc w:val="center"/>
              <w:rPr>
                <w:rFonts w:hint="default" w:eastAsiaTheme="minorEastAsia"/>
                <w:color w:val="auto"/>
                <w:lang w:val="en-US" w:eastAsia="zh-CN"/>
              </w:rPr>
            </w:pPr>
            <w:r>
              <w:rPr>
                <w:rFonts w:hint="eastAsia"/>
                <w:color w:val="auto"/>
                <w:lang w:val="en-US" w:eastAsia="zh-CN"/>
              </w:rPr>
              <w:t>21</w:t>
            </w:r>
          </w:p>
        </w:tc>
        <w:tc>
          <w:tcPr>
            <w:tcW w:w="3934" w:type="dxa"/>
            <w:gridSpan w:val="5"/>
            <w:vAlign w:val="center"/>
          </w:tcPr>
          <w:p>
            <w:pPr>
              <w:jc w:val="both"/>
              <w:rPr>
                <w:color w:val="auto"/>
              </w:rPr>
            </w:pPr>
            <w:r>
              <w:rPr>
                <w:rFonts w:hint="eastAsia"/>
                <w:color w:val="auto"/>
              </w:rPr>
              <w:t>临床试验保险证明</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85" w:type="dxa"/>
          </w:tcPr>
          <w:p>
            <w:pPr>
              <w:jc w:val="center"/>
              <w:rPr>
                <w:color w:val="auto"/>
              </w:rPr>
            </w:pPr>
            <w:r>
              <w:rPr>
                <w:rFonts w:hint="eastAsia"/>
                <w:color w:val="auto"/>
              </w:rPr>
              <w:t>8</w:t>
            </w:r>
          </w:p>
        </w:tc>
        <w:tc>
          <w:tcPr>
            <w:tcW w:w="2760" w:type="dxa"/>
            <w:gridSpan w:val="2"/>
            <w:vAlign w:val="center"/>
          </w:tcPr>
          <w:p>
            <w:pPr>
              <w:jc w:val="both"/>
              <w:rPr>
                <w:color w:val="auto"/>
              </w:rPr>
            </w:pPr>
            <w:r>
              <w:rPr>
                <w:rFonts w:hint="eastAsia"/>
                <w:color w:val="auto"/>
              </w:rPr>
              <w:t>申办者、CRO、统计单位等试验参加单位信息表</w:t>
            </w:r>
          </w:p>
        </w:tc>
        <w:tc>
          <w:tcPr>
            <w:tcW w:w="439" w:type="dxa"/>
          </w:tcPr>
          <w:p>
            <w:pPr>
              <w:rPr>
                <w:color w:val="auto"/>
              </w:rPr>
            </w:pPr>
          </w:p>
        </w:tc>
        <w:tc>
          <w:tcPr>
            <w:tcW w:w="433" w:type="dxa"/>
            <w:vAlign w:val="center"/>
          </w:tcPr>
          <w:p>
            <w:pPr>
              <w:jc w:val="center"/>
              <w:rPr>
                <w:rFonts w:hint="default" w:eastAsiaTheme="minorEastAsia"/>
                <w:color w:val="auto"/>
                <w:lang w:val="en-US" w:eastAsia="zh-CN"/>
              </w:rPr>
            </w:pPr>
            <w:r>
              <w:rPr>
                <w:rFonts w:hint="eastAsia"/>
                <w:color w:val="auto"/>
                <w:lang w:val="en-US" w:eastAsia="zh-CN"/>
              </w:rPr>
              <w:t>22</w:t>
            </w:r>
          </w:p>
        </w:tc>
        <w:tc>
          <w:tcPr>
            <w:tcW w:w="3934" w:type="dxa"/>
            <w:gridSpan w:val="5"/>
            <w:vAlign w:val="center"/>
          </w:tcPr>
          <w:p>
            <w:pPr>
              <w:jc w:val="both"/>
              <w:rPr>
                <w:color w:val="auto"/>
              </w:rPr>
            </w:pPr>
            <w:r>
              <w:rPr>
                <w:rFonts w:hint="eastAsia"/>
                <w:color w:val="auto"/>
              </w:rPr>
              <w:t>盲法试验的揭盲程序（如适用）</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85" w:type="dxa"/>
            <w:vAlign w:val="center"/>
          </w:tcPr>
          <w:p>
            <w:pPr>
              <w:jc w:val="center"/>
              <w:rPr>
                <w:color w:val="auto"/>
              </w:rPr>
            </w:pPr>
            <w:r>
              <w:rPr>
                <w:rFonts w:hint="eastAsia"/>
                <w:color w:val="auto"/>
              </w:rPr>
              <w:t>9</w:t>
            </w:r>
          </w:p>
        </w:tc>
        <w:tc>
          <w:tcPr>
            <w:tcW w:w="2760" w:type="dxa"/>
            <w:gridSpan w:val="2"/>
            <w:vAlign w:val="center"/>
          </w:tcPr>
          <w:p>
            <w:pPr>
              <w:jc w:val="both"/>
              <w:rPr>
                <w:color w:val="auto"/>
              </w:rPr>
            </w:pPr>
            <w:r>
              <w:rPr>
                <w:rFonts w:hint="eastAsia"/>
                <w:color w:val="auto"/>
              </w:rPr>
              <w:t>我国人类遗传资源采集、保藏、利用、对外提供的既往审批/备案材料（申请书、受理文件、批件、备案证明等）</w:t>
            </w:r>
          </w:p>
        </w:tc>
        <w:tc>
          <w:tcPr>
            <w:tcW w:w="439" w:type="dxa"/>
          </w:tcPr>
          <w:p>
            <w:pPr>
              <w:rPr>
                <w:color w:val="auto"/>
              </w:rPr>
            </w:pPr>
          </w:p>
        </w:tc>
        <w:tc>
          <w:tcPr>
            <w:tcW w:w="433" w:type="dxa"/>
            <w:vAlign w:val="center"/>
          </w:tcPr>
          <w:p>
            <w:pPr>
              <w:jc w:val="center"/>
              <w:rPr>
                <w:rFonts w:hint="default" w:eastAsiaTheme="minorEastAsia"/>
                <w:color w:val="auto"/>
                <w:lang w:val="en-US" w:eastAsia="zh-CN"/>
              </w:rPr>
            </w:pPr>
            <w:r>
              <w:rPr>
                <w:rFonts w:hint="eastAsia"/>
                <w:color w:val="auto"/>
                <w:lang w:val="en-US" w:eastAsia="zh-CN"/>
              </w:rPr>
              <w:t>23</w:t>
            </w:r>
          </w:p>
        </w:tc>
        <w:tc>
          <w:tcPr>
            <w:tcW w:w="3934" w:type="dxa"/>
            <w:gridSpan w:val="5"/>
            <w:vAlign w:val="center"/>
          </w:tcPr>
          <w:p>
            <w:pPr>
              <w:jc w:val="both"/>
              <w:rPr>
                <w:color w:val="auto"/>
              </w:rPr>
            </w:pPr>
            <w:r>
              <w:rPr>
                <w:rFonts w:hint="eastAsia"/>
                <w:color w:val="auto"/>
              </w:rPr>
              <w:t>本中心拟参加本试验的研究者名单</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85" w:type="dxa"/>
            <w:vAlign w:val="center"/>
          </w:tcPr>
          <w:p>
            <w:pPr>
              <w:jc w:val="center"/>
              <w:rPr>
                <w:color w:val="auto"/>
              </w:rPr>
            </w:pPr>
            <w:r>
              <w:rPr>
                <w:rFonts w:hint="eastAsia"/>
                <w:color w:val="auto"/>
              </w:rPr>
              <w:t>10</w:t>
            </w:r>
          </w:p>
        </w:tc>
        <w:tc>
          <w:tcPr>
            <w:tcW w:w="2760" w:type="dxa"/>
            <w:gridSpan w:val="2"/>
            <w:vAlign w:val="center"/>
          </w:tcPr>
          <w:p>
            <w:pPr>
              <w:jc w:val="both"/>
              <w:rPr>
                <w:color w:val="auto"/>
              </w:rPr>
            </w:pPr>
            <w:r>
              <w:rPr>
                <w:rFonts w:hint="eastAsia"/>
                <w:color w:val="auto"/>
              </w:rPr>
              <w:t>组长单位的伦理批件和成员表</w:t>
            </w:r>
          </w:p>
        </w:tc>
        <w:tc>
          <w:tcPr>
            <w:tcW w:w="439" w:type="dxa"/>
          </w:tcPr>
          <w:p>
            <w:pPr>
              <w:rPr>
                <w:color w:val="auto"/>
              </w:rPr>
            </w:pPr>
          </w:p>
        </w:tc>
        <w:tc>
          <w:tcPr>
            <w:tcW w:w="433" w:type="dxa"/>
            <w:vAlign w:val="center"/>
          </w:tcPr>
          <w:p>
            <w:pPr>
              <w:jc w:val="center"/>
              <w:rPr>
                <w:rFonts w:hint="default" w:eastAsiaTheme="minorEastAsia"/>
                <w:color w:val="auto"/>
                <w:lang w:val="en-US" w:eastAsia="zh-CN"/>
              </w:rPr>
            </w:pPr>
            <w:r>
              <w:rPr>
                <w:rFonts w:hint="eastAsia"/>
                <w:color w:val="auto"/>
                <w:lang w:val="en-US" w:eastAsia="zh-CN"/>
              </w:rPr>
              <w:t>24</w:t>
            </w:r>
          </w:p>
        </w:tc>
        <w:tc>
          <w:tcPr>
            <w:tcW w:w="3934" w:type="dxa"/>
            <w:gridSpan w:val="5"/>
            <w:vAlign w:val="center"/>
          </w:tcPr>
          <w:p>
            <w:pPr>
              <w:jc w:val="both"/>
              <w:rPr>
                <w:color w:val="auto"/>
              </w:rPr>
            </w:pPr>
            <w:r>
              <w:rPr>
                <w:rFonts w:hint="eastAsia"/>
                <w:color w:val="auto"/>
              </w:rPr>
              <w:t>本中心拟参加本试验的研究者资质</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85" w:type="dxa"/>
            <w:vAlign w:val="center"/>
          </w:tcPr>
          <w:p>
            <w:pPr>
              <w:jc w:val="center"/>
              <w:rPr>
                <w:color w:val="auto"/>
              </w:rPr>
            </w:pPr>
            <w:r>
              <w:rPr>
                <w:rFonts w:hint="eastAsia"/>
                <w:color w:val="auto"/>
              </w:rPr>
              <w:t>11</w:t>
            </w:r>
          </w:p>
        </w:tc>
        <w:tc>
          <w:tcPr>
            <w:tcW w:w="2760" w:type="dxa"/>
            <w:gridSpan w:val="2"/>
            <w:vAlign w:val="center"/>
          </w:tcPr>
          <w:p>
            <w:pPr>
              <w:jc w:val="both"/>
              <w:rPr>
                <w:color w:val="auto"/>
              </w:rPr>
            </w:pPr>
            <w:r>
              <w:rPr>
                <w:rFonts w:hint="eastAsia"/>
                <w:color w:val="auto"/>
              </w:rPr>
              <w:t>研究者手册（注明版本号，版本日期）（如适用）</w:t>
            </w:r>
          </w:p>
        </w:tc>
        <w:tc>
          <w:tcPr>
            <w:tcW w:w="439" w:type="dxa"/>
          </w:tcPr>
          <w:p>
            <w:pPr>
              <w:rPr>
                <w:color w:val="auto"/>
              </w:rPr>
            </w:pPr>
          </w:p>
        </w:tc>
        <w:tc>
          <w:tcPr>
            <w:tcW w:w="433" w:type="dxa"/>
            <w:vAlign w:val="center"/>
          </w:tcPr>
          <w:p>
            <w:pPr>
              <w:jc w:val="center"/>
              <w:rPr>
                <w:rFonts w:hint="default" w:eastAsiaTheme="minorEastAsia"/>
                <w:color w:val="auto"/>
                <w:lang w:val="en-US" w:eastAsia="zh-CN"/>
              </w:rPr>
            </w:pPr>
            <w:r>
              <w:rPr>
                <w:rFonts w:hint="eastAsia"/>
                <w:color w:val="auto"/>
                <w:lang w:val="en-US" w:eastAsia="zh-CN"/>
              </w:rPr>
              <w:t>25</w:t>
            </w:r>
          </w:p>
        </w:tc>
        <w:tc>
          <w:tcPr>
            <w:tcW w:w="3934" w:type="dxa"/>
            <w:gridSpan w:val="5"/>
            <w:vAlign w:val="center"/>
          </w:tcPr>
          <w:p>
            <w:pPr>
              <w:jc w:val="both"/>
              <w:rPr>
                <w:color w:val="auto"/>
              </w:rPr>
            </w:pPr>
            <w:r>
              <w:rPr>
                <w:rFonts w:hint="eastAsia"/>
                <w:color w:val="auto"/>
              </w:rPr>
              <w:t>研究者利益冲突声明</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85" w:type="dxa"/>
            <w:vAlign w:val="center"/>
          </w:tcPr>
          <w:p>
            <w:pPr>
              <w:jc w:val="center"/>
              <w:rPr>
                <w:rFonts w:hint="default" w:eastAsiaTheme="minorEastAsia"/>
                <w:color w:val="auto"/>
                <w:lang w:val="en-US" w:eastAsia="zh-CN"/>
              </w:rPr>
            </w:pPr>
            <w:r>
              <w:rPr>
                <w:rFonts w:hint="eastAsia"/>
                <w:color w:val="auto"/>
                <w:lang w:val="en-US" w:eastAsia="zh-CN"/>
              </w:rPr>
              <w:t>12</w:t>
            </w:r>
          </w:p>
        </w:tc>
        <w:tc>
          <w:tcPr>
            <w:tcW w:w="2760" w:type="dxa"/>
            <w:gridSpan w:val="2"/>
            <w:vAlign w:val="center"/>
          </w:tcPr>
          <w:p>
            <w:pPr>
              <w:jc w:val="both"/>
              <w:rPr>
                <w:rFonts w:hint="eastAsia"/>
                <w:color w:val="auto"/>
              </w:rPr>
            </w:pPr>
            <w:r>
              <w:rPr>
                <w:rFonts w:hint="eastAsia"/>
                <w:color w:val="auto"/>
              </w:rPr>
              <w:t>试验方案（注明版本号、版本日期）</w:t>
            </w:r>
          </w:p>
        </w:tc>
        <w:tc>
          <w:tcPr>
            <w:tcW w:w="439" w:type="dxa"/>
          </w:tcPr>
          <w:p>
            <w:pPr>
              <w:rPr>
                <w:color w:val="auto"/>
              </w:rPr>
            </w:pPr>
          </w:p>
        </w:tc>
        <w:tc>
          <w:tcPr>
            <w:tcW w:w="433" w:type="dxa"/>
            <w:vAlign w:val="center"/>
          </w:tcPr>
          <w:p>
            <w:pPr>
              <w:jc w:val="center"/>
              <w:rPr>
                <w:rFonts w:hint="default" w:eastAsiaTheme="minorEastAsia"/>
                <w:color w:val="auto"/>
                <w:lang w:val="en-US" w:eastAsia="zh-CN"/>
              </w:rPr>
            </w:pPr>
            <w:r>
              <w:rPr>
                <w:rFonts w:hint="eastAsia"/>
                <w:color w:val="auto"/>
                <w:lang w:val="en-US" w:eastAsia="zh-CN"/>
              </w:rPr>
              <w:t>26</w:t>
            </w:r>
          </w:p>
        </w:tc>
        <w:tc>
          <w:tcPr>
            <w:tcW w:w="3934" w:type="dxa"/>
            <w:gridSpan w:val="5"/>
            <w:vAlign w:val="center"/>
          </w:tcPr>
          <w:p>
            <w:pPr>
              <w:jc w:val="both"/>
              <w:rPr>
                <w:color w:val="auto"/>
              </w:rPr>
            </w:pPr>
            <w:r>
              <w:rPr>
                <w:rFonts w:hint="eastAsia"/>
                <w:color w:val="auto"/>
              </w:rPr>
              <w:t>申办者保证所提供资料真实性的声明</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85" w:type="dxa"/>
            <w:vAlign w:val="center"/>
          </w:tcPr>
          <w:p>
            <w:pPr>
              <w:jc w:val="center"/>
              <w:rPr>
                <w:rFonts w:hint="default" w:eastAsiaTheme="minorEastAsia"/>
                <w:color w:val="auto"/>
                <w:lang w:val="en-US" w:eastAsia="zh-CN"/>
              </w:rPr>
            </w:pPr>
            <w:r>
              <w:rPr>
                <w:rFonts w:hint="eastAsia"/>
                <w:color w:val="auto"/>
                <w:lang w:val="en-US" w:eastAsia="zh-CN"/>
              </w:rPr>
              <w:t>13</w:t>
            </w:r>
          </w:p>
        </w:tc>
        <w:tc>
          <w:tcPr>
            <w:tcW w:w="2760" w:type="dxa"/>
            <w:gridSpan w:val="2"/>
            <w:vAlign w:val="center"/>
          </w:tcPr>
          <w:p>
            <w:pPr>
              <w:jc w:val="both"/>
              <w:rPr>
                <w:rFonts w:hint="eastAsia"/>
                <w:color w:val="auto"/>
              </w:rPr>
            </w:pPr>
            <w:r>
              <w:rPr>
                <w:rFonts w:hint="eastAsia"/>
                <w:color w:val="auto"/>
              </w:rPr>
              <w:t>病例报告表（或电子病例报告表或EDC）样表（注明版本号，版本日期）</w:t>
            </w:r>
          </w:p>
        </w:tc>
        <w:tc>
          <w:tcPr>
            <w:tcW w:w="439" w:type="dxa"/>
          </w:tcPr>
          <w:p>
            <w:pPr>
              <w:rPr>
                <w:color w:val="auto"/>
              </w:rPr>
            </w:pPr>
          </w:p>
        </w:tc>
        <w:tc>
          <w:tcPr>
            <w:tcW w:w="433" w:type="dxa"/>
            <w:vAlign w:val="center"/>
          </w:tcPr>
          <w:p>
            <w:pPr>
              <w:jc w:val="center"/>
              <w:rPr>
                <w:rFonts w:hint="default" w:eastAsiaTheme="minorEastAsia"/>
                <w:color w:val="auto"/>
                <w:lang w:val="en-US" w:eastAsia="zh-CN"/>
              </w:rPr>
            </w:pPr>
            <w:r>
              <w:rPr>
                <w:rFonts w:hint="eastAsia"/>
                <w:color w:val="auto"/>
                <w:lang w:val="en-US" w:eastAsia="zh-CN"/>
              </w:rPr>
              <w:t>27</w:t>
            </w:r>
          </w:p>
        </w:tc>
        <w:tc>
          <w:tcPr>
            <w:tcW w:w="3934" w:type="dxa"/>
            <w:gridSpan w:val="5"/>
            <w:vAlign w:val="center"/>
          </w:tcPr>
          <w:p>
            <w:pPr>
              <w:jc w:val="both"/>
              <w:rPr>
                <w:color w:val="auto"/>
              </w:rPr>
            </w:pPr>
            <w:r>
              <w:rPr>
                <w:rFonts w:hint="eastAsia"/>
                <w:color w:val="auto"/>
              </w:rPr>
              <w:t>研究者保证所提供资料真实性的声明</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85" w:type="dxa"/>
            <w:vAlign w:val="center"/>
          </w:tcPr>
          <w:p>
            <w:pPr>
              <w:jc w:val="center"/>
              <w:rPr>
                <w:rFonts w:hint="default" w:eastAsiaTheme="minorEastAsia"/>
                <w:color w:val="auto"/>
                <w:lang w:val="en-US" w:eastAsia="zh-CN"/>
              </w:rPr>
            </w:pPr>
            <w:r>
              <w:rPr>
                <w:rFonts w:hint="eastAsia"/>
                <w:color w:val="auto"/>
                <w:lang w:val="en-US" w:eastAsia="zh-CN"/>
              </w:rPr>
              <w:t>14</w:t>
            </w:r>
          </w:p>
        </w:tc>
        <w:tc>
          <w:tcPr>
            <w:tcW w:w="2760" w:type="dxa"/>
            <w:gridSpan w:val="2"/>
            <w:vAlign w:val="center"/>
          </w:tcPr>
          <w:p>
            <w:pPr>
              <w:jc w:val="both"/>
              <w:rPr>
                <w:rFonts w:hint="eastAsia"/>
                <w:color w:val="auto"/>
              </w:rPr>
            </w:pPr>
            <w:r>
              <w:rPr>
                <w:rFonts w:hint="eastAsia"/>
                <w:color w:val="auto"/>
              </w:rPr>
              <w:t>研究病历样表（注明版本号、版本日期）</w:t>
            </w:r>
          </w:p>
        </w:tc>
        <w:tc>
          <w:tcPr>
            <w:tcW w:w="439" w:type="dxa"/>
          </w:tcPr>
          <w:p>
            <w:pPr>
              <w:rPr>
                <w:color w:val="auto"/>
              </w:rPr>
            </w:pPr>
          </w:p>
        </w:tc>
        <w:tc>
          <w:tcPr>
            <w:tcW w:w="433" w:type="dxa"/>
            <w:vAlign w:val="center"/>
          </w:tcPr>
          <w:p>
            <w:pPr>
              <w:jc w:val="center"/>
              <w:rPr>
                <w:rFonts w:hint="default" w:eastAsiaTheme="minorEastAsia"/>
                <w:color w:val="auto"/>
                <w:lang w:val="en-US" w:eastAsia="zh-CN"/>
              </w:rPr>
            </w:pPr>
            <w:r>
              <w:rPr>
                <w:rFonts w:hint="eastAsia"/>
                <w:color w:val="auto"/>
                <w:lang w:val="en-US" w:eastAsia="zh-CN"/>
              </w:rPr>
              <w:t>28</w:t>
            </w:r>
          </w:p>
        </w:tc>
        <w:tc>
          <w:tcPr>
            <w:tcW w:w="3934" w:type="dxa"/>
            <w:gridSpan w:val="5"/>
            <w:vAlign w:val="center"/>
          </w:tcPr>
          <w:p>
            <w:pPr>
              <w:jc w:val="both"/>
              <w:rPr>
                <w:color w:val="auto"/>
              </w:rPr>
            </w:pPr>
            <w:r>
              <w:rPr>
                <w:rFonts w:hint="eastAsia"/>
                <w:color w:val="auto"/>
              </w:rPr>
              <w:t>医疗器械临床试验申请表</w:t>
            </w:r>
          </w:p>
        </w:tc>
        <w:tc>
          <w:tcPr>
            <w:tcW w:w="471"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117" w:type="dxa"/>
            <w:gridSpan w:val="5"/>
            <w:vAlign w:val="top"/>
          </w:tcPr>
          <w:p>
            <w:pPr>
              <w:rPr>
                <w:color w:val="auto"/>
                <w:szCs w:val="21"/>
              </w:rPr>
            </w:pPr>
            <w:r>
              <w:rPr>
                <w:rFonts w:hint="eastAsia"/>
                <w:color w:val="auto"/>
                <w:szCs w:val="21"/>
              </w:rPr>
              <w:t>科室意见：</w:t>
            </w:r>
          </w:p>
          <w:p>
            <w:pPr>
              <w:rPr>
                <w:color w:val="auto"/>
                <w:szCs w:val="21"/>
              </w:rPr>
            </w:pPr>
          </w:p>
          <w:p>
            <w:pPr>
              <w:rPr>
                <w:color w:val="auto"/>
                <w:szCs w:val="21"/>
              </w:rPr>
            </w:pPr>
          </w:p>
          <w:p>
            <w:pPr>
              <w:rPr>
                <w:color w:val="auto"/>
                <w:szCs w:val="21"/>
              </w:rPr>
            </w:pPr>
          </w:p>
          <w:p>
            <w:pPr>
              <w:rPr>
                <w:color w:val="auto"/>
                <w:szCs w:val="21"/>
              </w:rPr>
            </w:pPr>
            <w:r>
              <w:rPr>
                <w:rFonts w:hint="eastAsia"/>
                <w:color w:val="auto"/>
                <w:szCs w:val="21"/>
              </w:rPr>
              <w:t xml:space="preserve">                     签名：</w:t>
            </w:r>
          </w:p>
          <w:p>
            <w:pPr>
              <w:rPr>
                <w:color w:val="auto"/>
              </w:rPr>
            </w:pPr>
            <w:r>
              <w:rPr>
                <w:rFonts w:hint="eastAsia"/>
                <w:color w:val="auto"/>
                <w:szCs w:val="21"/>
              </w:rPr>
              <w:t xml:space="preserve">                     日期：</w:t>
            </w:r>
          </w:p>
        </w:tc>
        <w:tc>
          <w:tcPr>
            <w:tcW w:w="4405" w:type="dxa"/>
            <w:gridSpan w:val="6"/>
            <w:vAlign w:val="top"/>
          </w:tcPr>
          <w:p>
            <w:pPr>
              <w:rPr>
                <w:color w:val="auto"/>
                <w:szCs w:val="21"/>
              </w:rPr>
            </w:pPr>
            <w:r>
              <w:rPr>
                <w:rFonts w:hint="eastAsia"/>
                <w:color w:val="auto"/>
                <w:szCs w:val="21"/>
              </w:rPr>
              <w:t>主要研究者申明：</w:t>
            </w:r>
          </w:p>
          <w:p>
            <w:pPr>
              <w:rPr>
                <w:color w:val="auto"/>
                <w:szCs w:val="21"/>
              </w:rPr>
            </w:pPr>
          </w:p>
          <w:p>
            <w:pPr>
              <w:rPr>
                <w:color w:val="auto"/>
                <w:szCs w:val="21"/>
              </w:rPr>
            </w:pPr>
          </w:p>
          <w:p>
            <w:pPr>
              <w:rPr>
                <w:color w:val="auto"/>
                <w:szCs w:val="21"/>
              </w:rPr>
            </w:pPr>
          </w:p>
          <w:p>
            <w:pPr>
              <w:ind w:firstLine="2310" w:firstLineChars="1100"/>
              <w:rPr>
                <w:color w:val="auto"/>
                <w:szCs w:val="21"/>
              </w:rPr>
            </w:pPr>
            <w:r>
              <w:rPr>
                <w:rFonts w:hint="eastAsia"/>
                <w:color w:val="auto"/>
                <w:szCs w:val="21"/>
              </w:rPr>
              <w:t>签名：</w:t>
            </w:r>
          </w:p>
          <w:p>
            <w:pPr>
              <w:rPr>
                <w:color w:val="auto"/>
              </w:rPr>
            </w:pPr>
            <w:r>
              <w:rPr>
                <w:rFonts w:hint="eastAsia"/>
                <w:color w:val="auto"/>
                <w:szCs w:val="21"/>
              </w:rPr>
              <w:t xml:space="preserve">                      日期：</w:t>
            </w: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rFonts w:hint="eastAsia"/>
          <w:b/>
          <w:bCs/>
          <w:color w:val="auto"/>
        </w:rPr>
      </w:pPr>
    </w:p>
    <w:p>
      <w:pPr>
        <w:rPr>
          <w:rFonts w:hint="eastAsia"/>
          <w:b/>
          <w:bCs/>
          <w:color w:val="auto"/>
        </w:rPr>
      </w:pPr>
    </w:p>
    <w:p>
      <w:pPr>
        <w:rPr>
          <w:rFonts w:hint="eastAsia"/>
          <w:b/>
          <w:bCs/>
          <w:color w:val="auto"/>
        </w:rPr>
      </w:pPr>
    </w:p>
    <w:p>
      <w:pPr>
        <w:rPr>
          <w:rFonts w:hint="eastAsia"/>
          <w:b/>
          <w:bCs/>
          <w:color w:val="auto"/>
        </w:rPr>
      </w:pPr>
    </w:p>
    <w:p>
      <w:pPr>
        <w:rPr>
          <w:rFonts w:hint="eastAsia"/>
          <w:b/>
          <w:bCs/>
          <w:color w:val="auto"/>
        </w:rPr>
      </w:pPr>
    </w:p>
    <w:p>
      <w:pPr>
        <w:rPr>
          <w:rFonts w:hint="eastAsia"/>
          <w:b/>
          <w:bCs/>
          <w:color w:val="auto"/>
        </w:rPr>
      </w:pPr>
    </w:p>
    <w:p>
      <w:pPr>
        <w:rPr>
          <w:rFonts w:hint="eastAsia"/>
          <w:b/>
          <w:bCs/>
          <w:color w:val="auto"/>
        </w:rPr>
      </w:pPr>
    </w:p>
    <w:p>
      <w:pPr>
        <w:rPr>
          <w:rFonts w:hint="eastAsia"/>
          <w:b/>
          <w:bCs/>
          <w:color w:val="auto"/>
        </w:rPr>
      </w:pPr>
    </w:p>
    <w:p>
      <w:pPr>
        <w:rPr>
          <w:rFonts w:hint="eastAsia"/>
          <w:b/>
          <w:bCs/>
          <w:color w:val="auto"/>
        </w:rPr>
      </w:pPr>
    </w:p>
    <w:p>
      <w:pPr>
        <w:rPr>
          <w:rFonts w:hint="eastAsia"/>
          <w:b/>
          <w:bCs/>
          <w:color w:val="auto"/>
        </w:rPr>
      </w:pPr>
    </w:p>
    <w:p>
      <w:pPr>
        <w:rPr>
          <w:rFonts w:hint="eastAsia"/>
          <w:b/>
          <w:bCs/>
          <w:color w:val="auto"/>
        </w:rPr>
      </w:pPr>
    </w:p>
    <w:p>
      <w:pPr>
        <w:rPr>
          <w:rFonts w:hint="eastAsia"/>
          <w:b/>
          <w:bCs/>
          <w:color w:val="auto"/>
        </w:rPr>
      </w:pPr>
    </w:p>
    <w:p>
      <w:pPr>
        <w:rPr>
          <w:rFonts w:hint="eastAsia"/>
          <w:b/>
          <w:bCs/>
          <w:color w:val="auto"/>
        </w:rPr>
      </w:pPr>
    </w:p>
    <w:p>
      <w:pPr>
        <w:rPr>
          <w:rFonts w:hint="eastAsia"/>
          <w:b/>
          <w:bCs/>
          <w:color w:val="auto"/>
        </w:rPr>
      </w:pPr>
    </w:p>
    <w:p>
      <w:pPr>
        <w:rPr>
          <w:rFonts w:hint="eastAsia"/>
          <w:b/>
          <w:bCs/>
          <w:color w:val="auto"/>
        </w:rPr>
      </w:pPr>
    </w:p>
    <w:p>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附件4 （YYH-SOP-CTC-004-3.</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-A0</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）沂源县人民医院医疗器械临床试验审批表</w:t>
      </w:r>
    </w:p>
    <w:tbl>
      <w:tblPr>
        <w:tblStyle w:val="28"/>
        <w:tblW w:w="9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2284"/>
        <w:gridCol w:w="1421"/>
        <w:gridCol w:w="585"/>
        <w:gridCol w:w="240"/>
        <w:gridCol w:w="315"/>
        <w:gridCol w:w="1635"/>
        <w:gridCol w:w="2190"/>
        <w:gridCol w:w="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764" w:type="dxa"/>
            <w:gridSpan w:val="2"/>
            <w:vAlign w:val="center"/>
          </w:tcPr>
          <w:p>
            <w:pPr>
              <w:rPr>
                <w:color w:val="auto"/>
              </w:rPr>
            </w:pPr>
            <w:r>
              <w:rPr>
                <w:rFonts w:hint="eastAsia"/>
                <w:color w:val="auto"/>
              </w:rPr>
              <w:t>项目名称</w:t>
            </w:r>
          </w:p>
        </w:tc>
        <w:tc>
          <w:tcPr>
            <w:tcW w:w="6941" w:type="dxa"/>
            <w:gridSpan w:val="7"/>
            <w:vAlign w:val="cente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2764" w:type="dxa"/>
            <w:gridSpan w:val="2"/>
            <w:vAlign w:val="center"/>
          </w:tcPr>
          <w:p>
            <w:pPr>
              <w:rPr>
                <w:color w:val="auto"/>
              </w:rPr>
            </w:pPr>
            <w:r>
              <w:rPr>
                <w:rFonts w:hint="eastAsia"/>
                <w:color w:val="auto"/>
                <w:szCs w:val="21"/>
              </w:rPr>
              <w:t>医疗器械分类</w:t>
            </w:r>
          </w:p>
        </w:tc>
        <w:tc>
          <w:tcPr>
            <w:tcW w:w="6941" w:type="dxa"/>
            <w:gridSpan w:val="7"/>
            <w:vAlign w:val="cente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764" w:type="dxa"/>
            <w:gridSpan w:val="2"/>
            <w:vAlign w:val="center"/>
          </w:tcPr>
          <w:p>
            <w:pPr>
              <w:rPr>
                <w:color w:val="auto"/>
              </w:rPr>
            </w:pPr>
            <w:r>
              <w:rPr>
                <w:rFonts w:hint="eastAsia"/>
                <w:color w:val="auto"/>
              </w:rPr>
              <w:t>申办单位</w:t>
            </w:r>
          </w:p>
        </w:tc>
        <w:tc>
          <w:tcPr>
            <w:tcW w:w="6941" w:type="dxa"/>
            <w:gridSpan w:val="7"/>
            <w:vAlign w:val="cente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764" w:type="dxa"/>
            <w:gridSpan w:val="2"/>
            <w:vMerge w:val="restart"/>
            <w:vAlign w:val="center"/>
          </w:tcPr>
          <w:p>
            <w:pPr>
              <w:rPr>
                <w:color w:val="auto"/>
              </w:rPr>
            </w:pPr>
            <w:r>
              <w:rPr>
                <w:rFonts w:hint="eastAsia"/>
                <w:color w:val="auto"/>
              </w:rPr>
              <w:t>申请科室</w:t>
            </w:r>
          </w:p>
        </w:tc>
        <w:tc>
          <w:tcPr>
            <w:tcW w:w="2246" w:type="dxa"/>
            <w:gridSpan w:val="3"/>
            <w:vMerge w:val="restart"/>
            <w:vAlign w:val="center"/>
          </w:tcPr>
          <w:p>
            <w:pPr>
              <w:rPr>
                <w:color w:val="auto"/>
              </w:rPr>
            </w:pPr>
          </w:p>
        </w:tc>
        <w:tc>
          <w:tcPr>
            <w:tcW w:w="1950" w:type="dxa"/>
            <w:gridSpan w:val="2"/>
            <w:vAlign w:val="center"/>
          </w:tcPr>
          <w:p>
            <w:pPr>
              <w:rPr>
                <w:color w:val="auto"/>
              </w:rPr>
            </w:pPr>
            <w:r>
              <w:rPr>
                <w:rFonts w:hint="eastAsia"/>
                <w:color w:val="auto"/>
              </w:rPr>
              <w:t>专业组负责人</w:t>
            </w:r>
          </w:p>
        </w:tc>
        <w:tc>
          <w:tcPr>
            <w:tcW w:w="2745" w:type="dxa"/>
            <w:gridSpan w:val="2"/>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764" w:type="dxa"/>
            <w:gridSpan w:val="2"/>
            <w:vMerge w:val="continue"/>
            <w:vAlign w:val="center"/>
          </w:tcPr>
          <w:p>
            <w:pPr>
              <w:rPr>
                <w:color w:val="auto"/>
              </w:rPr>
            </w:pPr>
          </w:p>
        </w:tc>
        <w:tc>
          <w:tcPr>
            <w:tcW w:w="2246" w:type="dxa"/>
            <w:gridSpan w:val="3"/>
            <w:vMerge w:val="continue"/>
            <w:vAlign w:val="center"/>
          </w:tcPr>
          <w:p>
            <w:pPr>
              <w:rPr>
                <w:color w:val="auto"/>
              </w:rPr>
            </w:pPr>
          </w:p>
        </w:tc>
        <w:tc>
          <w:tcPr>
            <w:tcW w:w="1950" w:type="dxa"/>
            <w:gridSpan w:val="2"/>
            <w:vAlign w:val="center"/>
          </w:tcPr>
          <w:p>
            <w:pPr>
              <w:rPr>
                <w:color w:val="auto"/>
              </w:rPr>
            </w:pPr>
            <w:r>
              <w:rPr>
                <w:rFonts w:hint="eastAsia"/>
                <w:color w:val="auto"/>
              </w:rPr>
              <w:t>项目负责人</w:t>
            </w:r>
          </w:p>
        </w:tc>
        <w:tc>
          <w:tcPr>
            <w:tcW w:w="2745" w:type="dxa"/>
            <w:gridSpan w:val="2"/>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705" w:type="dxa"/>
            <w:gridSpan w:val="9"/>
            <w:vAlign w:val="center"/>
          </w:tcPr>
          <w:p>
            <w:pPr>
              <w:jc w:val="center"/>
              <w:rPr>
                <w:color w:val="auto"/>
              </w:rPr>
            </w:pPr>
            <w:r>
              <w:rPr>
                <w:rFonts w:hint="eastAsia"/>
                <w:color w:val="auto"/>
              </w:rPr>
              <w:t>医疗器械临床试验递交资料审核清单</w:t>
            </w:r>
            <w:r>
              <w:rPr>
                <w:rFonts w:hint="eastAsia"/>
                <w:color w:val="auto"/>
                <w:szCs w:val="21"/>
              </w:rPr>
              <w:t>（备注：相关材料如有请在空格里打</w:t>
            </w:r>
            <w:r>
              <w:rPr>
                <w:rFonts w:ascii="Arial" w:hAnsi="Arial" w:cs="Arial"/>
                <w:color w:val="auto"/>
                <w:szCs w:val="21"/>
              </w:rPr>
              <w:t>√</w:t>
            </w:r>
            <w:r>
              <w:rPr>
                <w:rFonts w:hint="eastAsia" w:asciiTheme="minorEastAsia" w:hAnsiTheme="minorEastAsia" w:cs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80" w:type="dxa"/>
            <w:vAlign w:val="center"/>
          </w:tcPr>
          <w:p>
            <w:pPr>
              <w:jc w:val="center"/>
              <w:rPr>
                <w:color w:val="auto"/>
                <w:szCs w:val="21"/>
              </w:rPr>
            </w:pPr>
            <w:r>
              <w:rPr>
                <w:rFonts w:hint="eastAsia"/>
                <w:color w:val="auto"/>
              </w:rPr>
              <w:t>1</w:t>
            </w:r>
          </w:p>
        </w:tc>
        <w:tc>
          <w:tcPr>
            <w:tcW w:w="3705" w:type="dxa"/>
            <w:gridSpan w:val="2"/>
            <w:vAlign w:val="center"/>
          </w:tcPr>
          <w:p>
            <w:pPr>
              <w:jc w:val="both"/>
              <w:rPr>
                <w:color w:val="auto"/>
                <w:szCs w:val="21"/>
              </w:rPr>
            </w:pPr>
            <w:r>
              <w:rPr>
                <w:rFonts w:hint="eastAsia"/>
                <w:color w:val="auto"/>
              </w:rPr>
              <w:t>申办者或CRO委托临床试验机构进行临床试验的委托函</w:t>
            </w:r>
          </w:p>
        </w:tc>
        <w:tc>
          <w:tcPr>
            <w:tcW w:w="585" w:type="dxa"/>
            <w:vAlign w:val="center"/>
          </w:tcPr>
          <w:p>
            <w:pPr>
              <w:rPr>
                <w:color w:val="auto"/>
                <w:szCs w:val="21"/>
              </w:rPr>
            </w:pPr>
          </w:p>
        </w:tc>
        <w:tc>
          <w:tcPr>
            <w:tcW w:w="555" w:type="dxa"/>
            <w:gridSpan w:val="2"/>
            <w:vAlign w:val="center"/>
          </w:tcPr>
          <w:p>
            <w:pPr>
              <w:jc w:val="center"/>
              <w:rPr>
                <w:color w:val="auto"/>
                <w:szCs w:val="21"/>
              </w:rPr>
            </w:pPr>
            <w:r>
              <w:rPr>
                <w:rFonts w:hint="eastAsia"/>
                <w:color w:val="auto"/>
                <w:lang w:val="en-US" w:eastAsia="zh-CN"/>
              </w:rPr>
              <w:t>15</w:t>
            </w:r>
          </w:p>
        </w:tc>
        <w:tc>
          <w:tcPr>
            <w:tcW w:w="3825" w:type="dxa"/>
            <w:gridSpan w:val="2"/>
            <w:vAlign w:val="center"/>
          </w:tcPr>
          <w:p>
            <w:pPr>
              <w:jc w:val="both"/>
              <w:rPr>
                <w:color w:val="auto"/>
                <w:szCs w:val="21"/>
              </w:rPr>
            </w:pPr>
            <w:r>
              <w:rPr>
                <w:rFonts w:hint="eastAsia"/>
                <w:color w:val="auto"/>
              </w:rPr>
              <w:t>知情同意书（注明版本号、版本日期）</w:t>
            </w:r>
          </w:p>
        </w:tc>
        <w:tc>
          <w:tcPr>
            <w:tcW w:w="55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80" w:type="dxa"/>
            <w:vAlign w:val="center"/>
          </w:tcPr>
          <w:p>
            <w:pPr>
              <w:jc w:val="center"/>
              <w:rPr>
                <w:color w:val="auto"/>
                <w:szCs w:val="21"/>
              </w:rPr>
            </w:pPr>
            <w:r>
              <w:rPr>
                <w:rFonts w:hint="eastAsia"/>
                <w:color w:val="auto"/>
              </w:rPr>
              <w:t>2</w:t>
            </w:r>
          </w:p>
        </w:tc>
        <w:tc>
          <w:tcPr>
            <w:tcW w:w="3705" w:type="dxa"/>
            <w:gridSpan w:val="2"/>
            <w:vAlign w:val="center"/>
          </w:tcPr>
          <w:p>
            <w:pPr>
              <w:jc w:val="both"/>
              <w:rPr>
                <w:color w:val="auto"/>
                <w:szCs w:val="21"/>
              </w:rPr>
            </w:pPr>
            <w:r>
              <w:rPr>
                <w:rFonts w:hint="eastAsia"/>
                <w:color w:val="auto"/>
              </w:rPr>
              <w:t>NMPA审批证明或备案证明</w:t>
            </w:r>
          </w:p>
        </w:tc>
        <w:tc>
          <w:tcPr>
            <w:tcW w:w="585" w:type="dxa"/>
            <w:vAlign w:val="center"/>
          </w:tcPr>
          <w:p>
            <w:pPr>
              <w:rPr>
                <w:color w:val="auto"/>
                <w:szCs w:val="21"/>
              </w:rPr>
            </w:pPr>
          </w:p>
        </w:tc>
        <w:tc>
          <w:tcPr>
            <w:tcW w:w="555" w:type="dxa"/>
            <w:gridSpan w:val="2"/>
            <w:vAlign w:val="center"/>
          </w:tcPr>
          <w:p>
            <w:pPr>
              <w:jc w:val="center"/>
              <w:rPr>
                <w:color w:val="auto"/>
                <w:szCs w:val="21"/>
              </w:rPr>
            </w:pPr>
            <w:r>
              <w:rPr>
                <w:rFonts w:hint="eastAsia"/>
                <w:color w:val="auto"/>
                <w:lang w:val="en-US" w:eastAsia="zh-CN"/>
              </w:rPr>
              <w:t>16</w:t>
            </w:r>
          </w:p>
        </w:tc>
        <w:tc>
          <w:tcPr>
            <w:tcW w:w="3825" w:type="dxa"/>
            <w:gridSpan w:val="2"/>
            <w:vAlign w:val="center"/>
          </w:tcPr>
          <w:p>
            <w:pPr>
              <w:jc w:val="both"/>
              <w:rPr>
                <w:color w:val="auto"/>
                <w:szCs w:val="21"/>
              </w:rPr>
            </w:pPr>
            <w:r>
              <w:rPr>
                <w:rFonts w:hint="eastAsia"/>
                <w:color w:val="auto"/>
              </w:rPr>
              <w:t>受试者招募广告（如适用）</w:t>
            </w:r>
          </w:p>
        </w:tc>
        <w:tc>
          <w:tcPr>
            <w:tcW w:w="55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0" w:type="dxa"/>
            <w:vAlign w:val="center"/>
          </w:tcPr>
          <w:p>
            <w:pPr>
              <w:jc w:val="center"/>
              <w:rPr>
                <w:color w:val="auto"/>
                <w:szCs w:val="21"/>
              </w:rPr>
            </w:pPr>
            <w:r>
              <w:rPr>
                <w:rFonts w:hint="eastAsia"/>
                <w:color w:val="auto"/>
              </w:rPr>
              <w:t>3</w:t>
            </w:r>
          </w:p>
        </w:tc>
        <w:tc>
          <w:tcPr>
            <w:tcW w:w="3705" w:type="dxa"/>
            <w:gridSpan w:val="2"/>
            <w:vAlign w:val="center"/>
          </w:tcPr>
          <w:p>
            <w:pPr>
              <w:jc w:val="both"/>
              <w:rPr>
                <w:color w:val="auto"/>
                <w:szCs w:val="21"/>
              </w:rPr>
            </w:pPr>
            <w:r>
              <w:rPr>
                <w:rFonts w:hint="eastAsia"/>
                <w:color w:val="auto"/>
              </w:rPr>
              <w:t>申办者的资质证明文件（营业执照；生产许可证等。）</w:t>
            </w:r>
          </w:p>
        </w:tc>
        <w:tc>
          <w:tcPr>
            <w:tcW w:w="585" w:type="dxa"/>
            <w:vAlign w:val="center"/>
          </w:tcPr>
          <w:p>
            <w:pPr>
              <w:rPr>
                <w:color w:val="auto"/>
                <w:szCs w:val="21"/>
              </w:rPr>
            </w:pPr>
          </w:p>
        </w:tc>
        <w:tc>
          <w:tcPr>
            <w:tcW w:w="555" w:type="dxa"/>
            <w:gridSpan w:val="2"/>
            <w:vAlign w:val="center"/>
          </w:tcPr>
          <w:p>
            <w:pPr>
              <w:jc w:val="center"/>
              <w:rPr>
                <w:color w:val="auto"/>
                <w:szCs w:val="21"/>
              </w:rPr>
            </w:pPr>
            <w:r>
              <w:rPr>
                <w:rFonts w:hint="eastAsia"/>
                <w:color w:val="auto"/>
                <w:lang w:val="en-US" w:eastAsia="zh-CN"/>
              </w:rPr>
              <w:t>17</w:t>
            </w:r>
          </w:p>
        </w:tc>
        <w:tc>
          <w:tcPr>
            <w:tcW w:w="3825" w:type="dxa"/>
            <w:gridSpan w:val="2"/>
            <w:vAlign w:val="center"/>
          </w:tcPr>
          <w:p>
            <w:pPr>
              <w:jc w:val="both"/>
              <w:rPr>
                <w:color w:val="auto"/>
                <w:szCs w:val="21"/>
              </w:rPr>
            </w:pPr>
            <w:r>
              <w:rPr>
                <w:rFonts w:hint="eastAsia"/>
                <w:color w:val="auto"/>
              </w:rPr>
              <w:t>其他受试者相关材料（如适用）</w:t>
            </w:r>
          </w:p>
        </w:tc>
        <w:tc>
          <w:tcPr>
            <w:tcW w:w="55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80" w:type="dxa"/>
            <w:vAlign w:val="center"/>
          </w:tcPr>
          <w:p>
            <w:pPr>
              <w:jc w:val="center"/>
              <w:rPr>
                <w:color w:val="auto"/>
                <w:szCs w:val="21"/>
              </w:rPr>
            </w:pPr>
            <w:r>
              <w:rPr>
                <w:rFonts w:hint="eastAsia"/>
                <w:color w:val="auto"/>
              </w:rPr>
              <w:t>4</w:t>
            </w:r>
          </w:p>
        </w:tc>
        <w:tc>
          <w:tcPr>
            <w:tcW w:w="3705" w:type="dxa"/>
            <w:gridSpan w:val="2"/>
            <w:vAlign w:val="center"/>
          </w:tcPr>
          <w:p>
            <w:pPr>
              <w:jc w:val="both"/>
              <w:rPr>
                <w:color w:val="auto"/>
                <w:szCs w:val="21"/>
              </w:rPr>
            </w:pPr>
            <w:r>
              <w:rPr>
                <w:rFonts w:hint="eastAsia"/>
                <w:color w:val="auto"/>
              </w:rPr>
              <w:t>申办者委托CRO的委托函及CRO营业执照（如适用）</w:t>
            </w:r>
          </w:p>
        </w:tc>
        <w:tc>
          <w:tcPr>
            <w:tcW w:w="585" w:type="dxa"/>
            <w:vAlign w:val="center"/>
          </w:tcPr>
          <w:p>
            <w:pPr>
              <w:rPr>
                <w:color w:val="auto"/>
                <w:szCs w:val="21"/>
              </w:rPr>
            </w:pPr>
          </w:p>
        </w:tc>
        <w:tc>
          <w:tcPr>
            <w:tcW w:w="555" w:type="dxa"/>
            <w:gridSpan w:val="2"/>
            <w:vAlign w:val="center"/>
          </w:tcPr>
          <w:p>
            <w:pPr>
              <w:jc w:val="center"/>
              <w:rPr>
                <w:color w:val="auto"/>
                <w:szCs w:val="21"/>
              </w:rPr>
            </w:pPr>
            <w:r>
              <w:rPr>
                <w:rFonts w:hint="eastAsia"/>
                <w:color w:val="auto"/>
                <w:lang w:val="en-US" w:eastAsia="zh-CN"/>
              </w:rPr>
              <w:t>18</w:t>
            </w:r>
          </w:p>
        </w:tc>
        <w:tc>
          <w:tcPr>
            <w:tcW w:w="3825" w:type="dxa"/>
            <w:gridSpan w:val="2"/>
            <w:vAlign w:val="center"/>
          </w:tcPr>
          <w:p>
            <w:pPr>
              <w:jc w:val="both"/>
              <w:rPr>
                <w:color w:val="auto"/>
                <w:szCs w:val="21"/>
              </w:rPr>
            </w:pPr>
            <w:r>
              <w:rPr>
                <w:rFonts w:hint="eastAsia"/>
                <w:color w:val="auto"/>
              </w:rPr>
              <w:t>基于产品技术要求的产品检验报告</w:t>
            </w:r>
          </w:p>
        </w:tc>
        <w:tc>
          <w:tcPr>
            <w:tcW w:w="55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480" w:type="dxa"/>
            <w:vAlign w:val="center"/>
          </w:tcPr>
          <w:p>
            <w:pPr>
              <w:jc w:val="center"/>
              <w:rPr>
                <w:color w:val="auto"/>
                <w:szCs w:val="21"/>
              </w:rPr>
            </w:pPr>
            <w:r>
              <w:rPr>
                <w:rFonts w:hint="eastAsia"/>
                <w:color w:val="auto"/>
              </w:rPr>
              <w:t>5</w:t>
            </w:r>
          </w:p>
        </w:tc>
        <w:tc>
          <w:tcPr>
            <w:tcW w:w="3705" w:type="dxa"/>
            <w:gridSpan w:val="2"/>
            <w:vAlign w:val="center"/>
          </w:tcPr>
          <w:p>
            <w:pPr>
              <w:jc w:val="both"/>
              <w:rPr>
                <w:color w:val="auto"/>
                <w:szCs w:val="21"/>
              </w:rPr>
            </w:pPr>
            <w:r>
              <w:rPr>
                <w:rFonts w:hint="eastAsia"/>
                <w:color w:val="auto"/>
              </w:rPr>
              <w:t>中心实验室或第三方实验室委托函、资质证明文件及室间质评证书（如适用）</w:t>
            </w:r>
          </w:p>
        </w:tc>
        <w:tc>
          <w:tcPr>
            <w:tcW w:w="585" w:type="dxa"/>
            <w:vAlign w:val="center"/>
          </w:tcPr>
          <w:p>
            <w:pPr>
              <w:rPr>
                <w:color w:val="auto"/>
                <w:szCs w:val="21"/>
              </w:rPr>
            </w:pPr>
          </w:p>
        </w:tc>
        <w:tc>
          <w:tcPr>
            <w:tcW w:w="555" w:type="dxa"/>
            <w:gridSpan w:val="2"/>
            <w:vAlign w:val="center"/>
          </w:tcPr>
          <w:p>
            <w:pPr>
              <w:jc w:val="center"/>
              <w:rPr>
                <w:color w:val="auto"/>
                <w:szCs w:val="21"/>
              </w:rPr>
            </w:pPr>
            <w:r>
              <w:rPr>
                <w:rFonts w:hint="eastAsia"/>
                <w:color w:val="auto"/>
                <w:lang w:val="en-US" w:eastAsia="zh-CN"/>
              </w:rPr>
              <w:t>19</w:t>
            </w:r>
          </w:p>
        </w:tc>
        <w:tc>
          <w:tcPr>
            <w:tcW w:w="3825" w:type="dxa"/>
            <w:gridSpan w:val="2"/>
            <w:vAlign w:val="center"/>
          </w:tcPr>
          <w:p>
            <w:pPr>
              <w:jc w:val="both"/>
              <w:rPr>
                <w:color w:val="auto"/>
                <w:szCs w:val="21"/>
              </w:rPr>
            </w:pPr>
            <w:r>
              <w:rPr>
                <w:rFonts w:hint="eastAsia"/>
                <w:color w:val="auto"/>
              </w:rPr>
              <w:t>试验用医疗器械的研制符合适用的医疗器械质量管理体系相关要求的声明</w:t>
            </w:r>
          </w:p>
        </w:tc>
        <w:tc>
          <w:tcPr>
            <w:tcW w:w="55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80" w:type="dxa"/>
            <w:vAlign w:val="center"/>
          </w:tcPr>
          <w:p>
            <w:pPr>
              <w:jc w:val="center"/>
              <w:rPr>
                <w:color w:val="auto"/>
                <w:szCs w:val="21"/>
              </w:rPr>
            </w:pPr>
            <w:r>
              <w:rPr>
                <w:rFonts w:hint="eastAsia"/>
                <w:color w:val="auto"/>
              </w:rPr>
              <w:t>6</w:t>
            </w:r>
          </w:p>
        </w:tc>
        <w:tc>
          <w:tcPr>
            <w:tcW w:w="3705" w:type="dxa"/>
            <w:gridSpan w:val="2"/>
            <w:vAlign w:val="center"/>
          </w:tcPr>
          <w:p>
            <w:pPr>
              <w:jc w:val="both"/>
              <w:rPr>
                <w:color w:val="auto"/>
                <w:szCs w:val="21"/>
              </w:rPr>
            </w:pPr>
            <w:r>
              <w:rPr>
                <w:rFonts w:hint="eastAsia"/>
                <w:color w:val="auto"/>
              </w:rPr>
              <w:t>监查员委托函、简历及资质</w:t>
            </w:r>
          </w:p>
        </w:tc>
        <w:tc>
          <w:tcPr>
            <w:tcW w:w="585" w:type="dxa"/>
            <w:vAlign w:val="center"/>
          </w:tcPr>
          <w:p>
            <w:pPr>
              <w:rPr>
                <w:color w:val="auto"/>
                <w:szCs w:val="21"/>
              </w:rPr>
            </w:pPr>
          </w:p>
        </w:tc>
        <w:tc>
          <w:tcPr>
            <w:tcW w:w="555" w:type="dxa"/>
            <w:gridSpan w:val="2"/>
            <w:vAlign w:val="center"/>
          </w:tcPr>
          <w:p>
            <w:pPr>
              <w:jc w:val="center"/>
              <w:rPr>
                <w:color w:val="auto"/>
                <w:szCs w:val="21"/>
              </w:rPr>
            </w:pPr>
            <w:r>
              <w:rPr>
                <w:rFonts w:hint="eastAsia"/>
                <w:color w:val="auto"/>
                <w:lang w:val="en-US" w:eastAsia="zh-CN"/>
              </w:rPr>
              <w:t>20</w:t>
            </w:r>
          </w:p>
        </w:tc>
        <w:tc>
          <w:tcPr>
            <w:tcW w:w="3825" w:type="dxa"/>
            <w:gridSpan w:val="2"/>
            <w:vAlign w:val="center"/>
          </w:tcPr>
          <w:p>
            <w:pPr>
              <w:jc w:val="both"/>
              <w:rPr>
                <w:color w:val="auto"/>
                <w:szCs w:val="21"/>
              </w:rPr>
            </w:pPr>
            <w:r>
              <w:rPr>
                <w:rFonts w:hint="eastAsia"/>
                <w:color w:val="auto"/>
              </w:rPr>
              <w:t>产品的动物试验报告</w:t>
            </w:r>
          </w:p>
        </w:tc>
        <w:tc>
          <w:tcPr>
            <w:tcW w:w="55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480" w:type="dxa"/>
            <w:vAlign w:val="top"/>
          </w:tcPr>
          <w:p>
            <w:pPr>
              <w:jc w:val="center"/>
              <w:rPr>
                <w:color w:val="auto"/>
                <w:szCs w:val="21"/>
              </w:rPr>
            </w:pPr>
            <w:r>
              <w:rPr>
                <w:rFonts w:hint="eastAsia"/>
                <w:color w:val="auto"/>
              </w:rPr>
              <w:t>7</w:t>
            </w:r>
          </w:p>
        </w:tc>
        <w:tc>
          <w:tcPr>
            <w:tcW w:w="3705" w:type="dxa"/>
            <w:gridSpan w:val="2"/>
            <w:vAlign w:val="center"/>
          </w:tcPr>
          <w:p>
            <w:pPr>
              <w:jc w:val="both"/>
              <w:rPr>
                <w:color w:val="auto"/>
                <w:szCs w:val="21"/>
              </w:rPr>
            </w:pPr>
            <w:r>
              <w:rPr>
                <w:rFonts w:hint="eastAsia"/>
                <w:color w:val="auto"/>
              </w:rPr>
              <w:t>申办者/CRO委托SMO的委托函及SMO的营业执照（如适用）</w:t>
            </w:r>
          </w:p>
        </w:tc>
        <w:tc>
          <w:tcPr>
            <w:tcW w:w="585" w:type="dxa"/>
            <w:vAlign w:val="top"/>
          </w:tcPr>
          <w:p>
            <w:pPr>
              <w:rPr>
                <w:color w:val="auto"/>
                <w:szCs w:val="21"/>
              </w:rPr>
            </w:pPr>
          </w:p>
        </w:tc>
        <w:tc>
          <w:tcPr>
            <w:tcW w:w="555" w:type="dxa"/>
            <w:gridSpan w:val="2"/>
            <w:vAlign w:val="center"/>
          </w:tcPr>
          <w:p>
            <w:pPr>
              <w:jc w:val="center"/>
              <w:rPr>
                <w:color w:val="auto"/>
                <w:szCs w:val="21"/>
              </w:rPr>
            </w:pPr>
            <w:r>
              <w:rPr>
                <w:rFonts w:hint="eastAsia"/>
                <w:color w:val="auto"/>
                <w:lang w:val="en-US" w:eastAsia="zh-CN"/>
              </w:rPr>
              <w:t>21</w:t>
            </w:r>
          </w:p>
        </w:tc>
        <w:tc>
          <w:tcPr>
            <w:tcW w:w="3825" w:type="dxa"/>
            <w:gridSpan w:val="2"/>
            <w:vAlign w:val="center"/>
          </w:tcPr>
          <w:p>
            <w:pPr>
              <w:jc w:val="both"/>
              <w:rPr>
                <w:color w:val="auto"/>
                <w:szCs w:val="21"/>
              </w:rPr>
            </w:pPr>
            <w:r>
              <w:rPr>
                <w:rFonts w:hint="eastAsia"/>
                <w:color w:val="auto"/>
              </w:rPr>
              <w:t>临床试验保险证明</w:t>
            </w:r>
          </w:p>
        </w:tc>
        <w:tc>
          <w:tcPr>
            <w:tcW w:w="55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480" w:type="dxa"/>
            <w:vAlign w:val="top"/>
          </w:tcPr>
          <w:p>
            <w:pPr>
              <w:jc w:val="center"/>
              <w:rPr>
                <w:color w:val="auto"/>
                <w:szCs w:val="21"/>
              </w:rPr>
            </w:pPr>
            <w:r>
              <w:rPr>
                <w:rFonts w:hint="eastAsia"/>
                <w:color w:val="auto"/>
              </w:rPr>
              <w:t>8</w:t>
            </w:r>
          </w:p>
        </w:tc>
        <w:tc>
          <w:tcPr>
            <w:tcW w:w="3705" w:type="dxa"/>
            <w:gridSpan w:val="2"/>
            <w:vAlign w:val="center"/>
          </w:tcPr>
          <w:p>
            <w:pPr>
              <w:jc w:val="both"/>
              <w:rPr>
                <w:color w:val="auto"/>
                <w:szCs w:val="21"/>
              </w:rPr>
            </w:pPr>
            <w:r>
              <w:rPr>
                <w:rFonts w:hint="eastAsia"/>
                <w:color w:val="auto"/>
              </w:rPr>
              <w:t>申办者、CRO、统计单位等试验参加单位信息表</w:t>
            </w:r>
          </w:p>
        </w:tc>
        <w:tc>
          <w:tcPr>
            <w:tcW w:w="585" w:type="dxa"/>
            <w:vAlign w:val="top"/>
          </w:tcPr>
          <w:p>
            <w:pPr>
              <w:rPr>
                <w:color w:val="auto"/>
                <w:szCs w:val="21"/>
              </w:rPr>
            </w:pPr>
          </w:p>
        </w:tc>
        <w:tc>
          <w:tcPr>
            <w:tcW w:w="555" w:type="dxa"/>
            <w:gridSpan w:val="2"/>
            <w:vAlign w:val="center"/>
          </w:tcPr>
          <w:p>
            <w:pPr>
              <w:jc w:val="center"/>
              <w:rPr>
                <w:color w:val="auto"/>
                <w:szCs w:val="21"/>
              </w:rPr>
            </w:pPr>
            <w:r>
              <w:rPr>
                <w:rFonts w:hint="eastAsia"/>
                <w:color w:val="auto"/>
                <w:lang w:val="en-US" w:eastAsia="zh-CN"/>
              </w:rPr>
              <w:t>22</w:t>
            </w:r>
          </w:p>
        </w:tc>
        <w:tc>
          <w:tcPr>
            <w:tcW w:w="3825" w:type="dxa"/>
            <w:gridSpan w:val="2"/>
            <w:vAlign w:val="center"/>
          </w:tcPr>
          <w:p>
            <w:pPr>
              <w:jc w:val="both"/>
              <w:rPr>
                <w:color w:val="auto"/>
                <w:szCs w:val="21"/>
              </w:rPr>
            </w:pPr>
            <w:r>
              <w:rPr>
                <w:rFonts w:hint="eastAsia"/>
                <w:color w:val="auto"/>
              </w:rPr>
              <w:t>盲法试验的揭盲程序（如适用）</w:t>
            </w:r>
          </w:p>
        </w:tc>
        <w:tc>
          <w:tcPr>
            <w:tcW w:w="55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480" w:type="dxa"/>
            <w:vAlign w:val="center"/>
          </w:tcPr>
          <w:p>
            <w:pPr>
              <w:jc w:val="center"/>
              <w:rPr>
                <w:color w:val="auto"/>
                <w:szCs w:val="21"/>
              </w:rPr>
            </w:pPr>
            <w:r>
              <w:rPr>
                <w:rFonts w:hint="eastAsia"/>
                <w:color w:val="auto"/>
              </w:rPr>
              <w:t>9</w:t>
            </w:r>
          </w:p>
        </w:tc>
        <w:tc>
          <w:tcPr>
            <w:tcW w:w="3705" w:type="dxa"/>
            <w:gridSpan w:val="2"/>
            <w:vAlign w:val="center"/>
          </w:tcPr>
          <w:p>
            <w:pPr>
              <w:jc w:val="both"/>
              <w:rPr>
                <w:color w:val="auto"/>
                <w:szCs w:val="21"/>
              </w:rPr>
            </w:pPr>
            <w:r>
              <w:rPr>
                <w:rFonts w:hint="eastAsia"/>
                <w:color w:val="auto"/>
              </w:rPr>
              <w:t>我国人类遗传资源采集、保藏、利用、对外提供的既往审批/备案材料（申请书、受理文件、批件、备案证明等）</w:t>
            </w:r>
          </w:p>
        </w:tc>
        <w:tc>
          <w:tcPr>
            <w:tcW w:w="585" w:type="dxa"/>
            <w:vAlign w:val="top"/>
          </w:tcPr>
          <w:p>
            <w:pPr>
              <w:rPr>
                <w:color w:val="auto"/>
                <w:szCs w:val="21"/>
              </w:rPr>
            </w:pPr>
          </w:p>
        </w:tc>
        <w:tc>
          <w:tcPr>
            <w:tcW w:w="555" w:type="dxa"/>
            <w:gridSpan w:val="2"/>
            <w:vAlign w:val="center"/>
          </w:tcPr>
          <w:p>
            <w:pPr>
              <w:jc w:val="center"/>
              <w:rPr>
                <w:color w:val="auto"/>
                <w:szCs w:val="21"/>
              </w:rPr>
            </w:pPr>
            <w:r>
              <w:rPr>
                <w:rFonts w:hint="eastAsia"/>
                <w:color w:val="auto"/>
                <w:lang w:val="en-US" w:eastAsia="zh-CN"/>
              </w:rPr>
              <w:t>23</w:t>
            </w:r>
          </w:p>
        </w:tc>
        <w:tc>
          <w:tcPr>
            <w:tcW w:w="3825" w:type="dxa"/>
            <w:gridSpan w:val="2"/>
            <w:vAlign w:val="center"/>
          </w:tcPr>
          <w:p>
            <w:pPr>
              <w:jc w:val="both"/>
              <w:rPr>
                <w:color w:val="auto"/>
                <w:szCs w:val="21"/>
              </w:rPr>
            </w:pPr>
            <w:r>
              <w:rPr>
                <w:rFonts w:hint="eastAsia"/>
                <w:color w:val="auto"/>
              </w:rPr>
              <w:t>本中心拟参加本试验的研究者名单</w:t>
            </w:r>
          </w:p>
        </w:tc>
        <w:tc>
          <w:tcPr>
            <w:tcW w:w="55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80" w:type="dxa"/>
            <w:vAlign w:val="center"/>
          </w:tcPr>
          <w:p>
            <w:pPr>
              <w:jc w:val="center"/>
              <w:rPr>
                <w:color w:val="auto"/>
              </w:rPr>
            </w:pPr>
            <w:r>
              <w:rPr>
                <w:rFonts w:hint="eastAsia"/>
                <w:color w:val="auto"/>
              </w:rPr>
              <w:t>10</w:t>
            </w:r>
          </w:p>
        </w:tc>
        <w:tc>
          <w:tcPr>
            <w:tcW w:w="3705" w:type="dxa"/>
            <w:gridSpan w:val="2"/>
            <w:vAlign w:val="center"/>
          </w:tcPr>
          <w:p>
            <w:pPr>
              <w:jc w:val="both"/>
              <w:rPr>
                <w:color w:val="auto"/>
              </w:rPr>
            </w:pPr>
            <w:r>
              <w:rPr>
                <w:rFonts w:hint="eastAsia"/>
                <w:color w:val="auto"/>
              </w:rPr>
              <w:t>组长单位的伦理批件和成员表</w:t>
            </w:r>
          </w:p>
        </w:tc>
        <w:tc>
          <w:tcPr>
            <w:tcW w:w="585" w:type="dxa"/>
            <w:vAlign w:val="top"/>
          </w:tcPr>
          <w:p>
            <w:pPr>
              <w:rPr>
                <w:color w:val="auto"/>
                <w:szCs w:val="21"/>
              </w:rPr>
            </w:pPr>
          </w:p>
        </w:tc>
        <w:tc>
          <w:tcPr>
            <w:tcW w:w="555" w:type="dxa"/>
            <w:gridSpan w:val="2"/>
            <w:vAlign w:val="center"/>
          </w:tcPr>
          <w:p>
            <w:pPr>
              <w:jc w:val="center"/>
              <w:rPr>
                <w:color w:val="auto"/>
              </w:rPr>
            </w:pPr>
            <w:r>
              <w:rPr>
                <w:rFonts w:hint="eastAsia"/>
                <w:color w:val="auto"/>
                <w:lang w:val="en-US" w:eastAsia="zh-CN"/>
              </w:rPr>
              <w:t>24</w:t>
            </w:r>
          </w:p>
        </w:tc>
        <w:tc>
          <w:tcPr>
            <w:tcW w:w="3825" w:type="dxa"/>
            <w:gridSpan w:val="2"/>
            <w:vAlign w:val="center"/>
          </w:tcPr>
          <w:p>
            <w:pPr>
              <w:jc w:val="both"/>
              <w:rPr>
                <w:color w:val="auto"/>
              </w:rPr>
            </w:pPr>
            <w:r>
              <w:rPr>
                <w:rFonts w:hint="eastAsia"/>
                <w:color w:val="auto"/>
              </w:rPr>
              <w:t>本中心拟参加本试验的研究者资质</w:t>
            </w:r>
          </w:p>
        </w:tc>
        <w:tc>
          <w:tcPr>
            <w:tcW w:w="55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80" w:type="dxa"/>
            <w:vAlign w:val="center"/>
          </w:tcPr>
          <w:p>
            <w:pPr>
              <w:jc w:val="center"/>
              <w:rPr>
                <w:color w:val="auto"/>
                <w:szCs w:val="21"/>
              </w:rPr>
            </w:pPr>
            <w:r>
              <w:rPr>
                <w:rFonts w:hint="eastAsia"/>
                <w:color w:val="auto"/>
              </w:rPr>
              <w:t>11</w:t>
            </w:r>
          </w:p>
        </w:tc>
        <w:tc>
          <w:tcPr>
            <w:tcW w:w="3705" w:type="dxa"/>
            <w:gridSpan w:val="2"/>
            <w:vAlign w:val="center"/>
          </w:tcPr>
          <w:p>
            <w:pPr>
              <w:jc w:val="both"/>
              <w:rPr>
                <w:color w:val="auto"/>
                <w:szCs w:val="21"/>
              </w:rPr>
            </w:pPr>
            <w:r>
              <w:rPr>
                <w:rFonts w:hint="eastAsia"/>
                <w:color w:val="auto"/>
              </w:rPr>
              <w:t>研究者手册（注明版本号，版本日期）（如适用）</w:t>
            </w:r>
          </w:p>
        </w:tc>
        <w:tc>
          <w:tcPr>
            <w:tcW w:w="585" w:type="dxa"/>
            <w:vAlign w:val="top"/>
          </w:tcPr>
          <w:p>
            <w:pPr>
              <w:rPr>
                <w:color w:val="auto"/>
                <w:szCs w:val="21"/>
              </w:rPr>
            </w:pPr>
          </w:p>
        </w:tc>
        <w:tc>
          <w:tcPr>
            <w:tcW w:w="555" w:type="dxa"/>
            <w:gridSpan w:val="2"/>
            <w:vAlign w:val="center"/>
          </w:tcPr>
          <w:p>
            <w:pPr>
              <w:jc w:val="center"/>
              <w:rPr>
                <w:color w:val="auto"/>
              </w:rPr>
            </w:pPr>
            <w:r>
              <w:rPr>
                <w:rFonts w:hint="eastAsia"/>
                <w:color w:val="auto"/>
                <w:lang w:val="en-US" w:eastAsia="zh-CN"/>
              </w:rPr>
              <w:t>25</w:t>
            </w:r>
          </w:p>
        </w:tc>
        <w:tc>
          <w:tcPr>
            <w:tcW w:w="3825" w:type="dxa"/>
            <w:gridSpan w:val="2"/>
            <w:vAlign w:val="center"/>
          </w:tcPr>
          <w:p>
            <w:pPr>
              <w:jc w:val="both"/>
              <w:rPr>
                <w:color w:val="auto"/>
              </w:rPr>
            </w:pPr>
            <w:r>
              <w:rPr>
                <w:rFonts w:hint="eastAsia"/>
                <w:color w:val="auto"/>
              </w:rPr>
              <w:t>研究者利益冲突声明</w:t>
            </w:r>
          </w:p>
        </w:tc>
        <w:tc>
          <w:tcPr>
            <w:tcW w:w="55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80" w:type="dxa"/>
            <w:vAlign w:val="center"/>
          </w:tcPr>
          <w:p>
            <w:pPr>
              <w:jc w:val="center"/>
              <w:rPr>
                <w:rFonts w:hint="default" w:eastAsiaTheme="minorEastAsia"/>
                <w:color w:val="auto"/>
                <w:lang w:val="en-US" w:eastAsia="zh-CN"/>
              </w:rPr>
            </w:pPr>
            <w:r>
              <w:rPr>
                <w:rFonts w:hint="eastAsia"/>
                <w:color w:val="auto"/>
                <w:lang w:val="en-US" w:eastAsia="zh-CN"/>
              </w:rPr>
              <w:t>12</w:t>
            </w:r>
          </w:p>
        </w:tc>
        <w:tc>
          <w:tcPr>
            <w:tcW w:w="3705" w:type="dxa"/>
            <w:gridSpan w:val="2"/>
            <w:vAlign w:val="center"/>
          </w:tcPr>
          <w:p>
            <w:pPr>
              <w:jc w:val="both"/>
              <w:rPr>
                <w:rFonts w:hint="eastAsia"/>
                <w:color w:val="auto"/>
                <w:szCs w:val="21"/>
              </w:rPr>
            </w:pPr>
            <w:r>
              <w:rPr>
                <w:rFonts w:hint="eastAsia"/>
                <w:color w:val="auto"/>
              </w:rPr>
              <w:t>试验方案（注明版本号、版本日期）</w:t>
            </w:r>
          </w:p>
        </w:tc>
        <w:tc>
          <w:tcPr>
            <w:tcW w:w="585" w:type="dxa"/>
            <w:vAlign w:val="top"/>
          </w:tcPr>
          <w:p>
            <w:pPr>
              <w:rPr>
                <w:color w:val="auto"/>
                <w:szCs w:val="21"/>
              </w:rPr>
            </w:pPr>
          </w:p>
        </w:tc>
        <w:tc>
          <w:tcPr>
            <w:tcW w:w="555" w:type="dxa"/>
            <w:gridSpan w:val="2"/>
            <w:vAlign w:val="center"/>
          </w:tcPr>
          <w:p>
            <w:pPr>
              <w:jc w:val="center"/>
              <w:rPr>
                <w:color w:val="auto"/>
              </w:rPr>
            </w:pPr>
            <w:r>
              <w:rPr>
                <w:rFonts w:hint="eastAsia"/>
                <w:color w:val="auto"/>
                <w:lang w:val="en-US" w:eastAsia="zh-CN"/>
              </w:rPr>
              <w:t>26</w:t>
            </w:r>
          </w:p>
        </w:tc>
        <w:tc>
          <w:tcPr>
            <w:tcW w:w="3825" w:type="dxa"/>
            <w:gridSpan w:val="2"/>
            <w:vAlign w:val="center"/>
          </w:tcPr>
          <w:p>
            <w:pPr>
              <w:jc w:val="both"/>
              <w:rPr>
                <w:color w:val="auto"/>
              </w:rPr>
            </w:pPr>
            <w:r>
              <w:rPr>
                <w:rFonts w:hint="eastAsia"/>
                <w:color w:val="auto"/>
              </w:rPr>
              <w:t>申办者保证所提供资料真实性的声明</w:t>
            </w:r>
          </w:p>
        </w:tc>
        <w:tc>
          <w:tcPr>
            <w:tcW w:w="55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480" w:type="dxa"/>
            <w:vAlign w:val="center"/>
          </w:tcPr>
          <w:p>
            <w:pPr>
              <w:jc w:val="center"/>
              <w:rPr>
                <w:rFonts w:hint="default" w:eastAsiaTheme="minorEastAsia"/>
                <w:color w:val="auto"/>
                <w:lang w:val="en-US" w:eastAsia="zh-CN"/>
              </w:rPr>
            </w:pPr>
            <w:r>
              <w:rPr>
                <w:rFonts w:hint="eastAsia"/>
                <w:color w:val="auto"/>
                <w:lang w:val="en-US" w:eastAsia="zh-CN"/>
              </w:rPr>
              <w:t>13</w:t>
            </w:r>
          </w:p>
        </w:tc>
        <w:tc>
          <w:tcPr>
            <w:tcW w:w="3705" w:type="dxa"/>
            <w:gridSpan w:val="2"/>
            <w:vAlign w:val="center"/>
          </w:tcPr>
          <w:p>
            <w:pPr>
              <w:jc w:val="both"/>
              <w:rPr>
                <w:rFonts w:hint="eastAsia"/>
                <w:color w:val="auto"/>
                <w:szCs w:val="21"/>
              </w:rPr>
            </w:pPr>
            <w:r>
              <w:rPr>
                <w:rFonts w:hint="eastAsia"/>
                <w:color w:val="auto"/>
              </w:rPr>
              <w:t>病例报告表（或电子病例报告表或EDC）样表（注明版本号，版本日期）</w:t>
            </w:r>
          </w:p>
        </w:tc>
        <w:tc>
          <w:tcPr>
            <w:tcW w:w="585" w:type="dxa"/>
            <w:vAlign w:val="top"/>
          </w:tcPr>
          <w:p>
            <w:pPr>
              <w:rPr>
                <w:color w:val="auto"/>
                <w:szCs w:val="21"/>
              </w:rPr>
            </w:pPr>
          </w:p>
        </w:tc>
        <w:tc>
          <w:tcPr>
            <w:tcW w:w="555" w:type="dxa"/>
            <w:gridSpan w:val="2"/>
            <w:vAlign w:val="center"/>
          </w:tcPr>
          <w:p>
            <w:pPr>
              <w:jc w:val="center"/>
              <w:rPr>
                <w:color w:val="auto"/>
              </w:rPr>
            </w:pPr>
            <w:r>
              <w:rPr>
                <w:rFonts w:hint="eastAsia"/>
                <w:color w:val="auto"/>
                <w:lang w:val="en-US" w:eastAsia="zh-CN"/>
              </w:rPr>
              <w:t>27</w:t>
            </w:r>
          </w:p>
        </w:tc>
        <w:tc>
          <w:tcPr>
            <w:tcW w:w="3825" w:type="dxa"/>
            <w:gridSpan w:val="2"/>
            <w:vAlign w:val="center"/>
          </w:tcPr>
          <w:p>
            <w:pPr>
              <w:jc w:val="both"/>
              <w:rPr>
                <w:color w:val="auto"/>
              </w:rPr>
            </w:pPr>
            <w:r>
              <w:rPr>
                <w:rFonts w:hint="eastAsia"/>
                <w:color w:val="auto"/>
              </w:rPr>
              <w:t>研究者保证所提供资料真实性的声明</w:t>
            </w:r>
          </w:p>
        </w:tc>
        <w:tc>
          <w:tcPr>
            <w:tcW w:w="55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480" w:type="dxa"/>
            <w:vAlign w:val="center"/>
          </w:tcPr>
          <w:p>
            <w:pPr>
              <w:jc w:val="center"/>
              <w:rPr>
                <w:rFonts w:hint="default" w:eastAsiaTheme="minorEastAsia"/>
                <w:color w:val="auto"/>
                <w:lang w:val="en-US" w:eastAsia="zh-CN"/>
              </w:rPr>
            </w:pPr>
            <w:r>
              <w:rPr>
                <w:rFonts w:hint="eastAsia"/>
                <w:color w:val="auto"/>
                <w:lang w:val="en-US" w:eastAsia="zh-CN"/>
              </w:rPr>
              <w:t>14</w:t>
            </w:r>
          </w:p>
        </w:tc>
        <w:tc>
          <w:tcPr>
            <w:tcW w:w="3705" w:type="dxa"/>
            <w:gridSpan w:val="2"/>
            <w:vAlign w:val="center"/>
          </w:tcPr>
          <w:p>
            <w:pPr>
              <w:jc w:val="both"/>
              <w:rPr>
                <w:rFonts w:hint="eastAsia"/>
                <w:color w:val="auto"/>
                <w:szCs w:val="21"/>
              </w:rPr>
            </w:pPr>
            <w:r>
              <w:rPr>
                <w:rFonts w:hint="eastAsia"/>
                <w:color w:val="auto"/>
              </w:rPr>
              <w:t>研究病历样表（注明版本号、版本日期）</w:t>
            </w:r>
          </w:p>
        </w:tc>
        <w:tc>
          <w:tcPr>
            <w:tcW w:w="585" w:type="dxa"/>
            <w:vAlign w:val="top"/>
          </w:tcPr>
          <w:p>
            <w:pPr>
              <w:rPr>
                <w:color w:val="auto"/>
                <w:szCs w:val="21"/>
              </w:rPr>
            </w:pPr>
          </w:p>
        </w:tc>
        <w:tc>
          <w:tcPr>
            <w:tcW w:w="555" w:type="dxa"/>
            <w:gridSpan w:val="2"/>
            <w:vAlign w:val="center"/>
          </w:tcPr>
          <w:p>
            <w:pPr>
              <w:jc w:val="center"/>
              <w:rPr>
                <w:color w:val="auto"/>
              </w:rPr>
            </w:pPr>
            <w:r>
              <w:rPr>
                <w:rFonts w:hint="eastAsia"/>
                <w:color w:val="auto"/>
                <w:lang w:val="en-US" w:eastAsia="zh-CN"/>
              </w:rPr>
              <w:t>28</w:t>
            </w:r>
          </w:p>
        </w:tc>
        <w:tc>
          <w:tcPr>
            <w:tcW w:w="3825" w:type="dxa"/>
            <w:gridSpan w:val="2"/>
            <w:vAlign w:val="center"/>
          </w:tcPr>
          <w:p>
            <w:pPr>
              <w:jc w:val="both"/>
              <w:rPr>
                <w:color w:val="auto"/>
              </w:rPr>
            </w:pPr>
            <w:r>
              <w:rPr>
                <w:rFonts w:hint="eastAsia"/>
                <w:color w:val="auto"/>
              </w:rPr>
              <w:t>医疗器械临床试验申请表</w:t>
            </w:r>
          </w:p>
        </w:tc>
        <w:tc>
          <w:tcPr>
            <w:tcW w:w="55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480" w:type="dxa"/>
            <w:vAlign w:val="center"/>
          </w:tcPr>
          <w:p>
            <w:pPr>
              <w:jc w:val="center"/>
              <w:rPr>
                <w:rFonts w:hint="eastAsia"/>
                <w:color w:val="auto"/>
                <w:lang w:val="en-US" w:eastAsia="zh-CN"/>
              </w:rPr>
            </w:pPr>
          </w:p>
        </w:tc>
        <w:tc>
          <w:tcPr>
            <w:tcW w:w="3705" w:type="dxa"/>
            <w:gridSpan w:val="2"/>
            <w:vAlign w:val="center"/>
          </w:tcPr>
          <w:p>
            <w:pPr>
              <w:jc w:val="both"/>
              <w:rPr>
                <w:rFonts w:hint="eastAsia"/>
                <w:color w:val="auto"/>
              </w:rPr>
            </w:pPr>
          </w:p>
        </w:tc>
        <w:tc>
          <w:tcPr>
            <w:tcW w:w="585" w:type="dxa"/>
            <w:vAlign w:val="top"/>
          </w:tcPr>
          <w:p>
            <w:pPr>
              <w:rPr>
                <w:color w:val="auto"/>
                <w:szCs w:val="21"/>
              </w:rPr>
            </w:pPr>
          </w:p>
        </w:tc>
        <w:tc>
          <w:tcPr>
            <w:tcW w:w="555" w:type="dxa"/>
            <w:gridSpan w:val="2"/>
            <w:vAlign w:val="center"/>
          </w:tcPr>
          <w:p>
            <w:pPr>
              <w:jc w:val="center"/>
              <w:rPr>
                <w:rFonts w:hint="default"/>
                <w:color w:val="auto"/>
                <w:lang w:val="en-US" w:eastAsia="zh-CN"/>
              </w:rPr>
            </w:pPr>
            <w:r>
              <w:rPr>
                <w:rFonts w:hint="eastAsia"/>
                <w:color w:val="auto"/>
                <w:lang w:val="en-US" w:eastAsia="zh-CN"/>
              </w:rPr>
              <w:t>29</w:t>
            </w:r>
          </w:p>
        </w:tc>
        <w:tc>
          <w:tcPr>
            <w:tcW w:w="3825" w:type="dxa"/>
            <w:gridSpan w:val="2"/>
            <w:vAlign w:val="center"/>
          </w:tcPr>
          <w:p>
            <w:pPr>
              <w:jc w:val="both"/>
              <w:rPr>
                <w:rFonts w:hint="default" w:eastAsiaTheme="minorEastAsia"/>
                <w:color w:val="auto"/>
                <w:lang w:val="en-US" w:eastAsia="zh-CN"/>
              </w:rPr>
            </w:pPr>
            <w:r>
              <w:rPr>
                <w:rFonts w:hint="eastAsia"/>
                <w:color w:val="auto"/>
                <w:lang w:val="en-US" w:eastAsia="zh-CN"/>
              </w:rPr>
              <w:t>临床试验立项评估表</w:t>
            </w:r>
          </w:p>
        </w:tc>
        <w:tc>
          <w:tcPr>
            <w:tcW w:w="55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2764" w:type="dxa"/>
            <w:gridSpan w:val="2"/>
            <w:vAlign w:val="center"/>
          </w:tcPr>
          <w:p>
            <w:pPr>
              <w:jc w:val="center"/>
              <w:rPr>
                <w:color w:val="auto"/>
              </w:rPr>
            </w:pPr>
            <w:r>
              <w:rPr>
                <w:rFonts w:hint="eastAsia"/>
                <w:color w:val="auto"/>
              </w:rPr>
              <w:t>形式审查中存在的问题</w:t>
            </w:r>
          </w:p>
        </w:tc>
        <w:tc>
          <w:tcPr>
            <w:tcW w:w="6941" w:type="dxa"/>
            <w:gridSpan w:val="7"/>
            <w:vAlign w:val="bottom"/>
          </w:tcPr>
          <w:p>
            <w:pPr>
              <w:jc w:val="both"/>
              <w:rPr>
                <w:color w:val="auto"/>
              </w:rPr>
            </w:pPr>
          </w:p>
          <w:p>
            <w:pPr>
              <w:jc w:val="both"/>
              <w:rPr>
                <w:color w:val="auto"/>
              </w:rPr>
            </w:pPr>
          </w:p>
          <w:p>
            <w:pPr>
              <w:jc w:val="both"/>
              <w:rPr>
                <w:color w:val="auto"/>
              </w:rPr>
            </w:pPr>
          </w:p>
          <w:p>
            <w:pPr>
              <w:jc w:val="both"/>
              <w:rPr>
                <w:color w:val="auto"/>
              </w:rPr>
            </w:pPr>
            <w:r>
              <w:rPr>
                <w:rFonts w:hint="eastAsia"/>
                <w:color w:val="auto"/>
              </w:rPr>
              <w:t xml:space="preserve">                                机构秘书签名：</w:t>
            </w:r>
          </w:p>
          <w:p>
            <w:pPr>
              <w:jc w:val="both"/>
              <w:rPr>
                <w:color w:val="auto"/>
              </w:rPr>
            </w:pPr>
            <w:r>
              <w:rPr>
                <w:rFonts w:hint="eastAsia"/>
                <w:color w:val="auto"/>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7" w:hRule="atLeast"/>
          <w:jc w:val="center"/>
        </w:trPr>
        <w:tc>
          <w:tcPr>
            <w:tcW w:w="2764" w:type="dxa"/>
            <w:gridSpan w:val="2"/>
          </w:tcPr>
          <w:p>
            <w:pPr>
              <w:rPr>
                <w:color w:val="auto"/>
              </w:rPr>
            </w:pPr>
          </w:p>
          <w:p>
            <w:pPr>
              <w:rPr>
                <w:color w:val="auto"/>
              </w:rPr>
            </w:pPr>
          </w:p>
          <w:p>
            <w:pPr>
              <w:jc w:val="center"/>
              <w:rPr>
                <w:rFonts w:hint="eastAsia"/>
                <w:color w:val="auto"/>
              </w:rPr>
            </w:pPr>
            <w:r>
              <w:rPr>
                <w:rFonts w:hint="eastAsia"/>
                <w:color w:val="auto"/>
              </w:rPr>
              <w:t>临床试验机构</w:t>
            </w:r>
          </w:p>
          <w:p>
            <w:pPr>
              <w:jc w:val="center"/>
              <w:rPr>
                <w:color w:val="auto"/>
              </w:rPr>
            </w:pPr>
            <w:r>
              <w:rPr>
                <w:rFonts w:hint="eastAsia"/>
                <w:color w:val="auto"/>
              </w:rPr>
              <w:t>办公室主任意见</w:t>
            </w:r>
          </w:p>
        </w:tc>
        <w:tc>
          <w:tcPr>
            <w:tcW w:w="6941" w:type="dxa"/>
            <w:gridSpan w:val="7"/>
            <w:vAlign w:val="center"/>
          </w:tcPr>
          <w:p>
            <w:pPr>
              <w:jc w:val="both"/>
              <w:rPr>
                <w:color w:val="auto"/>
              </w:rPr>
            </w:pPr>
          </w:p>
          <w:p>
            <w:pPr>
              <w:jc w:val="both"/>
              <w:rPr>
                <w:color w:val="auto"/>
              </w:rPr>
            </w:pPr>
          </w:p>
          <w:p>
            <w:pPr>
              <w:jc w:val="both"/>
              <w:rPr>
                <w:color w:val="auto"/>
              </w:rPr>
            </w:pPr>
          </w:p>
          <w:p>
            <w:pPr>
              <w:jc w:val="both"/>
              <w:rPr>
                <w:color w:val="auto"/>
              </w:rPr>
            </w:pPr>
            <w:r>
              <w:rPr>
                <w:rFonts w:hint="eastAsia"/>
                <w:color w:val="auto"/>
              </w:rPr>
              <w:t xml:space="preserve">                                        签名：</w:t>
            </w:r>
          </w:p>
          <w:p>
            <w:pPr>
              <w:jc w:val="both"/>
              <w:rPr>
                <w:color w:val="auto"/>
              </w:rPr>
            </w:pPr>
            <w:r>
              <w:rPr>
                <w:rFonts w:hint="eastAsia"/>
                <w:color w:val="auto"/>
              </w:rPr>
              <w:t xml:space="preserve">                                        日期：</w:t>
            </w:r>
          </w:p>
        </w:tc>
      </w:tr>
    </w:tbl>
    <w:p>
      <w:pPr>
        <w:rPr>
          <w:rFonts w:hint="eastAsia" w:ascii="宋体" w:hAnsi="宋体" w:eastAsia="宋体" w:cs="宋体"/>
          <w:b/>
          <w:bCs/>
          <w:color w:val="auto"/>
          <w:sz w:val="24"/>
          <w:szCs w:val="24"/>
          <w:lang w:val="en-US" w:eastAsia="zh-CN"/>
        </w:rPr>
      </w:pPr>
    </w:p>
    <w:p>
      <w:pP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br w:type="page"/>
      </w:r>
    </w:p>
    <w:p>
      <w:pPr>
        <w:rPr>
          <w:rFonts w:hint="default" w:ascii="宋体" w:hAnsi="宋体" w:eastAsia="宋体" w:cs="宋体"/>
          <w:b/>
          <w:bCs/>
          <w:color w:val="auto"/>
          <w:spacing w:val="-6"/>
          <w:sz w:val="24"/>
          <w:szCs w:val="24"/>
          <w:lang w:val="en-US"/>
        </w:rPr>
      </w:pPr>
      <w:r>
        <w:rPr>
          <w:rFonts w:hint="eastAsia" w:ascii="宋体" w:hAnsi="宋体" w:eastAsia="宋体" w:cs="宋体"/>
          <w:b/>
          <w:bCs/>
          <w:color w:val="auto"/>
          <w:spacing w:val="-6"/>
          <w:sz w:val="24"/>
          <w:szCs w:val="24"/>
          <w:lang w:val="en-US" w:eastAsia="zh-CN"/>
        </w:rPr>
        <w:t>附件5：（</w:t>
      </w:r>
      <w:r>
        <w:rPr>
          <w:rFonts w:hint="eastAsia" w:ascii="宋体" w:hAnsi="宋体" w:eastAsia="宋体" w:cs="宋体"/>
          <w:b/>
          <w:bCs/>
          <w:color w:val="auto"/>
          <w:spacing w:val="-6"/>
          <w:sz w:val="24"/>
          <w:szCs w:val="24"/>
        </w:rPr>
        <w:t>YYH-SOP-CTC-004-3.</w:t>
      </w:r>
      <w:r>
        <w:rPr>
          <w:rFonts w:hint="eastAsia" w:ascii="宋体" w:hAnsi="宋体" w:eastAsia="宋体" w:cs="宋体"/>
          <w:b/>
          <w:bCs/>
          <w:color w:val="auto"/>
          <w:spacing w:val="-6"/>
          <w:sz w:val="24"/>
          <w:szCs w:val="24"/>
          <w:lang w:val="en-US" w:eastAsia="zh-CN"/>
        </w:rPr>
        <w:t>3</w:t>
      </w:r>
      <w:r>
        <w:rPr>
          <w:rFonts w:hint="eastAsia" w:ascii="宋体" w:hAnsi="宋体" w:eastAsia="宋体" w:cs="宋体"/>
          <w:b/>
          <w:bCs/>
          <w:color w:val="auto"/>
          <w:spacing w:val="-6"/>
          <w:sz w:val="24"/>
          <w:szCs w:val="24"/>
        </w:rPr>
        <w:t>-A0</w:t>
      </w:r>
      <w:r>
        <w:rPr>
          <w:rFonts w:hint="eastAsia" w:ascii="宋体" w:hAnsi="宋体" w:eastAsia="宋体" w:cs="宋体"/>
          <w:b/>
          <w:bCs/>
          <w:color w:val="auto"/>
          <w:spacing w:val="-6"/>
          <w:sz w:val="24"/>
          <w:szCs w:val="24"/>
          <w:lang w:val="en-US" w:eastAsia="zh-CN"/>
        </w:rPr>
        <w:t>5）</w:t>
      </w:r>
      <w:r>
        <w:rPr>
          <w:rFonts w:hint="eastAsia" w:ascii="宋体" w:hAnsi="宋体" w:eastAsia="宋体" w:cs="宋体"/>
          <w:b/>
          <w:bCs/>
          <w:color w:val="auto"/>
          <w:spacing w:val="-6"/>
          <w:sz w:val="24"/>
          <w:szCs w:val="24"/>
        </w:rPr>
        <w:t>沂源县人民医院</w:t>
      </w:r>
      <w:r>
        <w:rPr>
          <w:rFonts w:hint="eastAsia" w:ascii="宋体" w:hAnsi="宋体" w:eastAsia="宋体" w:cs="宋体"/>
          <w:b/>
          <w:bCs/>
          <w:color w:val="auto"/>
          <w:spacing w:val="-6"/>
          <w:sz w:val="24"/>
          <w:szCs w:val="24"/>
          <w:lang w:val="en-US" w:eastAsia="zh-CN"/>
        </w:rPr>
        <w:t>药物/</w:t>
      </w:r>
      <w:r>
        <w:rPr>
          <w:rFonts w:hint="eastAsia" w:ascii="宋体" w:hAnsi="宋体" w:eastAsia="宋体" w:cs="宋体"/>
          <w:b/>
          <w:bCs/>
          <w:color w:val="auto"/>
          <w:spacing w:val="-6"/>
          <w:sz w:val="24"/>
          <w:szCs w:val="24"/>
        </w:rPr>
        <w:t>医疗器械临床试验</w:t>
      </w:r>
      <w:r>
        <w:rPr>
          <w:rFonts w:hint="eastAsia" w:ascii="宋体" w:hAnsi="宋体" w:eastAsia="宋体" w:cs="宋体"/>
          <w:b/>
          <w:bCs/>
          <w:color w:val="auto"/>
          <w:spacing w:val="-6"/>
          <w:sz w:val="24"/>
          <w:szCs w:val="24"/>
          <w:lang w:val="en-US" w:eastAsia="zh-CN"/>
        </w:rPr>
        <w:t>立项评估表</w:t>
      </w:r>
    </w:p>
    <w:tbl>
      <w:tblPr>
        <w:tblStyle w:val="28"/>
        <w:tblpPr w:leftFromText="180" w:rightFromText="180" w:vertAnchor="text" w:horzAnchor="margin" w:tblpXSpec="center" w:tblpY="353"/>
        <w:tblW w:w="9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410"/>
        <w:gridCol w:w="1701"/>
        <w:gridCol w:w="1902"/>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spacing w:line="480" w:lineRule="auto"/>
              <w:jc w:val="center"/>
              <w:rPr>
                <w:rFonts w:hint="eastAsia" w:ascii="宋体" w:hAnsi="宋体" w:eastAsia="宋体" w:cs="宋体"/>
                <w:kern w:val="0"/>
                <w:szCs w:val="21"/>
              </w:rPr>
            </w:pPr>
            <w:r>
              <w:rPr>
                <w:rFonts w:hint="eastAsia" w:ascii="宋体" w:hAnsi="宋体" w:eastAsia="宋体" w:cs="宋体"/>
                <w:kern w:val="0"/>
                <w:szCs w:val="21"/>
              </w:rPr>
              <w:t>项目名称</w:t>
            </w:r>
          </w:p>
        </w:tc>
        <w:tc>
          <w:tcPr>
            <w:tcW w:w="7990" w:type="dxa"/>
            <w:gridSpan w:val="4"/>
            <w:vAlign w:val="center"/>
          </w:tcPr>
          <w:p>
            <w:pPr>
              <w:spacing w:line="480" w:lineRule="auto"/>
              <w:jc w:val="center"/>
              <w:rPr>
                <w:rFonts w:hint="eastAsia"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spacing w:line="480" w:lineRule="auto"/>
              <w:jc w:val="center"/>
              <w:rPr>
                <w:rFonts w:hint="eastAsia" w:ascii="宋体" w:hAnsi="宋体" w:eastAsia="宋体" w:cs="宋体"/>
                <w:kern w:val="0"/>
                <w:szCs w:val="21"/>
              </w:rPr>
            </w:pPr>
            <w:r>
              <w:rPr>
                <w:rFonts w:hint="eastAsia" w:ascii="宋体" w:hAnsi="宋体" w:eastAsia="宋体" w:cs="宋体"/>
                <w:kern w:val="0"/>
                <w:szCs w:val="21"/>
              </w:rPr>
              <w:t>试验类型</w:t>
            </w:r>
          </w:p>
        </w:tc>
        <w:tc>
          <w:tcPr>
            <w:tcW w:w="7990" w:type="dxa"/>
            <w:gridSpan w:val="4"/>
            <w:vAlign w:val="center"/>
          </w:tcPr>
          <w:p>
            <w:pPr>
              <w:spacing w:line="480" w:lineRule="auto"/>
              <w:rPr>
                <w:rFonts w:hint="eastAsia" w:ascii="宋体" w:hAnsi="宋体" w:eastAsia="宋体" w:cs="宋体"/>
                <w:kern w:val="0"/>
                <w:szCs w:val="21"/>
                <w:lang w:eastAsia="zh-CN"/>
              </w:rPr>
            </w:pPr>
            <w:r>
              <w:rPr>
                <w:rFonts w:hint="eastAsia" w:ascii="宋体" w:hAnsi="宋体" w:eastAsia="宋体" w:cs="宋体"/>
                <w:kern w:val="0"/>
                <w:szCs w:val="21"/>
              </w:rPr>
              <w:t xml:space="preserve">□Ⅰ期 </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rPr>
              <w:t xml:space="preserve"> □Ⅱ期   □Ⅲ期   □Ⅳ期  </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rPr>
              <w:t>□</w:t>
            </w:r>
            <w:r>
              <w:rPr>
                <w:rFonts w:hint="eastAsia" w:ascii="宋体" w:hAnsi="宋体" w:eastAsia="宋体" w:cs="宋体"/>
                <w:kern w:val="0"/>
                <w:szCs w:val="21"/>
                <w:lang w:val="en-US" w:eastAsia="zh-CN"/>
              </w:rPr>
              <w:t xml:space="preserve">生物等效   </w:t>
            </w:r>
            <w:r>
              <w:rPr>
                <w:rFonts w:hint="eastAsia" w:ascii="宋体" w:hAnsi="宋体" w:eastAsia="宋体" w:cs="宋体"/>
                <w:kern w:val="0"/>
                <w:szCs w:val="21"/>
              </w:rPr>
              <w:sym w:font="Wingdings 2" w:char="00A3"/>
            </w:r>
            <w:r>
              <w:rPr>
                <w:rFonts w:hint="eastAsia" w:ascii="宋体" w:hAnsi="宋体" w:eastAsia="宋体" w:cs="宋体"/>
                <w:kern w:val="0"/>
                <w:szCs w:val="21"/>
              </w:rPr>
              <w:t xml:space="preserve">医疗器械 </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rPr>
              <w:t xml:space="preserve"> </w:t>
            </w:r>
            <w:r>
              <w:rPr>
                <w:rFonts w:hint="eastAsia" w:ascii="宋体" w:hAnsi="宋体" w:eastAsia="宋体" w:cs="宋体"/>
                <w:kern w:val="0"/>
                <w:szCs w:val="21"/>
                <w:lang w:eastAsia="zh-CN"/>
              </w:rPr>
              <w:t>□</w:t>
            </w:r>
            <w:r>
              <w:rPr>
                <w:rFonts w:hint="eastAsia" w:ascii="宋体" w:hAnsi="宋体" w:eastAsia="宋体" w:cs="宋体"/>
                <w:kern w:val="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spacing w:line="480" w:lineRule="auto"/>
              <w:jc w:val="center"/>
              <w:rPr>
                <w:rFonts w:hint="eastAsia" w:ascii="宋体" w:hAnsi="宋体" w:eastAsia="宋体" w:cs="宋体"/>
                <w:kern w:val="0"/>
                <w:szCs w:val="21"/>
              </w:rPr>
            </w:pPr>
            <w:r>
              <w:rPr>
                <w:rFonts w:hint="eastAsia" w:ascii="宋体" w:hAnsi="宋体" w:eastAsia="宋体" w:cs="宋体"/>
                <w:kern w:val="0"/>
                <w:szCs w:val="21"/>
              </w:rPr>
              <w:t>申办者</w:t>
            </w:r>
          </w:p>
        </w:tc>
        <w:tc>
          <w:tcPr>
            <w:tcW w:w="7990" w:type="dxa"/>
            <w:gridSpan w:val="4"/>
            <w:vAlign w:val="center"/>
          </w:tcPr>
          <w:p>
            <w:pPr>
              <w:spacing w:line="480" w:lineRule="auto"/>
              <w:jc w:val="center"/>
              <w:rPr>
                <w:rFonts w:hint="eastAsia"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38" w:type="dxa"/>
            <w:vAlign w:val="center"/>
          </w:tcPr>
          <w:p>
            <w:pPr>
              <w:spacing w:line="480" w:lineRule="auto"/>
              <w:jc w:val="center"/>
              <w:rPr>
                <w:rFonts w:hint="eastAsia" w:ascii="宋体" w:hAnsi="宋体" w:eastAsia="宋体" w:cs="宋体"/>
                <w:kern w:val="0"/>
                <w:szCs w:val="21"/>
              </w:rPr>
            </w:pPr>
            <w:r>
              <w:rPr>
                <w:rFonts w:hint="eastAsia" w:ascii="宋体" w:hAnsi="宋体" w:eastAsia="宋体" w:cs="宋体"/>
                <w:kern w:val="0"/>
                <w:szCs w:val="21"/>
              </w:rPr>
              <w:t>联系人</w:t>
            </w:r>
          </w:p>
        </w:tc>
        <w:tc>
          <w:tcPr>
            <w:tcW w:w="2410" w:type="dxa"/>
            <w:vAlign w:val="center"/>
          </w:tcPr>
          <w:p>
            <w:pPr>
              <w:spacing w:line="480" w:lineRule="auto"/>
              <w:jc w:val="center"/>
              <w:rPr>
                <w:rFonts w:hint="eastAsia" w:ascii="宋体" w:hAnsi="宋体" w:eastAsia="宋体" w:cs="宋体"/>
                <w:kern w:val="0"/>
                <w:szCs w:val="21"/>
              </w:rPr>
            </w:pPr>
          </w:p>
        </w:tc>
        <w:tc>
          <w:tcPr>
            <w:tcW w:w="1701" w:type="dxa"/>
            <w:vAlign w:val="center"/>
          </w:tcPr>
          <w:p>
            <w:pPr>
              <w:spacing w:line="480" w:lineRule="auto"/>
              <w:jc w:val="center"/>
              <w:rPr>
                <w:rFonts w:hint="eastAsia" w:ascii="宋体" w:hAnsi="宋体" w:eastAsia="宋体" w:cs="宋体"/>
                <w:kern w:val="0"/>
                <w:szCs w:val="21"/>
              </w:rPr>
            </w:pPr>
            <w:r>
              <w:rPr>
                <w:rFonts w:hint="eastAsia" w:ascii="宋体" w:hAnsi="宋体" w:eastAsia="宋体" w:cs="宋体"/>
                <w:kern w:val="0"/>
                <w:szCs w:val="21"/>
              </w:rPr>
              <w:t>联系方式</w:t>
            </w:r>
          </w:p>
        </w:tc>
        <w:tc>
          <w:tcPr>
            <w:tcW w:w="3879" w:type="dxa"/>
            <w:gridSpan w:val="2"/>
            <w:vAlign w:val="center"/>
          </w:tcPr>
          <w:p>
            <w:pPr>
              <w:spacing w:line="480" w:lineRule="auto"/>
              <w:jc w:val="center"/>
              <w:rPr>
                <w:rFonts w:hint="eastAsia"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838" w:type="dxa"/>
            <w:vAlign w:val="center"/>
          </w:tcPr>
          <w:p>
            <w:pPr>
              <w:jc w:val="center"/>
              <w:rPr>
                <w:rFonts w:hint="eastAsia" w:ascii="宋体" w:hAnsi="宋体" w:eastAsia="宋体" w:cs="宋体"/>
                <w:kern w:val="0"/>
                <w:szCs w:val="21"/>
              </w:rPr>
            </w:pPr>
            <w:r>
              <w:rPr>
                <w:rFonts w:hint="eastAsia" w:ascii="宋体" w:hAnsi="宋体" w:eastAsia="宋体" w:cs="宋体"/>
                <w:kern w:val="0"/>
                <w:szCs w:val="21"/>
              </w:rPr>
              <w:t>CRO</w:t>
            </w:r>
          </w:p>
        </w:tc>
        <w:tc>
          <w:tcPr>
            <w:tcW w:w="7990" w:type="dxa"/>
            <w:gridSpan w:val="4"/>
            <w:vAlign w:val="center"/>
          </w:tcPr>
          <w:p>
            <w:pPr>
              <w:jc w:val="center"/>
              <w:rPr>
                <w:rFonts w:hint="eastAsia"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838" w:type="dxa"/>
            <w:vAlign w:val="center"/>
          </w:tcPr>
          <w:p>
            <w:pPr>
              <w:jc w:val="center"/>
              <w:rPr>
                <w:rFonts w:hint="eastAsia" w:ascii="宋体" w:hAnsi="宋体" w:eastAsia="宋体" w:cs="宋体"/>
                <w:kern w:val="0"/>
                <w:szCs w:val="21"/>
              </w:rPr>
            </w:pPr>
            <w:r>
              <w:rPr>
                <w:rFonts w:hint="eastAsia" w:ascii="宋体" w:hAnsi="宋体" w:eastAsia="宋体" w:cs="宋体"/>
                <w:kern w:val="0"/>
                <w:szCs w:val="21"/>
              </w:rPr>
              <w:t>专业科室</w:t>
            </w:r>
          </w:p>
        </w:tc>
        <w:tc>
          <w:tcPr>
            <w:tcW w:w="2410" w:type="dxa"/>
            <w:vAlign w:val="center"/>
          </w:tcPr>
          <w:p>
            <w:pPr>
              <w:jc w:val="center"/>
              <w:rPr>
                <w:rFonts w:hint="eastAsia" w:ascii="宋体" w:hAnsi="宋体" w:eastAsia="宋体" w:cs="宋体"/>
                <w:kern w:val="0"/>
                <w:szCs w:val="21"/>
              </w:rPr>
            </w:pPr>
          </w:p>
        </w:tc>
        <w:tc>
          <w:tcPr>
            <w:tcW w:w="1701" w:type="dxa"/>
            <w:vAlign w:val="center"/>
          </w:tcPr>
          <w:p>
            <w:pPr>
              <w:jc w:val="center"/>
              <w:rPr>
                <w:rFonts w:hint="eastAsia" w:ascii="宋体" w:hAnsi="宋体" w:eastAsia="宋体" w:cs="宋体"/>
                <w:kern w:val="0"/>
                <w:szCs w:val="21"/>
              </w:rPr>
            </w:pPr>
            <w:r>
              <w:rPr>
                <w:rFonts w:hint="eastAsia" w:ascii="宋体" w:hAnsi="宋体" w:eastAsia="宋体" w:cs="宋体"/>
                <w:kern w:val="0"/>
                <w:szCs w:val="21"/>
              </w:rPr>
              <w:t>主要研究者</w:t>
            </w:r>
          </w:p>
        </w:tc>
        <w:tc>
          <w:tcPr>
            <w:tcW w:w="3879" w:type="dxa"/>
            <w:gridSpan w:val="2"/>
            <w:vAlign w:val="center"/>
          </w:tcPr>
          <w:p>
            <w:pPr>
              <w:jc w:val="center"/>
              <w:rPr>
                <w:rFonts w:hint="eastAsia"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828" w:type="dxa"/>
            <w:gridSpan w:val="5"/>
            <w:vAlign w:val="center"/>
          </w:tcPr>
          <w:p>
            <w:pPr>
              <w:jc w:val="left"/>
              <w:rPr>
                <w:rFonts w:hint="eastAsia" w:ascii="宋体" w:hAnsi="宋体" w:eastAsia="宋体" w:cs="宋体"/>
                <w:kern w:val="0"/>
                <w:szCs w:val="21"/>
                <w:lang w:eastAsia="zh-CN"/>
              </w:rPr>
            </w:pPr>
            <w:r>
              <w:rPr>
                <w:rFonts w:hint="eastAsia" w:ascii="宋体" w:hAnsi="宋体" w:eastAsia="宋体" w:cs="宋体"/>
                <w:kern w:val="0"/>
                <w:szCs w:val="21"/>
              </w:rPr>
              <w:t>机构对专业科室评估</w:t>
            </w:r>
            <w:r>
              <w:rPr>
                <w:rFonts w:hint="eastAsia" w:ascii="宋体" w:hAnsi="宋体" w:eastAsia="宋体" w:cs="宋体"/>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lang w:eastAsia="zh-CN"/>
              </w:rPr>
            </w:pPr>
            <w:r>
              <w:rPr>
                <w:rFonts w:hint="eastAsia" w:ascii="宋体" w:hAnsi="宋体" w:eastAsia="宋体" w:cs="宋体"/>
                <w:kern w:val="0"/>
                <w:szCs w:val="21"/>
              </w:rPr>
              <w:t>研究项目是否专业对口</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lang w:eastAsia="zh-CN"/>
              </w:rPr>
            </w:pPr>
            <w:r>
              <w:rPr>
                <w:rFonts w:hint="eastAsia" w:ascii="宋体" w:hAnsi="宋体" w:eastAsia="宋体" w:cs="宋体"/>
                <w:kern w:val="0"/>
                <w:szCs w:val="21"/>
              </w:rPr>
              <w:t>PI是否是医学</w:t>
            </w:r>
            <w:r>
              <w:rPr>
                <w:rFonts w:hint="eastAsia" w:ascii="宋体" w:hAnsi="宋体" w:eastAsia="宋体" w:cs="宋体"/>
                <w:kern w:val="0"/>
                <w:szCs w:val="21"/>
                <w:lang w:val="en-US" w:eastAsia="zh-CN"/>
              </w:rPr>
              <w:t>/药学</w:t>
            </w:r>
            <w:r>
              <w:rPr>
                <w:rFonts w:hint="eastAsia" w:ascii="宋体" w:hAnsi="宋体" w:eastAsia="宋体" w:cs="宋体"/>
                <w:kern w:val="0"/>
                <w:szCs w:val="21"/>
              </w:rPr>
              <w:t>专业本科以上学历</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lang w:eastAsia="zh-CN"/>
              </w:rPr>
            </w:pPr>
            <w:r>
              <w:rPr>
                <w:rFonts w:hint="eastAsia" w:ascii="宋体" w:hAnsi="宋体" w:eastAsia="宋体" w:cs="宋体"/>
                <w:kern w:val="0"/>
                <w:szCs w:val="21"/>
              </w:rPr>
              <w:t>PI是否具备医学</w:t>
            </w:r>
            <w:r>
              <w:rPr>
                <w:rFonts w:hint="eastAsia" w:ascii="宋体" w:hAnsi="宋体" w:eastAsia="宋体" w:cs="宋体"/>
                <w:kern w:val="0"/>
                <w:szCs w:val="21"/>
                <w:lang w:val="en-US" w:eastAsia="zh-CN"/>
              </w:rPr>
              <w:t>/药学</w:t>
            </w:r>
            <w:r>
              <w:rPr>
                <w:rFonts w:hint="eastAsia" w:ascii="宋体" w:hAnsi="宋体" w:eastAsia="宋体" w:cs="宋体"/>
                <w:kern w:val="0"/>
                <w:szCs w:val="21"/>
              </w:rPr>
              <w:t>专业高级职称</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 xml:space="preserve">是 </w:t>
            </w:r>
            <w:r>
              <w:rPr>
                <w:rFonts w:hint="eastAsia" w:ascii="宋体" w:hAnsi="宋体" w:eastAsia="宋体" w:cs="宋体"/>
                <w:kern w:val="0"/>
                <w:szCs w:val="21"/>
                <w:lang w:eastAsia="zh-CN"/>
              </w:rPr>
              <w:t>□</w:t>
            </w:r>
            <w:r>
              <w:rPr>
                <w:rFonts w:hint="eastAsia" w:ascii="宋体" w:hAnsi="宋体" w:eastAsia="宋体" w:cs="宋体"/>
                <w:kern w:val="0"/>
                <w:szCs w:val="21"/>
              </w:rPr>
              <w:t>，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lang w:eastAsia="zh-CN"/>
              </w:rPr>
            </w:pPr>
            <w:r>
              <w:rPr>
                <w:rFonts w:hint="eastAsia" w:ascii="宋体" w:hAnsi="宋体" w:eastAsia="宋体" w:cs="宋体"/>
                <w:kern w:val="0"/>
                <w:szCs w:val="21"/>
              </w:rPr>
              <w:t>PI是否参加过3个及以上临床试验项目</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lang w:eastAsia="zh-CN"/>
              </w:rPr>
            </w:pPr>
            <w:r>
              <w:rPr>
                <w:rFonts w:hint="eastAsia" w:ascii="宋体" w:hAnsi="宋体" w:eastAsia="宋体" w:cs="宋体"/>
                <w:kern w:val="0"/>
                <w:szCs w:val="21"/>
              </w:rPr>
              <w:t>PI是否在备案系统备案</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lang w:eastAsia="zh-CN"/>
              </w:rPr>
            </w:pPr>
            <w:r>
              <w:rPr>
                <w:rFonts w:hint="eastAsia" w:ascii="宋体" w:hAnsi="宋体" w:eastAsia="宋体" w:cs="宋体"/>
                <w:kern w:val="0"/>
                <w:szCs w:val="21"/>
              </w:rPr>
              <w:t>专业科室研究人员是否具备中级职称以上至少3人</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lang w:eastAsia="zh-CN"/>
              </w:rPr>
            </w:pPr>
            <w:r>
              <w:rPr>
                <w:rFonts w:hint="eastAsia" w:ascii="宋体" w:hAnsi="宋体" w:eastAsia="宋体" w:cs="宋体"/>
                <w:kern w:val="0"/>
                <w:szCs w:val="21"/>
              </w:rPr>
              <w:t>专业科室研究人员是否具备护理人员至少3人</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lang w:eastAsia="zh-CN"/>
              </w:rPr>
            </w:pPr>
            <w:r>
              <w:rPr>
                <w:rFonts w:hint="eastAsia" w:ascii="宋体" w:hAnsi="宋体" w:eastAsia="宋体" w:cs="宋体"/>
                <w:kern w:val="0"/>
                <w:szCs w:val="21"/>
              </w:rPr>
              <w:t>所有参研人员是否经过GCP培训并取得证书</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lang w:eastAsia="zh-CN"/>
              </w:rPr>
            </w:pPr>
            <w:r>
              <w:rPr>
                <w:rFonts w:hint="eastAsia" w:ascii="宋体" w:hAnsi="宋体" w:eastAsia="宋体" w:cs="宋体"/>
                <w:kern w:val="0"/>
                <w:szCs w:val="21"/>
              </w:rPr>
              <w:t>PI是否能保证招募足够的受试人群</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lang w:eastAsia="zh-CN"/>
              </w:rPr>
            </w:pPr>
            <w:r>
              <w:rPr>
                <w:rFonts w:hint="eastAsia" w:ascii="宋体" w:hAnsi="宋体" w:eastAsia="宋体" w:cs="宋体"/>
                <w:kern w:val="0"/>
                <w:szCs w:val="21"/>
              </w:rPr>
              <w:t>该专业临床试验</w:t>
            </w:r>
            <w:r>
              <w:rPr>
                <w:rFonts w:hint="eastAsia" w:ascii="宋体" w:hAnsi="宋体" w:eastAsia="宋体" w:cs="宋体"/>
                <w:kern w:val="0"/>
                <w:szCs w:val="21"/>
                <w:lang w:val="en-US" w:eastAsia="zh-CN"/>
              </w:rPr>
              <w:t>病源、</w:t>
            </w:r>
            <w:r>
              <w:rPr>
                <w:rFonts w:hint="eastAsia" w:ascii="宋体" w:hAnsi="宋体" w:eastAsia="宋体" w:cs="宋体"/>
                <w:kern w:val="0"/>
                <w:szCs w:val="21"/>
              </w:rPr>
              <w:t>病种是否能满足临床试验的要求</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lang w:eastAsia="zh-CN"/>
              </w:rPr>
            </w:pPr>
            <w:r>
              <w:rPr>
                <w:rFonts w:hint="eastAsia" w:ascii="宋体" w:hAnsi="宋体" w:eastAsia="宋体" w:cs="宋体"/>
                <w:kern w:val="0"/>
                <w:szCs w:val="21"/>
              </w:rPr>
              <w:t>该专业是否具备试验必要的抢救设备</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lang w:eastAsia="zh-CN"/>
              </w:rPr>
            </w:pPr>
            <w:r>
              <w:rPr>
                <w:rFonts w:hint="eastAsia" w:ascii="宋体" w:hAnsi="宋体" w:eastAsia="宋体" w:cs="宋体"/>
                <w:kern w:val="0"/>
                <w:szCs w:val="21"/>
              </w:rPr>
              <w:t>该专业是否具备必要的急救药品</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lang w:eastAsia="zh-CN"/>
              </w:rPr>
            </w:pPr>
            <w:r>
              <w:rPr>
                <w:rFonts w:hint="eastAsia" w:ascii="宋体" w:hAnsi="宋体" w:eastAsia="宋体" w:cs="宋体"/>
                <w:kern w:val="0"/>
                <w:szCs w:val="21"/>
              </w:rPr>
              <w:t>该专业是否具备受试者转运条件</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51" w:type="dxa"/>
            <w:gridSpan w:val="4"/>
            <w:vAlign w:val="center"/>
          </w:tcPr>
          <w:p>
            <w:pPr>
              <w:jc w:val="left"/>
              <w:rPr>
                <w:rFonts w:hint="eastAsia" w:ascii="宋体" w:hAnsi="宋体" w:eastAsia="宋体" w:cs="宋体"/>
                <w:kern w:val="0"/>
                <w:szCs w:val="21"/>
                <w:lang w:eastAsia="zh-CN"/>
              </w:rPr>
            </w:pPr>
            <w:r>
              <w:rPr>
                <w:rFonts w:hint="eastAsia" w:ascii="宋体" w:hAnsi="宋体" w:eastAsia="宋体" w:cs="宋体"/>
                <w:kern w:val="0"/>
                <w:szCs w:val="21"/>
              </w:rPr>
              <w:t>该专业是否设有专用受试者接待室</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rPr>
            </w:pPr>
            <w:r>
              <w:rPr>
                <w:rFonts w:hint="eastAsia" w:ascii="宋体" w:hAnsi="宋体" w:eastAsia="宋体" w:cs="宋体"/>
                <w:kern w:val="0"/>
                <w:szCs w:val="21"/>
              </w:rPr>
              <w:t>该专业是否具备试验用药品/器械及试验用品专用储藏设施</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lang w:val="en-US" w:eastAsia="zh-CN"/>
              </w:rPr>
            </w:pPr>
            <w:r>
              <w:rPr>
                <w:rFonts w:hint="eastAsia" w:ascii="宋体" w:hAnsi="宋体" w:eastAsia="宋体" w:cs="宋体"/>
                <w:kern w:val="0"/>
                <w:szCs w:val="21"/>
              </w:rPr>
              <w:t>临床科室是否能承担项目</w:t>
            </w:r>
            <w:r>
              <w:rPr>
                <w:rFonts w:hint="eastAsia" w:ascii="宋体" w:hAnsi="宋体" w:eastAsia="宋体" w:cs="宋体"/>
                <w:kern w:val="0"/>
                <w:szCs w:val="21"/>
                <w:lang w:val="en-US" w:eastAsia="zh-CN"/>
              </w:rPr>
              <w:t>并有相应的质量保证体系</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rPr>
            </w:pPr>
            <w:r>
              <w:rPr>
                <w:rFonts w:hint="eastAsia" w:ascii="宋体" w:hAnsi="宋体" w:eastAsia="宋体" w:cs="宋体"/>
                <w:kern w:val="0"/>
                <w:szCs w:val="21"/>
              </w:rPr>
              <w:t>主要研究者是否有充足时间参加研究</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rPr>
            </w:pPr>
            <w:r>
              <w:rPr>
                <w:rFonts w:hint="eastAsia" w:ascii="宋体" w:hAnsi="宋体" w:eastAsia="宋体" w:cs="宋体"/>
                <w:kern w:val="0"/>
                <w:szCs w:val="21"/>
              </w:rPr>
              <w:t>该专业是否同时承担不同申办者的相同品种药物</w:t>
            </w:r>
            <w:r>
              <w:rPr>
                <w:rFonts w:hint="eastAsia" w:ascii="宋体" w:hAnsi="宋体" w:eastAsia="宋体" w:cs="宋体"/>
                <w:kern w:val="0"/>
                <w:szCs w:val="21"/>
                <w:lang w:eastAsia="zh-CN"/>
              </w:rPr>
              <w:t>？</w:t>
            </w:r>
          </w:p>
        </w:tc>
        <w:tc>
          <w:tcPr>
            <w:tcW w:w="1977" w:type="dxa"/>
            <w:vAlign w:val="center"/>
          </w:tcPr>
          <w:p>
            <w:pPr>
              <w:jc w:val="left"/>
              <w:rPr>
                <w:rFonts w:hint="eastAsia" w:ascii="宋体" w:hAnsi="宋体" w:eastAsia="宋体" w:cs="宋体"/>
                <w:kern w:val="0"/>
                <w:szCs w:val="21"/>
              </w:rPr>
            </w:pPr>
            <w:r>
              <w:rPr>
                <w:rFonts w:hint="eastAsia" w:ascii="宋体" w:hAnsi="宋体" w:eastAsia="宋体" w:cs="宋体"/>
                <w:kern w:val="0"/>
                <w:szCs w:val="21"/>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rPr>
            </w:pPr>
            <w:r>
              <w:rPr>
                <w:rFonts w:hint="eastAsia" w:ascii="宋体" w:hAnsi="宋体" w:eastAsia="宋体" w:cs="宋体"/>
                <w:kern w:val="0"/>
                <w:szCs w:val="21"/>
              </w:rPr>
              <w:t>该专业临床科室</w:t>
            </w:r>
            <w:r>
              <w:rPr>
                <w:rFonts w:hint="eastAsia" w:ascii="宋体" w:hAnsi="宋体" w:eastAsia="宋体" w:cs="宋体"/>
                <w:kern w:val="0"/>
                <w:szCs w:val="21"/>
                <w:lang w:val="en-US" w:eastAsia="zh-CN"/>
              </w:rPr>
              <w:t>承担的临床试验项目数：</w:t>
            </w:r>
          </w:p>
        </w:tc>
        <w:tc>
          <w:tcPr>
            <w:tcW w:w="1977" w:type="dxa"/>
            <w:vAlign w:val="center"/>
          </w:tcPr>
          <w:p>
            <w:pPr>
              <w:jc w:val="left"/>
              <w:rPr>
                <w:rFonts w:hint="eastAsia" w:ascii="宋体" w:hAnsi="宋体" w:eastAsia="宋体" w:cs="宋体"/>
                <w:kern w:val="0"/>
                <w:szCs w:val="21"/>
                <w:lang w:val="en-US" w:eastAsia="zh-CN"/>
              </w:rPr>
            </w:pP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51" w:type="dxa"/>
            <w:gridSpan w:val="4"/>
            <w:vAlign w:val="center"/>
          </w:tcPr>
          <w:p>
            <w:pPr>
              <w:jc w:val="left"/>
              <w:rPr>
                <w:rFonts w:hint="eastAsia" w:ascii="宋体" w:hAnsi="宋体" w:eastAsia="宋体" w:cs="宋体"/>
                <w:kern w:val="0"/>
                <w:szCs w:val="21"/>
              </w:rPr>
            </w:pPr>
            <w:r>
              <w:rPr>
                <w:rFonts w:hint="eastAsia" w:ascii="宋体" w:hAnsi="宋体" w:eastAsia="宋体" w:cs="宋体"/>
                <w:kern w:val="0"/>
                <w:szCs w:val="21"/>
              </w:rPr>
              <w:t>该专业临床科室</w:t>
            </w:r>
            <w:r>
              <w:rPr>
                <w:rFonts w:hint="eastAsia" w:ascii="宋体" w:hAnsi="宋体" w:eastAsia="宋体" w:cs="宋体"/>
                <w:kern w:val="0"/>
                <w:szCs w:val="21"/>
                <w:lang w:val="en-US" w:eastAsia="zh-CN"/>
              </w:rPr>
              <w:t>在研的临床试验项目数：</w:t>
            </w:r>
          </w:p>
        </w:tc>
        <w:tc>
          <w:tcPr>
            <w:tcW w:w="1977" w:type="dxa"/>
            <w:vAlign w:val="center"/>
          </w:tcPr>
          <w:p>
            <w:pPr>
              <w:jc w:val="left"/>
              <w:rPr>
                <w:rFonts w:hint="eastAsia" w:ascii="宋体" w:hAnsi="宋体" w:eastAsia="宋体" w:cs="宋体"/>
                <w:kern w:val="0"/>
                <w:szCs w:val="21"/>
                <w:lang w:val="en-US" w:eastAsia="zh-CN"/>
              </w:rPr>
            </w:pP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9828" w:type="dxa"/>
            <w:gridSpan w:val="5"/>
          </w:tcPr>
          <w:p>
            <w:pPr>
              <w:jc w:val="left"/>
              <w:rPr>
                <w:rFonts w:hint="eastAsia" w:ascii="宋体" w:hAnsi="宋体" w:eastAsia="宋体" w:cs="宋体"/>
                <w:kern w:val="0"/>
                <w:szCs w:val="21"/>
                <w:lang w:eastAsia="zh-CN"/>
              </w:rPr>
            </w:pPr>
            <w:r>
              <w:rPr>
                <w:rFonts w:hint="eastAsia" w:ascii="宋体" w:hAnsi="宋体" w:eastAsia="宋体" w:cs="宋体"/>
                <w:kern w:val="0"/>
                <w:szCs w:val="21"/>
              </w:rPr>
              <w:t>机构审核意见</w:t>
            </w:r>
            <w:r>
              <w:rPr>
                <w:rFonts w:hint="eastAsia" w:ascii="宋体" w:hAnsi="宋体" w:eastAsia="宋体" w:cs="宋体"/>
                <w:kern w:val="0"/>
                <w:szCs w:val="21"/>
                <w:lang w:eastAsia="zh-CN"/>
              </w:rPr>
              <w:t>：</w:t>
            </w:r>
          </w:p>
          <w:p>
            <w:pPr>
              <w:ind w:firstLine="1470" w:firstLineChars="700"/>
              <w:jc w:val="left"/>
              <w:rPr>
                <w:rFonts w:hint="eastAsia" w:ascii="宋体" w:hAnsi="宋体" w:eastAsia="宋体" w:cs="宋体"/>
                <w:kern w:val="0"/>
                <w:szCs w:val="21"/>
              </w:rPr>
            </w:pPr>
            <w:r>
              <w:rPr>
                <w:rFonts w:hint="eastAsia" w:ascii="宋体" w:hAnsi="宋体" w:eastAsia="宋体" w:cs="宋体"/>
                <w:kern w:val="0"/>
                <w:szCs w:val="21"/>
              </w:rPr>
              <w:t xml:space="preserve"> </w:t>
            </w:r>
          </w:p>
          <w:p>
            <w:pPr>
              <w:ind w:firstLine="1470" w:firstLineChars="700"/>
              <w:jc w:val="left"/>
              <w:rPr>
                <w:rFonts w:hint="eastAsia" w:ascii="宋体" w:hAnsi="宋体" w:eastAsia="宋体" w:cs="宋体"/>
                <w:kern w:val="0"/>
                <w:szCs w:val="21"/>
              </w:rPr>
            </w:pPr>
            <w:r>
              <w:rPr>
                <w:rFonts w:hint="eastAsia" w:ascii="宋体" w:hAnsi="宋体" w:eastAsia="宋体" w:cs="宋体"/>
                <w:kern w:val="0"/>
                <w:szCs w:val="21"/>
              </w:rPr>
              <w:t xml:space="preserve"> 意见</w:t>
            </w:r>
            <w:r>
              <w:rPr>
                <w:rFonts w:hint="eastAsia" w:ascii="宋体" w:hAnsi="宋体" w:eastAsia="宋体" w:cs="宋体"/>
                <w:kern w:val="0"/>
                <w:szCs w:val="21"/>
                <w:lang w:eastAsia="zh-CN"/>
              </w:rPr>
              <w:t>：</w:t>
            </w:r>
            <w:r>
              <w:rPr>
                <w:rFonts w:hint="eastAsia" w:ascii="宋体" w:hAnsi="宋体" w:eastAsia="宋体" w:cs="宋体"/>
                <w:kern w:val="0"/>
                <w:szCs w:val="21"/>
              </w:rPr>
              <w:t xml:space="preserve">        同意立项 □</w:t>
            </w:r>
          </w:p>
          <w:p>
            <w:pPr>
              <w:ind w:firstLine="2940" w:firstLineChars="1400"/>
              <w:jc w:val="left"/>
              <w:rPr>
                <w:rFonts w:hint="eastAsia" w:ascii="宋体" w:hAnsi="宋体" w:eastAsia="宋体" w:cs="宋体"/>
                <w:kern w:val="0"/>
                <w:szCs w:val="21"/>
              </w:rPr>
            </w:pPr>
            <w:r>
              <w:rPr>
                <w:rFonts w:hint="eastAsia" w:ascii="宋体" w:hAnsi="宋体" w:eastAsia="宋体" w:cs="宋体"/>
                <w:kern w:val="0"/>
                <w:szCs w:val="21"/>
              </w:rPr>
              <w:t>不同意立项 □</w:t>
            </w:r>
          </w:p>
          <w:p>
            <w:pPr>
              <w:ind w:firstLine="2940" w:firstLineChars="1400"/>
              <w:jc w:val="left"/>
              <w:rPr>
                <w:rFonts w:hint="eastAsia" w:ascii="宋体" w:hAnsi="宋体" w:eastAsia="宋体" w:cs="宋体"/>
                <w:kern w:val="0"/>
                <w:szCs w:val="21"/>
              </w:rPr>
            </w:pPr>
          </w:p>
          <w:p>
            <w:pPr>
              <w:jc w:val="left"/>
              <w:rPr>
                <w:rFonts w:hint="eastAsia" w:ascii="宋体" w:hAnsi="宋体" w:eastAsia="宋体" w:cs="宋体"/>
                <w:kern w:val="0"/>
                <w:szCs w:val="21"/>
              </w:rPr>
            </w:pPr>
            <w:r>
              <w:rPr>
                <w:rFonts w:hint="eastAsia" w:ascii="宋体" w:hAnsi="宋体" w:eastAsia="宋体" w:cs="宋体"/>
                <w:kern w:val="0"/>
                <w:szCs w:val="21"/>
              </w:rPr>
              <w:t>机构办公室主任签字</w:t>
            </w:r>
            <w:r>
              <w:rPr>
                <w:rFonts w:hint="eastAsia" w:ascii="宋体" w:hAnsi="宋体" w:eastAsia="宋体" w:cs="宋体"/>
                <w:kern w:val="0"/>
                <w:szCs w:val="21"/>
                <w:lang w:eastAsia="zh-CN"/>
              </w:rPr>
              <w:t>：</w:t>
            </w:r>
            <w:r>
              <w:rPr>
                <w:rFonts w:hint="eastAsia" w:ascii="宋体" w:hAnsi="宋体" w:eastAsia="宋体" w:cs="宋体"/>
                <w:kern w:val="0"/>
                <w:szCs w:val="21"/>
              </w:rPr>
              <w:t xml:space="preserve">                         日期</w:t>
            </w:r>
            <w:r>
              <w:rPr>
                <w:rFonts w:hint="eastAsia" w:ascii="宋体" w:hAnsi="宋体" w:eastAsia="宋体" w:cs="宋体"/>
                <w:kern w:val="0"/>
                <w:szCs w:val="21"/>
                <w:lang w:eastAsia="zh-CN"/>
              </w:rPr>
              <w:t>：</w:t>
            </w:r>
            <w:r>
              <w:rPr>
                <w:rFonts w:hint="eastAsia" w:ascii="宋体" w:hAnsi="宋体" w:eastAsia="宋体" w:cs="宋体"/>
                <w:kern w:val="0"/>
                <w:szCs w:val="21"/>
              </w:rPr>
              <w:t xml:space="preserve">  </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rPr>
              <w:t xml:space="preserve">   年  </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rPr>
              <w:t xml:space="preserve"> </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rPr>
              <w:t xml:space="preserve"> 月    </w:t>
            </w:r>
            <w:r>
              <w:rPr>
                <w:rFonts w:hint="eastAsia" w:ascii="宋体" w:hAnsi="宋体" w:eastAsia="宋体" w:cs="宋体"/>
                <w:kern w:val="0"/>
                <w:szCs w:val="21"/>
                <w:lang w:val="en-US" w:eastAsia="zh-CN"/>
              </w:rPr>
              <w:t xml:space="preserve">  </w:t>
            </w:r>
            <w:r>
              <w:rPr>
                <w:rFonts w:hint="eastAsia" w:ascii="宋体" w:hAnsi="宋体" w:eastAsia="宋体" w:cs="宋体"/>
                <w:kern w:val="0"/>
                <w:szCs w:val="21"/>
              </w:rPr>
              <w:t>日</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5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906"/>
        <w:gridCol w:w="915"/>
        <w:gridCol w:w="2899"/>
        <w:gridCol w:w="2888"/>
        <w:gridCol w:w="1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36"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90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2899"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2888"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28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3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0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91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3.2</w:t>
            </w:r>
          </w:p>
        </w:tc>
        <w:tc>
          <w:tcPr>
            <w:tcW w:w="2899" w:type="dxa"/>
            <w:vAlign w:val="center"/>
          </w:tcPr>
          <w:p>
            <w:pPr>
              <w:rPr>
                <w:rFonts w:hint="default" w:ascii="宋体" w:hAnsi="宋体" w:eastAsia="宋体" w:cs="宋体"/>
                <w:color w:val="auto"/>
                <w:lang w:val="en-US" w:eastAsia="zh-CN"/>
              </w:rPr>
            </w:pPr>
            <w:r>
              <w:rPr>
                <w:rFonts w:hint="eastAsia" w:ascii="宋体" w:hAnsi="宋体" w:eastAsia="宋体" w:cs="宋体"/>
                <w:color w:val="auto"/>
                <w:lang w:val="en-US" w:eastAsia="zh-CN"/>
              </w:rPr>
              <w:t>1.根据最新版</w:t>
            </w:r>
            <w:r>
              <w:rPr>
                <w:rFonts w:hint="eastAsia" w:ascii="宋体" w:hAnsi="宋体" w:cs="宋体"/>
                <w:color w:val="auto"/>
                <w:lang w:val="en-US" w:eastAsia="zh-CN"/>
              </w:rPr>
              <w:t>器械</w:t>
            </w:r>
            <w:r>
              <w:rPr>
                <w:rFonts w:hint="eastAsia" w:ascii="宋体" w:hAnsi="宋体" w:eastAsia="宋体" w:cs="宋体"/>
                <w:color w:val="auto"/>
                <w:lang w:val="en-US" w:eastAsia="zh-CN"/>
              </w:rPr>
              <w:t>GCP修订</w:t>
            </w:r>
            <w:r>
              <w:rPr>
                <w:rFonts w:hint="eastAsia" w:ascii="宋体" w:hAnsi="宋体" w:cs="宋体"/>
                <w:color w:val="auto"/>
                <w:lang w:val="en-US" w:eastAsia="zh-CN"/>
              </w:rPr>
              <w:t>，修订医疗器械临床试验立项时对产品检验报告的要求。</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2.为确保制度的严谨性，增加参考文献。</w:t>
            </w:r>
          </w:p>
        </w:tc>
        <w:tc>
          <w:tcPr>
            <w:tcW w:w="2888" w:type="dxa"/>
            <w:vAlign w:val="center"/>
          </w:tcPr>
          <w:p>
            <w:pPr>
              <w:rPr>
                <w:rFonts w:hint="default" w:ascii="宋体" w:hAnsi="宋体" w:eastAsia="宋体" w:cs="宋体"/>
                <w:color w:val="auto"/>
                <w:lang w:val="en-US" w:eastAsia="zh-CN"/>
              </w:rPr>
            </w:pPr>
            <w:r>
              <w:rPr>
                <w:rFonts w:hint="eastAsia" w:ascii="宋体" w:hAnsi="宋体" w:eastAsia="宋体" w:cs="宋体"/>
                <w:color w:val="auto"/>
                <w:lang w:val="en-US" w:eastAsia="zh-CN"/>
              </w:rPr>
              <w:t>1.修订医疗器械临床试验立项清单中第18项关于产品检验报告规定。</w:t>
            </w:r>
          </w:p>
          <w:p>
            <w:pPr>
              <w:rPr>
                <w:rFonts w:hint="eastAsia"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新增参考文献。</w:t>
            </w:r>
          </w:p>
        </w:tc>
        <w:tc>
          <w:tcPr>
            <w:tcW w:w="1286" w:type="dxa"/>
            <w:vAlign w:val="center"/>
          </w:tcPr>
          <w:p>
            <w:pPr>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王进/</w:t>
            </w:r>
          </w:p>
          <w:p>
            <w:pPr>
              <w:jc w:val="left"/>
              <w:rPr>
                <w:rFonts w:hint="default" w:ascii="宋体" w:hAnsi="宋体" w:eastAsia="宋体" w:cs="宋体"/>
                <w:color w:val="auto"/>
                <w:lang w:val="en-US" w:eastAsia="zh-CN"/>
              </w:rPr>
            </w:pPr>
            <w:r>
              <w:rPr>
                <w:rFonts w:hint="eastAsia" w:ascii="宋体" w:hAnsi="宋体" w:eastAsia="宋体" w:cs="宋体"/>
                <w:color w:val="auto"/>
                <w:lang w:val="en-US" w:eastAsia="zh-CN"/>
              </w:rPr>
              <w:t>2023.05.17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36" w:type="dxa"/>
            <w:vAlign w:val="center"/>
          </w:tcPr>
          <w:p>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2</w:t>
            </w:r>
          </w:p>
        </w:tc>
        <w:tc>
          <w:tcPr>
            <w:tcW w:w="906" w:type="dxa"/>
            <w:vAlign w:val="center"/>
          </w:tcPr>
          <w:p>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3.2</w:t>
            </w:r>
          </w:p>
        </w:tc>
        <w:tc>
          <w:tcPr>
            <w:tcW w:w="915" w:type="dxa"/>
            <w:vAlign w:val="center"/>
          </w:tcPr>
          <w:p>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3.3</w:t>
            </w:r>
          </w:p>
        </w:tc>
        <w:tc>
          <w:tcPr>
            <w:tcW w:w="28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1.根据最新法规要求，修订立项评估相关内容。</w:t>
            </w:r>
          </w:p>
          <w:p>
            <w:pPr>
              <w:rPr>
                <w:rFonts w:hint="default" w:ascii="宋体" w:hAnsi="宋体" w:eastAsia="宋体" w:cs="宋体"/>
                <w:color w:val="auto"/>
                <w:lang w:val="en-US" w:eastAsia="zh-CN"/>
              </w:rPr>
            </w:pPr>
            <w:r>
              <w:rPr>
                <w:rFonts w:hint="eastAsia" w:ascii="宋体" w:hAnsi="宋体" w:eastAsia="宋体" w:cs="宋体"/>
                <w:color w:val="auto"/>
                <w:sz w:val="21"/>
                <w:szCs w:val="21"/>
                <w:lang w:val="en-US" w:eastAsia="zh-CN"/>
              </w:rPr>
              <w:t>2.修订参考文献。</w:t>
            </w:r>
          </w:p>
        </w:tc>
        <w:tc>
          <w:tcPr>
            <w:tcW w:w="28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新增《沂源县人民医院医疗器械临床试验立项评估表》(附件5)，并在《沂源县人民医院药物临床试验审批表》（附件2）和《沂源县人民医院医疗器械临床试验审批表》（附件4）中增加关于临床试验立项评估表的要求。</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eastAsia"/>
                <w:color w:val="auto"/>
                <w:lang w:val="en-US" w:eastAsia="zh-CN"/>
              </w:rPr>
            </w:pPr>
            <w:r>
              <w:rPr>
                <w:rFonts w:hint="eastAsia" w:ascii="宋体" w:hAnsi="宋体" w:eastAsia="宋体" w:cs="宋体"/>
                <w:color w:val="auto"/>
                <w:sz w:val="21"/>
                <w:szCs w:val="21"/>
                <w:lang w:val="en-US" w:eastAsia="zh-CN"/>
              </w:rPr>
              <w:t>2.修订参考文献。</w:t>
            </w:r>
          </w:p>
        </w:tc>
        <w:tc>
          <w:tcPr>
            <w:tcW w:w="1286" w:type="dxa"/>
            <w:vAlign w:val="center"/>
          </w:tcPr>
          <w:p>
            <w:pPr>
              <w:rPr>
                <w:rFonts w:hint="eastAsia" w:ascii="宋体" w:hAnsi="宋体" w:eastAsia="宋体" w:cs="宋体"/>
                <w:color w:val="auto"/>
                <w:lang w:val="en-US" w:eastAsia="zh-CN"/>
              </w:rPr>
            </w:pPr>
          </w:p>
        </w:tc>
      </w:tr>
    </w:tbl>
    <w:p>
      <w:pPr>
        <w:rPr>
          <w:rFonts w:hint="eastAsia" w:ascii="黑体" w:hAnsi="黑体" w:eastAsia="黑体" w:cs="黑体"/>
          <w:b/>
          <w:color w:val="auto"/>
          <w:sz w:val="28"/>
          <w:szCs w:val="28"/>
        </w:rPr>
        <w:sectPr>
          <w:headerReference r:id="rId74" w:type="default"/>
          <w:footerReference r:id="rId75"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r>
        <w:rPr>
          <w:rFonts w:hint="eastAsia" w:ascii="黑体" w:hAnsi="黑体" w:eastAsia="黑体" w:cs="黑体"/>
          <w:b/>
          <w:color w:val="auto"/>
          <w:sz w:val="28"/>
          <w:szCs w:val="28"/>
        </w:rPr>
        <w:br w:type="page"/>
      </w:r>
    </w:p>
    <w:p>
      <w:pPr>
        <w:spacing w:line="360" w:lineRule="auto"/>
        <w:jc w:val="center"/>
        <w:rPr>
          <w:rFonts w:ascii="黑体" w:hAnsi="黑体" w:eastAsia="黑体" w:cs="黑体"/>
          <w:b/>
          <w:color w:val="auto"/>
          <w:sz w:val="28"/>
          <w:szCs w:val="28"/>
        </w:rPr>
      </w:pPr>
      <w:r>
        <w:rPr>
          <w:rFonts w:hint="eastAsia" w:ascii="黑体" w:hAnsi="黑体" w:eastAsia="黑体" w:cs="黑体"/>
          <w:b/>
          <w:color w:val="auto"/>
          <w:sz w:val="28"/>
          <w:szCs w:val="28"/>
        </w:rPr>
        <w:t>临床试验合同签订的SOP</w:t>
      </w:r>
    </w:p>
    <w:p>
      <w:pPr>
        <w:spacing w:line="360" w:lineRule="auto"/>
        <w:ind w:firstLine="240" w:firstLineChars="100"/>
        <w:jc w:val="left"/>
        <w:rPr>
          <w:rFonts w:asciiTheme="minorEastAsia" w:hAnsiTheme="minorEastAsia"/>
          <w:b/>
          <w:color w:val="auto"/>
          <w:sz w:val="32"/>
          <w:szCs w:val="32"/>
        </w:rPr>
      </w:pPr>
      <w:r>
        <w:rPr>
          <w:rFonts w:hint="eastAsia" w:asciiTheme="minorEastAsia" w:hAnsiTheme="minorEastAsia"/>
          <w:color w:val="auto"/>
          <w:sz w:val="24"/>
          <w:szCs w:val="24"/>
        </w:rPr>
        <w:t>一、目的</w:t>
      </w:r>
    </w:p>
    <w:p>
      <w:pPr>
        <w:spacing w:line="360" w:lineRule="auto"/>
        <w:ind w:firstLine="720" w:firstLineChars="300"/>
        <w:jc w:val="left"/>
        <w:rPr>
          <w:rFonts w:asciiTheme="minorEastAsia" w:hAnsiTheme="minorEastAsia"/>
          <w:color w:val="auto"/>
          <w:sz w:val="24"/>
          <w:szCs w:val="24"/>
        </w:rPr>
      </w:pPr>
      <w:r>
        <w:rPr>
          <w:rFonts w:hint="eastAsia" w:asciiTheme="minorEastAsia" w:hAnsiTheme="minorEastAsia"/>
          <w:color w:val="auto"/>
          <w:sz w:val="24"/>
          <w:szCs w:val="24"/>
        </w:rPr>
        <w:t>规范药物</w:t>
      </w:r>
      <w:r>
        <w:rPr>
          <w:rFonts w:hint="eastAsia" w:asciiTheme="minorEastAsia" w:hAnsiTheme="minorEastAsia"/>
          <w:color w:val="auto"/>
          <w:sz w:val="24"/>
          <w:szCs w:val="24"/>
          <w:lang w:val="en-US" w:eastAsia="zh-CN"/>
        </w:rPr>
        <w:t>/</w:t>
      </w:r>
      <w:r>
        <w:rPr>
          <w:rFonts w:hint="eastAsia" w:asciiTheme="minorEastAsia" w:hAnsiTheme="minorEastAsia"/>
          <w:color w:val="auto"/>
          <w:sz w:val="24"/>
          <w:szCs w:val="24"/>
        </w:rPr>
        <w:t>医疗器械临床试验合同签订流程。</w:t>
      </w:r>
    </w:p>
    <w:p>
      <w:pPr>
        <w:spacing w:line="360" w:lineRule="auto"/>
        <w:ind w:firstLine="240" w:firstLineChars="100"/>
        <w:jc w:val="left"/>
        <w:rPr>
          <w:rFonts w:asciiTheme="minorEastAsia" w:hAnsiTheme="minorEastAsia"/>
          <w:color w:val="auto"/>
          <w:sz w:val="24"/>
          <w:szCs w:val="24"/>
        </w:rPr>
      </w:pPr>
      <w:r>
        <w:rPr>
          <w:rFonts w:hint="eastAsia" w:asciiTheme="minorEastAsia" w:hAnsiTheme="minorEastAsia"/>
          <w:color w:val="auto"/>
          <w:sz w:val="24"/>
          <w:szCs w:val="24"/>
        </w:rPr>
        <w:t>二、范围</w:t>
      </w:r>
    </w:p>
    <w:p>
      <w:pPr>
        <w:spacing w:line="360" w:lineRule="auto"/>
        <w:ind w:firstLine="720" w:firstLineChars="300"/>
        <w:jc w:val="left"/>
        <w:rPr>
          <w:rFonts w:asciiTheme="minorEastAsia" w:hAnsiTheme="minorEastAsia"/>
          <w:color w:val="auto"/>
          <w:sz w:val="24"/>
          <w:szCs w:val="24"/>
        </w:rPr>
      </w:pPr>
      <w:r>
        <w:rPr>
          <w:rFonts w:hint="eastAsia" w:asciiTheme="minorEastAsia" w:hAnsiTheme="minorEastAsia"/>
          <w:color w:val="auto"/>
          <w:sz w:val="24"/>
          <w:szCs w:val="24"/>
        </w:rPr>
        <w:t>适用于本机构药物</w:t>
      </w:r>
      <w:r>
        <w:rPr>
          <w:rFonts w:hint="eastAsia" w:asciiTheme="minorEastAsia" w:hAnsiTheme="minorEastAsia"/>
          <w:color w:val="auto"/>
          <w:sz w:val="24"/>
          <w:szCs w:val="24"/>
          <w:lang w:val="en-US" w:eastAsia="zh-CN"/>
        </w:rPr>
        <w:t>/</w:t>
      </w:r>
      <w:r>
        <w:rPr>
          <w:rFonts w:hint="eastAsia" w:asciiTheme="minorEastAsia" w:hAnsiTheme="minorEastAsia"/>
          <w:color w:val="auto"/>
          <w:sz w:val="24"/>
          <w:szCs w:val="24"/>
        </w:rPr>
        <w:t>医疗器械临床试验合同的签订。</w:t>
      </w:r>
    </w:p>
    <w:p>
      <w:pPr>
        <w:spacing w:line="360" w:lineRule="auto"/>
        <w:ind w:firstLine="240" w:firstLineChars="100"/>
        <w:jc w:val="left"/>
        <w:rPr>
          <w:rFonts w:asciiTheme="minorEastAsia" w:hAnsiTheme="minorEastAsia"/>
          <w:color w:val="auto"/>
          <w:sz w:val="24"/>
          <w:szCs w:val="24"/>
        </w:rPr>
      </w:pPr>
      <w:r>
        <w:rPr>
          <w:rFonts w:hint="eastAsia" w:asciiTheme="minorEastAsia" w:hAnsiTheme="minorEastAsia"/>
          <w:color w:val="auto"/>
          <w:sz w:val="24"/>
          <w:szCs w:val="24"/>
        </w:rPr>
        <w:t>三、规程</w:t>
      </w:r>
    </w:p>
    <w:p>
      <w:pPr>
        <w:spacing w:line="360" w:lineRule="auto"/>
        <w:ind w:firstLine="240" w:firstLineChars="100"/>
        <w:jc w:val="left"/>
        <w:rPr>
          <w:rFonts w:asciiTheme="minorEastAsia" w:hAnsiTheme="minorEastAsia"/>
          <w:color w:val="auto"/>
          <w:sz w:val="24"/>
          <w:szCs w:val="24"/>
        </w:rPr>
      </w:pPr>
      <w:r>
        <w:rPr>
          <w:rFonts w:hint="eastAsia" w:asciiTheme="minorEastAsia" w:hAnsiTheme="minorEastAsia"/>
          <w:color w:val="auto"/>
          <w:sz w:val="24"/>
          <w:szCs w:val="24"/>
        </w:rPr>
        <w:t>（一）合同的拟定。</w:t>
      </w:r>
    </w:p>
    <w:p>
      <w:pPr>
        <w:spacing w:line="360" w:lineRule="auto"/>
        <w:ind w:firstLine="480" w:firstLineChars="200"/>
        <w:jc w:val="left"/>
        <w:rPr>
          <w:rFonts w:asciiTheme="minorEastAsia" w:hAnsiTheme="minorEastAsia"/>
          <w:color w:val="auto"/>
          <w:sz w:val="24"/>
          <w:szCs w:val="24"/>
        </w:rPr>
      </w:pPr>
      <w:r>
        <w:rPr>
          <w:rFonts w:hint="eastAsia" w:asciiTheme="minorEastAsia" w:hAnsiTheme="minorEastAsia"/>
          <w:color w:val="auto"/>
          <w:sz w:val="24"/>
          <w:szCs w:val="24"/>
        </w:rPr>
        <w:t>1. 合同由申办者或CRO与PI初步拟定。</w:t>
      </w:r>
    </w:p>
    <w:p>
      <w:pPr>
        <w:spacing w:line="360" w:lineRule="auto"/>
        <w:ind w:left="239" w:leftChars="114" w:firstLine="240" w:firstLineChars="100"/>
        <w:jc w:val="left"/>
        <w:rPr>
          <w:rFonts w:asciiTheme="minorEastAsia" w:hAnsiTheme="minorEastAsia"/>
          <w:color w:val="auto"/>
          <w:sz w:val="24"/>
          <w:szCs w:val="24"/>
        </w:rPr>
      </w:pPr>
      <w:r>
        <w:rPr>
          <w:rFonts w:hint="eastAsia" w:asciiTheme="minorEastAsia" w:hAnsiTheme="minorEastAsia"/>
          <w:color w:val="auto"/>
          <w:sz w:val="24"/>
          <w:szCs w:val="24"/>
        </w:rPr>
        <w:t>2. 合同的内容包括（但不限于）协议条款、保密责任、文章发表及知识产权、临床试验实施要求、研究的预计进行时间和入组例数、研究物资供应、保险、由试验所致损害的相关赔偿、研究经费预算及支付方式等。</w:t>
      </w:r>
    </w:p>
    <w:p>
      <w:pPr>
        <w:spacing w:line="360" w:lineRule="auto"/>
        <w:ind w:firstLine="240" w:firstLineChars="100"/>
        <w:jc w:val="left"/>
        <w:rPr>
          <w:rFonts w:asciiTheme="minorEastAsia" w:hAnsiTheme="minorEastAsia"/>
          <w:color w:val="auto"/>
          <w:sz w:val="24"/>
          <w:szCs w:val="24"/>
        </w:rPr>
      </w:pPr>
      <w:r>
        <w:rPr>
          <w:rFonts w:hint="eastAsia" w:asciiTheme="minorEastAsia" w:hAnsiTheme="minorEastAsia"/>
          <w:color w:val="auto"/>
          <w:sz w:val="24"/>
          <w:szCs w:val="24"/>
        </w:rPr>
        <w:t>（二）研究经费预算。</w:t>
      </w:r>
    </w:p>
    <w:p>
      <w:pPr>
        <w:numPr>
          <w:ilvl w:val="0"/>
          <w:numId w:val="44"/>
        </w:numPr>
        <w:spacing w:line="360" w:lineRule="auto"/>
        <w:ind w:left="0" w:firstLine="425"/>
        <w:jc w:val="left"/>
        <w:rPr>
          <w:rFonts w:asciiTheme="minorEastAsia" w:hAnsiTheme="minorEastAsia"/>
          <w:color w:val="auto"/>
          <w:sz w:val="24"/>
          <w:szCs w:val="24"/>
        </w:rPr>
      </w:pPr>
      <w:r>
        <w:rPr>
          <w:rFonts w:hint="eastAsia" w:asciiTheme="minorEastAsia" w:hAnsiTheme="minorEastAsia"/>
          <w:color w:val="auto"/>
          <w:sz w:val="24"/>
          <w:szCs w:val="24"/>
        </w:rPr>
        <w:t>受试者费用：按照研究方案和协议的有关规定应用于受试者的相关费用，包括检查费、药费、住院费、交通补贴、营养补贴等。与申办者或公司协商，一般采取实报实销的方式；如有其他原因无法按此结算，具体支付金额由研究者按各病种特点，估算受试者通常可完成的疗程数，根据方案要求预计可能发生的相关费用。</w:t>
      </w:r>
    </w:p>
    <w:p>
      <w:pPr>
        <w:numPr>
          <w:ilvl w:val="0"/>
          <w:numId w:val="44"/>
        </w:numPr>
        <w:spacing w:line="360" w:lineRule="auto"/>
        <w:ind w:left="0" w:firstLine="425"/>
        <w:jc w:val="left"/>
        <w:rPr>
          <w:rFonts w:asciiTheme="minorEastAsia" w:hAnsiTheme="minorEastAsia"/>
          <w:color w:val="auto"/>
          <w:sz w:val="24"/>
          <w:szCs w:val="24"/>
        </w:rPr>
      </w:pPr>
      <w:r>
        <w:rPr>
          <w:rFonts w:hint="eastAsia" w:asciiTheme="minorEastAsia" w:hAnsiTheme="minorEastAsia"/>
          <w:color w:val="auto"/>
          <w:sz w:val="24"/>
          <w:szCs w:val="24"/>
        </w:rPr>
        <w:t>试验观察费：用于支付研究人员的劳务、刻盘、阅片、标本制作等费用以及医院管理费，临床试验机构管理费等。</w:t>
      </w:r>
    </w:p>
    <w:p>
      <w:pPr>
        <w:numPr>
          <w:ilvl w:val="0"/>
          <w:numId w:val="44"/>
        </w:numPr>
        <w:spacing w:line="360" w:lineRule="auto"/>
        <w:ind w:left="0" w:firstLine="425"/>
        <w:jc w:val="left"/>
        <w:rPr>
          <w:rFonts w:asciiTheme="minorEastAsia" w:hAnsiTheme="minorEastAsia"/>
          <w:color w:val="auto"/>
          <w:sz w:val="24"/>
          <w:szCs w:val="24"/>
        </w:rPr>
      </w:pPr>
      <w:r>
        <w:rPr>
          <w:rFonts w:hint="eastAsia" w:asciiTheme="minorEastAsia" w:hAnsiTheme="minorEastAsia"/>
          <w:color w:val="auto"/>
          <w:sz w:val="24"/>
          <w:szCs w:val="24"/>
        </w:rPr>
        <w:t>药物管理费：用于试验药房设备设施的保养、折旧及药物配置劳务费等。</w:t>
      </w:r>
    </w:p>
    <w:p>
      <w:pPr>
        <w:numPr>
          <w:ilvl w:val="0"/>
          <w:numId w:val="44"/>
        </w:numPr>
        <w:spacing w:line="360" w:lineRule="auto"/>
        <w:ind w:left="0" w:firstLine="425"/>
        <w:jc w:val="left"/>
        <w:rPr>
          <w:rFonts w:asciiTheme="minorEastAsia" w:hAnsiTheme="minorEastAsia"/>
          <w:color w:val="auto"/>
          <w:sz w:val="24"/>
          <w:szCs w:val="24"/>
        </w:rPr>
      </w:pPr>
      <w:r>
        <w:rPr>
          <w:rFonts w:hint="eastAsia" w:asciiTheme="minorEastAsia" w:hAnsiTheme="minorEastAsia"/>
          <w:color w:val="auto"/>
          <w:sz w:val="24"/>
          <w:szCs w:val="24"/>
        </w:rPr>
        <w:t>医疗器械管理费：用于试验用医疗器械所需设备设施的保养、折旧以及医疗器械配置劳务费等。</w:t>
      </w:r>
    </w:p>
    <w:p>
      <w:pPr>
        <w:numPr>
          <w:ilvl w:val="0"/>
          <w:numId w:val="44"/>
        </w:numPr>
        <w:spacing w:line="360" w:lineRule="auto"/>
        <w:ind w:left="0" w:firstLine="425"/>
        <w:jc w:val="left"/>
        <w:rPr>
          <w:rFonts w:asciiTheme="minorEastAsia" w:hAnsiTheme="minorEastAsia"/>
          <w:color w:val="auto"/>
          <w:sz w:val="24"/>
          <w:szCs w:val="24"/>
        </w:rPr>
      </w:pPr>
      <w:r>
        <w:rPr>
          <w:rFonts w:hint="eastAsia" w:asciiTheme="minorEastAsia" w:hAnsiTheme="minorEastAsia"/>
          <w:color w:val="auto"/>
          <w:sz w:val="24"/>
          <w:szCs w:val="24"/>
        </w:rPr>
        <w:t>CRC费：用于聘请院内或院外CRC。</w:t>
      </w:r>
    </w:p>
    <w:p>
      <w:pPr>
        <w:numPr>
          <w:ilvl w:val="0"/>
          <w:numId w:val="44"/>
        </w:numPr>
        <w:spacing w:line="360" w:lineRule="auto"/>
        <w:ind w:left="0" w:firstLine="425"/>
        <w:jc w:val="left"/>
        <w:rPr>
          <w:rFonts w:asciiTheme="minorEastAsia" w:hAnsiTheme="minorEastAsia"/>
          <w:color w:val="auto"/>
          <w:sz w:val="24"/>
          <w:szCs w:val="24"/>
        </w:rPr>
      </w:pPr>
      <w:r>
        <w:rPr>
          <w:rFonts w:hint="eastAsia" w:asciiTheme="minorEastAsia" w:hAnsiTheme="minorEastAsia"/>
          <w:color w:val="auto"/>
          <w:sz w:val="24"/>
          <w:szCs w:val="24"/>
        </w:rPr>
        <w:t>专业科室相关费用：主要用于科室耗材的购买、仪器设施的保养及折旧以及采血费、营养补贴、交通补助等。</w:t>
      </w:r>
    </w:p>
    <w:p>
      <w:pPr>
        <w:numPr>
          <w:ilvl w:val="0"/>
          <w:numId w:val="44"/>
        </w:numPr>
        <w:spacing w:line="360" w:lineRule="auto"/>
        <w:ind w:left="0" w:firstLine="425"/>
        <w:jc w:val="left"/>
        <w:rPr>
          <w:rFonts w:asciiTheme="minorEastAsia" w:hAnsiTheme="minorEastAsia"/>
          <w:color w:val="auto"/>
          <w:sz w:val="24"/>
          <w:szCs w:val="24"/>
        </w:rPr>
      </w:pPr>
      <w:r>
        <w:rPr>
          <w:rFonts w:hint="eastAsia" w:asciiTheme="minorEastAsia" w:hAnsiTheme="minorEastAsia"/>
          <w:color w:val="auto"/>
          <w:sz w:val="24"/>
          <w:szCs w:val="24"/>
        </w:rPr>
        <w:t>数据管理及统计费：主要用于统计方案设计、数据库设计和数据输入与处理、统计等，以及硬件设备及软件的配备和更新等。</w:t>
      </w:r>
    </w:p>
    <w:p>
      <w:pPr>
        <w:numPr>
          <w:ilvl w:val="0"/>
          <w:numId w:val="44"/>
        </w:numPr>
        <w:spacing w:line="360" w:lineRule="auto"/>
        <w:ind w:left="0" w:firstLine="425"/>
        <w:jc w:val="left"/>
        <w:rPr>
          <w:rFonts w:asciiTheme="minorEastAsia" w:hAnsiTheme="minorEastAsia"/>
          <w:color w:val="auto"/>
          <w:sz w:val="24"/>
          <w:szCs w:val="24"/>
        </w:rPr>
      </w:pPr>
      <w:r>
        <w:rPr>
          <w:rFonts w:hint="eastAsia" w:asciiTheme="minorEastAsia" w:hAnsiTheme="minorEastAsia"/>
          <w:color w:val="auto"/>
          <w:sz w:val="24"/>
          <w:szCs w:val="24"/>
        </w:rPr>
        <w:t>合同税费：收费标准按国家税务标准。</w:t>
      </w:r>
    </w:p>
    <w:p>
      <w:pPr>
        <w:spacing w:line="360" w:lineRule="auto"/>
        <w:ind w:firstLine="240" w:firstLineChars="100"/>
        <w:jc w:val="left"/>
        <w:rPr>
          <w:rFonts w:asciiTheme="minorEastAsia" w:hAnsiTheme="minorEastAsia"/>
          <w:color w:val="auto"/>
          <w:sz w:val="24"/>
          <w:szCs w:val="24"/>
        </w:rPr>
      </w:pPr>
      <w:r>
        <w:rPr>
          <w:rFonts w:hint="eastAsia" w:asciiTheme="minorEastAsia" w:hAnsiTheme="minorEastAsia"/>
          <w:color w:val="auto"/>
          <w:sz w:val="24"/>
          <w:szCs w:val="24"/>
        </w:rPr>
        <w:t>（三）合同的审核。</w:t>
      </w:r>
    </w:p>
    <w:p>
      <w:pPr>
        <w:spacing w:line="360" w:lineRule="auto"/>
        <w:ind w:left="239" w:leftChars="114" w:firstLine="240" w:firstLineChars="100"/>
        <w:jc w:val="left"/>
        <w:rPr>
          <w:rFonts w:asciiTheme="minorEastAsia" w:hAnsiTheme="minorEastAsia"/>
          <w:color w:val="auto"/>
          <w:sz w:val="24"/>
          <w:szCs w:val="24"/>
        </w:rPr>
      </w:pPr>
      <w:r>
        <w:rPr>
          <w:rFonts w:hint="eastAsia" w:asciiTheme="minorEastAsia" w:hAnsiTheme="minorEastAsia"/>
          <w:color w:val="auto"/>
          <w:sz w:val="24"/>
          <w:szCs w:val="24"/>
        </w:rPr>
        <w:t>1、 PI．（可授权研究医生或研究助理）对合同条款及经费进行审核（审核要点参考附件2、附件3），如为CRC聘用合同，则按附件4要求审核。</w:t>
      </w:r>
    </w:p>
    <w:p>
      <w:pPr>
        <w:spacing w:line="360" w:lineRule="auto"/>
        <w:ind w:firstLine="480" w:firstLineChars="200"/>
        <w:jc w:val="left"/>
        <w:rPr>
          <w:rFonts w:asciiTheme="minorEastAsia" w:hAnsiTheme="minorEastAsia"/>
          <w:color w:val="auto"/>
          <w:sz w:val="24"/>
          <w:szCs w:val="24"/>
        </w:rPr>
      </w:pPr>
      <w:r>
        <w:rPr>
          <w:rFonts w:hint="eastAsia" w:asciiTheme="minorEastAsia" w:hAnsiTheme="minorEastAsia"/>
          <w:color w:val="auto"/>
          <w:sz w:val="24"/>
          <w:szCs w:val="24"/>
        </w:rPr>
        <w:t>2、经PI签字确认后的合同、附件1、附件2、附件3及附件4（如适用），交经费管理小组审核。</w:t>
      </w:r>
    </w:p>
    <w:p>
      <w:pPr>
        <w:spacing w:line="360" w:lineRule="auto"/>
        <w:ind w:left="239" w:leftChars="114" w:firstLine="240" w:firstLineChars="100"/>
        <w:jc w:val="left"/>
        <w:rPr>
          <w:rFonts w:asciiTheme="minorEastAsia" w:hAnsiTheme="minorEastAsia"/>
          <w:color w:val="auto"/>
          <w:sz w:val="24"/>
          <w:szCs w:val="24"/>
          <w:highlight w:val="none"/>
        </w:rPr>
      </w:pPr>
      <w:r>
        <w:rPr>
          <w:rFonts w:hint="eastAsia" w:asciiTheme="minorEastAsia" w:hAnsiTheme="minorEastAsia"/>
          <w:color w:val="auto"/>
          <w:sz w:val="24"/>
          <w:szCs w:val="24"/>
        </w:rPr>
        <w:t>3、机构办公室秘书对递交的合同进行形式审查，后交予办公室主任安排主审人员进行复核。</w:t>
      </w:r>
    </w:p>
    <w:p>
      <w:pPr>
        <w:spacing w:line="360" w:lineRule="auto"/>
        <w:ind w:left="239" w:leftChars="114" w:firstLine="240" w:firstLineChars="100"/>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4、经费管理小组会议须对上会讨论的合同进行审核讨论，讨论的结论有：①通过；②修改后送主审员审核；③修改后送组长审核；④需要重新送小组讨论；⑤不通过。</w:t>
      </w:r>
    </w:p>
    <w:p>
      <w:pPr>
        <w:spacing w:line="360" w:lineRule="auto"/>
        <w:ind w:left="239" w:leftChars="114" w:firstLine="240" w:firstLineChars="100"/>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5、快速审批：合同如符合以下内容，可由机构办公室秘书初步审阅，机构办公室主任审核确认后，提交经费管理小组组长在附件l上填写审核意见并签字：</w:t>
      </w:r>
    </w:p>
    <w:p>
      <w:pPr>
        <w:spacing w:line="360" w:lineRule="auto"/>
        <w:ind w:firstLine="240" w:firstLineChars="100"/>
        <w:jc w:val="left"/>
        <w:rPr>
          <w:rFonts w:asciiTheme="minorEastAsia" w:hAnsiTheme="minorEastAsia"/>
          <w:color w:val="auto"/>
          <w:sz w:val="24"/>
          <w:szCs w:val="24"/>
        </w:rPr>
      </w:pPr>
      <w:r>
        <w:rPr>
          <w:rFonts w:hint="eastAsia" w:asciiTheme="minorEastAsia" w:hAnsiTheme="minorEastAsia"/>
          <w:color w:val="auto"/>
          <w:sz w:val="24"/>
          <w:szCs w:val="24"/>
          <w:highlight w:val="none"/>
        </w:rPr>
        <w:t>（1)与申办方、SMO公司签订CRC服务协议，基本内容符合经费管理小组讨论并同</w:t>
      </w:r>
      <w:r>
        <w:rPr>
          <w:rFonts w:hint="eastAsia" w:asciiTheme="minorEastAsia" w:hAnsiTheme="minorEastAsia"/>
          <w:color w:val="auto"/>
          <w:sz w:val="24"/>
          <w:szCs w:val="24"/>
        </w:rPr>
        <w:t>意的版本，有异议或特殊情况应上会。</w:t>
      </w:r>
    </w:p>
    <w:p>
      <w:pPr>
        <w:spacing w:line="360" w:lineRule="auto"/>
        <w:ind w:firstLine="240" w:firstLineChars="100"/>
        <w:jc w:val="left"/>
        <w:rPr>
          <w:rFonts w:asciiTheme="minorEastAsia" w:hAnsiTheme="minorEastAsia"/>
          <w:color w:val="auto"/>
          <w:sz w:val="24"/>
          <w:szCs w:val="24"/>
        </w:rPr>
      </w:pPr>
      <w:r>
        <w:rPr>
          <w:rFonts w:hint="eastAsia" w:asciiTheme="minorEastAsia" w:hAnsiTheme="minorEastAsia"/>
          <w:color w:val="auto"/>
          <w:sz w:val="24"/>
          <w:szCs w:val="24"/>
        </w:rPr>
        <w:t>（2)补充协议：根据方案、知情同意书等修订，而相应增加相关费用。</w:t>
      </w:r>
    </w:p>
    <w:p>
      <w:pPr>
        <w:spacing w:line="360" w:lineRule="auto"/>
        <w:ind w:firstLine="240" w:firstLineChars="100"/>
        <w:jc w:val="left"/>
        <w:rPr>
          <w:rFonts w:asciiTheme="minorEastAsia" w:hAnsiTheme="minorEastAsia"/>
          <w:color w:val="auto"/>
          <w:sz w:val="24"/>
          <w:szCs w:val="24"/>
        </w:rPr>
      </w:pPr>
      <w:r>
        <w:rPr>
          <w:rFonts w:hint="eastAsia" w:asciiTheme="minorEastAsia" w:hAnsiTheme="minorEastAsia"/>
          <w:color w:val="auto"/>
          <w:sz w:val="24"/>
          <w:szCs w:val="24"/>
        </w:rPr>
        <w:t>（3)补充协议：申办方提供办公用品、设备等物资。</w:t>
      </w:r>
    </w:p>
    <w:p>
      <w:pPr>
        <w:spacing w:line="360" w:lineRule="auto"/>
        <w:ind w:firstLine="240" w:firstLineChars="100"/>
        <w:jc w:val="left"/>
        <w:rPr>
          <w:rFonts w:asciiTheme="minorEastAsia" w:hAnsiTheme="minorEastAsia"/>
          <w:color w:val="auto"/>
          <w:sz w:val="24"/>
          <w:szCs w:val="24"/>
        </w:rPr>
      </w:pPr>
      <w:r>
        <w:rPr>
          <w:rFonts w:hint="eastAsia" w:asciiTheme="minorEastAsia" w:hAnsiTheme="minorEastAsia"/>
          <w:color w:val="auto"/>
          <w:sz w:val="24"/>
          <w:szCs w:val="24"/>
        </w:rPr>
        <w:t>（4)补充协议：与经费无直接关系，对本院及受试者的条款无利益损害、无歧义。</w:t>
      </w:r>
    </w:p>
    <w:p>
      <w:pPr>
        <w:spacing w:line="360" w:lineRule="auto"/>
        <w:ind w:firstLine="240" w:firstLineChars="100"/>
        <w:jc w:val="left"/>
        <w:rPr>
          <w:rFonts w:asciiTheme="minorEastAsia" w:hAnsiTheme="minorEastAsia"/>
          <w:color w:val="auto"/>
          <w:sz w:val="24"/>
          <w:szCs w:val="24"/>
        </w:rPr>
      </w:pPr>
      <w:r>
        <w:rPr>
          <w:rFonts w:hint="eastAsia" w:asciiTheme="minorEastAsia" w:hAnsiTheme="minorEastAsia"/>
          <w:color w:val="auto"/>
          <w:sz w:val="24"/>
          <w:szCs w:val="24"/>
        </w:rPr>
        <w:t>（5)补充协议：临床试验协议法律关系主体转让合同。</w:t>
      </w:r>
    </w:p>
    <w:p>
      <w:pPr>
        <w:spacing w:line="360" w:lineRule="auto"/>
        <w:ind w:firstLine="240" w:firstLineChars="100"/>
        <w:jc w:val="left"/>
        <w:rPr>
          <w:rFonts w:asciiTheme="minorEastAsia" w:hAnsiTheme="minorEastAsia"/>
          <w:color w:val="auto"/>
          <w:sz w:val="24"/>
          <w:szCs w:val="24"/>
        </w:rPr>
      </w:pPr>
      <w:r>
        <w:rPr>
          <w:rFonts w:hint="eastAsia" w:asciiTheme="minorEastAsia" w:hAnsiTheme="minorEastAsia"/>
          <w:color w:val="auto"/>
          <w:sz w:val="24"/>
          <w:szCs w:val="24"/>
        </w:rPr>
        <w:t>（6)补充协议：牵头费。</w:t>
      </w:r>
    </w:p>
    <w:p>
      <w:pPr>
        <w:spacing w:line="360" w:lineRule="auto"/>
        <w:ind w:firstLine="240" w:firstLineChars="100"/>
        <w:jc w:val="left"/>
        <w:rPr>
          <w:rFonts w:asciiTheme="minorEastAsia" w:hAnsiTheme="minorEastAsia"/>
          <w:color w:val="auto"/>
          <w:sz w:val="24"/>
          <w:szCs w:val="24"/>
        </w:rPr>
      </w:pPr>
      <w:r>
        <w:rPr>
          <w:rFonts w:hint="eastAsia" w:asciiTheme="minorEastAsia" w:hAnsiTheme="minorEastAsia"/>
          <w:color w:val="auto"/>
          <w:sz w:val="24"/>
          <w:szCs w:val="24"/>
        </w:rPr>
        <w:t>（7)统计分析计划协议书。</w:t>
      </w:r>
    </w:p>
    <w:p>
      <w:pPr>
        <w:spacing w:line="360" w:lineRule="auto"/>
        <w:ind w:firstLine="480" w:firstLineChars="200"/>
        <w:jc w:val="left"/>
        <w:rPr>
          <w:rFonts w:asciiTheme="minorEastAsia" w:hAnsiTheme="minorEastAsia"/>
          <w:color w:val="auto"/>
          <w:sz w:val="24"/>
          <w:szCs w:val="24"/>
        </w:rPr>
      </w:pPr>
      <w:r>
        <w:rPr>
          <w:rFonts w:hint="eastAsia" w:asciiTheme="minorEastAsia" w:hAnsiTheme="minorEastAsia"/>
          <w:color w:val="auto"/>
          <w:sz w:val="24"/>
          <w:szCs w:val="24"/>
        </w:rPr>
        <w:t>（四）合同的签署。</w:t>
      </w:r>
    </w:p>
    <w:p>
      <w:pPr>
        <w:spacing w:line="360" w:lineRule="auto"/>
        <w:ind w:left="239" w:leftChars="114" w:firstLine="240" w:firstLineChars="100"/>
        <w:jc w:val="left"/>
        <w:rPr>
          <w:rFonts w:asciiTheme="minorEastAsia" w:hAnsiTheme="minorEastAsia"/>
          <w:color w:val="auto"/>
          <w:sz w:val="24"/>
          <w:szCs w:val="24"/>
        </w:rPr>
      </w:pPr>
      <w:r>
        <w:rPr>
          <w:rFonts w:hint="eastAsia" w:asciiTheme="minorEastAsia" w:hAnsiTheme="minorEastAsia"/>
          <w:color w:val="auto"/>
          <w:sz w:val="24"/>
          <w:szCs w:val="24"/>
        </w:rPr>
        <w:t>1、经由经费管理小组审核通过的合同，组长签字后由机构办公室秘书交法人或授权主管副院长签署，并加盖公章及骑缝章。</w:t>
      </w:r>
    </w:p>
    <w:p>
      <w:pPr>
        <w:spacing w:line="360" w:lineRule="auto"/>
        <w:ind w:firstLine="480" w:firstLineChars="200"/>
        <w:jc w:val="left"/>
        <w:rPr>
          <w:rFonts w:asciiTheme="minorEastAsia" w:hAnsiTheme="minorEastAsia"/>
          <w:color w:val="auto"/>
          <w:sz w:val="24"/>
          <w:szCs w:val="24"/>
        </w:rPr>
      </w:pPr>
      <w:r>
        <w:rPr>
          <w:rFonts w:hint="eastAsia" w:asciiTheme="minorEastAsia" w:hAnsiTheme="minorEastAsia"/>
          <w:color w:val="auto"/>
          <w:sz w:val="24"/>
          <w:szCs w:val="24"/>
        </w:rPr>
        <w:t>2、印章上的公司名称与合同中书写的单位名称以及付款时的单位名称应一致。</w:t>
      </w:r>
    </w:p>
    <w:p>
      <w:pPr>
        <w:spacing w:line="360" w:lineRule="auto"/>
        <w:ind w:firstLine="480" w:firstLineChars="200"/>
        <w:jc w:val="left"/>
        <w:rPr>
          <w:rFonts w:asciiTheme="minorEastAsia" w:hAnsiTheme="minorEastAsia"/>
          <w:color w:val="auto"/>
          <w:sz w:val="24"/>
          <w:szCs w:val="24"/>
        </w:rPr>
      </w:pPr>
      <w:r>
        <w:rPr>
          <w:rFonts w:hint="eastAsia" w:asciiTheme="minorEastAsia" w:hAnsiTheme="minorEastAsia"/>
          <w:color w:val="auto"/>
          <w:sz w:val="24"/>
          <w:szCs w:val="24"/>
        </w:rPr>
        <w:t>3、如申办者／CRO公司盖合同专用章，须提供该合同专用章的公安局备案资料。</w:t>
      </w:r>
    </w:p>
    <w:p>
      <w:pPr>
        <w:spacing w:line="360" w:lineRule="auto"/>
        <w:ind w:firstLine="480" w:firstLineChars="200"/>
        <w:jc w:val="left"/>
        <w:rPr>
          <w:rFonts w:asciiTheme="minorEastAsia" w:hAnsiTheme="minorEastAsia"/>
          <w:color w:val="auto"/>
          <w:sz w:val="24"/>
          <w:szCs w:val="24"/>
        </w:rPr>
      </w:pPr>
      <w:r>
        <w:rPr>
          <w:rFonts w:hint="eastAsia" w:asciiTheme="minorEastAsia" w:hAnsiTheme="minorEastAsia"/>
          <w:color w:val="auto"/>
          <w:sz w:val="24"/>
          <w:szCs w:val="24"/>
        </w:rPr>
        <w:t>4、合同原件由申办者、机构办公室和主要研究者分别保存。</w:t>
      </w:r>
    </w:p>
    <w:p>
      <w:pPr>
        <w:spacing w:line="360" w:lineRule="auto"/>
        <w:ind w:left="284"/>
        <w:rPr>
          <w:rFonts w:asciiTheme="minorEastAsia" w:hAnsiTheme="minorEastAsia"/>
          <w:color w:val="auto"/>
          <w:sz w:val="24"/>
          <w:szCs w:val="24"/>
        </w:rPr>
      </w:pPr>
      <w:r>
        <w:rPr>
          <w:rFonts w:hint="eastAsia" w:asciiTheme="minorEastAsia" w:hAnsiTheme="minorEastAsia"/>
          <w:color w:val="auto"/>
          <w:sz w:val="24"/>
          <w:szCs w:val="24"/>
        </w:rPr>
        <w:t>四、附件</w:t>
      </w:r>
    </w:p>
    <w:p>
      <w:pPr>
        <w:spacing w:line="360" w:lineRule="auto"/>
        <w:rPr>
          <w:rFonts w:ascii="黑体" w:hAnsi="黑体" w:eastAsia="黑体"/>
          <w:bCs/>
          <w:color w:val="auto"/>
          <w:sz w:val="24"/>
          <w:szCs w:val="24"/>
        </w:rPr>
      </w:pPr>
    </w:p>
    <w:p>
      <w:pPr>
        <w:spacing w:line="360" w:lineRule="auto"/>
        <w:rPr>
          <w:rFonts w:ascii="黑体" w:hAnsi="黑体" w:eastAsia="黑体"/>
          <w:bCs/>
          <w:color w:val="auto"/>
          <w:sz w:val="24"/>
          <w:szCs w:val="24"/>
        </w:rPr>
      </w:pPr>
    </w:p>
    <w:p>
      <w:pPr>
        <w:spacing w:line="360" w:lineRule="auto"/>
        <w:rPr>
          <w:rFonts w:ascii="黑体" w:hAnsi="黑体" w:eastAsia="黑体"/>
          <w:bCs/>
          <w:color w:val="auto"/>
          <w:sz w:val="24"/>
          <w:szCs w:val="24"/>
        </w:rPr>
      </w:pPr>
    </w:p>
    <w:p>
      <w:pPr>
        <w:spacing w:line="360" w:lineRule="auto"/>
        <w:rPr>
          <w:rFonts w:ascii="黑体" w:hAnsi="黑体" w:eastAsia="黑体"/>
          <w:bCs/>
          <w:color w:val="auto"/>
          <w:sz w:val="24"/>
          <w:szCs w:val="24"/>
        </w:rPr>
      </w:pPr>
    </w:p>
    <w:p>
      <w:pPr>
        <w:spacing w:line="360" w:lineRule="auto"/>
        <w:rPr>
          <w:rFonts w:ascii="黑体" w:hAnsi="黑体" w:eastAsia="黑体"/>
          <w:bCs/>
          <w:color w:val="auto"/>
          <w:sz w:val="24"/>
          <w:szCs w:val="24"/>
        </w:rPr>
      </w:pPr>
    </w:p>
    <w:p>
      <w:pPr>
        <w:spacing w:line="360" w:lineRule="auto"/>
        <w:ind w:firstLine="240" w:firstLineChars="100"/>
        <w:rPr>
          <w:rFonts w:ascii="黑体" w:hAnsi="黑体" w:eastAsia="黑体"/>
          <w:bCs/>
          <w:color w:val="auto"/>
          <w:sz w:val="24"/>
          <w:szCs w:val="24"/>
        </w:rPr>
      </w:pPr>
      <w:r>
        <w:rPr>
          <w:rFonts w:hint="eastAsia" w:ascii="黑体" w:hAnsi="黑体" w:eastAsia="黑体"/>
          <w:bCs/>
          <w:color w:val="auto"/>
          <w:sz w:val="24"/>
          <w:szCs w:val="24"/>
        </w:rPr>
        <w:t>附件1   临床试验合同审核表</w:t>
      </w:r>
    </w:p>
    <w:p>
      <w:pPr>
        <w:spacing w:line="360" w:lineRule="auto"/>
        <w:rPr>
          <w:color w:val="auto"/>
          <w:szCs w:val="21"/>
        </w:rPr>
      </w:pPr>
      <w:r>
        <w:rPr>
          <w:rFonts w:hint="eastAsia"/>
          <w:color w:val="auto"/>
          <w:sz w:val="28"/>
          <w:szCs w:val="28"/>
        </w:rPr>
        <w:t xml:space="preserve">  </w:t>
      </w:r>
      <w:r>
        <w:rPr>
          <w:rFonts w:hint="eastAsia"/>
          <w:color w:val="auto"/>
          <w:sz w:val="24"/>
          <w:szCs w:val="24"/>
        </w:rPr>
        <w:t xml:space="preserve">                    </w:t>
      </w:r>
      <w:r>
        <w:rPr>
          <w:rFonts w:hint="eastAsia"/>
          <w:color w:val="auto"/>
          <w:szCs w:val="21"/>
        </w:rPr>
        <w:t xml:space="preserve">   临床试验合同审核表</w:t>
      </w:r>
    </w:p>
    <w:tbl>
      <w:tblPr>
        <w:tblStyle w:val="28"/>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09"/>
        <w:gridCol w:w="2841"/>
        <w:gridCol w:w="387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pPr>
              <w:spacing w:line="360" w:lineRule="auto"/>
              <w:rPr>
                <w:rFonts w:asciiTheme="minorEastAsia" w:hAnsiTheme="minorEastAsia"/>
                <w:color w:val="auto"/>
                <w:szCs w:val="21"/>
              </w:rPr>
            </w:pPr>
            <w:r>
              <w:rPr>
                <w:rFonts w:hint="eastAsia" w:asciiTheme="minorEastAsia" w:hAnsiTheme="minorEastAsia"/>
                <w:color w:val="auto"/>
                <w:szCs w:val="21"/>
              </w:rPr>
              <w:t>机构受理号</w:t>
            </w:r>
          </w:p>
        </w:tc>
        <w:tc>
          <w:tcPr>
            <w:tcW w:w="6713" w:type="dxa"/>
            <w:gridSpan w:val="2"/>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pPr>
              <w:spacing w:line="360" w:lineRule="auto"/>
              <w:rPr>
                <w:rFonts w:asciiTheme="minorEastAsia" w:hAnsiTheme="minorEastAsia"/>
                <w:color w:val="auto"/>
                <w:szCs w:val="21"/>
              </w:rPr>
            </w:pPr>
            <w:r>
              <w:rPr>
                <w:rFonts w:hint="eastAsia" w:asciiTheme="minorEastAsia" w:hAnsiTheme="minorEastAsia"/>
                <w:color w:val="auto"/>
                <w:szCs w:val="21"/>
              </w:rPr>
              <w:t>方案名称/方案号</w:t>
            </w:r>
          </w:p>
        </w:tc>
        <w:tc>
          <w:tcPr>
            <w:tcW w:w="6713" w:type="dxa"/>
            <w:gridSpan w:val="2"/>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27" w:hRule="atLeast"/>
        </w:trPr>
        <w:tc>
          <w:tcPr>
            <w:tcW w:w="1809" w:type="dxa"/>
          </w:tcPr>
          <w:p>
            <w:pPr>
              <w:spacing w:line="360" w:lineRule="auto"/>
              <w:rPr>
                <w:rFonts w:asciiTheme="minorEastAsia" w:hAnsiTheme="minorEastAsia"/>
                <w:color w:val="auto"/>
                <w:szCs w:val="21"/>
              </w:rPr>
            </w:pPr>
            <w:r>
              <w:rPr>
                <w:rFonts w:hint="eastAsia" w:asciiTheme="minorEastAsia" w:hAnsiTheme="minorEastAsia"/>
                <w:color w:val="auto"/>
                <w:szCs w:val="21"/>
              </w:rPr>
              <w:t>PI/联系人姓名及电话</w:t>
            </w:r>
          </w:p>
        </w:tc>
        <w:tc>
          <w:tcPr>
            <w:tcW w:w="6713" w:type="dxa"/>
            <w:gridSpan w:val="2"/>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32" w:hRule="atLeast"/>
        </w:trPr>
        <w:tc>
          <w:tcPr>
            <w:tcW w:w="1809" w:type="dxa"/>
          </w:tcPr>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r>
              <w:rPr>
                <w:rFonts w:hint="eastAsia" w:asciiTheme="minorEastAsia" w:hAnsiTheme="minorEastAsia"/>
                <w:color w:val="auto"/>
                <w:szCs w:val="21"/>
              </w:rPr>
              <w:t>协议类型</w:t>
            </w:r>
          </w:p>
        </w:tc>
        <w:tc>
          <w:tcPr>
            <w:tcW w:w="6713" w:type="dxa"/>
            <w:gridSpan w:val="2"/>
          </w:tcPr>
          <w:p>
            <w:pPr>
              <w:spacing w:line="360" w:lineRule="auto"/>
              <w:rPr>
                <w:rFonts w:asciiTheme="minorEastAsia" w:hAnsiTheme="minorEastAsia"/>
                <w:color w:val="auto"/>
                <w:szCs w:val="21"/>
              </w:rPr>
            </w:pPr>
            <w:r>
              <w:rPr>
                <w:rFonts w:hint="eastAsia" w:asciiTheme="minorEastAsia" w:hAnsiTheme="minorEastAsia"/>
                <w:color w:val="auto"/>
                <w:szCs w:val="21"/>
              </w:rPr>
              <w:t>□主协议</w:t>
            </w:r>
          </w:p>
          <w:p>
            <w:pPr>
              <w:spacing w:line="360" w:lineRule="auto"/>
              <w:rPr>
                <w:rFonts w:asciiTheme="minorEastAsia" w:hAnsiTheme="minorEastAsia"/>
                <w:color w:val="auto"/>
                <w:szCs w:val="21"/>
              </w:rPr>
            </w:pPr>
            <w:r>
              <w:rPr>
                <w:rFonts w:hint="eastAsia" w:asciiTheme="minorEastAsia" w:hAnsiTheme="minorEastAsia"/>
                <w:color w:val="auto"/>
                <w:szCs w:val="21"/>
              </w:rPr>
              <w:t>□补充协议（请文字描述，如增加或修改费用、主体变更等）</w:t>
            </w:r>
          </w:p>
          <w:p>
            <w:pPr>
              <w:spacing w:line="360" w:lineRule="auto"/>
              <w:rPr>
                <w:rFonts w:asciiTheme="minorEastAsia" w:hAnsiTheme="minorEastAsia"/>
                <w:color w:val="auto"/>
                <w:szCs w:val="21"/>
              </w:rPr>
            </w:pPr>
            <w:r>
              <w:rPr>
                <w:rFonts w:hint="eastAsia" w:asciiTheme="minorEastAsia" w:hAnsiTheme="minorEastAsia"/>
                <w:color w:val="auto"/>
                <w:szCs w:val="21"/>
              </w:rPr>
              <w:t>□CRC聘用协议（请注明申办者、SMO公司名称）</w:t>
            </w:r>
          </w:p>
          <w:p>
            <w:pPr>
              <w:spacing w:line="360" w:lineRule="auto"/>
              <w:rPr>
                <w:rFonts w:asciiTheme="minorEastAsia" w:hAnsiTheme="minorEastAsia"/>
                <w:color w:val="auto"/>
                <w:szCs w:val="21"/>
              </w:rPr>
            </w:pPr>
            <w:r>
              <w:rPr>
                <w:rFonts w:hint="eastAsia" w:asciiTheme="minorEastAsia" w:hAnsiTheme="minorEastAsia"/>
                <w:color w:val="auto"/>
                <w:szCs w:val="21"/>
              </w:rPr>
              <w:t>□其他（请文字描述）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pPr>
              <w:spacing w:line="360" w:lineRule="auto"/>
              <w:rPr>
                <w:rFonts w:asciiTheme="minorEastAsia" w:hAnsiTheme="minorEastAsia"/>
                <w:color w:val="auto"/>
                <w:szCs w:val="21"/>
              </w:rPr>
            </w:pPr>
            <w:r>
              <w:rPr>
                <w:rFonts w:hint="eastAsia" w:asciiTheme="minorEastAsia" w:hAnsiTheme="minorEastAsia"/>
                <w:color w:val="auto"/>
                <w:szCs w:val="21"/>
              </w:rPr>
              <w:t>备注</w:t>
            </w:r>
          </w:p>
        </w:tc>
        <w:tc>
          <w:tcPr>
            <w:tcW w:w="6713" w:type="dxa"/>
            <w:gridSpan w:val="2"/>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22" w:type="dxa"/>
            <w:gridSpan w:val="3"/>
          </w:tcPr>
          <w:p>
            <w:pPr>
              <w:spacing w:line="360" w:lineRule="auto"/>
              <w:ind w:firstLine="1470" w:firstLineChars="700"/>
              <w:rPr>
                <w:rFonts w:asciiTheme="minorEastAsia" w:hAnsiTheme="minorEastAsia"/>
                <w:color w:val="auto"/>
                <w:szCs w:val="21"/>
              </w:rPr>
            </w:pPr>
            <w:r>
              <w:rPr>
                <w:rFonts w:hint="eastAsia" w:asciiTheme="minorEastAsia" w:hAnsiTheme="minorEastAsia"/>
                <w:color w:val="auto"/>
                <w:szCs w:val="21"/>
              </w:rPr>
              <w:t xml:space="preserve">        以下内容由机构办公室填写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pPr>
              <w:spacing w:line="360" w:lineRule="auto"/>
              <w:rPr>
                <w:rFonts w:asciiTheme="minorEastAsia" w:hAnsiTheme="minorEastAsia"/>
                <w:color w:val="auto"/>
                <w:szCs w:val="21"/>
              </w:rPr>
            </w:pPr>
            <w:r>
              <w:rPr>
                <w:rFonts w:hint="eastAsia" w:asciiTheme="minorEastAsia" w:hAnsiTheme="minorEastAsia"/>
                <w:color w:val="auto"/>
                <w:szCs w:val="21"/>
              </w:rPr>
              <w:t>收取时间</w:t>
            </w:r>
          </w:p>
        </w:tc>
        <w:tc>
          <w:tcPr>
            <w:tcW w:w="6713" w:type="dxa"/>
            <w:gridSpan w:val="2"/>
          </w:tcPr>
          <w:p>
            <w:pPr>
              <w:spacing w:line="360" w:lineRule="auto"/>
              <w:rPr>
                <w:rFonts w:asciiTheme="minorEastAsia" w:hAnsiTheme="minorEastAsia"/>
                <w:color w:val="auto"/>
                <w:szCs w:val="21"/>
              </w:rPr>
            </w:pPr>
            <w:r>
              <w:rPr>
                <w:rFonts w:hint="eastAsia" w:asciiTheme="minorEastAsia" w:hAnsiTheme="minorEastAsia"/>
                <w:color w:val="auto"/>
                <w:szCs w:val="21"/>
              </w:rPr>
              <w:t xml:space="preserve">       年    月    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47" w:hRule="atLeast"/>
        </w:trPr>
        <w:tc>
          <w:tcPr>
            <w:tcW w:w="1809" w:type="dxa"/>
          </w:tcPr>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r>
              <w:rPr>
                <w:rFonts w:hint="eastAsia" w:asciiTheme="minorEastAsia" w:hAnsiTheme="minorEastAsia"/>
                <w:color w:val="auto"/>
                <w:szCs w:val="21"/>
              </w:rPr>
              <w:t>审批方式</w:t>
            </w:r>
          </w:p>
        </w:tc>
        <w:tc>
          <w:tcPr>
            <w:tcW w:w="6713" w:type="dxa"/>
            <w:gridSpan w:val="2"/>
          </w:tcPr>
          <w:p>
            <w:pPr>
              <w:spacing w:line="360" w:lineRule="auto"/>
              <w:rPr>
                <w:rFonts w:asciiTheme="minorEastAsia" w:hAnsiTheme="minorEastAsia"/>
                <w:color w:val="auto"/>
                <w:szCs w:val="21"/>
              </w:rPr>
            </w:pPr>
            <w:r>
              <w:rPr>
                <w:rFonts w:hint="eastAsia" w:asciiTheme="minorEastAsia" w:hAnsiTheme="minorEastAsia"/>
                <w:color w:val="auto"/>
                <w:szCs w:val="21"/>
              </w:rPr>
              <w:t xml:space="preserve">□ 符合快速审批条件第______条  </w:t>
            </w:r>
          </w:p>
          <w:p>
            <w:pPr>
              <w:spacing w:line="360" w:lineRule="auto"/>
              <w:rPr>
                <w:rFonts w:asciiTheme="minorEastAsia" w:hAnsiTheme="minorEastAsia"/>
                <w:color w:val="auto"/>
                <w:szCs w:val="21"/>
              </w:rPr>
            </w:pPr>
            <w:r>
              <w:rPr>
                <w:rFonts w:hint="eastAsia" w:asciiTheme="minorEastAsia" w:hAnsiTheme="minorEastAsia"/>
                <w:color w:val="auto"/>
                <w:szCs w:val="21"/>
              </w:rPr>
              <w:t xml:space="preserve">                                   机构秘书签名：</w:t>
            </w:r>
          </w:p>
          <w:p>
            <w:pPr>
              <w:spacing w:line="360" w:lineRule="auto"/>
              <w:rPr>
                <w:rFonts w:asciiTheme="minorEastAsia" w:hAnsiTheme="minorEastAsia"/>
                <w:color w:val="auto"/>
                <w:szCs w:val="21"/>
              </w:rPr>
            </w:pPr>
            <w:r>
              <w:rPr>
                <w:rFonts w:hint="eastAsia" w:asciiTheme="minorEastAsia" w:hAnsiTheme="minorEastAsia"/>
                <w:color w:val="auto"/>
                <w:szCs w:val="21"/>
              </w:rPr>
              <w:t xml:space="preserve">□ 须上会讨论                               时间：           </w:t>
            </w:r>
          </w:p>
          <w:p>
            <w:pPr>
              <w:spacing w:line="360" w:lineRule="auto"/>
              <w:rPr>
                <w:rFonts w:asciiTheme="minorEastAsia" w:hAnsiTheme="minorEastAsia"/>
                <w:color w:val="auto"/>
                <w:szCs w:val="21"/>
              </w:rPr>
            </w:pPr>
            <w:r>
              <w:rPr>
                <w:rFonts w:hint="eastAsia" w:asciiTheme="minorEastAsia" w:hAnsiTheme="minorEastAsia"/>
                <w:color w:val="auto"/>
                <w:szCs w:val="21"/>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pPr>
              <w:spacing w:line="360" w:lineRule="auto"/>
              <w:rPr>
                <w:rFonts w:asciiTheme="minorEastAsia" w:hAnsiTheme="minorEastAsia"/>
                <w:color w:val="auto"/>
                <w:szCs w:val="21"/>
              </w:rPr>
            </w:pPr>
            <w:r>
              <w:rPr>
                <w:rFonts w:hint="eastAsia" w:asciiTheme="minorEastAsia" w:hAnsiTheme="minorEastAsia"/>
                <w:color w:val="auto"/>
                <w:szCs w:val="21"/>
              </w:rPr>
              <w:t>机构办公室主任意见</w:t>
            </w:r>
          </w:p>
        </w:tc>
        <w:tc>
          <w:tcPr>
            <w:tcW w:w="6713" w:type="dxa"/>
            <w:gridSpan w:val="2"/>
          </w:tcPr>
          <w:p>
            <w:pPr>
              <w:spacing w:line="360" w:lineRule="auto"/>
              <w:ind w:firstLine="2940" w:firstLineChars="1400"/>
              <w:rPr>
                <w:rFonts w:asciiTheme="minorEastAsia" w:hAnsiTheme="minorEastAsia"/>
                <w:color w:val="auto"/>
                <w:szCs w:val="21"/>
              </w:rPr>
            </w:pPr>
            <w:r>
              <w:rPr>
                <w:rFonts w:hint="eastAsia" w:asciiTheme="minorEastAsia" w:hAnsiTheme="minorEastAsia"/>
                <w:color w:val="auto"/>
                <w:szCs w:val="21"/>
              </w:rPr>
              <w:t>签名：</w:t>
            </w:r>
          </w:p>
          <w:p>
            <w:pPr>
              <w:spacing w:line="360" w:lineRule="auto"/>
              <w:rPr>
                <w:rFonts w:asciiTheme="minorEastAsia" w:hAnsiTheme="minorEastAsia"/>
                <w:color w:val="auto"/>
                <w:szCs w:val="21"/>
              </w:rPr>
            </w:pPr>
            <w:r>
              <w:rPr>
                <w:rFonts w:hint="eastAsia" w:asciiTheme="minorEastAsia" w:hAnsiTheme="minorEastAsia"/>
                <w:color w:val="auto"/>
                <w:szCs w:val="21"/>
              </w:rPr>
              <w:t xml:space="preserve">                            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50" w:type="dxa"/>
            <w:gridSpan w:val="2"/>
            <w:tcBorders>
              <w:right w:val="single" w:color="auto" w:sz="4" w:space="0"/>
            </w:tcBorders>
          </w:tcPr>
          <w:p>
            <w:pPr>
              <w:spacing w:line="360" w:lineRule="auto"/>
              <w:rPr>
                <w:rFonts w:asciiTheme="minorEastAsia" w:hAnsiTheme="minorEastAsia"/>
                <w:color w:val="auto"/>
                <w:szCs w:val="21"/>
              </w:rPr>
            </w:pPr>
            <w:r>
              <w:rPr>
                <w:rFonts w:hint="eastAsia" w:asciiTheme="minorEastAsia" w:hAnsiTheme="minorEastAsia"/>
                <w:color w:val="auto"/>
                <w:szCs w:val="21"/>
              </w:rPr>
              <w:t>研究小组审核人：</w:t>
            </w:r>
          </w:p>
        </w:tc>
        <w:tc>
          <w:tcPr>
            <w:tcW w:w="3872" w:type="dxa"/>
            <w:tcBorders>
              <w:left w:val="single" w:color="auto" w:sz="4" w:space="0"/>
            </w:tcBorders>
          </w:tcPr>
          <w:p>
            <w:pPr>
              <w:spacing w:line="360" w:lineRule="auto"/>
              <w:rPr>
                <w:rFonts w:asciiTheme="minorEastAsia" w:hAnsiTheme="minorEastAsia"/>
                <w:color w:val="auto"/>
                <w:szCs w:val="21"/>
              </w:rPr>
            </w:pPr>
            <w:r>
              <w:rPr>
                <w:rFonts w:hint="eastAsia" w:asciiTheme="minorEastAsia" w:hAnsiTheme="minorEastAsia"/>
                <w:color w:val="auto"/>
                <w:szCs w:val="21"/>
              </w:rPr>
              <w:t>经费小组主审员：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21" w:hRule="atLeast"/>
        </w:trPr>
        <w:tc>
          <w:tcPr>
            <w:tcW w:w="8522" w:type="dxa"/>
            <w:gridSpan w:val="3"/>
          </w:tcPr>
          <w:p>
            <w:pPr>
              <w:spacing w:line="360" w:lineRule="auto"/>
              <w:rPr>
                <w:rFonts w:asciiTheme="minorEastAsia" w:hAnsiTheme="minorEastAsia"/>
                <w:color w:val="auto"/>
                <w:szCs w:val="21"/>
              </w:rPr>
            </w:pPr>
            <w:r>
              <w:rPr>
                <w:rFonts w:hint="eastAsia" w:asciiTheme="minorEastAsia" w:hAnsiTheme="minorEastAsia"/>
                <w:color w:val="auto"/>
                <w:szCs w:val="21"/>
              </w:rPr>
              <w:t>经费管理小组审核意见：</w:t>
            </w:r>
          </w:p>
          <w:p>
            <w:pPr>
              <w:spacing w:line="360" w:lineRule="auto"/>
              <w:rPr>
                <w:rFonts w:asciiTheme="minorEastAsia" w:hAnsiTheme="minorEastAsia"/>
                <w:color w:val="auto"/>
                <w:szCs w:val="21"/>
              </w:rPr>
            </w:pPr>
            <w:r>
              <w:rPr>
                <w:rFonts w:hint="eastAsia" w:asciiTheme="minorEastAsia" w:hAnsiTheme="minorEastAsia"/>
                <w:color w:val="auto"/>
                <w:szCs w:val="21"/>
              </w:rPr>
              <w:t>□1.通过</w:t>
            </w:r>
          </w:p>
          <w:p>
            <w:pPr>
              <w:spacing w:line="360" w:lineRule="auto"/>
              <w:rPr>
                <w:rFonts w:asciiTheme="minorEastAsia" w:hAnsiTheme="minorEastAsia"/>
                <w:color w:val="auto"/>
                <w:szCs w:val="21"/>
              </w:rPr>
            </w:pPr>
            <w:r>
              <w:rPr>
                <w:rFonts w:hint="eastAsia" w:asciiTheme="minorEastAsia" w:hAnsiTheme="minorEastAsia"/>
                <w:color w:val="auto"/>
                <w:szCs w:val="21"/>
              </w:rPr>
              <w:t>□2.修改后送主审员审核（认可/不认可）           主审员签名：</w:t>
            </w:r>
          </w:p>
          <w:p>
            <w:pPr>
              <w:spacing w:line="360" w:lineRule="auto"/>
              <w:rPr>
                <w:rFonts w:asciiTheme="minorEastAsia" w:hAnsiTheme="minorEastAsia"/>
                <w:color w:val="auto"/>
                <w:szCs w:val="21"/>
              </w:rPr>
            </w:pPr>
            <w:r>
              <w:rPr>
                <w:rFonts w:hint="eastAsia" w:asciiTheme="minorEastAsia" w:hAnsiTheme="minorEastAsia"/>
                <w:color w:val="auto"/>
                <w:szCs w:val="21"/>
              </w:rPr>
              <w:t>□3.修改后送组长审核（认可/不认可）</w:t>
            </w:r>
          </w:p>
          <w:p>
            <w:pPr>
              <w:spacing w:line="360" w:lineRule="auto"/>
              <w:rPr>
                <w:rFonts w:asciiTheme="minorEastAsia" w:hAnsiTheme="minorEastAsia"/>
                <w:color w:val="auto"/>
                <w:szCs w:val="21"/>
              </w:rPr>
            </w:pPr>
            <w:r>
              <w:rPr>
                <w:rFonts w:hint="eastAsia" w:asciiTheme="minorEastAsia" w:hAnsiTheme="minorEastAsia"/>
                <w:color w:val="auto"/>
                <w:szCs w:val="21"/>
              </w:rPr>
              <w:t>□4.需重新送小组讨论（通过/不通过）</w:t>
            </w:r>
          </w:p>
          <w:p>
            <w:pPr>
              <w:spacing w:line="360" w:lineRule="auto"/>
              <w:rPr>
                <w:rFonts w:asciiTheme="minorEastAsia" w:hAnsiTheme="minorEastAsia"/>
                <w:color w:val="auto"/>
                <w:szCs w:val="21"/>
              </w:rPr>
            </w:pPr>
            <w:r>
              <w:rPr>
                <w:rFonts w:hint="eastAsia" w:asciiTheme="minorEastAsia" w:hAnsiTheme="minorEastAsia"/>
                <w:color w:val="auto"/>
                <w:szCs w:val="21"/>
              </w:rPr>
              <w:t>□5.不通过                                        组长签名：</w:t>
            </w:r>
          </w:p>
          <w:p>
            <w:pPr>
              <w:pStyle w:val="36"/>
              <w:spacing w:line="360" w:lineRule="auto"/>
              <w:ind w:left="360" w:firstLine="0" w:firstLineChars="0"/>
              <w:rPr>
                <w:rFonts w:asciiTheme="minorEastAsia" w:hAnsiTheme="minorEastAsia"/>
                <w:color w:val="auto"/>
                <w:szCs w:val="21"/>
              </w:rPr>
            </w:pPr>
            <w:r>
              <w:rPr>
                <w:rFonts w:hint="eastAsia" w:asciiTheme="minorEastAsia" w:hAnsiTheme="minorEastAsia"/>
                <w:color w:val="auto"/>
                <w:szCs w:val="21"/>
              </w:rPr>
              <w:t xml:space="preserve">                                                  时间：    年   月   日</w:t>
            </w:r>
          </w:p>
        </w:tc>
      </w:tr>
    </w:tbl>
    <w:p>
      <w:pPr>
        <w:spacing w:line="360" w:lineRule="auto"/>
        <w:rPr>
          <w:rFonts w:asciiTheme="minorEastAsia" w:hAnsiTheme="minorEastAsia"/>
          <w:b/>
          <w:color w:val="auto"/>
          <w:sz w:val="24"/>
          <w:szCs w:val="24"/>
        </w:rPr>
      </w:pPr>
    </w:p>
    <w:p>
      <w:pPr>
        <w:spacing w:line="360" w:lineRule="auto"/>
        <w:rPr>
          <w:rFonts w:hint="eastAsia" w:ascii="黑体" w:hAnsi="黑体" w:eastAsia="黑体"/>
          <w:bCs/>
          <w:color w:val="auto"/>
          <w:sz w:val="24"/>
          <w:szCs w:val="24"/>
        </w:rPr>
      </w:pPr>
    </w:p>
    <w:p>
      <w:pPr>
        <w:spacing w:line="360" w:lineRule="auto"/>
        <w:rPr>
          <w:rFonts w:ascii="黑体" w:hAnsi="黑体" w:eastAsia="黑体"/>
          <w:bCs/>
          <w:color w:val="auto"/>
          <w:sz w:val="24"/>
          <w:szCs w:val="24"/>
        </w:rPr>
      </w:pPr>
      <w:r>
        <w:rPr>
          <w:rFonts w:hint="eastAsia" w:ascii="黑体" w:hAnsi="黑体" w:eastAsia="黑体"/>
          <w:bCs/>
          <w:color w:val="auto"/>
          <w:sz w:val="24"/>
          <w:szCs w:val="24"/>
        </w:rPr>
        <w:t>附件2   临床研究合同审核要点——条款部分</w:t>
      </w:r>
    </w:p>
    <w:p>
      <w:pPr>
        <w:spacing w:line="360" w:lineRule="auto"/>
        <w:ind w:firstLine="1995" w:firstLineChars="950"/>
        <w:rPr>
          <w:color w:val="auto"/>
          <w:szCs w:val="21"/>
        </w:rPr>
      </w:pPr>
      <w:r>
        <w:rPr>
          <w:rFonts w:hint="eastAsia"/>
          <w:color w:val="auto"/>
          <w:szCs w:val="21"/>
        </w:rPr>
        <w:t>临床研究合同审核要点</w:t>
      </w:r>
      <w:r>
        <w:rPr>
          <w:rFonts w:hint="eastAsia" w:ascii="黑体" w:hAnsi="黑体" w:eastAsia="黑体"/>
          <w:bCs/>
          <w:color w:val="auto"/>
          <w:sz w:val="24"/>
          <w:szCs w:val="24"/>
        </w:rPr>
        <w:t>——</w:t>
      </w:r>
      <w:r>
        <w:rPr>
          <w:rFonts w:hint="eastAsia"/>
          <w:color w:val="auto"/>
          <w:szCs w:val="21"/>
        </w:rPr>
        <w:t>条款部分</w:t>
      </w:r>
    </w:p>
    <w:tbl>
      <w:tblPr>
        <w:tblStyle w:val="28"/>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20"/>
        <w:gridCol w:w="1770"/>
        <w:gridCol w:w="2700"/>
        <w:gridCol w:w="30"/>
        <w:gridCol w:w="567"/>
        <w:gridCol w:w="567"/>
        <w:gridCol w:w="567"/>
        <w:gridCol w:w="9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20" w:type="dxa"/>
          </w:tcPr>
          <w:p>
            <w:pPr>
              <w:spacing w:line="360" w:lineRule="auto"/>
              <w:rPr>
                <w:rFonts w:asciiTheme="minorEastAsia" w:hAnsiTheme="minorEastAsia"/>
                <w:color w:val="auto"/>
                <w:szCs w:val="21"/>
              </w:rPr>
            </w:pPr>
            <w:r>
              <w:rPr>
                <w:rFonts w:hint="eastAsia" w:asciiTheme="minorEastAsia" w:hAnsiTheme="minorEastAsia"/>
                <w:color w:val="auto"/>
                <w:szCs w:val="21"/>
              </w:rPr>
              <w:t>项目名称/方案号</w:t>
            </w:r>
          </w:p>
        </w:tc>
        <w:tc>
          <w:tcPr>
            <w:tcW w:w="7102" w:type="dxa"/>
            <w:gridSpan w:val="7"/>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20" w:type="dxa"/>
          </w:tcPr>
          <w:p>
            <w:pPr>
              <w:spacing w:line="360" w:lineRule="auto"/>
              <w:rPr>
                <w:rFonts w:asciiTheme="minorEastAsia" w:hAnsiTheme="minorEastAsia"/>
                <w:color w:val="auto"/>
                <w:szCs w:val="21"/>
              </w:rPr>
            </w:pPr>
            <w:r>
              <w:rPr>
                <w:rFonts w:hint="eastAsia" w:asciiTheme="minorEastAsia" w:hAnsiTheme="minorEastAsia"/>
                <w:color w:val="auto"/>
                <w:szCs w:val="21"/>
              </w:rPr>
              <w:t>主要研究者</w:t>
            </w:r>
          </w:p>
        </w:tc>
        <w:tc>
          <w:tcPr>
            <w:tcW w:w="1770" w:type="dxa"/>
            <w:tcBorders>
              <w:bottom w:val="nil"/>
              <w:right w:val="single" w:color="auto" w:sz="4" w:space="0"/>
            </w:tcBorders>
          </w:tcPr>
          <w:p>
            <w:pPr>
              <w:spacing w:line="360" w:lineRule="auto"/>
              <w:rPr>
                <w:rFonts w:asciiTheme="minorEastAsia" w:hAnsiTheme="minorEastAsia"/>
                <w:color w:val="auto"/>
                <w:szCs w:val="21"/>
              </w:rPr>
            </w:pPr>
          </w:p>
        </w:tc>
        <w:tc>
          <w:tcPr>
            <w:tcW w:w="2700" w:type="dxa"/>
            <w:tcBorders>
              <w:bottom w:val="nil"/>
              <w:right w:val="single" w:color="auto" w:sz="4" w:space="0"/>
            </w:tcBorders>
          </w:tcPr>
          <w:p>
            <w:pPr>
              <w:spacing w:line="360" w:lineRule="auto"/>
              <w:rPr>
                <w:rFonts w:asciiTheme="minorEastAsia" w:hAnsiTheme="minorEastAsia"/>
                <w:color w:val="auto"/>
                <w:szCs w:val="21"/>
              </w:rPr>
            </w:pPr>
            <w:r>
              <w:rPr>
                <w:rFonts w:hint="eastAsia" w:asciiTheme="minorEastAsia" w:hAnsiTheme="minorEastAsia"/>
                <w:color w:val="auto"/>
                <w:szCs w:val="21"/>
              </w:rPr>
              <w:t>协议版本号/时间</w:t>
            </w:r>
          </w:p>
        </w:tc>
        <w:tc>
          <w:tcPr>
            <w:tcW w:w="2632" w:type="dxa"/>
            <w:gridSpan w:val="5"/>
            <w:tcBorders>
              <w:left w:val="single" w:color="auto" w:sz="4" w:space="0"/>
              <w:bottom w:val="nil"/>
            </w:tcBorders>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5" w:hRule="atLeast"/>
        </w:trPr>
        <w:tc>
          <w:tcPr>
            <w:tcW w:w="1420" w:type="dxa"/>
          </w:tcPr>
          <w:p>
            <w:pPr>
              <w:spacing w:line="360" w:lineRule="auto"/>
              <w:rPr>
                <w:rFonts w:asciiTheme="minorEastAsia" w:hAnsiTheme="minorEastAsia"/>
                <w:color w:val="auto"/>
                <w:szCs w:val="21"/>
              </w:rPr>
            </w:pPr>
            <w:r>
              <w:rPr>
                <w:rFonts w:hint="eastAsia" w:asciiTheme="minorEastAsia" w:hAnsiTheme="minorEastAsia"/>
                <w:color w:val="auto"/>
                <w:szCs w:val="21"/>
              </w:rPr>
              <w:t>项目</w:t>
            </w:r>
          </w:p>
        </w:tc>
        <w:tc>
          <w:tcPr>
            <w:tcW w:w="4500" w:type="dxa"/>
            <w:gridSpan w:val="3"/>
            <w:tcBorders>
              <w:right w:val="single" w:color="auto" w:sz="4" w:space="0"/>
            </w:tcBorders>
          </w:tcPr>
          <w:p>
            <w:pPr>
              <w:spacing w:line="360" w:lineRule="auto"/>
              <w:ind w:firstLine="1050" w:firstLineChars="500"/>
              <w:rPr>
                <w:rFonts w:asciiTheme="minorEastAsia" w:hAnsiTheme="minorEastAsia"/>
                <w:color w:val="auto"/>
                <w:szCs w:val="21"/>
              </w:rPr>
            </w:pPr>
            <w:r>
              <w:rPr>
                <w:rFonts w:hint="eastAsia" w:asciiTheme="minorEastAsia" w:hAnsiTheme="minorEastAsia"/>
                <w:color w:val="auto"/>
                <w:szCs w:val="21"/>
              </w:rPr>
              <w:t>要点描述</w:t>
            </w:r>
          </w:p>
        </w:tc>
        <w:tc>
          <w:tcPr>
            <w:tcW w:w="567" w:type="dxa"/>
            <w:tcBorders>
              <w:right w:val="single" w:color="auto" w:sz="4" w:space="0"/>
            </w:tcBorders>
          </w:tcPr>
          <w:p>
            <w:pPr>
              <w:spacing w:line="360" w:lineRule="auto"/>
              <w:rPr>
                <w:rFonts w:asciiTheme="minorEastAsia" w:hAnsiTheme="minorEastAsia"/>
                <w:color w:val="auto"/>
                <w:szCs w:val="21"/>
              </w:rPr>
            </w:pPr>
            <w:r>
              <w:rPr>
                <w:rFonts w:hint="eastAsia" w:asciiTheme="minorEastAsia" w:hAnsiTheme="minorEastAsia"/>
                <w:color w:val="auto"/>
                <w:szCs w:val="21"/>
              </w:rPr>
              <w:t>是</w:t>
            </w:r>
          </w:p>
        </w:tc>
        <w:tc>
          <w:tcPr>
            <w:tcW w:w="567" w:type="dxa"/>
            <w:tcBorders>
              <w:left w:val="single" w:color="auto" w:sz="4" w:space="0"/>
            </w:tcBorders>
          </w:tcPr>
          <w:p>
            <w:pPr>
              <w:spacing w:line="360" w:lineRule="auto"/>
              <w:rPr>
                <w:rFonts w:asciiTheme="minorEastAsia" w:hAnsiTheme="minorEastAsia"/>
                <w:color w:val="auto"/>
                <w:szCs w:val="21"/>
              </w:rPr>
            </w:pPr>
            <w:r>
              <w:rPr>
                <w:rFonts w:hint="eastAsia" w:asciiTheme="minorEastAsia" w:hAnsiTheme="minorEastAsia"/>
                <w:color w:val="auto"/>
                <w:szCs w:val="21"/>
              </w:rPr>
              <w:t>否</w:t>
            </w:r>
          </w:p>
        </w:tc>
        <w:tc>
          <w:tcPr>
            <w:tcW w:w="567" w:type="dxa"/>
          </w:tcPr>
          <w:p>
            <w:pPr>
              <w:spacing w:line="360" w:lineRule="auto"/>
              <w:rPr>
                <w:rFonts w:asciiTheme="minorEastAsia" w:hAnsiTheme="minorEastAsia"/>
                <w:color w:val="auto"/>
                <w:szCs w:val="21"/>
              </w:rPr>
            </w:pPr>
            <w:r>
              <w:rPr>
                <w:rFonts w:hint="eastAsia" w:asciiTheme="minorEastAsia" w:hAnsiTheme="minorEastAsia"/>
                <w:color w:val="auto"/>
                <w:szCs w:val="21"/>
              </w:rPr>
              <w:t>NA</w:t>
            </w:r>
          </w:p>
        </w:tc>
        <w:tc>
          <w:tcPr>
            <w:tcW w:w="901" w:type="dxa"/>
          </w:tcPr>
          <w:p>
            <w:pPr>
              <w:spacing w:line="360" w:lineRule="auto"/>
              <w:rPr>
                <w:rFonts w:asciiTheme="minorEastAsia" w:hAnsiTheme="minorEastAsia"/>
                <w:color w:val="auto"/>
                <w:szCs w:val="21"/>
              </w:rPr>
            </w:pPr>
            <w:r>
              <w:rPr>
                <w:rFonts w:hint="eastAsia" w:asciiTheme="minorEastAsia" w:hAnsiTheme="minorEastAsia"/>
                <w:color w:val="auto"/>
                <w:szCs w:val="21"/>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85" w:hRule="atLeast"/>
        </w:trPr>
        <w:tc>
          <w:tcPr>
            <w:tcW w:w="1420" w:type="dxa"/>
            <w:vMerge w:val="restart"/>
          </w:tcPr>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r>
              <w:rPr>
                <w:rFonts w:hint="eastAsia" w:asciiTheme="minorEastAsia" w:hAnsiTheme="minorEastAsia"/>
                <w:color w:val="auto"/>
                <w:szCs w:val="21"/>
              </w:rPr>
              <w:t>受试者权益</w:t>
            </w:r>
          </w:p>
        </w:tc>
        <w:tc>
          <w:tcPr>
            <w:tcW w:w="4500" w:type="dxa"/>
            <w:gridSpan w:val="3"/>
            <w:tcBorders>
              <w:top w:val="single" w:color="auto" w:sz="4" w:space="0"/>
              <w:bottom w:val="single" w:color="auto" w:sz="4" w:space="0"/>
            </w:tcBorders>
          </w:tcPr>
          <w:p>
            <w:pPr>
              <w:spacing w:line="360" w:lineRule="auto"/>
              <w:rPr>
                <w:rFonts w:asciiTheme="minorEastAsia" w:hAnsiTheme="minorEastAsia"/>
                <w:color w:val="auto"/>
                <w:szCs w:val="21"/>
              </w:rPr>
            </w:pPr>
            <w:r>
              <w:rPr>
                <w:rFonts w:hint="eastAsia" w:asciiTheme="minorEastAsia" w:hAnsiTheme="minorEastAsia"/>
                <w:color w:val="auto"/>
                <w:szCs w:val="21"/>
              </w:rPr>
              <w:t>如发生与试验相关的损害或死亡时，由申办方承担相应责任、诊治费用和经济补偿，但由医疗事故所致者除外。合同中有关试验相关损害的条款应与知情同意书一致</w:t>
            </w:r>
          </w:p>
        </w:tc>
        <w:tc>
          <w:tcPr>
            <w:tcW w:w="567" w:type="dxa"/>
            <w:tcBorders>
              <w:bottom w:val="single" w:color="auto" w:sz="4" w:space="0"/>
            </w:tcBorders>
          </w:tcPr>
          <w:p>
            <w:pPr>
              <w:spacing w:line="360" w:lineRule="auto"/>
              <w:rPr>
                <w:rFonts w:asciiTheme="minorEastAsia" w:hAnsiTheme="minorEastAsia"/>
                <w:color w:val="auto"/>
                <w:szCs w:val="21"/>
              </w:rPr>
            </w:pPr>
          </w:p>
        </w:tc>
        <w:tc>
          <w:tcPr>
            <w:tcW w:w="567" w:type="dxa"/>
            <w:tcBorders>
              <w:bottom w:val="single" w:color="auto" w:sz="4" w:space="0"/>
            </w:tcBorders>
          </w:tcPr>
          <w:p>
            <w:pPr>
              <w:spacing w:line="360" w:lineRule="auto"/>
              <w:rPr>
                <w:rFonts w:asciiTheme="minorEastAsia" w:hAnsiTheme="minorEastAsia"/>
                <w:color w:val="auto"/>
                <w:szCs w:val="21"/>
              </w:rPr>
            </w:pPr>
          </w:p>
        </w:tc>
        <w:tc>
          <w:tcPr>
            <w:tcW w:w="567" w:type="dxa"/>
            <w:tcBorders>
              <w:bottom w:val="single" w:color="auto" w:sz="4" w:space="0"/>
            </w:tcBorders>
          </w:tcPr>
          <w:p>
            <w:pPr>
              <w:spacing w:line="360" w:lineRule="auto"/>
              <w:rPr>
                <w:rFonts w:asciiTheme="minorEastAsia" w:hAnsiTheme="minorEastAsia"/>
                <w:color w:val="auto"/>
                <w:szCs w:val="21"/>
              </w:rPr>
            </w:pPr>
          </w:p>
        </w:tc>
        <w:tc>
          <w:tcPr>
            <w:tcW w:w="901" w:type="dxa"/>
            <w:tcBorders>
              <w:bottom w:val="single" w:color="auto" w:sz="4" w:space="0"/>
            </w:tcBorders>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55" w:hRule="atLeast"/>
        </w:trPr>
        <w:tc>
          <w:tcPr>
            <w:tcW w:w="1420" w:type="dxa"/>
            <w:vMerge w:val="continue"/>
          </w:tcPr>
          <w:p>
            <w:pPr>
              <w:spacing w:line="360" w:lineRule="auto"/>
              <w:rPr>
                <w:rFonts w:asciiTheme="minorEastAsia" w:hAnsiTheme="minorEastAsia"/>
                <w:color w:val="auto"/>
                <w:szCs w:val="21"/>
              </w:rPr>
            </w:pPr>
          </w:p>
        </w:tc>
        <w:tc>
          <w:tcPr>
            <w:tcW w:w="4500" w:type="dxa"/>
            <w:gridSpan w:val="3"/>
            <w:tcBorders>
              <w:top w:val="single" w:color="auto" w:sz="4" w:space="0"/>
            </w:tcBorders>
          </w:tcPr>
          <w:p>
            <w:pPr>
              <w:spacing w:line="360" w:lineRule="auto"/>
              <w:rPr>
                <w:rFonts w:asciiTheme="minorEastAsia" w:hAnsiTheme="minorEastAsia"/>
                <w:color w:val="auto"/>
                <w:szCs w:val="21"/>
              </w:rPr>
            </w:pPr>
            <w:r>
              <w:rPr>
                <w:rFonts w:hint="eastAsia" w:asciiTheme="minorEastAsia" w:hAnsiTheme="minorEastAsia"/>
                <w:color w:val="auto"/>
                <w:szCs w:val="21"/>
              </w:rPr>
              <w:t>未经受试者书面同意，受试者的个人信息/标本等不能擅自用于商业宣传和商业开发及探索性研究</w:t>
            </w:r>
          </w:p>
        </w:tc>
        <w:tc>
          <w:tcPr>
            <w:tcW w:w="567" w:type="dxa"/>
            <w:tcBorders>
              <w:top w:val="single" w:color="auto" w:sz="4" w:space="0"/>
            </w:tcBorders>
          </w:tcPr>
          <w:p>
            <w:pPr>
              <w:spacing w:line="360" w:lineRule="auto"/>
              <w:rPr>
                <w:rFonts w:asciiTheme="minorEastAsia" w:hAnsiTheme="minorEastAsia"/>
                <w:color w:val="auto"/>
                <w:szCs w:val="21"/>
              </w:rPr>
            </w:pPr>
          </w:p>
        </w:tc>
        <w:tc>
          <w:tcPr>
            <w:tcW w:w="567" w:type="dxa"/>
            <w:tcBorders>
              <w:top w:val="single" w:color="auto" w:sz="4" w:space="0"/>
            </w:tcBorders>
          </w:tcPr>
          <w:p>
            <w:pPr>
              <w:spacing w:line="360" w:lineRule="auto"/>
              <w:rPr>
                <w:rFonts w:asciiTheme="minorEastAsia" w:hAnsiTheme="minorEastAsia"/>
                <w:color w:val="auto"/>
                <w:szCs w:val="21"/>
              </w:rPr>
            </w:pPr>
          </w:p>
        </w:tc>
        <w:tc>
          <w:tcPr>
            <w:tcW w:w="567" w:type="dxa"/>
            <w:tcBorders>
              <w:top w:val="single" w:color="auto" w:sz="4" w:space="0"/>
            </w:tcBorders>
          </w:tcPr>
          <w:p>
            <w:pPr>
              <w:spacing w:line="360" w:lineRule="auto"/>
              <w:rPr>
                <w:rFonts w:asciiTheme="minorEastAsia" w:hAnsiTheme="minorEastAsia"/>
                <w:color w:val="auto"/>
                <w:szCs w:val="21"/>
              </w:rPr>
            </w:pPr>
          </w:p>
        </w:tc>
        <w:tc>
          <w:tcPr>
            <w:tcW w:w="901" w:type="dxa"/>
            <w:tcBorders>
              <w:top w:val="single" w:color="auto" w:sz="4" w:space="0"/>
            </w:tcBorders>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13" w:hRule="atLeast"/>
        </w:trPr>
        <w:tc>
          <w:tcPr>
            <w:tcW w:w="1420" w:type="dxa"/>
            <w:vMerge w:val="restart"/>
          </w:tcPr>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r>
              <w:rPr>
                <w:rFonts w:hint="eastAsia" w:asciiTheme="minorEastAsia" w:hAnsiTheme="minorEastAsia"/>
                <w:color w:val="auto"/>
                <w:szCs w:val="21"/>
              </w:rPr>
              <w:t>申办方职责</w:t>
            </w:r>
          </w:p>
        </w:tc>
        <w:tc>
          <w:tcPr>
            <w:tcW w:w="4500" w:type="dxa"/>
            <w:gridSpan w:val="3"/>
            <w:tcBorders>
              <w:bottom w:val="single" w:color="auto" w:sz="4" w:space="0"/>
            </w:tcBorders>
          </w:tcPr>
          <w:p>
            <w:pPr>
              <w:spacing w:line="360" w:lineRule="auto"/>
              <w:rPr>
                <w:rFonts w:asciiTheme="minorEastAsia" w:hAnsiTheme="minorEastAsia"/>
                <w:color w:val="auto"/>
                <w:szCs w:val="21"/>
              </w:rPr>
            </w:pPr>
            <w:r>
              <w:rPr>
                <w:rFonts w:hint="eastAsia" w:asciiTheme="minorEastAsia" w:hAnsiTheme="minorEastAsia"/>
                <w:color w:val="auto"/>
                <w:szCs w:val="21"/>
              </w:rPr>
              <w:t>提供试验相关的文件、药物/医疗器械、设备、耗材及研究经费等；对试验用药物/医疗器械进行适当的包装与标签，并符合临床试验的设计需要</w:t>
            </w:r>
          </w:p>
        </w:tc>
        <w:tc>
          <w:tcPr>
            <w:tcW w:w="567" w:type="dxa"/>
            <w:tcBorders>
              <w:bottom w:val="single" w:color="auto" w:sz="4" w:space="0"/>
            </w:tcBorders>
          </w:tcPr>
          <w:p>
            <w:pPr>
              <w:spacing w:line="360" w:lineRule="auto"/>
              <w:rPr>
                <w:rFonts w:asciiTheme="minorEastAsia" w:hAnsiTheme="minorEastAsia"/>
                <w:color w:val="auto"/>
                <w:szCs w:val="21"/>
              </w:rPr>
            </w:pPr>
          </w:p>
        </w:tc>
        <w:tc>
          <w:tcPr>
            <w:tcW w:w="567" w:type="dxa"/>
            <w:tcBorders>
              <w:bottom w:val="single" w:color="auto" w:sz="4" w:space="0"/>
            </w:tcBorders>
          </w:tcPr>
          <w:p>
            <w:pPr>
              <w:spacing w:line="360" w:lineRule="auto"/>
              <w:rPr>
                <w:rFonts w:asciiTheme="minorEastAsia" w:hAnsiTheme="minorEastAsia"/>
                <w:color w:val="auto"/>
                <w:szCs w:val="21"/>
              </w:rPr>
            </w:pPr>
          </w:p>
        </w:tc>
        <w:tc>
          <w:tcPr>
            <w:tcW w:w="567" w:type="dxa"/>
            <w:tcBorders>
              <w:bottom w:val="single" w:color="auto" w:sz="4" w:space="0"/>
            </w:tcBorders>
          </w:tcPr>
          <w:p>
            <w:pPr>
              <w:spacing w:line="360" w:lineRule="auto"/>
              <w:rPr>
                <w:rFonts w:asciiTheme="minorEastAsia" w:hAnsiTheme="minorEastAsia"/>
                <w:color w:val="auto"/>
                <w:szCs w:val="21"/>
              </w:rPr>
            </w:pPr>
          </w:p>
        </w:tc>
        <w:tc>
          <w:tcPr>
            <w:tcW w:w="901" w:type="dxa"/>
            <w:tcBorders>
              <w:bottom w:val="single" w:color="auto" w:sz="4" w:space="0"/>
            </w:tcBorders>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55" w:hRule="atLeast"/>
        </w:trPr>
        <w:tc>
          <w:tcPr>
            <w:tcW w:w="1420" w:type="dxa"/>
            <w:vMerge w:val="continue"/>
          </w:tcPr>
          <w:p>
            <w:pPr>
              <w:spacing w:line="360" w:lineRule="auto"/>
              <w:rPr>
                <w:rFonts w:asciiTheme="minorEastAsia" w:hAnsiTheme="minorEastAsia"/>
                <w:color w:val="auto"/>
                <w:szCs w:val="21"/>
              </w:rPr>
            </w:pPr>
          </w:p>
        </w:tc>
        <w:tc>
          <w:tcPr>
            <w:tcW w:w="4500" w:type="dxa"/>
            <w:gridSpan w:val="3"/>
            <w:tcBorders>
              <w:top w:val="single" w:color="auto" w:sz="4" w:space="0"/>
            </w:tcBorders>
          </w:tcPr>
          <w:p>
            <w:pPr>
              <w:spacing w:line="360" w:lineRule="auto"/>
              <w:rPr>
                <w:rFonts w:asciiTheme="minorEastAsia" w:hAnsiTheme="minorEastAsia"/>
                <w:color w:val="auto"/>
                <w:szCs w:val="21"/>
              </w:rPr>
            </w:pPr>
            <w:r>
              <w:rPr>
                <w:rFonts w:hint="eastAsia" w:asciiTheme="minorEastAsia" w:hAnsiTheme="minorEastAsia"/>
                <w:color w:val="auto"/>
                <w:szCs w:val="21"/>
              </w:rPr>
              <w:t>派遣合格的监查员，对试验的质量进行监查，确保所有试验资料符合上报要求，并及时向乙方告知可能影响受试者健康或安全的严重或持续违背方案事件。监查频率应和入组进度相协调</w:t>
            </w:r>
          </w:p>
        </w:tc>
        <w:tc>
          <w:tcPr>
            <w:tcW w:w="567" w:type="dxa"/>
            <w:tcBorders>
              <w:top w:val="single" w:color="auto" w:sz="4" w:space="0"/>
            </w:tcBorders>
          </w:tcPr>
          <w:p>
            <w:pPr>
              <w:spacing w:line="360" w:lineRule="auto"/>
              <w:rPr>
                <w:rFonts w:asciiTheme="minorEastAsia" w:hAnsiTheme="minorEastAsia"/>
                <w:color w:val="auto"/>
                <w:szCs w:val="21"/>
              </w:rPr>
            </w:pPr>
          </w:p>
        </w:tc>
        <w:tc>
          <w:tcPr>
            <w:tcW w:w="567" w:type="dxa"/>
            <w:tcBorders>
              <w:top w:val="single" w:color="auto" w:sz="4" w:space="0"/>
            </w:tcBorders>
          </w:tcPr>
          <w:p>
            <w:pPr>
              <w:spacing w:line="360" w:lineRule="auto"/>
              <w:rPr>
                <w:rFonts w:asciiTheme="minorEastAsia" w:hAnsiTheme="minorEastAsia"/>
                <w:color w:val="auto"/>
                <w:szCs w:val="21"/>
              </w:rPr>
            </w:pPr>
          </w:p>
        </w:tc>
        <w:tc>
          <w:tcPr>
            <w:tcW w:w="567" w:type="dxa"/>
            <w:tcBorders>
              <w:top w:val="single" w:color="auto" w:sz="4" w:space="0"/>
            </w:tcBorders>
          </w:tcPr>
          <w:p>
            <w:pPr>
              <w:spacing w:line="360" w:lineRule="auto"/>
              <w:rPr>
                <w:rFonts w:asciiTheme="minorEastAsia" w:hAnsiTheme="minorEastAsia"/>
                <w:color w:val="auto"/>
                <w:szCs w:val="21"/>
              </w:rPr>
            </w:pPr>
          </w:p>
        </w:tc>
        <w:tc>
          <w:tcPr>
            <w:tcW w:w="901" w:type="dxa"/>
            <w:tcBorders>
              <w:top w:val="single" w:color="auto" w:sz="4" w:space="0"/>
            </w:tcBorders>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0" w:hRule="atLeast"/>
        </w:trPr>
        <w:tc>
          <w:tcPr>
            <w:tcW w:w="1420" w:type="dxa"/>
            <w:vMerge w:val="continue"/>
          </w:tcPr>
          <w:p>
            <w:pPr>
              <w:spacing w:line="360" w:lineRule="auto"/>
              <w:rPr>
                <w:rFonts w:asciiTheme="minorEastAsia" w:hAnsiTheme="minorEastAsia"/>
                <w:color w:val="auto"/>
                <w:szCs w:val="21"/>
              </w:rPr>
            </w:pPr>
          </w:p>
        </w:tc>
        <w:tc>
          <w:tcPr>
            <w:tcW w:w="4500" w:type="dxa"/>
            <w:gridSpan w:val="3"/>
          </w:tcPr>
          <w:p>
            <w:pPr>
              <w:spacing w:line="360" w:lineRule="auto"/>
              <w:rPr>
                <w:rFonts w:asciiTheme="minorEastAsia" w:hAnsiTheme="minorEastAsia"/>
                <w:color w:val="auto"/>
                <w:szCs w:val="21"/>
              </w:rPr>
            </w:pPr>
            <w:r>
              <w:rPr>
                <w:rFonts w:hint="eastAsia" w:asciiTheme="minorEastAsia" w:hAnsiTheme="minorEastAsia"/>
                <w:color w:val="auto"/>
                <w:szCs w:val="21"/>
              </w:rPr>
              <w:t>如需要，研究机构可要求申办方组织独立的稽查以保证质量</w:t>
            </w: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901" w:type="dxa"/>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6" w:hRule="atLeast"/>
        </w:trPr>
        <w:tc>
          <w:tcPr>
            <w:tcW w:w="1420" w:type="dxa"/>
            <w:vMerge w:val="continue"/>
          </w:tcPr>
          <w:p>
            <w:pPr>
              <w:spacing w:line="360" w:lineRule="auto"/>
              <w:rPr>
                <w:rFonts w:asciiTheme="minorEastAsia" w:hAnsiTheme="minorEastAsia"/>
                <w:color w:val="auto"/>
                <w:szCs w:val="21"/>
              </w:rPr>
            </w:pPr>
          </w:p>
        </w:tc>
        <w:tc>
          <w:tcPr>
            <w:tcW w:w="4500" w:type="dxa"/>
            <w:gridSpan w:val="3"/>
          </w:tcPr>
          <w:p>
            <w:pPr>
              <w:spacing w:line="360" w:lineRule="auto"/>
              <w:rPr>
                <w:rFonts w:asciiTheme="minorEastAsia" w:hAnsiTheme="minorEastAsia"/>
                <w:color w:val="auto"/>
                <w:szCs w:val="21"/>
              </w:rPr>
            </w:pPr>
            <w:r>
              <w:rPr>
                <w:rFonts w:hint="eastAsia" w:asciiTheme="minorEastAsia" w:hAnsiTheme="minorEastAsia"/>
                <w:color w:val="auto"/>
                <w:szCs w:val="21"/>
              </w:rPr>
              <w:t>甲方应及时向乙方PI告知试验中存在的问题，以便乙方采取相应措施改进/保护受试者</w:t>
            </w: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901" w:type="dxa"/>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86" w:hRule="atLeast"/>
        </w:trPr>
        <w:tc>
          <w:tcPr>
            <w:tcW w:w="1420" w:type="dxa"/>
            <w:vMerge w:val="continue"/>
          </w:tcPr>
          <w:p>
            <w:pPr>
              <w:spacing w:line="360" w:lineRule="auto"/>
              <w:rPr>
                <w:rFonts w:asciiTheme="minorEastAsia" w:hAnsiTheme="minorEastAsia"/>
                <w:color w:val="auto"/>
                <w:szCs w:val="21"/>
              </w:rPr>
            </w:pPr>
          </w:p>
        </w:tc>
        <w:tc>
          <w:tcPr>
            <w:tcW w:w="4500" w:type="dxa"/>
            <w:gridSpan w:val="3"/>
          </w:tcPr>
          <w:p>
            <w:pPr>
              <w:spacing w:line="360" w:lineRule="auto"/>
              <w:rPr>
                <w:rFonts w:asciiTheme="minorEastAsia" w:hAnsiTheme="minorEastAsia"/>
                <w:color w:val="auto"/>
                <w:szCs w:val="21"/>
              </w:rPr>
            </w:pPr>
            <w:r>
              <w:rPr>
                <w:rFonts w:hint="eastAsia" w:asciiTheme="minorEastAsia" w:hAnsiTheme="minorEastAsia"/>
                <w:color w:val="auto"/>
                <w:szCs w:val="21"/>
              </w:rPr>
              <w:t>申办者决定终止临床试验前，须书面通知研究者和伦理委员会，并述明理由</w:t>
            </w: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901" w:type="dxa"/>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7" w:hRule="atLeast"/>
        </w:trPr>
        <w:tc>
          <w:tcPr>
            <w:tcW w:w="1420" w:type="dxa"/>
            <w:vMerge w:val="continue"/>
          </w:tcPr>
          <w:p>
            <w:pPr>
              <w:spacing w:line="360" w:lineRule="auto"/>
              <w:rPr>
                <w:rFonts w:asciiTheme="minorEastAsia" w:hAnsiTheme="minorEastAsia"/>
                <w:color w:val="auto"/>
                <w:szCs w:val="21"/>
              </w:rPr>
            </w:pPr>
          </w:p>
        </w:tc>
        <w:tc>
          <w:tcPr>
            <w:tcW w:w="4500" w:type="dxa"/>
            <w:gridSpan w:val="3"/>
          </w:tcPr>
          <w:p>
            <w:pPr>
              <w:spacing w:line="360" w:lineRule="auto"/>
              <w:rPr>
                <w:rFonts w:asciiTheme="minorEastAsia" w:hAnsiTheme="minorEastAsia"/>
                <w:color w:val="auto"/>
                <w:szCs w:val="21"/>
              </w:rPr>
            </w:pPr>
            <w:r>
              <w:rPr>
                <w:rFonts w:hint="eastAsia" w:asciiTheme="minorEastAsia" w:hAnsiTheme="minorEastAsia"/>
                <w:color w:val="auto"/>
                <w:szCs w:val="21"/>
              </w:rPr>
              <w:t>向伦理委员会和临床试验机构递交最终的临床试验分中心小结或“总结报告”</w:t>
            </w: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901" w:type="dxa"/>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98" w:hRule="atLeast"/>
        </w:trPr>
        <w:tc>
          <w:tcPr>
            <w:tcW w:w="1420" w:type="dxa"/>
          </w:tcPr>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r>
              <w:rPr>
                <w:rFonts w:hint="eastAsia" w:asciiTheme="minorEastAsia" w:hAnsiTheme="minorEastAsia"/>
                <w:color w:val="auto"/>
                <w:szCs w:val="21"/>
              </w:rPr>
              <w:t>CRO职责</w:t>
            </w:r>
          </w:p>
          <w:p>
            <w:pPr>
              <w:spacing w:line="360" w:lineRule="auto"/>
              <w:rPr>
                <w:rFonts w:asciiTheme="minorEastAsia" w:hAnsiTheme="minorEastAsia"/>
                <w:color w:val="auto"/>
                <w:szCs w:val="21"/>
              </w:rPr>
            </w:pPr>
            <w:r>
              <w:rPr>
                <w:rFonts w:hint="eastAsia" w:asciiTheme="minorEastAsia" w:hAnsiTheme="minorEastAsia"/>
                <w:color w:val="auto"/>
                <w:szCs w:val="21"/>
              </w:rPr>
              <w:t>（如有）</w:t>
            </w:r>
          </w:p>
        </w:tc>
        <w:tc>
          <w:tcPr>
            <w:tcW w:w="4500" w:type="dxa"/>
            <w:gridSpan w:val="3"/>
          </w:tcPr>
          <w:p>
            <w:pPr>
              <w:spacing w:line="360" w:lineRule="auto"/>
              <w:rPr>
                <w:rFonts w:asciiTheme="minorEastAsia" w:hAnsiTheme="minorEastAsia"/>
                <w:color w:val="auto"/>
                <w:szCs w:val="21"/>
              </w:rPr>
            </w:pPr>
            <w:r>
              <w:rPr>
                <w:rFonts w:hint="eastAsia" w:asciiTheme="minorEastAsia" w:hAnsiTheme="minorEastAsia"/>
                <w:color w:val="auto"/>
                <w:szCs w:val="21"/>
              </w:rPr>
              <w:t>提供申办者委托该公司承担临床试验相关业务的“委托函”，明确说明CRO受申办方委托承担的责任与义务范畴，以及CRO公司不承担的责任与义务范畴应明确临床试验相关损害赔偿等责任承担方，如CRO公司不承担该责任的证明文件</w:t>
            </w: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901" w:type="dxa"/>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1" w:hRule="atLeast"/>
        </w:trPr>
        <w:tc>
          <w:tcPr>
            <w:tcW w:w="1420" w:type="dxa"/>
            <w:vMerge w:val="restart"/>
          </w:tcPr>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r>
              <w:rPr>
                <w:rFonts w:hint="eastAsia" w:asciiTheme="minorEastAsia" w:hAnsiTheme="minorEastAsia"/>
                <w:color w:val="auto"/>
                <w:szCs w:val="21"/>
              </w:rPr>
              <w:t>研究者职责</w:t>
            </w:r>
          </w:p>
        </w:tc>
        <w:tc>
          <w:tcPr>
            <w:tcW w:w="4500" w:type="dxa"/>
            <w:gridSpan w:val="3"/>
          </w:tcPr>
          <w:p>
            <w:pPr>
              <w:spacing w:line="360" w:lineRule="auto"/>
              <w:rPr>
                <w:rFonts w:asciiTheme="minorEastAsia" w:hAnsiTheme="minorEastAsia"/>
                <w:color w:val="auto"/>
                <w:szCs w:val="21"/>
              </w:rPr>
            </w:pPr>
            <w:r>
              <w:rPr>
                <w:rFonts w:hint="eastAsia" w:asciiTheme="minorEastAsia" w:hAnsiTheme="minorEastAsia"/>
                <w:color w:val="auto"/>
                <w:szCs w:val="21"/>
              </w:rPr>
              <w:t>研究者必须详细阅读和了解试验方案的内容，并严格按照方案执行</w:t>
            </w: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901" w:type="dxa"/>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980" w:hRule="atLeast"/>
        </w:trPr>
        <w:tc>
          <w:tcPr>
            <w:tcW w:w="1420" w:type="dxa"/>
            <w:vMerge w:val="continue"/>
          </w:tcPr>
          <w:p>
            <w:pPr>
              <w:spacing w:line="360" w:lineRule="auto"/>
              <w:rPr>
                <w:rFonts w:asciiTheme="minorEastAsia" w:hAnsiTheme="minorEastAsia"/>
                <w:color w:val="auto"/>
                <w:szCs w:val="21"/>
              </w:rPr>
            </w:pPr>
          </w:p>
        </w:tc>
        <w:tc>
          <w:tcPr>
            <w:tcW w:w="4500" w:type="dxa"/>
            <w:gridSpan w:val="3"/>
          </w:tcPr>
          <w:p>
            <w:pPr>
              <w:spacing w:line="360" w:lineRule="auto"/>
              <w:rPr>
                <w:rFonts w:asciiTheme="minorEastAsia" w:hAnsiTheme="minorEastAsia"/>
                <w:color w:val="auto"/>
                <w:szCs w:val="21"/>
              </w:rPr>
            </w:pPr>
            <w:r>
              <w:rPr>
                <w:rFonts w:hint="eastAsia" w:asciiTheme="minorEastAsia" w:hAnsiTheme="minorEastAsia"/>
                <w:color w:val="auto"/>
                <w:szCs w:val="21"/>
              </w:rPr>
              <w:t>保证将数据真实、准确、完整、及时、合法地载入病例和“病例报告表”</w:t>
            </w: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901" w:type="dxa"/>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80" w:hRule="atLeast"/>
        </w:trPr>
        <w:tc>
          <w:tcPr>
            <w:tcW w:w="1420" w:type="dxa"/>
            <w:vMerge w:val="continue"/>
          </w:tcPr>
          <w:p>
            <w:pPr>
              <w:spacing w:line="360" w:lineRule="auto"/>
              <w:rPr>
                <w:rFonts w:asciiTheme="minorEastAsia" w:hAnsiTheme="minorEastAsia"/>
                <w:color w:val="auto"/>
                <w:szCs w:val="21"/>
              </w:rPr>
            </w:pPr>
          </w:p>
        </w:tc>
        <w:tc>
          <w:tcPr>
            <w:tcW w:w="4500" w:type="dxa"/>
            <w:gridSpan w:val="3"/>
          </w:tcPr>
          <w:p>
            <w:pPr>
              <w:spacing w:line="360" w:lineRule="auto"/>
              <w:rPr>
                <w:rFonts w:asciiTheme="minorEastAsia" w:hAnsiTheme="minorEastAsia"/>
                <w:color w:val="auto"/>
                <w:szCs w:val="21"/>
              </w:rPr>
            </w:pPr>
            <w:r>
              <w:rPr>
                <w:rFonts w:hint="eastAsia" w:asciiTheme="minorEastAsia" w:hAnsiTheme="minorEastAsia"/>
                <w:color w:val="auto"/>
                <w:szCs w:val="21"/>
              </w:rPr>
              <w:t>研究医生负责做出与临床试验相关的医疗决定，保证受试者在试验期间出现不良事件时得到适当的治疗，并按指定程序上报SAE.研究者有义务采取必要的措施以保障受试者的安全，并记录在案</w:t>
            </w: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901" w:type="dxa"/>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32" w:hRule="atLeast"/>
        </w:trPr>
        <w:tc>
          <w:tcPr>
            <w:tcW w:w="1420" w:type="dxa"/>
            <w:vMerge w:val="continue"/>
          </w:tcPr>
          <w:p>
            <w:pPr>
              <w:spacing w:line="360" w:lineRule="auto"/>
              <w:rPr>
                <w:rFonts w:asciiTheme="minorEastAsia" w:hAnsiTheme="minorEastAsia"/>
                <w:color w:val="auto"/>
                <w:szCs w:val="21"/>
              </w:rPr>
            </w:pPr>
          </w:p>
        </w:tc>
        <w:tc>
          <w:tcPr>
            <w:tcW w:w="4500" w:type="dxa"/>
            <w:gridSpan w:val="3"/>
          </w:tcPr>
          <w:p>
            <w:pPr>
              <w:spacing w:line="360" w:lineRule="auto"/>
              <w:rPr>
                <w:rFonts w:asciiTheme="minorEastAsia" w:hAnsiTheme="minorEastAsia"/>
                <w:color w:val="auto"/>
                <w:szCs w:val="21"/>
              </w:rPr>
            </w:pPr>
            <w:r>
              <w:rPr>
                <w:rFonts w:hint="eastAsia" w:asciiTheme="minorEastAsia" w:hAnsiTheme="minorEastAsia"/>
                <w:color w:val="auto"/>
                <w:szCs w:val="21"/>
              </w:rPr>
              <w:t>接受申办者派遣的监查员或稽查员及药品监督管理部门的检查，确保临床试验的质量</w:t>
            </w: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901" w:type="dxa"/>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55" w:hRule="atLeast"/>
        </w:trPr>
        <w:tc>
          <w:tcPr>
            <w:tcW w:w="1420" w:type="dxa"/>
          </w:tcPr>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r>
              <w:rPr>
                <w:rFonts w:hint="eastAsia" w:asciiTheme="minorEastAsia" w:hAnsiTheme="minorEastAsia"/>
                <w:color w:val="auto"/>
                <w:szCs w:val="21"/>
              </w:rPr>
              <w:t>生物标本使用</w:t>
            </w:r>
          </w:p>
        </w:tc>
        <w:tc>
          <w:tcPr>
            <w:tcW w:w="4500" w:type="dxa"/>
            <w:gridSpan w:val="3"/>
          </w:tcPr>
          <w:p>
            <w:pPr>
              <w:spacing w:line="360" w:lineRule="auto"/>
              <w:rPr>
                <w:rFonts w:asciiTheme="minorEastAsia" w:hAnsiTheme="minorEastAsia"/>
                <w:color w:val="auto"/>
                <w:szCs w:val="21"/>
              </w:rPr>
            </w:pPr>
            <w:r>
              <w:rPr>
                <w:rFonts w:hint="eastAsia" w:asciiTheme="minorEastAsia" w:hAnsiTheme="minorEastAsia"/>
                <w:color w:val="auto"/>
                <w:szCs w:val="21"/>
              </w:rPr>
              <w:t>生物样本只允许在各临床试验机构实验室、该试验组长单位实验室或卫生部认可的其他实验室（须提供实验室的资质和卫生部认可的室间质控证明）进行生物样本检测，根据知情同意、研究方案和相关法律法规使用生物样本进行与本试验相关的后续研究，并经机构和伦理委员会批准后方可。不允许申办者或其代理人擅自运输到国外检测。如超出规定范畴，须重新报请伦理委员会批准同意</w:t>
            </w: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901" w:type="dxa"/>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2" w:hRule="atLeast"/>
        </w:trPr>
        <w:tc>
          <w:tcPr>
            <w:tcW w:w="1420" w:type="dxa"/>
          </w:tcPr>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r>
              <w:rPr>
                <w:rFonts w:hint="eastAsia" w:asciiTheme="minorEastAsia" w:hAnsiTheme="minorEastAsia"/>
                <w:color w:val="auto"/>
                <w:szCs w:val="21"/>
              </w:rPr>
              <w:t>保险的约定与披露</w:t>
            </w:r>
          </w:p>
        </w:tc>
        <w:tc>
          <w:tcPr>
            <w:tcW w:w="4500" w:type="dxa"/>
            <w:gridSpan w:val="3"/>
          </w:tcPr>
          <w:p>
            <w:pPr>
              <w:spacing w:line="360" w:lineRule="auto"/>
              <w:rPr>
                <w:rFonts w:asciiTheme="minorEastAsia" w:hAnsiTheme="minorEastAsia"/>
                <w:color w:val="auto"/>
                <w:szCs w:val="21"/>
              </w:rPr>
            </w:pPr>
            <w:r>
              <w:rPr>
                <w:rFonts w:hint="eastAsia" w:asciiTheme="minorEastAsia" w:hAnsiTheme="minorEastAsia"/>
                <w:color w:val="auto"/>
                <w:szCs w:val="21"/>
              </w:rPr>
              <w:t>甲方负责为乙方医疗机构及乙方研究者提供法律上与经济上的担保。对发生与试验相关的损害（包括受试者损害、乙方医疗机构和研究者的损害），以及发生与试验相关的纠纷，甲方负责承担全部责任，包括治疗费用及经济补偿</w:t>
            </w: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901" w:type="dxa"/>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2" w:hRule="atLeast"/>
        </w:trPr>
        <w:tc>
          <w:tcPr>
            <w:tcW w:w="1420" w:type="dxa"/>
            <w:vAlign w:val="center"/>
          </w:tcPr>
          <w:p>
            <w:pPr>
              <w:spacing w:line="360" w:lineRule="auto"/>
              <w:rPr>
                <w:rFonts w:asciiTheme="minorEastAsia" w:hAnsiTheme="minorEastAsia"/>
                <w:color w:val="auto"/>
                <w:szCs w:val="21"/>
              </w:rPr>
            </w:pPr>
            <w:r>
              <w:rPr>
                <w:rFonts w:hint="eastAsia" w:asciiTheme="minorEastAsia" w:hAnsiTheme="minorEastAsia"/>
                <w:color w:val="auto"/>
                <w:szCs w:val="21"/>
              </w:rPr>
              <w:t>保密</w:t>
            </w:r>
          </w:p>
        </w:tc>
        <w:tc>
          <w:tcPr>
            <w:tcW w:w="4500" w:type="dxa"/>
            <w:gridSpan w:val="3"/>
          </w:tcPr>
          <w:p>
            <w:pPr>
              <w:spacing w:line="360" w:lineRule="auto"/>
              <w:rPr>
                <w:rFonts w:asciiTheme="minorEastAsia" w:hAnsiTheme="minorEastAsia"/>
                <w:color w:val="auto"/>
                <w:szCs w:val="21"/>
              </w:rPr>
            </w:pPr>
            <w:r>
              <w:rPr>
                <w:rFonts w:hint="eastAsia" w:asciiTheme="minorEastAsia" w:hAnsiTheme="minorEastAsia"/>
                <w:color w:val="auto"/>
                <w:szCs w:val="21"/>
              </w:rPr>
              <w:t>双方可接触试验相关资料的人员，应对对方的商业机密/医疗信息/受试者信息等有保密责任</w:t>
            </w: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901" w:type="dxa"/>
          </w:tcPr>
          <w:p>
            <w:pPr>
              <w:spacing w:line="360" w:lineRule="auto"/>
              <w:rPr>
                <w:rFonts w:asciiTheme="minorEastAsia" w:hAnsiTheme="minorEastAsia"/>
                <w:color w:val="auto"/>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2" w:hRule="atLeast"/>
        </w:trPr>
        <w:tc>
          <w:tcPr>
            <w:tcW w:w="1420" w:type="dxa"/>
            <w:vAlign w:val="center"/>
          </w:tcPr>
          <w:p>
            <w:pPr>
              <w:spacing w:line="360" w:lineRule="auto"/>
              <w:rPr>
                <w:rFonts w:asciiTheme="minorEastAsia" w:hAnsiTheme="minorEastAsia"/>
                <w:color w:val="auto"/>
                <w:szCs w:val="21"/>
              </w:rPr>
            </w:pPr>
            <w:r>
              <w:rPr>
                <w:rFonts w:hint="eastAsia" w:asciiTheme="minorEastAsia" w:hAnsiTheme="minorEastAsia"/>
                <w:color w:val="auto"/>
                <w:szCs w:val="21"/>
              </w:rPr>
              <w:t>争议解决</w:t>
            </w:r>
          </w:p>
        </w:tc>
        <w:tc>
          <w:tcPr>
            <w:tcW w:w="4500" w:type="dxa"/>
            <w:gridSpan w:val="3"/>
          </w:tcPr>
          <w:p>
            <w:pPr>
              <w:spacing w:line="360" w:lineRule="auto"/>
              <w:rPr>
                <w:rFonts w:asciiTheme="minorEastAsia" w:hAnsiTheme="minorEastAsia"/>
                <w:color w:val="auto"/>
                <w:szCs w:val="21"/>
              </w:rPr>
            </w:pPr>
            <w:r>
              <w:rPr>
                <w:rFonts w:hint="eastAsia" w:asciiTheme="minorEastAsia" w:hAnsiTheme="minorEastAsia"/>
                <w:color w:val="auto"/>
                <w:szCs w:val="21"/>
              </w:rPr>
              <w:t>凡因执行本协议所发生的一切争议应通过友好协商的途径解决，如协商不能解决时按其他解决途径的约定进行，如仲裁。仲裁地点应选择研究所在地</w:t>
            </w: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567" w:type="dxa"/>
          </w:tcPr>
          <w:p>
            <w:pPr>
              <w:spacing w:line="360" w:lineRule="auto"/>
              <w:rPr>
                <w:rFonts w:asciiTheme="minorEastAsia" w:hAnsiTheme="minorEastAsia"/>
                <w:color w:val="auto"/>
                <w:szCs w:val="21"/>
              </w:rPr>
            </w:pPr>
          </w:p>
        </w:tc>
        <w:tc>
          <w:tcPr>
            <w:tcW w:w="901" w:type="dxa"/>
          </w:tcPr>
          <w:p>
            <w:pPr>
              <w:spacing w:line="360" w:lineRule="auto"/>
              <w:rPr>
                <w:rFonts w:asciiTheme="minorEastAsia" w:hAnsiTheme="minorEastAsia"/>
                <w:color w:val="auto"/>
                <w:szCs w:val="21"/>
              </w:rPr>
            </w:pPr>
          </w:p>
        </w:tc>
      </w:tr>
    </w:tbl>
    <w:p>
      <w:pPr>
        <w:rPr>
          <w:rFonts w:asciiTheme="minorEastAsia" w:hAnsiTheme="minorEastAsia"/>
          <w:color w:val="auto"/>
          <w:szCs w:val="21"/>
        </w:rPr>
      </w:pPr>
    </w:p>
    <w:p>
      <w:pPr>
        <w:rPr>
          <w:rFonts w:asciiTheme="minorEastAsia" w:hAnsiTheme="minorEastAsia"/>
          <w:color w:val="auto"/>
          <w:szCs w:val="21"/>
        </w:rPr>
      </w:pPr>
    </w:p>
    <w:p>
      <w:pPr>
        <w:rPr>
          <w:rFonts w:asciiTheme="minorEastAsia" w:hAnsiTheme="minorEastAsia"/>
          <w:color w:val="auto"/>
          <w:szCs w:val="21"/>
        </w:rPr>
      </w:pPr>
    </w:p>
    <w:p>
      <w:pPr>
        <w:spacing w:line="360" w:lineRule="auto"/>
        <w:rPr>
          <w:rFonts w:asciiTheme="minorEastAsia" w:hAnsiTheme="minorEastAsia"/>
          <w:color w:val="auto"/>
          <w:szCs w:val="21"/>
        </w:rPr>
      </w:pPr>
      <w:r>
        <w:rPr>
          <w:rFonts w:hint="eastAsia" w:asciiTheme="minorEastAsia" w:hAnsiTheme="minorEastAsia"/>
          <w:color w:val="auto"/>
          <w:szCs w:val="21"/>
        </w:rPr>
        <w:t>其他修改意见：</w:t>
      </w:r>
    </w:p>
    <w:p>
      <w:pPr>
        <w:spacing w:line="360" w:lineRule="auto"/>
        <w:rPr>
          <w:rFonts w:asciiTheme="minorEastAsia" w:hAnsiTheme="minorEastAsia"/>
          <w:color w:val="auto"/>
          <w:szCs w:val="21"/>
        </w:rPr>
      </w:pPr>
    </w:p>
    <w:p>
      <w:pPr>
        <w:spacing w:line="360" w:lineRule="auto"/>
        <w:rPr>
          <w:rFonts w:asciiTheme="minorEastAsia" w:hAnsiTheme="minorEastAsia"/>
          <w:color w:val="auto"/>
          <w:szCs w:val="21"/>
        </w:rPr>
      </w:pPr>
      <w:r>
        <w:rPr>
          <w:rFonts w:hint="eastAsia" w:asciiTheme="minorEastAsia" w:hAnsiTheme="minorEastAsia"/>
          <w:color w:val="auto"/>
          <w:szCs w:val="21"/>
        </w:rPr>
        <w:t>是否会审：</w:t>
      </w:r>
      <w:r>
        <w:rPr>
          <w:rFonts w:hint="eastAsia" w:cs="宋体" w:asciiTheme="minorEastAsia" w:hAnsiTheme="minorEastAsia"/>
          <w:color w:val="auto"/>
          <w:szCs w:val="21"/>
        </w:rPr>
        <w:t>□</w:t>
      </w:r>
      <w:r>
        <w:rPr>
          <w:rFonts w:hint="eastAsia" w:asciiTheme="minorEastAsia" w:hAnsiTheme="minorEastAsia"/>
          <w:color w:val="auto"/>
          <w:szCs w:val="21"/>
        </w:rPr>
        <w:t xml:space="preserve"> 是  </w:t>
      </w:r>
      <w:r>
        <w:rPr>
          <w:rFonts w:hint="eastAsia" w:cs="宋体" w:asciiTheme="minorEastAsia" w:hAnsiTheme="minorEastAsia"/>
          <w:color w:val="auto"/>
          <w:szCs w:val="21"/>
        </w:rPr>
        <w:t>□</w:t>
      </w:r>
      <w:r>
        <w:rPr>
          <w:rFonts w:hint="eastAsia" w:asciiTheme="minorEastAsia" w:hAnsiTheme="minorEastAsia"/>
          <w:color w:val="auto"/>
          <w:szCs w:val="21"/>
        </w:rPr>
        <w:t>否   原因 :</w:t>
      </w:r>
    </w:p>
    <w:p>
      <w:pPr>
        <w:spacing w:line="360" w:lineRule="auto"/>
        <w:ind w:firstLine="5880" w:firstLineChars="2800"/>
        <w:rPr>
          <w:rFonts w:asciiTheme="minorEastAsia" w:hAnsiTheme="minorEastAsia"/>
          <w:color w:val="auto"/>
          <w:szCs w:val="21"/>
        </w:rPr>
      </w:pPr>
      <w:r>
        <w:rPr>
          <w:rFonts w:hint="eastAsia" w:asciiTheme="minorEastAsia" w:hAnsiTheme="minorEastAsia"/>
          <w:color w:val="auto"/>
          <w:szCs w:val="21"/>
        </w:rPr>
        <w:t>审核人签名：</w:t>
      </w:r>
    </w:p>
    <w:p>
      <w:pPr>
        <w:spacing w:line="360" w:lineRule="auto"/>
        <w:rPr>
          <w:color w:val="auto"/>
          <w:szCs w:val="21"/>
        </w:rPr>
      </w:pPr>
      <w:r>
        <w:rPr>
          <w:rFonts w:hint="eastAsia"/>
          <w:color w:val="auto"/>
          <w:szCs w:val="21"/>
        </w:rPr>
        <w:t xml:space="preserve">                                                            时  间：</w:t>
      </w:r>
    </w:p>
    <w:p>
      <w:pPr>
        <w:spacing w:line="360" w:lineRule="auto"/>
        <w:rPr>
          <w:color w:val="auto"/>
          <w:sz w:val="24"/>
          <w:szCs w:val="24"/>
        </w:rPr>
      </w:pPr>
    </w:p>
    <w:p>
      <w:pPr>
        <w:spacing w:line="360" w:lineRule="auto"/>
        <w:rPr>
          <w:rFonts w:ascii="黑体" w:hAnsi="黑体" w:eastAsia="黑体" w:cs="黑体"/>
          <w:b/>
          <w:color w:val="auto"/>
          <w:sz w:val="24"/>
          <w:szCs w:val="24"/>
        </w:rPr>
      </w:pPr>
    </w:p>
    <w:p>
      <w:pPr>
        <w:tabs>
          <w:tab w:val="left" w:pos="1014"/>
        </w:tabs>
        <w:jc w:val="left"/>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tabs>
          <w:tab w:val="left" w:pos="6714"/>
        </w:tabs>
        <w:jc w:val="left"/>
        <w:rPr>
          <w:rFonts w:hint="eastAsia"/>
          <w:color w:val="auto"/>
        </w:rPr>
      </w:pPr>
      <w:r>
        <w:rPr>
          <w:rFonts w:hint="eastAsia"/>
          <w:color w:val="auto"/>
        </w:rPr>
        <w:tab/>
      </w:r>
    </w:p>
    <w:p>
      <w:pPr>
        <w:tabs>
          <w:tab w:val="left" w:pos="6714"/>
        </w:tabs>
        <w:jc w:val="left"/>
        <w:rPr>
          <w:rFonts w:hint="eastAsia"/>
          <w:color w:val="auto"/>
        </w:rPr>
      </w:pPr>
    </w:p>
    <w:p>
      <w:pPr>
        <w:tabs>
          <w:tab w:val="left" w:pos="6714"/>
        </w:tabs>
        <w:jc w:val="left"/>
        <w:rPr>
          <w:rFonts w:ascii="黑体" w:hAnsi="黑体" w:eastAsia="黑体" w:cs="黑体"/>
          <w:bCs/>
          <w:color w:val="auto"/>
          <w:sz w:val="24"/>
          <w:szCs w:val="24"/>
        </w:rPr>
      </w:pPr>
      <w:r>
        <w:rPr>
          <w:rFonts w:hint="eastAsia" w:ascii="黑体" w:hAnsi="黑体" w:eastAsia="黑体" w:cs="黑体"/>
          <w:bCs/>
          <w:color w:val="auto"/>
          <w:sz w:val="24"/>
          <w:szCs w:val="24"/>
        </w:rPr>
        <w:t>附件3  临床研究合同审核要点——经费部分</w:t>
      </w:r>
    </w:p>
    <w:p>
      <w:pPr>
        <w:spacing w:line="360" w:lineRule="auto"/>
        <w:rPr>
          <w:rFonts w:cs="黑体" w:asciiTheme="minorEastAsia" w:hAnsiTheme="minorEastAsia"/>
          <w:color w:val="auto"/>
          <w:szCs w:val="21"/>
        </w:rPr>
      </w:pPr>
      <w:r>
        <w:rPr>
          <w:rFonts w:hint="eastAsia" w:ascii="黑体" w:hAnsi="黑体" w:eastAsia="黑体" w:cs="黑体"/>
          <w:color w:val="auto"/>
          <w:sz w:val="24"/>
          <w:szCs w:val="24"/>
        </w:rPr>
        <w:t xml:space="preserve">             </w:t>
      </w:r>
      <w:r>
        <w:rPr>
          <w:rFonts w:hint="eastAsia" w:ascii="黑体" w:hAnsi="黑体" w:eastAsia="黑体" w:cs="黑体"/>
          <w:color w:val="auto"/>
          <w:szCs w:val="21"/>
        </w:rPr>
        <w:t xml:space="preserve">   </w:t>
      </w:r>
      <w:r>
        <w:rPr>
          <w:rFonts w:hint="eastAsia" w:cs="黑体" w:asciiTheme="minorEastAsia" w:hAnsiTheme="minorEastAsia"/>
          <w:color w:val="auto"/>
          <w:szCs w:val="21"/>
        </w:rPr>
        <w:t xml:space="preserve"> 临床研究合同审核要点</w:t>
      </w:r>
      <w:r>
        <w:rPr>
          <w:rFonts w:hint="eastAsia" w:ascii="黑体" w:hAnsi="黑体" w:eastAsia="黑体"/>
          <w:bCs/>
          <w:color w:val="auto"/>
          <w:szCs w:val="21"/>
        </w:rPr>
        <w:t>——</w:t>
      </w:r>
      <w:r>
        <w:rPr>
          <w:rFonts w:hint="eastAsia" w:cs="黑体" w:asciiTheme="minorEastAsia" w:hAnsiTheme="minorEastAsia"/>
          <w:color w:val="auto"/>
          <w:szCs w:val="21"/>
        </w:rPr>
        <w:t>经费部分</w:t>
      </w:r>
    </w:p>
    <w:p>
      <w:pPr>
        <w:spacing w:line="360" w:lineRule="auto"/>
        <w:rPr>
          <w:rFonts w:cs="黑体" w:asciiTheme="minorEastAsia" w:hAnsiTheme="minorEastAsia"/>
          <w:color w:val="auto"/>
          <w:szCs w:val="21"/>
        </w:rPr>
      </w:pPr>
      <w:r>
        <w:rPr>
          <w:rFonts w:hint="eastAsia" w:ascii="宋体" w:hAnsi="宋体" w:eastAsia="宋体" w:cs="宋体"/>
          <w:color w:val="auto"/>
          <w:szCs w:val="21"/>
        </w:rPr>
        <w:t>审核协议需要的支持材料：最新的方案、知情同意书（最好是EC批准后）、合同初稿</w:t>
      </w:r>
    </w:p>
    <w:tbl>
      <w:tblPr>
        <w:tblStyle w:val="2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649"/>
        <w:gridCol w:w="2178"/>
        <w:gridCol w:w="567"/>
        <w:gridCol w:w="567"/>
        <w:gridCol w:w="567"/>
        <w:gridCol w:w="104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17" w:hRule="atLeast"/>
        </w:trPr>
        <w:tc>
          <w:tcPr>
            <w:tcW w:w="1951" w:type="dxa"/>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项目名称/方案号</w:t>
            </w:r>
          </w:p>
        </w:tc>
        <w:tc>
          <w:tcPr>
            <w:tcW w:w="6572" w:type="dxa"/>
            <w:gridSpan w:val="6"/>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951" w:type="dxa"/>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主要研究者</w:t>
            </w:r>
          </w:p>
        </w:tc>
        <w:tc>
          <w:tcPr>
            <w:tcW w:w="1649" w:type="dxa"/>
          </w:tcPr>
          <w:p>
            <w:pPr>
              <w:spacing w:line="360" w:lineRule="auto"/>
              <w:rPr>
                <w:rFonts w:cs="宋体" w:asciiTheme="minorEastAsia" w:hAnsiTheme="minorEastAsia"/>
                <w:color w:val="auto"/>
                <w:szCs w:val="21"/>
              </w:rPr>
            </w:pPr>
          </w:p>
        </w:tc>
        <w:tc>
          <w:tcPr>
            <w:tcW w:w="2178" w:type="dxa"/>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协议版本号/时间</w:t>
            </w:r>
          </w:p>
        </w:tc>
        <w:tc>
          <w:tcPr>
            <w:tcW w:w="2745" w:type="dxa"/>
            <w:gridSpan w:val="4"/>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1951" w:type="dxa"/>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项目</w:t>
            </w:r>
          </w:p>
        </w:tc>
        <w:tc>
          <w:tcPr>
            <w:tcW w:w="3827" w:type="dxa"/>
            <w:gridSpan w:val="2"/>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要点描述</w:t>
            </w:r>
          </w:p>
        </w:tc>
        <w:tc>
          <w:tcPr>
            <w:tcW w:w="567" w:type="dxa"/>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是</w:t>
            </w:r>
          </w:p>
        </w:tc>
        <w:tc>
          <w:tcPr>
            <w:tcW w:w="567" w:type="dxa"/>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否</w:t>
            </w:r>
          </w:p>
        </w:tc>
        <w:tc>
          <w:tcPr>
            <w:tcW w:w="567" w:type="dxa"/>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NA</w:t>
            </w:r>
          </w:p>
        </w:tc>
        <w:tc>
          <w:tcPr>
            <w:tcW w:w="1044" w:type="dxa"/>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951" w:type="dxa"/>
            <w:vMerge w:val="restart"/>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受试者部分</w:t>
            </w: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明确试验用药物/医疗器械的提供方式</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明确研究相关的检查费实行实报实销</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支付筛选失败受试者的检查费</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支付受试者交通费</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按PK采血点提供相应补偿（如需要）</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按数量提供组织切片费用（如需要）</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其他</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restart"/>
          </w:tcPr>
          <w:p>
            <w:pPr>
              <w:spacing w:line="360" w:lineRule="auto"/>
              <w:jc w:val="center"/>
              <w:rPr>
                <w:rFonts w:cs="宋体" w:asciiTheme="minorEastAsia" w:hAnsiTheme="minorEastAsia"/>
                <w:color w:val="auto"/>
                <w:szCs w:val="21"/>
              </w:rPr>
            </w:pPr>
          </w:p>
          <w:p>
            <w:pPr>
              <w:spacing w:line="360" w:lineRule="auto"/>
              <w:jc w:val="center"/>
              <w:rPr>
                <w:rFonts w:cs="宋体" w:asciiTheme="minorEastAsia" w:hAnsiTheme="minorEastAsia"/>
                <w:color w:val="auto"/>
                <w:szCs w:val="21"/>
              </w:rPr>
            </w:pPr>
          </w:p>
          <w:p>
            <w:pPr>
              <w:spacing w:line="360" w:lineRule="auto"/>
              <w:jc w:val="center"/>
              <w:rPr>
                <w:rFonts w:cs="宋体" w:asciiTheme="minorEastAsia" w:hAnsiTheme="minorEastAsia"/>
                <w:color w:val="auto"/>
                <w:szCs w:val="21"/>
              </w:rPr>
            </w:pPr>
          </w:p>
          <w:p>
            <w:pPr>
              <w:spacing w:line="360" w:lineRule="auto"/>
              <w:jc w:val="center"/>
              <w:rPr>
                <w:rFonts w:cs="宋体" w:asciiTheme="minorEastAsia" w:hAnsiTheme="minorEastAsia"/>
                <w:color w:val="auto"/>
                <w:szCs w:val="21"/>
              </w:rPr>
            </w:pPr>
          </w:p>
          <w:p>
            <w:pPr>
              <w:spacing w:line="360" w:lineRule="auto"/>
              <w:jc w:val="center"/>
              <w:rPr>
                <w:rFonts w:cs="宋体" w:asciiTheme="minorEastAsia" w:hAnsiTheme="minorEastAsia"/>
                <w:color w:val="auto"/>
                <w:szCs w:val="21"/>
              </w:rPr>
            </w:pPr>
          </w:p>
          <w:p>
            <w:pPr>
              <w:spacing w:line="360" w:lineRule="auto"/>
              <w:jc w:val="center"/>
              <w:rPr>
                <w:rFonts w:cs="宋体" w:asciiTheme="minorEastAsia" w:hAnsiTheme="minorEastAsia"/>
                <w:color w:val="auto"/>
                <w:szCs w:val="21"/>
              </w:rPr>
            </w:pPr>
          </w:p>
          <w:p>
            <w:pPr>
              <w:spacing w:line="360" w:lineRule="auto"/>
              <w:jc w:val="center"/>
              <w:rPr>
                <w:rFonts w:cs="宋体" w:asciiTheme="minorEastAsia" w:hAnsiTheme="minorEastAsia"/>
                <w:color w:val="auto"/>
                <w:szCs w:val="21"/>
              </w:rPr>
            </w:pPr>
          </w:p>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医院</w:t>
            </w:r>
            <w:r>
              <w:rPr>
                <w:rFonts w:hint="eastAsia" w:ascii="黑体" w:hAnsi="黑体" w:eastAsia="黑体"/>
                <w:bCs/>
                <w:color w:val="auto"/>
                <w:sz w:val="24"/>
                <w:szCs w:val="24"/>
              </w:rPr>
              <w:t>——</w:t>
            </w:r>
            <w:r>
              <w:rPr>
                <w:rFonts w:hint="eastAsia" w:cs="宋体" w:asciiTheme="minorEastAsia" w:hAnsiTheme="minorEastAsia"/>
                <w:color w:val="auto"/>
                <w:szCs w:val="21"/>
              </w:rPr>
              <w:t>研究者部分</w:t>
            </w: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提供筛选失败病例劳务费</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jc w:val="center"/>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分段计算研究者观察费（如按疗程）</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jc w:val="center"/>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提供药物/医疗器械管理费</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jc w:val="center"/>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提供相应档案管理费（如需要保管资料超过5年）</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jc w:val="center"/>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提供疗效评估劳务费（如需要）</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jc w:val="center"/>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提供病理科医师劳务费（如需要）</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jc w:val="center"/>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提供影像学资料刻录费（按次计算）</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vAlign w:val="center"/>
          </w:tcPr>
          <w:p>
            <w:pPr>
              <w:spacing w:line="360" w:lineRule="auto"/>
              <w:jc w:val="center"/>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提供PK采集劳务费（如需要，按次计算）</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提供超出诊疗常规的其他费用（如标本保存等）</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提供I期试验室药代动力学试验费（如需要）</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提供统计备份费用（如需要）</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其他</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951" w:type="dxa"/>
            <w:vMerge w:val="restart"/>
            <w:vAlign w:val="center"/>
          </w:tcPr>
          <w:p>
            <w:pPr>
              <w:spacing w:line="360" w:lineRule="auto"/>
              <w:jc w:val="center"/>
              <w:rPr>
                <w:rFonts w:hint="eastAsia" w:cs="宋体" w:asciiTheme="minorEastAsia" w:hAnsiTheme="minorEastAsia"/>
                <w:color w:val="auto"/>
                <w:szCs w:val="21"/>
              </w:rPr>
            </w:pPr>
          </w:p>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物资部分</w:t>
            </w: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研究期间提供期间所用电脑、网络设备（如需要）</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研究期间提供离心机、冰箱（如需要）</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明确项目提供的物资需要返还</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其他（如传真机、耗材、通信费等）</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restart"/>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其他条款</w:t>
            </w: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尤其明确与研究相关损害赔偿</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明确税费</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951" w:type="dxa"/>
            <w:vMerge w:val="continue"/>
          </w:tcPr>
          <w:p>
            <w:pPr>
              <w:spacing w:line="360" w:lineRule="auto"/>
              <w:rPr>
                <w:rFonts w:cs="宋体" w:asciiTheme="minorEastAsia" w:hAnsiTheme="minorEastAsia"/>
                <w:color w:val="auto"/>
                <w:szCs w:val="21"/>
              </w:rPr>
            </w:pPr>
          </w:p>
        </w:tc>
        <w:tc>
          <w:tcPr>
            <w:tcW w:w="3827" w:type="dxa"/>
            <w:gridSpan w:val="2"/>
            <w:vAlign w:val="center"/>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明确付款进度</w:t>
            </w:r>
            <w:r>
              <w:rPr>
                <w:rFonts w:hint="eastAsia" w:ascii="黑体" w:hAnsi="黑体" w:eastAsia="黑体"/>
                <w:bCs/>
                <w:color w:val="auto"/>
                <w:sz w:val="24"/>
                <w:szCs w:val="24"/>
              </w:rPr>
              <w:t>——</w:t>
            </w:r>
            <w:r>
              <w:rPr>
                <w:rFonts w:hint="eastAsia" w:cs="宋体" w:asciiTheme="minorEastAsia" w:hAnsiTheme="minorEastAsia"/>
                <w:color w:val="auto"/>
                <w:szCs w:val="21"/>
              </w:rPr>
              <w:t>推荐按季支付</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jc w:val="left"/>
              <w:rPr>
                <w:rFonts w:cs="宋体" w:asciiTheme="minorEastAsia" w:hAnsiTheme="minorEastAsia"/>
                <w:color w:val="auto"/>
                <w:szCs w:val="21"/>
              </w:rPr>
            </w:pPr>
            <w:r>
              <w:rPr>
                <w:rFonts w:hint="eastAsia" w:cs="宋体" w:asciiTheme="minorEastAsia" w:hAnsiTheme="minorEastAsia"/>
                <w:color w:val="auto"/>
                <w:szCs w:val="21"/>
              </w:rPr>
              <w:t>特殊情况、协商解决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预付款合理</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PI确定能达合同规定入组例数</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vAlign w:val="bottom"/>
          </w:tcPr>
          <w:p>
            <w:pPr>
              <w:spacing w:line="360" w:lineRule="auto"/>
              <w:ind w:firstLine="105" w:firstLineChars="50"/>
              <w:rPr>
                <w:rFonts w:cs="宋体" w:asciiTheme="minorEastAsia" w:hAnsiTheme="minorEastAsia"/>
                <w:color w:val="auto"/>
                <w:szCs w:val="21"/>
              </w:rPr>
            </w:pPr>
            <w:r>
              <w:rPr>
                <w:rFonts w:hint="eastAsia" w:cs="宋体" w:asciiTheme="minorEastAsia" w:hAnsiTheme="minorEastAsia"/>
                <w:color w:val="auto"/>
                <w:szCs w:val="21"/>
              </w:rPr>
              <w:t>____例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其他</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restart"/>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一致性问题</w:t>
            </w: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知情同意书与合同条款一致</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合同与方案要求检查一致</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其他</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restart"/>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表述格式</w:t>
            </w: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附研究相关单项检查费价目表</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以表格形式列明主要费用</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Merge w:val="continue"/>
          </w:tcPr>
          <w:p>
            <w:pPr>
              <w:spacing w:line="360" w:lineRule="auto"/>
              <w:rPr>
                <w:rFonts w:cs="宋体" w:asciiTheme="minorEastAsia" w:hAnsiTheme="minorEastAsia"/>
                <w:color w:val="auto"/>
                <w:szCs w:val="21"/>
              </w:rPr>
            </w:pPr>
          </w:p>
        </w:tc>
        <w:tc>
          <w:tcPr>
            <w:tcW w:w="3827" w:type="dxa"/>
            <w:gridSpan w:val="2"/>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其他</w:t>
            </w: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567" w:type="dxa"/>
          </w:tcPr>
          <w:p>
            <w:pPr>
              <w:spacing w:line="360" w:lineRule="auto"/>
              <w:rPr>
                <w:rFonts w:cs="宋体" w:asciiTheme="minorEastAsia" w:hAnsiTheme="minorEastAsia"/>
                <w:color w:val="auto"/>
                <w:szCs w:val="21"/>
              </w:rPr>
            </w:pPr>
          </w:p>
        </w:tc>
        <w:tc>
          <w:tcPr>
            <w:tcW w:w="1050" w:type="dxa"/>
            <w:gridSpan w:val="2"/>
          </w:tcPr>
          <w:p>
            <w:pPr>
              <w:spacing w:line="360" w:lineRule="auto"/>
              <w:rPr>
                <w:rFonts w:cs="宋体" w:asciiTheme="minorEastAsia" w:hAnsiTheme="minorEastAsia"/>
                <w:color w:val="auto"/>
                <w:szCs w:val="21"/>
              </w:rPr>
            </w:pPr>
          </w:p>
        </w:tc>
      </w:tr>
    </w:tbl>
    <w:p>
      <w:pPr>
        <w:spacing w:line="360" w:lineRule="auto"/>
        <w:rPr>
          <w:rFonts w:ascii="宋体" w:hAnsi="宋体" w:eastAsia="宋体" w:cs="宋体"/>
          <w:color w:val="auto"/>
          <w:sz w:val="24"/>
          <w:szCs w:val="24"/>
        </w:rPr>
      </w:pPr>
    </w:p>
    <w:p>
      <w:pPr>
        <w:spacing w:line="360" w:lineRule="auto"/>
        <w:rPr>
          <w:rFonts w:ascii="宋体" w:hAnsi="宋体" w:eastAsia="宋体" w:cs="宋体"/>
          <w:color w:val="auto"/>
          <w:szCs w:val="21"/>
        </w:rPr>
      </w:pPr>
      <w:r>
        <w:rPr>
          <w:rFonts w:hint="eastAsia" w:ascii="宋体" w:hAnsi="宋体" w:eastAsia="宋体" w:cs="宋体"/>
          <w:color w:val="auto"/>
          <w:szCs w:val="21"/>
        </w:rPr>
        <w:t>审核人签名：                                              时间：</w:t>
      </w:r>
    </w:p>
    <w:p>
      <w:pPr>
        <w:spacing w:line="360" w:lineRule="auto"/>
        <w:rPr>
          <w:rFonts w:ascii="宋体" w:hAnsi="宋体" w:eastAsia="宋体" w:cs="宋体"/>
          <w:color w:val="auto"/>
          <w:szCs w:val="21"/>
        </w:rPr>
      </w:pPr>
    </w:p>
    <w:p>
      <w:pPr>
        <w:spacing w:line="360" w:lineRule="auto"/>
        <w:rPr>
          <w:rFonts w:ascii="宋体" w:hAnsi="宋体" w:eastAsia="宋体" w:cs="宋体"/>
          <w:color w:val="auto"/>
          <w:szCs w:val="21"/>
        </w:rPr>
      </w:pPr>
      <w:r>
        <w:rPr>
          <w:rFonts w:hint="eastAsia" w:ascii="宋体" w:hAnsi="宋体" w:eastAsia="宋体" w:cs="宋体"/>
          <w:color w:val="auto"/>
          <w:szCs w:val="21"/>
        </w:rPr>
        <w:t>是否需要退返重修后递经费小组：  □否     □是     原因：</w:t>
      </w:r>
    </w:p>
    <w:p>
      <w:pPr>
        <w:spacing w:line="360" w:lineRule="auto"/>
        <w:rPr>
          <w:rFonts w:ascii="宋体" w:hAnsi="宋体" w:eastAsia="宋体" w:cs="宋体"/>
          <w:color w:val="auto"/>
          <w:szCs w:val="21"/>
        </w:rPr>
      </w:pPr>
    </w:p>
    <w:p>
      <w:pPr>
        <w:spacing w:line="360" w:lineRule="auto"/>
        <w:rPr>
          <w:rFonts w:ascii="宋体" w:hAnsi="宋体" w:eastAsia="宋体" w:cs="宋体"/>
          <w:color w:val="auto"/>
          <w:szCs w:val="21"/>
        </w:rPr>
      </w:pPr>
      <w:r>
        <w:rPr>
          <w:rFonts w:hint="eastAsia" w:ascii="宋体" w:hAnsi="宋体" w:eastAsia="宋体" w:cs="宋体"/>
          <w:color w:val="auto"/>
          <w:szCs w:val="21"/>
        </w:rPr>
        <w:t>主要研究者签名：                                          时间：</w:t>
      </w:r>
    </w:p>
    <w:p>
      <w:pPr>
        <w:spacing w:line="360" w:lineRule="auto"/>
        <w:rPr>
          <w:rFonts w:ascii="宋体" w:hAnsi="宋体" w:eastAsia="宋体" w:cs="宋体"/>
          <w:color w:val="auto"/>
          <w:szCs w:val="21"/>
        </w:rPr>
      </w:pPr>
    </w:p>
    <w:p>
      <w:pPr>
        <w:spacing w:line="360" w:lineRule="auto"/>
        <w:rPr>
          <w:rFonts w:ascii="宋体" w:hAnsi="宋体" w:eastAsia="宋体" w:cs="宋体"/>
          <w:color w:val="auto"/>
          <w:szCs w:val="21"/>
        </w:rPr>
      </w:pPr>
      <w:r>
        <w:rPr>
          <w:rFonts w:hint="eastAsia" w:ascii="宋体" w:hAnsi="宋体" w:eastAsia="宋体" w:cs="宋体"/>
          <w:color w:val="auto"/>
          <w:szCs w:val="21"/>
        </w:rPr>
        <w:t>更新后合同/协议版本号：                                   时间：</w:t>
      </w:r>
    </w:p>
    <w:p>
      <w:pPr>
        <w:spacing w:line="360" w:lineRule="auto"/>
        <w:rPr>
          <w:rFonts w:hint="eastAsia" w:ascii="宋体" w:hAnsi="宋体" w:eastAsia="宋体" w:cs="宋体"/>
          <w:color w:val="auto"/>
          <w:szCs w:val="21"/>
        </w:rPr>
      </w:pPr>
      <w:r>
        <w:rPr>
          <w:rFonts w:hint="eastAsia" w:ascii="宋体" w:hAnsi="宋体" w:eastAsia="宋体" w:cs="宋体"/>
          <w:color w:val="auto"/>
          <w:szCs w:val="21"/>
        </w:rPr>
        <w:t>审核人确认：                                              时间：</w:t>
      </w:r>
    </w:p>
    <w:p>
      <w:pPr>
        <w:spacing w:line="360" w:lineRule="auto"/>
        <w:rPr>
          <w:rFonts w:hint="eastAsia" w:ascii="黑体" w:hAnsi="黑体" w:eastAsia="黑体" w:cs="黑体"/>
          <w:bCs/>
          <w:color w:val="auto"/>
          <w:sz w:val="24"/>
          <w:szCs w:val="24"/>
        </w:rPr>
      </w:pPr>
    </w:p>
    <w:p>
      <w:pPr>
        <w:spacing w:line="360" w:lineRule="auto"/>
        <w:rPr>
          <w:rFonts w:ascii="黑体" w:hAnsi="黑体" w:eastAsia="黑体" w:cs="黑体"/>
          <w:bCs/>
          <w:color w:val="auto"/>
          <w:sz w:val="24"/>
          <w:szCs w:val="24"/>
        </w:rPr>
      </w:pPr>
      <w:r>
        <w:rPr>
          <w:rFonts w:hint="eastAsia" w:ascii="黑体" w:hAnsi="黑体" w:eastAsia="黑体" w:cs="黑体"/>
          <w:bCs/>
          <w:color w:val="auto"/>
          <w:sz w:val="24"/>
          <w:szCs w:val="24"/>
        </w:rPr>
        <w:t>附件4  CRC服务合同审核要点</w:t>
      </w:r>
    </w:p>
    <w:p>
      <w:pPr>
        <w:spacing w:line="360" w:lineRule="auto"/>
        <w:ind w:firstLine="2625" w:firstLineChars="1250"/>
        <w:rPr>
          <w:rFonts w:ascii="宋体" w:hAnsi="宋体" w:eastAsia="宋体" w:cs="宋体"/>
          <w:color w:val="auto"/>
          <w:szCs w:val="21"/>
        </w:rPr>
      </w:pPr>
      <w:r>
        <w:rPr>
          <w:rFonts w:hint="eastAsia" w:ascii="黑体" w:hAnsi="黑体" w:eastAsia="黑体" w:cs="黑体"/>
          <w:color w:val="auto"/>
          <w:szCs w:val="21"/>
        </w:rPr>
        <w:t xml:space="preserve"> </w:t>
      </w:r>
      <w:r>
        <w:rPr>
          <w:rFonts w:hint="eastAsia" w:ascii="宋体" w:hAnsi="宋体" w:eastAsia="宋体" w:cs="宋体"/>
          <w:color w:val="auto"/>
          <w:szCs w:val="21"/>
        </w:rPr>
        <w:t>CRC服务合同审核要点</w:t>
      </w:r>
    </w:p>
    <w:p>
      <w:pPr>
        <w:numPr>
          <w:ilvl w:val="0"/>
          <w:numId w:val="45"/>
        </w:numPr>
        <w:spacing w:line="360" w:lineRule="auto"/>
        <w:ind w:left="502" w:hanging="360"/>
        <w:rPr>
          <w:rFonts w:ascii="宋体" w:hAnsi="宋体" w:eastAsia="宋体" w:cs="宋体"/>
          <w:color w:val="auto"/>
          <w:szCs w:val="21"/>
        </w:rPr>
      </w:pPr>
      <w:r>
        <w:rPr>
          <w:rFonts w:hint="eastAsia" w:ascii="宋体" w:hAnsi="宋体" w:eastAsia="宋体" w:cs="宋体"/>
          <w:color w:val="auto"/>
          <w:szCs w:val="21"/>
        </w:rPr>
        <w:t>本项目与申办方的主合同至少已经签署或者同事签署。</w:t>
      </w:r>
    </w:p>
    <w:p>
      <w:pPr>
        <w:numPr>
          <w:ilvl w:val="0"/>
          <w:numId w:val="45"/>
        </w:numPr>
        <w:spacing w:line="360" w:lineRule="auto"/>
        <w:ind w:left="502" w:hanging="360"/>
        <w:rPr>
          <w:rFonts w:ascii="宋体" w:hAnsi="宋体" w:eastAsia="宋体" w:cs="宋体"/>
          <w:color w:val="auto"/>
          <w:sz w:val="24"/>
          <w:szCs w:val="24"/>
        </w:rPr>
      </w:pPr>
      <w:r>
        <w:rPr>
          <w:rFonts w:hint="eastAsia" w:ascii="宋体" w:hAnsi="宋体" w:eastAsia="宋体" w:cs="宋体"/>
          <w:color w:val="auto"/>
          <w:szCs w:val="21"/>
        </w:rPr>
        <w:t>SMO与PI签署的服务合同和申办方与PI签署的协调费用合同应该同时审核。</w:t>
      </w:r>
    </w:p>
    <w:tbl>
      <w:tblPr>
        <w:tblStyle w:val="28"/>
        <w:tblW w:w="85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4342"/>
        <w:gridCol w:w="668"/>
        <w:gridCol w:w="336"/>
        <w:gridCol w:w="332"/>
        <w:gridCol w:w="9"/>
        <w:gridCol w:w="1010"/>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项目名称/方案号</w:t>
            </w:r>
          </w:p>
        </w:tc>
        <w:tc>
          <w:tcPr>
            <w:tcW w:w="6697" w:type="dxa"/>
            <w:gridSpan w:val="6"/>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主要研究者</w:t>
            </w:r>
          </w:p>
        </w:tc>
        <w:tc>
          <w:tcPr>
            <w:tcW w:w="6697" w:type="dxa"/>
            <w:gridSpan w:val="6"/>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项目</w:t>
            </w:r>
          </w:p>
        </w:tc>
        <w:tc>
          <w:tcPr>
            <w:tcW w:w="4342"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要点描述</w:t>
            </w:r>
          </w:p>
        </w:tc>
        <w:tc>
          <w:tcPr>
            <w:tcW w:w="668"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是</w:t>
            </w:r>
          </w:p>
        </w:tc>
        <w:tc>
          <w:tcPr>
            <w:tcW w:w="668" w:type="dxa"/>
            <w:gridSpan w:val="2"/>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否</w:t>
            </w:r>
          </w:p>
        </w:tc>
        <w:tc>
          <w:tcPr>
            <w:tcW w:w="1019" w:type="dxa"/>
            <w:gridSpan w:val="2"/>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1825" w:type="dxa"/>
            <w:vAlign w:val="center"/>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CRC雇佣条款</w:t>
            </w:r>
          </w:p>
        </w:tc>
        <w:tc>
          <w:tcPr>
            <w:tcW w:w="4342" w:type="dxa"/>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合同中明确CRC为乙方正式雇员</w:t>
            </w:r>
          </w:p>
        </w:tc>
        <w:tc>
          <w:tcPr>
            <w:tcW w:w="668" w:type="dxa"/>
          </w:tcPr>
          <w:p>
            <w:pPr>
              <w:spacing w:line="360" w:lineRule="auto"/>
              <w:rPr>
                <w:rFonts w:cs="宋体" w:asciiTheme="minorEastAsia" w:hAnsiTheme="minorEastAsia"/>
                <w:color w:val="auto"/>
                <w:szCs w:val="21"/>
              </w:rPr>
            </w:pPr>
          </w:p>
        </w:tc>
        <w:tc>
          <w:tcPr>
            <w:tcW w:w="668" w:type="dxa"/>
            <w:gridSpan w:val="2"/>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67" w:hRule="atLeast"/>
        </w:trPr>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CRC职责限定条款</w:t>
            </w:r>
          </w:p>
        </w:tc>
        <w:tc>
          <w:tcPr>
            <w:tcW w:w="4342" w:type="dxa"/>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合同中明确不能独自直接联系受试者</w:t>
            </w:r>
          </w:p>
        </w:tc>
        <w:tc>
          <w:tcPr>
            <w:tcW w:w="668" w:type="dxa"/>
          </w:tcPr>
          <w:p>
            <w:pPr>
              <w:spacing w:line="360" w:lineRule="auto"/>
              <w:rPr>
                <w:rFonts w:cs="宋体" w:asciiTheme="minorEastAsia" w:hAnsiTheme="minorEastAsia"/>
                <w:color w:val="auto"/>
                <w:szCs w:val="21"/>
              </w:rPr>
            </w:pPr>
          </w:p>
        </w:tc>
        <w:tc>
          <w:tcPr>
            <w:tcW w:w="668" w:type="dxa"/>
            <w:gridSpan w:val="2"/>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17" w:hRule="atLeast"/>
        </w:trPr>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CRC填写规定条款</w:t>
            </w:r>
          </w:p>
        </w:tc>
        <w:tc>
          <w:tcPr>
            <w:tcW w:w="4342" w:type="dxa"/>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明确CRF填写时间/或遵SOP</w:t>
            </w:r>
          </w:p>
        </w:tc>
        <w:tc>
          <w:tcPr>
            <w:tcW w:w="668" w:type="dxa"/>
          </w:tcPr>
          <w:p>
            <w:pPr>
              <w:spacing w:line="360" w:lineRule="auto"/>
              <w:rPr>
                <w:rFonts w:cs="宋体" w:asciiTheme="minorEastAsia" w:hAnsiTheme="minorEastAsia"/>
                <w:color w:val="auto"/>
                <w:szCs w:val="21"/>
              </w:rPr>
            </w:pPr>
          </w:p>
        </w:tc>
        <w:tc>
          <w:tcPr>
            <w:tcW w:w="668" w:type="dxa"/>
            <w:gridSpan w:val="2"/>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452" w:hRule="atLeast"/>
        </w:trPr>
        <w:tc>
          <w:tcPr>
            <w:tcW w:w="1825" w:type="dxa"/>
            <w:vAlign w:val="center"/>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CRC更定条款</w:t>
            </w:r>
          </w:p>
        </w:tc>
        <w:tc>
          <w:tcPr>
            <w:tcW w:w="4342" w:type="dxa"/>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明确更换CRC需提前通知本中心</w:t>
            </w:r>
          </w:p>
        </w:tc>
        <w:tc>
          <w:tcPr>
            <w:tcW w:w="668" w:type="dxa"/>
          </w:tcPr>
          <w:p>
            <w:pPr>
              <w:spacing w:line="360" w:lineRule="auto"/>
              <w:rPr>
                <w:rFonts w:cs="宋体" w:asciiTheme="minorEastAsia" w:hAnsiTheme="minorEastAsia"/>
                <w:color w:val="auto"/>
                <w:szCs w:val="21"/>
              </w:rPr>
            </w:pPr>
          </w:p>
        </w:tc>
        <w:tc>
          <w:tcPr>
            <w:tcW w:w="668" w:type="dxa"/>
            <w:gridSpan w:val="2"/>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保密条款</w:t>
            </w:r>
          </w:p>
          <w:p>
            <w:pPr>
              <w:spacing w:line="360" w:lineRule="auto"/>
              <w:jc w:val="center"/>
              <w:rPr>
                <w:rFonts w:cs="宋体" w:asciiTheme="minorEastAsia" w:hAnsiTheme="minorEastAsia"/>
                <w:color w:val="auto"/>
                <w:szCs w:val="21"/>
              </w:rPr>
            </w:pPr>
          </w:p>
        </w:tc>
        <w:tc>
          <w:tcPr>
            <w:tcW w:w="4342" w:type="dxa"/>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明确SMO及其相关职员遵循医院及申办方的保密规定</w:t>
            </w:r>
          </w:p>
        </w:tc>
        <w:tc>
          <w:tcPr>
            <w:tcW w:w="668" w:type="dxa"/>
          </w:tcPr>
          <w:p>
            <w:pPr>
              <w:spacing w:line="360" w:lineRule="auto"/>
              <w:rPr>
                <w:rFonts w:cs="宋体" w:asciiTheme="minorEastAsia" w:hAnsiTheme="minorEastAsia"/>
                <w:color w:val="auto"/>
                <w:szCs w:val="21"/>
              </w:rPr>
            </w:pPr>
          </w:p>
        </w:tc>
        <w:tc>
          <w:tcPr>
            <w:tcW w:w="677" w:type="dxa"/>
            <w:gridSpan w:val="3"/>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利益声明条款</w:t>
            </w:r>
          </w:p>
        </w:tc>
        <w:tc>
          <w:tcPr>
            <w:tcW w:w="4342" w:type="dxa"/>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承诺乙方（SMO）与申办方无相关利益冲突</w:t>
            </w:r>
          </w:p>
        </w:tc>
        <w:tc>
          <w:tcPr>
            <w:tcW w:w="668" w:type="dxa"/>
          </w:tcPr>
          <w:p>
            <w:pPr>
              <w:spacing w:line="360" w:lineRule="auto"/>
              <w:rPr>
                <w:rFonts w:cs="宋体" w:asciiTheme="minorEastAsia" w:hAnsiTheme="minorEastAsia"/>
                <w:color w:val="auto"/>
                <w:szCs w:val="21"/>
              </w:rPr>
            </w:pPr>
          </w:p>
        </w:tc>
        <w:tc>
          <w:tcPr>
            <w:tcW w:w="677" w:type="dxa"/>
            <w:gridSpan w:val="3"/>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评价条款</w:t>
            </w:r>
          </w:p>
        </w:tc>
        <w:tc>
          <w:tcPr>
            <w:tcW w:w="4342" w:type="dxa"/>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明确乙方限时更换CRC或甲方提出违约赔偿</w:t>
            </w:r>
          </w:p>
        </w:tc>
        <w:tc>
          <w:tcPr>
            <w:tcW w:w="668" w:type="dxa"/>
          </w:tcPr>
          <w:p>
            <w:pPr>
              <w:spacing w:line="360" w:lineRule="auto"/>
              <w:rPr>
                <w:rFonts w:cs="宋体" w:asciiTheme="minorEastAsia" w:hAnsiTheme="minorEastAsia"/>
                <w:color w:val="auto"/>
                <w:szCs w:val="21"/>
              </w:rPr>
            </w:pPr>
          </w:p>
        </w:tc>
        <w:tc>
          <w:tcPr>
            <w:tcW w:w="677" w:type="dxa"/>
            <w:gridSpan w:val="3"/>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工作时间</w:t>
            </w:r>
          </w:p>
        </w:tc>
        <w:tc>
          <w:tcPr>
            <w:tcW w:w="4342" w:type="dxa"/>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明确推荐按访视/工作量付费</w:t>
            </w:r>
          </w:p>
        </w:tc>
        <w:tc>
          <w:tcPr>
            <w:tcW w:w="668" w:type="dxa"/>
          </w:tcPr>
          <w:p>
            <w:pPr>
              <w:spacing w:line="360" w:lineRule="auto"/>
              <w:rPr>
                <w:rFonts w:cs="宋体" w:asciiTheme="minorEastAsia" w:hAnsiTheme="minorEastAsia"/>
                <w:color w:val="auto"/>
                <w:szCs w:val="21"/>
              </w:rPr>
            </w:pPr>
          </w:p>
        </w:tc>
        <w:tc>
          <w:tcPr>
            <w:tcW w:w="677" w:type="dxa"/>
            <w:gridSpan w:val="3"/>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费用结算</w:t>
            </w:r>
          </w:p>
        </w:tc>
        <w:tc>
          <w:tcPr>
            <w:tcW w:w="4342" w:type="dxa"/>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与申办方支付费用基本一致</w:t>
            </w:r>
          </w:p>
        </w:tc>
        <w:tc>
          <w:tcPr>
            <w:tcW w:w="668" w:type="dxa"/>
          </w:tcPr>
          <w:p>
            <w:pPr>
              <w:spacing w:line="360" w:lineRule="auto"/>
              <w:rPr>
                <w:rFonts w:cs="宋体" w:asciiTheme="minorEastAsia" w:hAnsiTheme="minorEastAsia"/>
                <w:color w:val="auto"/>
                <w:szCs w:val="21"/>
              </w:rPr>
            </w:pPr>
          </w:p>
        </w:tc>
        <w:tc>
          <w:tcPr>
            <w:tcW w:w="677" w:type="dxa"/>
            <w:gridSpan w:val="3"/>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管理费及税费条款</w:t>
            </w:r>
          </w:p>
        </w:tc>
        <w:tc>
          <w:tcPr>
            <w:tcW w:w="4342" w:type="dxa"/>
            <w:vAlign w:val="center"/>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明确6%税费、5%管理费，计算公式见表最下栏</w:t>
            </w:r>
          </w:p>
        </w:tc>
        <w:tc>
          <w:tcPr>
            <w:tcW w:w="668" w:type="dxa"/>
          </w:tcPr>
          <w:p>
            <w:pPr>
              <w:spacing w:line="360" w:lineRule="auto"/>
              <w:rPr>
                <w:rFonts w:cs="宋体" w:asciiTheme="minorEastAsia" w:hAnsiTheme="minorEastAsia"/>
                <w:color w:val="auto"/>
                <w:szCs w:val="21"/>
              </w:rPr>
            </w:pPr>
          </w:p>
        </w:tc>
        <w:tc>
          <w:tcPr>
            <w:tcW w:w="677" w:type="dxa"/>
            <w:gridSpan w:val="3"/>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相应访视研究者费与协调费比例是否合适</w:t>
            </w:r>
          </w:p>
        </w:tc>
        <w:tc>
          <w:tcPr>
            <w:tcW w:w="4342" w:type="dxa"/>
            <w:vAlign w:val="center"/>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相应的研究者与协调员费用应该有合理的比例</w:t>
            </w:r>
          </w:p>
        </w:tc>
        <w:tc>
          <w:tcPr>
            <w:tcW w:w="668" w:type="dxa"/>
          </w:tcPr>
          <w:p>
            <w:pPr>
              <w:spacing w:line="360" w:lineRule="auto"/>
              <w:rPr>
                <w:rFonts w:cs="宋体" w:asciiTheme="minorEastAsia" w:hAnsiTheme="minorEastAsia"/>
                <w:color w:val="auto"/>
                <w:szCs w:val="21"/>
              </w:rPr>
            </w:pPr>
          </w:p>
        </w:tc>
        <w:tc>
          <w:tcPr>
            <w:tcW w:w="677" w:type="dxa"/>
            <w:gridSpan w:val="3"/>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发票</w:t>
            </w:r>
          </w:p>
        </w:tc>
        <w:tc>
          <w:tcPr>
            <w:tcW w:w="4342" w:type="dxa"/>
            <w:vAlign w:val="center"/>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明确20个工作日出具发票</w:t>
            </w:r>
          </w:p>
        </w:tc>
        <w:tc>
          <w:tcPr>
            <w:tcW w:w="668" w:type="dxa"/>
          </w:tcPr>
          <w:p>
            <w:pPr>
              <w:spacing w:line="360" w:lineRule="auto"/>
              <w:rPr>
                <w:rFonts w:cs="宋体" w:asciiTheme="minorEastAsia" w:hAnsiTheme="minorEastAsia"/>
                <w:color w:val="auto"/>
                <w:szCs w:val="21"/>
              </w:rPr>
            </w:pPr>
          </w:p>
        </w:tc>
        <w:tc>
          <w:tcPr>
            <w:tcW w:w="677" w:type="dxa"/>
            <w:gridSpan w:val="3"/>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vMerge w:val="restart"/>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付款进度</w:t>
            </w:r>
          </w:p>
        </w:tc>
        <w:tc>
          <w:tcPr>
            <w:tcW w:w="4342" w:type="dxa"/>
            <w:vMerge w:val="restart"/>
            <w:vAlign w:val="center"/>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明确申办方支付协调费用后，医院予以支付协调费用</w:t>
            </w:r>
          </w:p>
        </w:tc>
        <w:tc>
          <w:tcPr>
            <w:tcW w:w="668" w:type="dxa"/>
          </w:tcPr>
          <w:p>
            <w:pPr>
              <w:spacing w:line="360" w:lineRule="auto"/>
              <w:rPr>
                <w:rFonts w:cs="宋体" w:asciiTheme="minorEastAsia" w:hAnsiTheme="minorEastAsia"/>
                <w:color w:val="auto"/>
                <w:szCs w:val="21"/>
              </w:rPr>
            </w:pPr>
          </w:p>
        </w:tc>
        <w:tc>
          <w:tcPr>
            <w:tcW w:w="336" w:type="dxa"/>
            <w:tcBorders>
              <w:right w:val="nil"/>
            </w:tcBorders>
          </w:tcPr>
          <w:p>
            <w:pPr>
              <w:spacing w:line="360" w:lineRule="auto"/>
              <w:rPr>
                <w:rFonts w:cs="宋体" w:asciiTheme="minorEastAsia" w:hAnsiTheme="minorEastAsia"/>
                <w:color w:val="auto"/>
                <w:szCs w:val="21"/>
              </w:rPr>
            </w:pPr>
          </w:p>
        </w:tc>
        <w:tc>
          <w:tcPr>
            <w:tcW w:w="341" w:type="dxa"/>
            <w:gridSpan w:val="2"/>
            <w:tcBorders>
              <w:left w:val="nil"/>
            </w:tcBorders>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vMerge w:val="continue"/>
            <w:vAlign w:val="center"/>
          </w:tcPr>
          <w:p>
            <w:pPr>
              <w:spacing w:line="360" w:lineRule="auto"/>
              <w:jc w:val="center"/>
              <w:rPr>
                <w:rFonts w:cs="宋体" w:asciiTheme="minorEastAsia" w:hAnsiTheme="minorEastAsia"/>
                <w:color w:val="auto"/>
                <w:szCs w:val="21"/>
              </w:rPr>
            </w:pPr>
          </w:p>
        </w:tc>
        <w:tc>
          <w:tcPr>
            <w:tcW w:w="4342" w:type="dxa"/>
            <w:vMerge w:val="continue"/>
            <w:vAlign w:val="center"/>
          </w:tcPr>
          <w:p>
            <w:pPr>
              <w:spacing w:line="360" w:lineRule="auto"/>
              <w:rPr>
                <w:rFonts w:cs="宋体" w:asciiTheme="minorEastAsia" w:hAnsiTheme="minorEastAsia"/>
                <w:color w:val="auto"/>
                <w:szCs w:val="21"/>
              </w:rPr>
            </w:pPr>
          </w:p>
        </w:tc>
        <w:tc>
          <w:tcPr>
            <w:tcW w:w="668" w:type="dxa"/>
          </w:tcPr>
          <w:p>
            <w:pPr>
              <w:spacing w:line="360" w:lineRule="auto"/>
              <w:rPr>
                <w:rFonts w:cs="宋体" w:asciiTheme="minorEastAsia" w:hAnsiTheme="minorEastAsia"/>
                <w:color w:val="auto"/>
                <w:szCs w:val="21"/>
              </w:rPr>
            </w:pPr>
          </w:p>
        </w:tc>
        <w:tc>
          <w:tcPr>
            <w:tcW w:w="336" w:type="dxa"/>
            <w:tcBorders>
              <w:right w:val="nil"/>
            </w:tcBorders>
          </w:tcPr>
          <w:p>
            <w:pPr>
              <w:spacing w:line="360" w:lineRule="auto"/>
              <w:rPr>
                <w:rFonts w:cs="宋体" w:asciiTheme="minorEastAsia" w:hAnsiTheme="minorEastAsia"/>
                <w:color w:val="auto"/>
                <w:szCs w:val="21"/>
              </w:rPr>
            </w:pPr>
          </w:p>
        </w:tc>
        <w:tc>
          <w:tcPr>
            <w:tcW w:w="341" w:type="dxa"/>
            <w:gridSpan w:val="2"/>
            <w:tcBorders>
              <w:left w:val="nil"/>
            </w:tcBorders>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其他</w:t>
            </w:r>
          </w:p>
        </w:tc>
        <w:tc>
          <w:tcPr>
            <w:tcW w:w="4342" w:type="dxa"/>
            <w:vAlign w:val="center"/>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如页码等</w:t>
            </w:r>
          </w:p>
        </w:tc>
        <w:tc>
          <w:tcPr>
            <w:tcW w:w="668" w:type="dxa"/>
          </w:tcPr>
          <w:p>
            <w:pPr>
              <w:spacing w:line="360" w:lineRule="auto"/>
              <w:rPr>
                <w:rFonts w:cs="宋体" w:asciiTheme="minorEastAsia" w:hAnsiTheme="minorEastAsia"/>
                <w:color w:val="auto"/>
                <w:szCs w:val="21"/>
              </w:rPr>
            </w:pPr>
          </w:p>
        </w:tc>
        <w:tc>
          <w:tcPr>
            <w:tcW w:w="677" w:type="dxa"/>
            <w:gridSpan w:val="3"/>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SMO公司</w:t>
            </w:r>
          </w:p>
        </w:tc>
        <w:tc>
          <w:tcPr>
            <w:tcW w:w="4342" w:type="dxa"/>
            <w:vAlign w:val="center"/>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该公司与本院已合作过</w:t>
            </w:r>
          </w:p>
        </w:tc>
        <w:tc>
          <w:tcPr>
            <w:tcW w:w="668" w:type="dxa"/>
          </w:tcPr>
          <w:p>
            <w:pPr>
              <w:spacing w:line="360" w:lineRule="auto"/>
              <w:rPr>
                <w:rFonts w:cs="宋体" w:asciiTheme="minorEastAsia" w:hAnsiTheme="minorEastAsia"/>
                <w:color w:val="auto"/>
                <w:szCs w:val="21"/>
              </w:rPr>
            </w:pPr>
          </w:p>
        </w:tc>
        <w:tc>
          <w:tcPr>
            <w:tcW w:w="677" w:type="dxa"/>
            <w:gridSpan w:val="3"/>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是否已提交公司简介</w:t>
            </w:r>
          </w:p>
        </w:tc>
        <w:tc>
          <w:tcPr>
            <w:tcW w:w="4342" w:type="dxa"/>
            <w:vAlign w:val="center"/>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如已合作，公司简介在机构存档</w:t>
            </w:r>
          </w:p>
        </w:tc>
        <w:tc>
          <w:tcPr>
            <w:tcW w:w="668" w:type="dxa"/>
          </w:tcPr>
          <w:p>
            <w:pPr>
              <w:spacing w:line="360" w:lineRule="auto"/>
              <w:rPr>
                <w:rFonts w:cs="宋体" w:asciiTheme="minorEastAsia" w:hAnsiTheme="minorEastAsia"/>
                <w:color w:val="auto"/>
                <w:szCs w:val="21"/>
              </w:rPr>
            </w:pPr>
          </w:p>
        </w:tc>
        <w:tc>
          <w:tcPr>
            <w:tcW w:w="677" w:type="dxa"/>
            <w:gridSpan w:val="3"/>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上级主管联系方式</w:t>
            </w:r>
          </w:p>
        </w:tc>
        <w:tc>
          <w:tcPr>
            <w:tcW w:w="4342" w:type="dxa"/>
            <w:vAlign w:val="center"/>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该公司在本院有责任联系人：</w:t>
            </w:r>
          </w:p>
        </w:tc>
        <w:tc>
          <w:tcPr>
            <w:tcW w:w="668" w:type="dxa"/>
          </w:tcPr>
          <w:p>
            <w:pPr>
              <w:spacing w:line="360" w:lineRule="auto"/>
              <w:rPr>
                <w:rFonts w:cs="宋体" w:asciiTheme="minorEastAsia" w:hAnsiTheme="minorEastAsia"/>
                <w:color w:val="auto"/>
                <w:szCs w:val="21"/>
              </w:rPr>
            </w:pPr>
          </w:p>
        </w:tc>
        <w:tc>
          <w:tcPr>
            <w:tcW w:w="677" w:type="dxa"/>
            <w:gridSpan w:val="3"/>
          </w:tcPr>
          <w:p>
            <w:pPr>
              <w:spacing w:line="360" w:lineRule="auto"/>
              <w:rPr>
                <w:rFonts w:cs="宋体" w:asciiTheme="minorEastAsia" w:hAnsiTheme="minorEastAsia"/>
                <w:color w:val="auto"/>
                <w:szCs w:val="21"/>
              </w:rPr>
            </w:pPr>
          </w:p>
        </w:tc>
        <w:tc>
          <w:tcPr>
            <w:tcW w:w="1019" w:type="dxa"/>
            <w:gridSpan w:val="2"/>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8531" w:type="dxa"/>
            <w:gridSpan w:val="8"/>
            <w:vAlign w:val="center"/>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附计费方式：1.应支付给CRC的费用/（1-5%）=实收金额。</w:t>
            </w:r>
          </w:p>
          <w:p>
            <w:pPr>
              <w:spacing w:line="360" w:lineRule="auto"/>
              <w:ind w:firstLine="1260" w:firstLineChars="600"/>
              <w:rPr>
                <w:rFonts w:cs="宋体" w:asciiTheme="minorEastAsia" w:hAnsiTheme="minorEastAsia"/>
                <w:color w:val="auto"/>
                <w:szCs w:val="21"/>
              </w:rPr>
            </w:pPr>
            <w:r>
              <w:rPr>
                <w:rFonts w:hint="eastAsia" w:cs="宋体" w:asciiTheme="minorEastAsia" w:hAnsiTheme="minorEastAsia"/>
                <w:color w:val="auto"/>
                <w:szCs w:val="21"/>
              </w:rPr>
              <w:t>2.实收金额/（1-6%）=申办者应支付的金额。</w:t>
            </w:r>
          </w:p>
        </w:tc>
      </w:tr>
    </w:tbl>
    <w:p>
      <w:pPr>
        <w:spacing w:line="360" w:lineRule="auto"/>
        <w:rPr>
          <w:rFonts w:ascii="宋体" w:hAnsi="宋体" w:eastAsia="宋体" w:cs="宋体"/>
          <w:color w:val="auto"/>
          <w:szCs w:val="21"/>
        </w:rPr>
      </w:pPr>
      <w:r>
        <w:rPr>
          <w:rFonts w:hint="eastAsia" w:ascii="宋体" w:hAnsi="宋体" w:eastAsia="宋体" w:cs="宋体"/>
          <w:color w:val="auto"/>
          <w:szCs w:val="21"/>
        </w:rPr>
        <w:t>是否需要退还重修：□否     □是     原因：</w:t>
      </w:r>
    </w:p>
    <w:p>
      <w:pPr>
        <w:spacing w:line="360" w:lineRule="auto"/>
        <w:rPr>
          <w:rFonts w:ascii="宋体" w:hAnsi="宋体" w:eastAsia="宋体" w:cs="宋体"/>
          <w:color w:val="auto"/>
          <w:szCs w:val="21"/>
        </w:rPr>
      </w:pPr>
    </w:p>
    <w:p>
      <w:pPr>
        <w:spacing w:line="360" w:lineRule="auto"/>
        <w:rPr>
          <w:rFonts w:ascii="宋体" w:hAnsi="宋体" w:eastAsia="宋体" w:cs="宋体"/>
          <w:color w:val="auto"/>
          <w:szCs w:val="21"/>
        </w:rPr>
      </w:pPr>
      <w:r>
        <w:rPr>
          <w:rFonts w:hint="eastAsia" w:ascii="宋体" w:hAnsi="宋体" w:eastAsia="宋体" w:cs="宋体"/>
          <w:color w:val="auto"/>
          <w:szCs w:val="21"/>
        </w:rPr>
        <w:t>审核人签名：                                            时间：</w:t>
      </w:r>
    </w:p>
    <w:p>
      <w:pPr>
        <w:spacing w:line="360" w:lineRule="auto"/>
        <w:rPr>
          <w:rFonts w:ascii="宋体" w:hAnsi="宋体" w:eastAsia="宋体" w:cs="宋体"/>
          <w:color w:val="auto"/>
          <w:szCs w:val="21"/>
        </w:rPr>
      </w:pPr>
    </w:p>
    <w:p>
      <w:pPr>
        <w:spacing w:line="360" w:lineRule="auto"/>
        <w:rPr>
          <w:color w:val="auto"/>
          <w:szCs w:val="21"/>
        </w:rPr>
      </w:pPr>
      <w:r>
        <w:rPr>
          <w:rFonts w:hint="eastAsia" w:ascii="宋体" w:hAnsi="宋体" w:eastAsia="宋体" w:cs="宋体"/>
          <w:color w:val="auto"/>
          <w:szCs w:val="21"/>
        </w:rPr>
        <w:t>主要研究者签名：</w:t>
      </w:r>
      <w:r>
        <w:rPr>
          <w:rFonts w:hint="eastAsia" w:ascii="宋体" w:hAnsi="宋体" w:cs="宋体"/>
          <w:color w:val="auto"/>
          <w:szCs w:val="21"/>
        </w:rPr>
        <w:t xml:space="preserve">                                        </w:t>
      </w:r>
      <w:r>
        <w:rPr>
          <w:rFonts w:hint="eastAsia" w:ascii="宋体" w:hAnsi="宋体" w:eastAsia="宋体" w:cs="宋体"/>
          <w:color w:val="auto"/>
          <w:szCs w:val="21"/>
        </w:rPr>
        <w:t>时间：</w:t>
      </w:r>
    </w:p>
    <w:p>
      <w:pPr>
        <w:spacing w:line="360" w:lineRule="auto"/>
        <w:rPr>
          <w:rFonts w:cs="黑体" w:asciiTheme="minorEastAsia" w:hAnsiTheme="minorEastAsia"/>
          <w:b/>
          <w:color w:val="auto"/>
          <w:szCs w:val="21"/>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cs="黑体" w:asciiTheme="minorEastAsia" w:hAnsiTheme="minorEastAsia"/>
          <w:b/>
          <w:color w:val="auto"/>
          <w:sz w:val="24"/>
          <w:szCs w:val="24"/>
        </w:rPr>
      </w:pPr>
    </w:p>
    <w:p>
      <w:pPr>
        <w:spacing w:line="360" w:lineRule="auto"/>
        <w:rPr>
          <w:rFonts w:hint="eastAsia" w:ascii="黑体" w:hAnsi="黑体" w:eastAsia="黑体" w:cs="黑体"/>
          <w:bCs/>
          <w:color w:val="auto"/>
          <w:sz w:val="24"/>
          <w:szCs w:val="24"/>
        </w:rPr>
      </w:pPr>
    </w:p>
    <w:p>
      <w:pPr>
        <w:spacing w:line="360" w:lineRule="auto"/>
        <w:rPr>
          <w:rFonts w:cs="黑体" w:asciiTheme="minorEastAsia" w:hAnsiTheme="minorEastAsia"/>
          <w:color w:val="auto"/>
          <w:szCs w:val="21"/>
        </w:rPr>
      </w:pPr>
      <w:r>
        <w:rPr>
          <w:rFonts w:hint="eastAsia" w:ascii="黑体" w:hAnsi="黑体" w:eastAsia="黑体" w:cs="黑体"/>
          <w:bCs/>
          <w:color w:val="auto"/>
          <w:sz w:val="24"/>
          <w:szCs w:val="24"/>
        </w:rPr>
        <w:t>附件5   各项检查费用明细模板（仅供参考）</w:t>
      </w:r>
    </w:p>
    <w:tbl>
      <w:tblPr>
        <w:tblStyle w:val="28"/>
        <w:tblW w:w="8502" w:type="dxa"/>
        <w:tblInd w:w="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424"/>
        <w:gridCol w:w="1424"/>
        <w:gridCol w:w="1426"/>
        <w:gridCol w:w="1425"/>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4" w:hRule="atLeast"/>
        </w:trPr>
        <w:tc>
          <w:tcPr>
            <w:tcW w:w="159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检查项目</w:t>
            </w:r>
          </w:p>
        </w:tc>
        <w:tc>
          <w:tcPr>
            <w:tcW w:w="4274" w:type="dxa"/>
            <w:gridSpan w:val="3"/>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检查及报告要求</w:t>
            </w:r>
          </w:p>
        </w:tc>
        <w:tc>
          <w:tcPr>
            <w:tcW w:w="14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单位</w:t>
            </w:r>
          </w:p>
        </w:tc>
        <w:tc>
          <w:tcPr>
            <w:tcW w:w="1208"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费用小计</w:t>
            </w:r>
          </w:p>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59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尿药筛查</w:t>
            </w:r>
          </w:p>
        </w:tc>
        <w:tc>
          <w:tcPr>
            <w:tcW w:w="4274" w:type="dxa"/>
            <w:gridSpan w:val="3"/>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w:t>
            </w:r>
          </w:p>
        </w:tc>
        <w:tc>
          <w:tcPr>
            <w:tcW w:w="14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每次</w:t>
            </w:r>
          </w:p>
        </w:tc>
        <w:tc>
          <w:tcPr>
            <w:tcW w:w="1208" w:type="dxa"/>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59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酒精呼气检测</w:t>
            </w:r>
          </w:p>
        </w:tc>
        <w:tc>
          <w:tcPr>
            <w:tcW w:w="4274" w:type="dxa"/>
            <w:gridSpan w:val="3"/>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w:t>
            </w:r>
          </w:p>
        </w:tc>
        <w:tc>
          <w:tcPr>
            <w:tcW w:w="14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每次</w:t>
            </w:r>
          </w:p>
        </w:tc>
        <w:tc>
          <w:tcPr>
            <w:tcW w:w="1208" w:type="dxa"/>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9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妊娠试验（血）</w:t>
            </w:r>
          </w:p>
        </w:tc>
        <w:tc>
          <w:tcPr>
            <w:tcW w:w="4274" w:type="dxa"/>
            <w:gridSpan w:val="3"/>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w:t>
            </w:r>
          </w:p>
        </w:tc>
        <w:tc>
          <w:tcPr>
            <w:tcW w:w="14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每次</w:t>
            </w:r>
          </w:p>
        </w:tc>
        <w:tc>
          <w:tcPr>
            <w:tcW w:w="1208" w:type="dxa"/>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59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妊娠试验（尿）</w:t>
            </w:r>
          </w:p>
        </w:tc>
        <w:tc>
          <w:tcPr>
            <w:tcW w:w="4274" w:type="dxa"/>
            <w:gridSpan w:val="3"/>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w:t>
            </w:r>
          </w:p>
        </w:tc>
        <w:tc>
          <w:tcPr>
            <w:tcW w:w="14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每次</w:t>
            </w:r>
          </w:p>
        </w:tc>
        <w:tc>
          <w:tcPr>
            <w:tcW w:w="1208" w:type="dxa"/>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59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全血细胞计数分类（五分类）</w:t>
            </w:r>
          </w:p>
        </w:tc>
        <w:tc>
          <w:tcPr>
            <w:tcW w:w="4274" w:type="dxa"/>
            <w:gridSpan w:val="3"/>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“检查报告”应包括中性粒细胞绝对值</w:t>
            </w:r>
          </w:p>
        </w:tc>
        <w:tc>
          <w:tcPr>
            <w:tcW w:w="14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每次</w:t>
            </w:r>
          </w:p>
        </w:tc>
        <w:tc>
          <w:tcPr>
            <w:tcW w:w="1208" w:type="dxa"/>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159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空腹血生化</w:t>
            </w:r>
          </w:p>
        </w:tc>
        <w:tc>
          <w:tcPr>
            <w:tcW w:w="4274" w:type="dxa"/>
            <w:gridSpan w:val="3"/>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钠、钾、钙、氯化物，重碳酸盐或二氧化碳，白蛋白，血尿素氮或尿素，葡萄糖，总蛋白，肌酐，门冬氨酸及转移酶，谷丙转氨酶，碱性磷酸酶，</w:t>
            </w:r>
            <w:r>
              <w:rPr>
                <w:rFonts w:hint="eastAsia" w:cs="宋体" w:asciiTheme="minorEastAsia" w:hAnsiTheme="minorEastAsia"/>
                <w:color w:val="auto"/>
                <w:szCs w:val="21"/>
                <w:lang w:val="en-US" w:eastAsia="zh-CN"/>
              </w:rPr>
              <w:t>总</w:t>
            </w:r>
            <w:r>
              <w:rPr>
                <w:rFonts w:hint="eastAsia" w:cs="宋体" w:asciiTheme="minorEastAsia" w:hAnsiTheme="minorEastAsia"/>
                <w:color w:val="auto"/>
                <w:szCs w:val="21"/>
              </w:rPr>
              <w:t>胆红素，镁，磷</w:t>
            </w:r>
          </w:p>
        </w:tc>
        <w:tc>
          <w:tcPr>
            <w:tcW w:w="14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每次</w:t>
            </w:r>
          </w:p>
        </w:tc>
        <w:tc>
          <w:tcPr>
            <w:tcW w:w="1208" w:type="dxa"/>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59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凝血实验</w:t>
            </w:r>
          </w:p>
        </w:tc>
        <w:tc>
          <w:tcPr>
            <w:tcW w:w="4274" w:type="dxa"/>
            <w:gridSpan w:val="3"/>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凝血酶原时间，国际标准化比值，部分凝血活酶时间</w:t>
            </w:r>
          </w:p>
        </w:tc>
        <w:tc>
          <w:tcPr>
            <w:tcW w:w="14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每次</w:t>
            </w:r>
          </w:p>
        </w:tc>
        <w:tc>
          <w:tcPr>
            <w:tcW w:w="1208" w:type="dxa"/>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9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大便培养</w:t>
            </w:r>
          </w:p>
        </w:tc>
        <w:tc>
          <w:tcPr>
            <w:tcW w:w="4274" w:type="dxa"/>
            <w:gridSpan w:val="3"/>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w:t>
            </w:r>
          </w:p>
        </w:tc>
        <w:tc>
          <w:tcPr>
            <w:tcW w:w="14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每次</w:t>
            </w:r>
          </w:p>
        </w:tc>
        <w:tc>
          <w:tcPr>
            <w:tcW w:w="1208" w:type="dxa"/>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trPr>
        <w:tc>
          <w:tcPr>
            <w:tcW w:w="159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心电图</w:t>
            </w:r>
          </w:p>
        </w:tc>
        <w:tc>
          <w:tcPr>
            <w:tcW w:w="4274" w:type="dxa"/>
            <w:gridSpan w:val="3"/>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w:t>
            </w:r>
          </w:p>
        </w:tc>
        <w:tc>
          <w:tcPr>
            <w:tcW w:w="14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每次</w:t>
            </w:r>
          </w:p>
        </w:tc>
        <w:tc>
          <w:tcPr>
            <w:tcW w:w="1208" w:type="dxa"/>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59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超声心动</w:t>
            </w:r>
          </w:p>
        </w:tc>
        <w:tc>
          <w:tcPr>
            <w:tcW w:w="4274" w:type="dxa"/>
            <w:gridSpan w:val="3"/>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超声心动图/左室射血分数</w:t>
            </w:r>
          </w:p>
        </w:tc>
        <w:tc>
          <w:tcPr>
            <w:tcW w:w="14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每次</w:t>
            </w:r>
          </w:p>
        </w:tc>
        <w:tc>
          <w:tcPr>
            <w:tcW w:w="1208" w:type="dxa"/>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595" w:type="dxa"/>
            <w:vMerge w:val="restart"/>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胸部CT/MRI</w:t>
            </w:r>
          </w:p>
        </w:tc>
        <w:tc>
          <w:tcPr>
            <w:tcW w:w="4274" w:type="dxa"/>
            <w:gridSpan w:val="3"/>
            <w:vMerge w:val="restart"/>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扫描厚层：根据方案要求</w:t>
            </w:r>
          </w:p>
          <w:p>
            <w:pPr>
              <w:spacing w:line="360" w:lineRule="auto"/>
              <w:rPr>
                <w:rFonts w:cs="宋体" w:asciiTheme="minorEastAsia" w:hAnsiTheme="minorEastAsia"/>
                <w:color w:val="auto"/>
                <w:szCs w:val="21"/>
              </w:rPr>
            </w:pPr>
            <w:r>
              <w:rPr>
                <w:rFonts w:hint="eastAsia" w:cs="宋体" w:asciiTheme="minorEastAsia" w:hAnsiTheme="minorEastAsia"/>
                <w:color w:val="auto"/>
                <w:szCs w:val="21"/>
              </w:rPr>
              <w:t>CT扫描范围：肺尖（胸骨颈静脉切迹）</w:t>
            </w:r>
            <w:r>
              <w:rPr>
                <w:rFonts w:hint="eastAsia" w:ascii="黑体" w:hAnsi="黑体" w:eastAsia="黑体"/>
                <w:bCs/>
                <w:color w:val="auto"/>
                <w:sz w:val="24"/>
                <w:szCs w:val="24"/>
              </w:rPr>
              <w:t>——</w:t>
            </w:r>
            <w:r>
              <w:rPr>
                <w:rFonts w:hint="eastAsia" w:cs="宋体" w:asciiTheme="minorEastAsia" w:hAnsiTheme="minorEastAsia"/>
                <w:color w:val="auto"/>
                <w:szCs w:val="21"/>
              </w:rPr>
              <w:t>肾上腺（肋膈角），包括全肺</w:t>
            </w:r>
          </w:p>
        </w:tc>
        <w:tc>
          <w:tcPr>
            <w:tcW w:w="14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CT平扫每次</w:t>
            </w:r>
          </w:p>
        </w:tc>
        <w:tc>
          <w:tcPr>
            <w:tcW w:w="1208" w:type="dxa"/>
            <w:vMerge w:val="restart"/>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trPr>
        <w:tc>
          <w:tcPr>
            <w:tcW w:w="1595" w:type="dxa"/>
            <w:vMerge w:val="continue"/>
            <w:vAlign w:val="center"/>
          </w:tcPr>
          <w:p>
            <w:pPr>
              <w:spacing w:line="360" w:lineRule="auto"/>
              <w:jc w:val="center"/>
              <w:rPr>
                <w:rFonts w:asciiTheme="minorEastAsia" w:hAnsiTheme="minorEastAsia"/>
                <w:color w:val="auto"/>
                <w:szCs w:val="21"/>
              </w:rPr>
            </w:pPr>
          </w:p>
        </w:tc>
        <w:tc>
          <w:tcPr>
            <w:tcW w:w="4274" w:type="dxa"/>
            <w:gridSpan w:val="3"/>
            <w:vMerge w:val="continue"/>
          </w:tcPr>
          <w:p>
            <w:pPr>
              <w:spacing w:line="360" w:lineRule="auto"/>
              <w:jc w:val="center"/>
              <w:rPr>
                <w:rFonts w:asciiTheme="minorEastAsia" w:hAnsiTheme="minorEastAsia"/>
                <w:color w:val="auto"/>
                <w:szCs w:val="21"/>
              </w:rPr>
            </w:pPr>
          </w:p>
        </w:tc>
        <w:tc>
          <w:tcPr>
            <w:tcW w:w="14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CTZ增强每次（含造影剂）</w:t>
            </w:r>
          </w:p>
        </w:tc>
        <w:tc>
          <w:tcPr>
            <w:tcW w:w="1208" w:type="dxa"/>
            <w:vMerge w:val="continue"/>
          </w:tcPr>
          <w:p>
            <w:pPr>
              <w:spacing w:line="360" w:lineRule="auto"/>
              <w:jc w:val="center"/>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595" w:type="dxa"/>
            <w:vMerge w:val="continue"/>
            <w:vAlign w:val="center"/>
          </w:tcPr>
          <w:p>
            <w:pPr>
              <w:spacing w:line="360" w:lineRule="auto"/>
              <w:jc w:val="center"/>
              <w:rPr>
                <w:rFonts w:cs="宋体" w:asciiTheme="minorEastAsia" w:hAnsiTheme="minorEastAsia"/>
                <w:color w:val="auto"/>
                <w:szCs w:val="21"/>
              </w:rPr>
            </w:pPr>
          </w:p>
        </w:tc>
        <w:tc>
          <w:tcPr>
            <w:tcW w:w="4274" w:type="dxa"/>
            <w:gridSpan w:val="3"/>
            <w:vMerge w:val="continue"/>
          </w:tcPr>
          <w:p>
            <w:pPr>
              <w:spacing w:line="360" w:lineRule="auto"/>
              <w:jc w:val="center"/>
              <w:rPr>
                <w:rFonts w:cs="宋体" w:asciiTheme="minorEastAsia" w:hAnsiTheme="minorEastAsia"/>
                <w:color w:val="auto"/>
                <w:szCs w:val="21"/>
              </w:rPr>
            </w:pPr>
          </w:p>
        </w:tc>
        <w:tc>
          <w:tcPr>
            <w:tcW w:w="1425" w:type="dxa"/>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MRI每次（含造影剂）</w:t>
            </w:r>
          </w:p>
        </w:tc>
        <w:tc>
          <w:tcPr>
            <w:tcW w:w="1208" w:type="dxa"/>
            <w:vMerge w:val="continue"/>
          </w:tcPr>
          <w:p>
            <w:pPr>
              <w:spacing w:line="360" w:lineRule="auto"/>
              <w:jc w:val="center"/>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595" w:type="dxa"/>
            <w:vMerge w:val="restart"/>
            <w:vAlign w:val="center"/>
          </w:tcPr>
          <w:p>
            <w:pPr>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腹部CT/MRI</w:t>
            </w:r>
          </w:p>
        </w:tc>
        <w:tc>
          <w:tcPr>
            <w:tcW w:w="4274" w:type="dxa"/>
            <w:gridSpan w:val="3"/>
            <w:vMerge w:val="restart"/>
          </w:tcPr>
          <w:p>
            <w:pPr>
              <w:spacing w:line="360" w:lineRule="auto"/>
              <w:rPr>
                <w:rFonts w:cs="宋体" w:asciiTheme="minorEastAsia" w:hAnsiTheme="minorEastAsia"/>
                <w:color w:val="auto"/>
                <w:szCs w:val="21"/>
              </w:rPr>
            </w:pPr>
            <w:r>
              <w:rPr>
                <w:rFonts w:hint="eastAsia" w:cs="宋体" w:asciiTheme="minorEastAsia" w:hAnsiTheme="minorEastAsia"/>
                <w:color w:val="auto"/>
                <w:szCs w:val="21"/>
              </w:rPr>
              <w:t>扫描厚层：根据方案要求</w:t>
            </w:r>
          </w:p>
          <w:p>
            <w:pPr>
              <w:spacing w:line="360" w:lineRule="auto"/>
              <w:rPr>
                <w:rFonts w:cs="宋体" w:asciiTheme="minorEastAsia" w:hAnsiTheme="minorEastAsia"/>
                <w:color w:val="auto"/>
                <w:szCs w:val="21"/>
              </w:rPr>
            </w:pPr>
            <w:r>
              <w:rPr>
                <w:rFonts w:hint="eastAsia" w:cs="宋体" w:asciiTheme="minorEastAsia" w:hAnsiTheme="minorEastAsia"/>
                <w:color w:val="auto"/>
                <w:szCs w:val="21"/>
              </w:rPr>
              <w:t>CT扫描范围：膈(胸骨剑突）一髂嵴，包括全肝MRI扫描范围：穿过肝到髂嵴</w:t>
            </w:r>
          </w:p>
        </w:tc>
        <w:tc>
          <w:tcPr>
            <w:tcW w:w="1425" w:type="dxa"/>
            <w:vAlign w:val="center"/>
          </w:tcPr>
          <w:p>
            <w:pPr>
              <w:tabs>
                <w:tab w:val="left" w:pos="248"/>
              </w:tabs>
              <w:spacing w:line="360" w:lineRule="auto"/>
              <w:jc w:val="left"/>
              <w:rPr>
                <w:rFonts w:cs="宋体" w:asciiTheme="minorEastAsia" w:hAnsiTheme="minorEastAsia"/>
                <w:color w:val="auto"/>
                <w:szCs w:val="21"/>
              </w:rPr>
            </w:pPr>
            <w:r>
              <w:rPr>
                <w:rFonts w:hint="eastAsia" w:cs="宋体" w:asciiTheme="minorEastAsia" w:hAnsiTheme="minorEastAsia"/>
                <w:color w:val="auto"/>
                <w:szCs w:val="21"/>
              </w:rPr>
              <w:t>CT平扫每次</w:t>
            </w:r>
          </w:p>
        </w:tc>
        <w:tc>
          <w:tcPr>
            <w:tcW w:w="1208" w:type="dxa"/>
            <w:vMerge w:val="restart"/>
          </w:tcPr>
          <w:p>
            <w:pPr>
              <w:spacing w:line="360" w:lineRule="auto"/>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595" w:type="dxa"/>
            <w:vMerge w:val="continue"/>
            <w:vAlign w:val="center"/>
          </w:tcPr>
          <w:p>
            <w:pPr>
              <w:tabs>
                <w:tab w:val="left" w:pos="248"/>
              </w:tabs>
              <w:spacing w:line="360" w:lineRule="auto"/>
              <w:jc w:val="left"/>
              <w:rPr>
                <w:rFonts w:asciiTheme="minorEastAsia" w:hAnsiTheme="minorEastAsia"/>
                <w:color w:val="auto"/>
                <w:szCs w:val="21"/>
              </w:rPr>
            </w:pPr>
          </w:p>
        </w:tc>
        <w:tc>
          <w:tcPr>
            <w:tcW w:w="4274" w:type="dxa"/>
            <w:gridSpan w:val="3"/>
            <w:vMerge w:val="continue"/>
          </w:tcPr>
          <w:p>
            <w:pPr>
              <w:tabs>
                <w:tab w:val="left" w:pos="248"/>
              </w:tabs>
              <w:spacing w:line="360" w:lineRule="auto"/>
              <w:jc w:val="left"/>
              <w:rPr>
                <w:rFonts w:asciiTheme="minorEastAsia" w:hAnsiTheme="minorEastAsia"/>
                <w:color w:val="auto"/>
                <w:szCs w:val="21"/>
              </w:rPr>
            </w:pPr>
          </w:p>
        </w:tc>
        <w:tc>
          <w:tcPr>
            <w:tcW w:w="1425" w:type="dxa"/>
            <w:vAlign w:val="center"/>
          </w:tcPr>
          <w:p>
            <w:pPr>
              <w:tabs>
                <w:tab w:val="left" w:pos="248"/>
              </w:tabs>
              <w:spacing w:line="360" w:lineRule="auto"/>
              <w:jc w:val="left"/>
              <w:rPr>
                <w:rFonts w:cs="宋体" w:asciiTheme="minorEastAsia" w:hAnsiTheme="minorEastAsia"/>
                <w:color w:val="auto"/>
                <w:szCs w:val="21"/>
              </w:rPr>
            </w:pPr>
            <w:r>
              <w:rPr>
                <w:rFonts w:hint="eastAsia" w:cs="宋体" w:asciiTheme="minorEastAsia" w:hAnsiTheme="minorEastAsia"/>
                <w:color w:val="auto"/>
                <w:szCs w:val="21"/>
              </w:rPr>
              <w:t>CTZ增强每次（含造影剂）</w:t>
            </w:r>
          </w:p>
        </w:tc>
        <w:tc>
          <w:tcPr>
            <w:tcW w:w="1208" w:type="dxa"/>
            <w:vMerge w:val="continue"/>
          </w:tcPr>
          <w:p>
            <w:pPr>
              <w:tabs>
                <w:tab w:val="left" w:pos="248"/>
              </w:tabs>
              <w:spacing w:line="360" w:lineRule="auto"/>
              <w:jc w:val="left"/>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595" w:type="dxa"/>
            <w:vMerge w:val="continue"/>
            <w:vAlign w:val="center"/>
          </w:tcPr>
          <w:p>
            <w:pPr>
              <w:tabs>
                <w:tab w:val="left" w:pos="248"/>
              </w:tabs>
              <w:spacing w:line="360" w:lineRule="auto"/>
              <w:jc w:val="left"/>
              <w:rPr>
                <w:rFonts w:cs="宋体" w:asciiTheme="minorEastAsia" w:hAnsiTheme="minorEastAsia"/>
                <w:color w:val="auto"/>
                <w:szCs w:val="21"/>
              </w:rPr>
            </w:pPr>
          </w:p>
        </w:tc>
        <w:tc>
          <w:tcPr>
            <w:tcW w:w="4274" w:type="dxa"/>
            <w:gridSpan w:val="3"/>
            <w:vMerge w:val="continue"/>
          </w:tcPr>
          <w:p>
            <w:pPr>
              <w:tabs>
                <w:tab w:val="left" w:pos="248"/>
              </w:tabs>
              <w:spacing w:line="360" w:lineRule="auto"/>
              <w:jc w:val="left"/>
              <w:rPr>
                <w:rFonts w:cs="宋体" w:asciiTheme="minorEastAsia" w:hAnsiTheme="minorEastAsia"/>
                <w:color w:val="auto"/>
                <w:szCs w:val="21"/>
              </w:rPr>
            </w:pPr>
          </w:p>
        </w:tc>
        <w:tc>
          <w:tcPr>
            <w:tcW w:w="1425" w:type="dxa"/>
            <w:vAlign w:val="center"/>
          </w:tcPr>
          <w:p>
            <w:pPr>
              <w:tabs>
                <w:tab w:val="left" w:pos="248"/>
              </w:tabs>
              <w:spacing w:line="360" w:lineRule="auto"/>
              <w:jc w:val="left"/>
              <w:rPr>
                <w:rFonts w:cs="宋体" w:asciiTheme="minorEastAsia" w:hAnsiTheme="minorEastAsia"/>
                <w:color w:val="auto"/>
                <w:szCs w:val="21"/>
              </w:rPr>
            </w:pPr>
            <w:r>
              <w:rPr>
                <w:rFonts w:hint="eastAsia" w:cs="宋体" w:asciiTheme="minorEastAsia" w:hAnsiTheme="minorEastAsia"/>
                <w:color w:val="auto"/>
                <w:szCs w:val="21"/>
              </w:rPr>
              <w:t>MRI每次（含造影剂</w:t>
            </w:r>
          </w:p>
        </w:tc>
        <w:tc>
          <w:tcPr>
            <w:tcW w:w="1208" w:type="dxa"/>
            <w:vMerge w:val="continue"/>
          </w:tcPr>
          <w:p>
            <w:pPr>
              <w:tabs>
                <w:tab w:val="left" w:pos="248"/>
              </w:tabs>
              <w:spacing w:line="360" w:lineRule="auto"/>
              <w:jc w:val="left"/>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95" w:type="dxa"/>
            <w:vMerge w:val="restart"/>
            <w:vAlign w:val="center"/>
          </w:tcPr>
          <w:p>
            <w:pPr>
              <w:tabs>
                <w:tab w:val="left" w:pos="248"/>
              </w:tabs>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访视</w:t>
            </w:r>
          </w:p>
        </w:tc>
        <w:tc>
          <w:tcPr>
            <w:tcW w:w="1424" w:type="dxa"/>
            <w:vMerge w:val="restart"/>
            <w:vAlign w:val="center"/>
          </w:tcPr>
          <w:p>
            <w:pPr>
              <w:tabs>
                <w:tab w:val="left" w:pos="248"/>
              </w:tabs>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受试者检查费（元）</w:t>
            </w:r>
          </w:p>
        </w:tc>
        <w:tc>
          <w:tcPr>
            <w:tcW w:w="1424" w:type="dxa"/>
            <w:vMerge w:val="restart"/>
            <w:vAlign w:val="center"/>
          </w:tcPr>
          <w:p>
            <w:pPr>
              <w:tabs>
                <w:tab w:val="left" w:pos="248"/>
              </w:tabs>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受试者补贴/交通费（元）</w:t>
            </w:r>
          </w:p>
        </w:tc>
        <w:tc>
          <w:tcPr>
            <w:tcW w:w="1426" w:type="dxa"/>
            <w:vMerge w:val="restart"/>
            <w:vAlign w:val="center"/>
          </w:tcPr>
          <w:p>
            <w:pPr>
              <w:tabs>
                <w:tab w:val="left" w:pos="248"/>
              </w:tabs>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研究者观察费（元）</w:t>
            </w:r>
          </w:p>
        </w:tc>
        <w:tc>
          <w:tcPr>
            <w:tcW w:w="1425" w:type="dxa"/>
            <w:vMerge w:val="restart"/>
            <w:vAlign w:val="center"/>
          </w:tcPr>
          <w:p>
            <w:pPr>
              <w:tabs>
                <w:tab w:val="left" w:pos="248"/>
              </w:tabs>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税费（6%）（元）</w:t>
            </w:r>
          </w:p>
        </w:tc>
        <w:tc>
          <w:tcPr>
            <w:tcW w:w="1208" w:type="dxa"/>
            <w:vMerge w:val="restart"/>
            <w:vAlign w:val="center"/>
          </w:tcPr>
          <w:p>
            <w:pPr>
              <w:tabs>
                <w:tab w:val="left" w:pos="248"/>
              </w:tabs>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合计</w:t>
            </w:r>
          </w:p>
          <w:p>
            <w:pPr>
              <w:tabs>
                <w:tab w:val="left" w:pos="248"/>
              </w:tabs>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95" w:type="dxa"/>
            <w:vMerge w:val="continue"/>
            <w:vAlign w:val="center"/>
          </w:tcPr>
          <w:p>
            <w:pPr>
              <w:tabs>
                <w:tab w:val="left" w:pos="248"/>
              </w:tabs>
              <w:spacing w:line="360" w:lineRule="auto"/>
              <w:jc w:val="left"/>
              <w:rPr>
                <w:rFonts w:asciiTheme="minorEastAsia" w:hAnsiTheme="minorEastAsia"/>
                <w:color w:val="auto"/>
                <w:szCs w:val="21"/>
              </w:rPr>
            </w:pPr>
          </w:p>
        </w:tc>
        <w:tc>
          <w:tcPr>
            <w:tcW w:w="1424" w:type="dxa"/>
            <w:vMerge w:val="continue"/>
          </w:tcPr>
          <w:p>
            <w:pPr>
              <w:tabs>
                <w:tab w:val="left" w:pos="248"/>
              </w:tabs>
              <w:spacing w:line="360" w:lineRule="auto"/>
              <w:jc w:val="left"/>
              <w:rPr>
                <w:rFonts w:cs="宋体" w:asciiTheme="minorEastAsia" w:hAnsiTheme="minorEastAsia"/>
                <w:color w:val="auto"/>
                <w:szCs w:val="21"/>
              </w:rPr>
            </w:pPr>
          </w:p>
        </w:tc>
        <w:tc>
          <w:tcPr>
            <w:tcW w:w="1424" w:type="dxa"/>
            <w:vMerge w:val="continue"/>
          </w:tcPr>
          <w:p>
            <w:pPr>
              <w:tabs>
                <w:tab w:val="left" w:pos="248"/>
              </w:tabs>
              <w:spacing w:line="360" w:lineRule="auto"/>
              <w:jc w:val="left"/>
              <w:rPr>
                <w:rFonts w:cs="宋体" w:asciiTheme="minorEastAsia" w:hAnsiTheme="minorEastAsia"/>
                <w:color w:val="auto"/>
                <w:szCs w:val="21"/>
              </w:rPr>
            </w:pPr>
          </w:p>
        </w:tc>
        <w:tc>
          <w:tcPr>
            <w:tcW w:w="1426" w:type="dxa"/>
            <w:vMerge w:val="continue"/>
          </w:tcPr>
          <w:p>
            <w:pPr>
              <w:tabs>
                <w:tab w:val="left" w:pos="248"/>
              </w:tabs>
              <w:spacing w:line="360" w:lineRule="auto"/>
              <w:jc w:val="left"/>
              <w:rPr>
                <w:rFonts w:cs="宋体" w:asciiTheme="minorEastAsia" w:hAnsiTheme="minorEastAsia"/>
                <w:color w:val="auto"/>
                <w:szCs w:val="21"/>
              </w:rPr>
            </w:pPr>
          </w:p>
        </w:tc>
        <w:tc>
          <w:tcPr>
            <w:tcW w:w="1425" w:type="dxa"/>
            <w:vMerge w:val="continue"/>
            <w:vAlign w:val="center"/>
          </w:tcPr>
          <w:p>
            <w:pPr>
              <w:tabs>
                <w:tab w:val="left" w:pos="248"/>
              </w:tabs>
              <w:spacing w:line="360" w:lineRule="auto"/>
              <w:jc w:val="left"/>
              <w:rPr>
                <w:rFonts w:cs="宋体" w:asciiTheme="minorEastAsia" w:hAnsiTheme="minorEastAsia"/>
                <w:color w:val="auto"/>
                <w:szCs w:val="21"/>
              </w:rPr>
            </w:pPr>
          </w:p>
        </w:tc>
        <w:tc>
          <w:tcPr>
            <w:tcW w:w="1208" w:type="dxa"/>
            <w:vMerge w:val="continue"/>
          </w:tcPr>
          <w:p>
            <w:pPr>
              <w:tabs>
                <w:tab w:val="left" w:pos="248"/>
              </w:tabs>
              <w:spacing w:line="360" w:lineRule="auto"/>
              <w:jc w:val="left"/>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95" w:type="dxa"/>
            <w:vMerge w:val="continue"/>
            <w:vAlign w:val="center"/>
          </w:tcPr>
          <w:p>
            <w:pPr>
              <w:tabs>
                <w:tab w:val="left" w:pos="248"/>
              </w:tabs>
              <w:spacing w:line="360" w:lineRule="auto"/>
              <w:jc w:val="left"/>
              <w:rPr>
                <w:rFonts w:cs="宋体" w:asciiTheme="minorEastAsia" w:hAnsiTheme="minorEastAsia"/>
                <w:color w:val="auto"/>
                <w:szCs w:val="21"/>
              </w:rPr>
            </w:pPr>
          </w:p>
        </w:tc>
        <w:tc>
          <w:tcPr>
            <w:tcW w:w="1424" w:type="dxa"/>
            <w:vMerge w:val="continue"/>
          </w:tcPr>
          <w:p>
            <w:pPr>
              <w:tabs>
                <w:tab w:val="left" w:pos="248"/>
              </w:tabs>
              <w:spacing w:line="360" w:lineRule="auto"/>
              <w:jc w:val="left"/>
              <w:rPr>
                <w:rFonts w:cs="宋体" w:asciiTheme="minorEastAsia" w:hAnsiTheme="minorEastAsia"/>
                <w:color w:val="auto"/>
                <w:szCs w:val="21"/>
              </w:rPr>
            </w:pPr>
          </w:p>
        </w:tc>
        <w:tc>
          <w:tcPr>
            <w:tcW w:w="1424" w:type="dxa"/>
            <w:vMerge w:val="continue"/>
          </w:tcPr>
          <w:p>
            <w:pPr>
              <w:tabs>
                <w:tab w:val="left" w:pos="248"/>
              </w:tabs>
              <w:spacing w:line="360" w:lineRule="auto"/>
              <w:jc w:val="left"/>
              <w:rPr>
                <w:rFonts w:cs="宋体" w:asciiTheme="minorEastAsia" w:hAnsiTheme="minorEastAsia"/>
                <w:color w:val="auto"/>
                <w:szCs w:val="21"/>
              </w:rPr>
            </w:pPr>
          </w:p>
        </w:tc>
        <w:tc>
          <w:tcPr>
            <w:tcW w:w="1426" w:type="dxa"/>
            <w:vMerge w:val="continue"/>
          </w:tcPr>
          <w:p>
            <w:pPr>
              <w:tabs>
                <w:tab w:val="left" w:pos="248"/>
              </w:tabs>
              <w:spacing w:line="360" w:lineRule="auto"/>
              <w:jc w:val="left"/>
              <w:rPr>
                <w:rFonts w:cs="宋体" w:asciiTheme="minorEastAsia" w:hAnsiTheme="minorEastAsia"/>
                <w:color w:val="auto"/>
                <w:szCs w:val="21"/>
              </w:rPr>
            </w:pPr>
          </w:p>
        </w:tc>
        <w:tc>
          <w:tcPr>
            <w:tcW w:w="1425" w:type="dxa"/>
            <w:vMerge w:val="continue"/>
            <w:vAlign w:val="center"/>
          </w:tcPr>
          <w:p>
            <w:pPr>
              <w:tabs>
                <w:tab w:val="left" w:pos="248"/>
              </w:tabs>
              <w:spacing w:line="360" w:lineRule="auto"/>
              <w:jc w:val="left"/>
              <w:rPr>
                <w:rFonts w:cs="宋体" w:asciiTheme="minorEastAsia" w:hAnsiTheme="minorEastAsia"/>
                <w:color w:val="auto"/>
                <w:szCs w:val="21"/>
              </w:rPr>
            </w:pPr>
          </w:p>
        </w:tc>
        <w:tc>
          <w:tcPr>
            <w:tcW w:w="1208" w:type="dxa"/>
            <w:vMerge w:val="continue"/>
          </w:tcPr>
          <w:p>
            <w:pPr>
              <w:tabs>
                <w:tab w:val="left" w:pos="248"/>
              </w:tabs>
              <w:spacing w:line="360" w:lineRule="auto"/>
              <w:jc w:val="left"/>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595" w:type="dxa"/>
            <w:vAlign w:val="center"/>
          </w:tcPr>
          <w:p>
            <w:pPr>
              <w:tabs>
                <w:tab w:val="left" w:pos="248"/>
              </w:tabs>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w:t>
            </w:r>
          </w:p>
        </w:tc>
        <w:tc>
          <w:tcPr>
            <w:tcW w:w="4274" w:type="dxa"/>
            <w:gridSpan w:val="3"/>
          </w:tcPr>
          <w:p>
            <w:pPr>
              <w:tabs>
                <w:tab w:val="left" w:pos="248"/>
              </w:tabs>
              <w:spacing w:line="360" w:lineRule="auto"/>
              <w:jc w:val="left"/>
              <w:rPr>
                <w:rFonts w:cs="宋体" w:asciiTheme="minorEastAsia" w:hAnsiTheme="minorEastAsia"/>
                <w:color w:val="auto"/>
                <w:szCs w:val="21"/>
              </w:rPr>
            </w:pPr>
          </w:p>
        </w:tc>
        <w:tc>
          <w:tcPr>
            <w:tcW w:w="1425" w:type="dxa"/>
            <w:vAlign w:val="center"/>
          </w:tcPr>
          <w:p>
            <w:pPr>
              <w:tabs>
                <w:tab w:val="left" w:pos="248"/>
              </w:tabs>
              <w:spacing w:line="360" w:lineRule="auto"/>
              <w:jc w:val="left"/>
              <w:rPr>
                <w:rFonts w:cs="宋体" w:asciiTheme="minorEastAsia" w:hAnsiTheme="minorEastAsia"/>
                <w:color w:val="auto"/>
                <w:szCs w:val="21"/>
              </w:rPr>
            </w:pPr>
          </w:p>
        </w:tc>
        <w:tc>
          <w:tcPr>
            <w:tcW w:w="1208" w:type="dxa"/>
          </w:tcPr>
          <w:p>
            <w:pPr>
              <w:tabs>
                <w:tab w:val="left" w:pos="248"/>
              </w:tabs>
              <w:spacing w:line="360" w:lineRule="auto"/>
              <w:jc w:val="left"/>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595" w:type="dxa"/>
            <w:vAlign w:val="center"/>
          </w:tcPr>
          <w:p>
            <w:pPr>
              <w:tabs>
                <w:tab w:val="left" w:pos="248"/>
              </w:tabs>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随访1</w:t>
            </w:r>
          </w:p>
        </w:tc>
        <w:tc>
          <w:tcPr>
            <w:tcW w:w="4274" w:type="dxa"/>
            <w:gridSpan w:val="3"/>
          </w:tcPr>
          <w:p>
            <w:pPr>
              <w:tabs>
                <w:tab w:val="left" w:pos="248"/>
              </w:tabs>
              <w:spacing w:line="360" w:lineRule="auto"/>
              <w:jc w:val="left"/>
              <w:rPr>
                <w:rFonts w:cs="宋体" w:asciiTheme="minorEastAsia" w:hAnsiTheme="minorEastAsia"/>
                <w:color w:val="auto"/>
                <w:szCs w:val="21"/>
              </w:rPr>
            </w:pPr>
          </w:p>
        </w:tc>
        <w:tc>
          <w:tcPr>
            <w:tcW w:w="1425" w:type="dxa"/>
            <w:vAlign w:val="center"/>
          </w:tcPr>
          <w:p>
            <w:pPr>
              <w:tabs>
                <w:tab w:val="left" w:pos="248"/>
              </w:tabs>
              <w:spacing w:line="360" w:lineRule="auto"/>
              <w:jc w:val="left"/>
              <w:rPr>
                <w:rFonts w:cs="宋体" w:asciiTheme="minorEastAsia" w:hAnsiTheme="minorEastAsia"/>
                <w:color w:val="auto"/>
                <w:szCs w:val="21"/>
              </w:rPr>
            </w:pPr>
          </w:p>
        </w:tc>
        <w:tc>
          <w:tcPr>
            <w:tcW w:w="1208" w:type="dxa"/>
          </w:tcPr>
          <w:p>
            <w:pPr>
              <w:tabs>
                <w:tab w:val="left" w:pos="248"/>
              </w:tabs>
              <w:spacing w:line="360" w:lineRule="auto"/>
              <w:jc w:val="left"/>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595" w:type="dxa"/>
            <w:vAlign w:val="center"/>
          </w:tcPr>
          <w:p>
            <w:pPr>
              <w:tabs>
                <w:tab w:val="left" w:pos="248"/>
              </w:tabs>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随访2</w:t>
            </w:r>
          </w:p>
        </w:tc>
        <w:tc>
          <w:tcPr>
            <w:tcW w:w="4274" w:type="dxa"/>
            <w:gridSpan w:val="3"/>
          </w:tcPr>
          <w:p>
            <w:pPr>
              <w:tabs>
                <w:tab w:val="left" w:pos="248"/>
              </w:tabs>
              <w:spacing w:line="360" w:lineRule="auto"/>
              <w:jc w:val="left"/>
              <w:rPr>
                <w:rFonts w:cs="宋体" w:asciiTheme="minorEastAsia" w:hAnsiTheme="minorEastAsia"/>
                <w:color w:val="auto"/>
                <w:szCs w:val="21"/>
              </w:rPr>
            </w:pPr>
          </w:p>
        </w:tc>
        <w:tc>
          <w:tcPr>
            <w:tcW w:w="1425" w:type="dxa"/>
            <w:vAlign w:val="center"/>
          </w:tcPr>
          <w:p>
            <w:pPr>
              <w:tabs>
                <w:tab w:val="left" w:pos="248"/>
              </w:tabs>
              <w:spacing w:line="360" w:lineRule="auto"/>
              <w:jc w:val="left"/>
              <w:rPr>
                <w:rFonts w:cs="宋体" w:asciiTheme="minorEastAsia" w:hAnsiTheme="minorEastAsia"/>
                <w:color w:val="auto"/>
                <w:szCs w:val="21"/>
              </w:rPr>
            </w:pPr>
          </w:p>
        </w:tc>
        <w:tc>
          <w:tcPr>
            <w:tcW w:w="1208" w:type="dxa"/>
          </w:tcPr>
          <w:p>
            <w:pPr>
              <w:tabs>
                <w:tab w:val="left" w:pos="248"/>
              </w:tabs>
              <w:spacing w:line="360" w:lineRule="auto"/>
              <w:jc w:val="left"/>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595" w:type="dxa"/>
            <w:vAlign w:val="center"/>
          </w:tcPr>
          <w:p>
            <w:pPr>
              <w:tabs>
                <w:tab w:val="left" w:pos="248"/>
              </w:tabs>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随访3</w:t>
            </w:r>
          </w:p>
        </w:tc>
        <w:tc>
          <w:tcPr>
            <w:tcW w:w="4274" w:type="dxa"/>
            <w:gridSpan w:val="3"/>
          </w:tcPr>
          <w:p>
            <w:pPr>
              <w:tabs>
                <w:tab w:val="left" w:pos="248"/>
              </w:tabs>
              <w:spacing w:line="360" w:lineRule="auto"/>
              <w:jc w:val="left"/>
              <w:rPr>
                <w:rFonts w:cs="宋体" w:asciiTheme="minorEastAsia" w:hAnsiTheme="minorEastAsia"/>
                <w:color w:val="auto"/>
                <w:szCs w:val="21"/>
              </w:rPr>
            </w:pPr>
          </w:p>
        </w:tc>
        <w:tc>
          <w:tcPr>
            <w:tcW w:w="1425" w:type="dxa"/>
            <w:vAlign w:val="center"/>
          </w:tcPr>
          <w:p>
            <w:pPr>
              <w:tabs>
                <w:tab w:val="left" w:pos="248"/>
              </w:tabs>
              <w:spacing w:line="360" w:lineRule="auto"/>
              <w:jc w:val="left"/>
              <w:rPr>
                <w:rFonts w:cs="宋体" w:asciiTheme="minorEastAsia" w:hAnsiTheme="minorEastAsia"/>
                <w:color w:val="auto"/>
                <w:szCs w:val="21"/>
              </w:rPr>
            </w:pPr>
          </w:p>
        </w:tc>
        <w:tc>
          <w:tcPr>
            <w:tcW w:w="1208" w:type="dxa"/>
          </w:tcPr>
          <w:p>
            <w:pPr>
              <w:tabs>
                <w:tab w:val="left" w:pos="248"/>
              </w:tabs>
              <w:spacing w:line="360" w:lineRule="auto"/>
              <w:jc w:val="left"/>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595" w:type="dxa"/>
            <w:vAlign w:val="center"/>
          </w:tcPr>
          <w:p>
            <w:pPr>
              <w:tabs>
                <w:tab w:val="left" w:pos="248"/>
              </w:tabs>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w:t>
            </w:r>
          </w:p>
        </w:tc>
        <w:tc>
          <w:tcPr>
            <w:tcW w:w="4274" w:type="dxa"/>
            <w:gridSpan w:val="3"/>
          </w:tcPr>
          <w:p>
            <w:pPr>
              <w:tabs>
                <w:tab w:val="left" w:pos="248"/>
              </w:tabs>
              <w:spacing w:line="360" w:lineRule="auto"/>
              <w:jc w:val="left"/>
              <w:rPr>
                <w:rFonts w:cs="宋体" w:asciiTheme="minorEastAsia" w:hAnsiTheme="minorEastAsia"/>
                <w:color w:val="auto"/>
                <w:szCs w:val="21"/>
              </w:rPr>
            </w:pPr>
          </w:p>
        </w:tc>
        <w:tc>
          <w:tcPr>
            <w:tcW w:w="1425" w:type="dxa"/>
            <w:vAlign w:val="center"/>
          </w:tcPr>
          <w:p>
            <w:pPr>
              <w:tabs>
                <w:tab w:val="left" w:pos="248"/>
              </w:tabs>
              <w:spacing w:line="360" w:lineRule="auto"/>
              <w:jc w:val="left"/>
              <w:rPr>
                <w:rFonts w:cs="宋体" w:asciiTheme="minorEastAsia" w:hAnsiTheme="minorEastAsia"/>
                <w:color w:val="auto"/>
                <w:szCs w:val="21"/>
              </w:rPr>
            </w:pPr>
          </w:p>
        </w:tc>
        <w:tc>
          <w:tcPr>
            <w:tcW w:w="1208" w:type="dxa"/>
          </w:tcPr>
          <w:p>
            <w:pPr>
              <w:tabs>
                <w:tab w:val="left" w:pos="248"/>
              </w:tabs>
              <w:spacing w:line="360" w:lineRule="auto"/>
              <w:jc w:val="left"/>
              <w:rPr>
                <w:rFonts w:cs="宋体" w:asciiTheme="minorEastAsia" w:hAnsi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595" w:type="dxa"/>
            <w:vAlign w:val="center"/>
          </w:tcPr>
          <w:p>
            <w:pPr>
              <w:tabs>
                <w:tab w:val="left" w:pos="248"/>
              </w:tabs>
              <w:spacing w:line="360" w:lineRule="auto"/>
              <w:jc w:val="center"/>
              <w:rPr>
                <w:rFonts w:cs="宋体" w:asciiTheme="minorEastAsia" w:hAnsiTheme="minorEastAsia"/>
                <w:color w:val="auto"/>
                <w:szCs w:val="21"/>
              </w:rPr>
            </w:pPr>
            <w:r>
              <w:rPr>
                <w:rFonts w:hint="eastAsia" w:cs="宋体" w:asciiTheme="minorEastAsia" w:hAnsiTheme="minorEastAsia"/>
                <w:color w:val="auto"/>
                <w:szCs w:val="21"/>
              </w:rPr>
              <w:t>总费用</w:t>
            </w:r>
          </w:p>
        </w:tc>
        <w:tc>
          <w:tcPr>
            <w:tcW w:w="4274" w:type="dxa"/>
            <w:gridSpan w:val="3"/>
          </w:tcPr>
          <w:p>
            <w:pPr>
              <w:tabs>
                <w:tab w:val="left" w:pos="248"/>
              </w:tabs>
              <w:spacing w:line="360" w:lineRule="auto"/>
              <w:jc w:val="left"/>
              <w:rPr>
                <w:rFonts w:cs="宋体" w:asciiTheme="minorEastAsia" w:hAnsiTheme="minorEastAsia"/>
                <w:color w:val="auto"/>
                <w:szCs w:val="21"/>
              </w:rPr>
            </w:pPr>
          </w:p>
        </w:tc>
        <w:tc>
          <w:tcPr>
            <w:tcW w:w="1425" w:type="dxa"/>
            <w:vAlign w:val="center"/>
          </w:tcPr>
          <w:p>
            <w:pPr>
              <w:tabs>
                <w:tab w:val="left" w:pos="248"/>
              </w:tabs>
              <w:spacing w:line="360" w:lineRule="auto"/>
              <w:jc w:val="left"/>
              <w:rPr>
                <w:rFonts w:cs="宋体" w:asciiTheme="minorEastAsia" w:hAnsiTheme="minorEastAsia"/>
                <w:color w:val="auto"/>
                <w:szCs w:val="21"/>
              </w:rPr>
            </w:pPr>
          </w:p>
        </w:tc>
        <w:tc>
          <w:tcPr>
            <w:tcW w:w="1208" w:type="dxa"/>
          </w:tcPr>
          <w:p>
            <w:pPr>
              <w:tabs>
                <w:tab w:val="left" w:pos="248"/>
              </w:tabs>
              <w:spacing w:line="360" w:lineRule="auto"/>
              <w:jc w:val="left"/>
              <w:rPr>
                <w:rFonts w:cs="宋体" w:asciiTheme="minorEastAsia" w:hAnsiTheme="minorEastAsia"/>
                <w:color w:val="auto"/>
                <w:szCs w:val="21"/>
              </w:rPr>
            </w:pPr>
          </w:p>
        </w:tc>
      </w:tr>
    </w:tbl>
    <w:p>
      <w:pPr>
        <w:spacing w:line="360" w:lineRule="auto"/>
        <w:rPr>
          <w:rFonts w:ascii="宋体" w:hAnsi="宋体" w:cs="宋体"/>
          <w:color w:val="auto"/>
          <w:szCs w:val="21"/>
        </w:rPr>
      </w:pPr>
      <w:r>
        <w:rPr>
          <w:rFonts w:hint="eastAsia" w:ascii="宋体" w:hAnsi="宋体" w:eastAsia="宋体" w:cs="宋体"/>
          <w:color w:val="auto"/>
          <w:szCs w:val="21"/>
        </w:rPr>
        <w:t>备注：如以上表格罗列不尽，请备注说明，同时请就试验用药费用</w:t>
      </w:r>
      <w:r>
        <w:rPr>
          <w:rFonts w:hint="eastAsia" w:ascii="宋体" w:hAnsi="宋体" w:cs="宋体"/>
          <w:color w:val="auto"/>
          <w:szCs w:val="21"/>
        </w:rPr>
        <w:t>、药物管理费、筛选失败受试者费用、超出法规要求年限的档案费用、病理切片费用、CT/MRI影像学费用、疗效评价费用是否单列、影像学光盘刻录费用、物资（如电脑、离心机、文件柜、冰箱、各种耗材等）单项费用做出具体说明。</w:t>
      </w:r>
    </w:p>
    <w:p>
      <w:pPr>
        <w:spacing w:line="360" w:lineRule="auto"/>
        <w:rPr>
          <w:rFonts w:ascii="宋体" w:hAnsi="宋体" w:cs="宋体"/>
          <w:color w:val="auto"/>
          <w:szCs w:val="21"/>
        </w:rPr>
      </w:pPr>
    </w:p>
    <w:p>
      <w:pPr>
        <w:spacing w:line="360" w:lineRule="auto"/>
        <w:rPr>
          <w:rFonts w:ascii="宋体" w:hAnsi="宋体" w:cs="宋体"/>
          <w:color w:val="auto"/>
          <w:szCs w:val="21"/>
        </w:rPr>
      </w:pPr>
    </w:p>
    <w:p>
      <w:pPr>
        <w:spacing w:line="360" w:lineRule="auto"/>
        <w:rPr>
          <w:rFonts w:ascii="宋体" w:hAnsi="宋体" w:cs="宋体"/>
          <w:color w:val="auto"/>
          <w:szCs w:val="21"/>
        </w:rPr>
      </w:pPr>
    </w:p>
    <w:p>
      <w:pPr>
        <w:spacing w:line="360" w:lineRule="auto"/>
        <w:rPr>
          <w:rFonts w:ascii="宋体" w:hAnsi="宋体" w:cs="宋体"/>
          <w:color w:val="auto"/>
          <w:szCs w:val="21"/>
        </w:rPr>
      </w:pPr>
    </w:p>
    <w:p>
      <w:pPr>
        <w:spacing w:line="360" w:lineRule="auto"/>
        <w:rPr>
          <w:rFonts w:ascii="宋体" w:hAnsi="宋体" w:cs="宋体"/>
          <w:color w:val="auto"/>
          <w:szCs w:val="21"/>
        </w:rPr>
      </w:pPr>
    </w:p>
    <w:p>
      <w:pPr>
        <w:spacing w:line="360" w:lineRule="auto"/>
        <w:rPr>
          <w:rFonts w:ascii="宋体" w:hAnsi="宋体" w:cs="宋体"/>
          <w:color w:val="auto"/>
          <w:szCs w:val="21"/>
        </w:rPr>
      </w:pPr>
    </w:p>
    <w:p>
      <w:pPr>
        <w:spacing w:line="360" w:lineRule="auto"/>
        <w:rPr>
          <w:rFonts w:ascii="宋体" w:hAnsi="宋体" w:cs="宋体"/>
          <w:color w:val="auto"/>
          <w:szCs w:val="21"/>
        </w:rPr>
      </w:pPr>
    </w:p>
    <w:p>
      <w:pPr>
        <w:spacing w:line="360" w:lineRule="auto"/>
        <w:rPr>
          <w:rFonts w:ascii="宋体" w:hAnsi="宋体" w:cs="宋体"/>
          <w:color w:val="auto"/>
          <w:szCs w:val="21"/>
        </w:rPr>
      </w:pPr>
    </w:p>
    <w:p>
      <w:pPr>
        <w:spacing w:line="360" w:lineRule="auto"/>
        <w:rPr>
          <w:rFonts w:ascii="宋体" w:hAnsi="宋体" w:cs="宋体"/>
          <w:color w:val="auto"/>
          <w:szCs w:val="21"/>
        </w:rPr>
      </w:pPr>
    </w:p>
    <w:p>
      <w:pPr>
        <w:spacing w:line="360" w:lineRule="auto"/>
        <w:rPr>
          <w:rFonts w:ascii="宋体" w:hAnsi="宋体" w:cs="宋体"/>
          <w:color w:val="auto"/>
          <w:szCs w:val="21"/>
        </w:rPr>
      </w:pPr>
    </w:p>
    <w:p>
      <w:pPr>
        <w:spacing w:line="360" w:lineRule="auto"/>
        <w:rPr>
          <w:rFonts w:ascii="宋体" w:hAnsi="宋体" w:cs="宋体"/>
          <w:color w:val="auto"/>
          <w:szCs w:val="21"/>
        </w:rPr>
      </w:pPr>
    </w:p>
    <w:p>
      <w:pPr>
        <w:spacing w:line="360" w:lineRule="auto"/>
        <w:rPr>
          <w:rFonts w:ascii="宋体" w:hAnsi="宋体" w:cs="宋体"/>
          <w:color w:val="auto"/>
          <w:szCs w:val="21"/>
        </w:rPr>
      </w:pPr>
    </w:p>
    <w:p>
      <w:pPr>
        <w:spacing w:line="360" w:lineRule="auto"/>
        <w:rPr>
          <w:rFonts w:ascii="宋体" w:hAnsi="宋体" w:cs="宋体"/>
          <w:color w:val="auto"/>
          <w:szCs w:val="21"/>
        </w:rPr>
      </w:pPr>
      <w:r>
        <w:rPr>
          <w:rFonts w:hint="eastAsia" w:ascii="宋体" w:hAnsi="宋体" w:cs="宋体"/>
          <w:color w:val="auto"/>
          <w:szCs w:val="21"/>
        </w:rPr>
        <w:t>`</w:t>
      </w:r>
    </w:p>
    <w:p>
      <w:pPr>
        <w:spacing w:line="360" w:lineRule="auto"/>
        <w:rPr>
          <w:rFonts w:ascii="宋体" w:hAnsi="宋体" w:cs="宋体"/>
          <w:color w:val="auto"/>
          <w:szCs w:val="21"/>
        </w:rPr>
      </w:pPr>
    </w:p>
    <w:p>
      <w:pPr>
        <w:spacing w:line="360" w:lineRule="auto"/>
        <w:rPr>
          <w:rFonts w:ascii="宋体" w:hAnsi="宋体" w:cs="宋体"/>
          <w:color w:val="auto"/>
          <w:szCs w:val="21"/>
        </w:rPr>
      </w:pPr>
    </w:p>
    <w:p>
      <w:pPr>
        <w:spacing w:line="360" w:lineRule="auto"/>
        <w:rPr>
          <w:rFonts w:hint="eastAsia" w:ascii="黑体" w:hAnsi="黑体" w:eastAsia="黑体" w:cs="黑体"/>
          <w:bCs/>
          <w:color w:val="auto"/>
          <w:sz w:val="24"/>
          <w:szCs w:val="24"/>
        </w:rPr>
      </w:pPr>
    </w:p>
    <w:p>
      <w:pPr>
        <w:spacing w:line="360" w:lineRule="auto"/>
        <w:rPr>
          <w:rFonts w:hint="eastAsia" w:ascii="黑体" w:hAnsi="黑体" w:eastAsia="黑体" w:cs="黑体"/>
          <w:bCs/>
          <w:color w:val="auto"/>
          <w:sz w:val="24"/>
          <w:szCs w:val="24"/>
        </w:rPr>
      </w:pPr>
    </w:p>
    <w:p>
      <w:pPr>
        <w:spacing w:line="360" w:lineRule="auto"/>
        <w:rPr>
          <w:rFonts w:ascii="黑体" w:hAnsi="黑体" w:eastAsia="黑体" w:cs="黑体"/>
          <w:bCs/>
          <w:color w:val="auto"/>
          <w:sz w:val="24"/>
          <w:szCs w:val="24"/>
        </w:rPr>
      </w:pPr>
      <w:r>
        <w:rPr>
          <w:rFonts w:hint="eastAsia" w:ascii="黑体" w:hAnsi="黑体" w:eastAsia="黑体" w:cs="黑体"/>
          <w:bCs/>
          <w:color w:val="auto"/>
          <w:sz w:val="24"/>
          <w:szCs w:val="24"/>
        </w:rPr>
        <w:t>附件6   药物临床试验合同模板</w:t>
      </w:r>
    </w:p>
    <w:p>
      <w:pPr>
        <w:ind w:firstLine="3092" w:firstLineChars="1100"/>
        <w:rPr>
          <w:rFonts w:ascii="黑体" w:hAnsi="黑体" w:eastAsia="黑体" w:cs="黑体"/>
          <w:b/>
          <w:bCs/>
          <w:color w:val="auto"/>
          <w:sz w:val="28"/>
          <w:szCs w:val="28"/>
        </w:rPr>
      </w:pPr>
      <w:r>
        <w:rPr>
          <w:rFonts w:hint="eastAsia" w:ascii="黑体" w:hAnsi="黑体" w:eastAsia="黑体" w:cs="黑体"/>
          <w:b/>
          <w:bCs/>
          <w:color w:val="auto"/>
          <w:sz w:val="28"/>
          <w:szCs w:val="28"/>
        </w:rPr>
        <w:t>药物临床试验合同</w:t>
      </w:r>
    </w:p>
    <w:p>
      <w:pPr>
        <w:rPr>
          <w:b/>
          <w:bCs/>
          <w:color w:val="auto"/>
        </w:rPr>
      </w:pP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甲方：</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b/>
          <w:bCs/>
          <w:color w:val="auto"/>
          <w:sz w:val="24"/>
          <w:szCs w:val="24"/>
        </w:rPr>
        <w:t>乙方：</w:t>
      </w:r>
      <w:r>
        <w:rPr>
          <w:rFonts w:hint="eastAsia" w:asciiTheme="minorEastAsia" w:hAnsiTheme="minorEastAsia" w:cstheme="minorEastAsia"/>
          <w:color w:val="auto"/>
          <w:sz w:val="24"/>
          <w:szCs w:val="24"/>
        </w:rPr>
        <w:t>沂源县人民医院</w:t>
      </w:r>
    </w:p>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Cs w:val="21"/>
        </w:rPr>
      </w:pPr>
      <w:r>
        <w:rPr>
          <w:rFonts w:hint="eastAsia" w:asciiTheme="minorEastAsia" w:hAnsiTheme="minorEastAsia" w:cstheme="minorEastAsia"/>
          <w:color w:val="auto"/>
          <w:szCs w:val="21"/>
        </w:rPr>
        <w:t>请介绍药物开发背景，及委托我院参与研究的前提阐述。</w:t>
      </w:r>
    </w:p>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研究题目：</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方案编号：</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申办者：</w:t>
      </w:r>
    </w:p>
    <w:p>
      <w:pPr>
        <w:numPr>
          <w:ilvl w:val="0"/>
          <w:numId w:val="46"/>
        </w:num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研究目的</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w:t>
      </w:r>
      <w:r>
        <w:rPr>
          <w:rFonts w:hint="eastAsia" w:asciiTheme="minorEastAsia" w:hAnsiTheme="minorEastAsia" w:cstheme="minorEastAsia"/>
          <w:color w:val="auto"/>
          <w:szCs w:val="21"/>
        </w:rPr>
        <w:t xml:space="preserve"> 请根据项目填写</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w:t>
      </w:r>
      <w:r>
        <w:rPr>
          <w:rFonts w:hint="eastAsia" w:asciiTheme="minorEastAsia" w:hAnsiTheme="minorEastAsia" w:cstheme="minorEastAsia"/>
          <w:b/>
          <w:bCs/>
          <w:color w:val="auto"/>
          <w:sz w:val="24"/>
          <w:szCs w:val="24"/>
        </w:rPr>
        <w:t>、双方权利与义务</w:t>
      </w: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 xml:space="preserve"> （一）甲方权利与义务</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1、遵循国家《药品注册管理办法》、《药物临床试验质量管理规范》(GCP)等法律、法规的要求组织临床试验。</w:t>
      </w:r>
    </w:p>
    <w:p>
      <w:pPr>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rPr>
        <w:t>2、负责向乙方免费提供经</w:t>
      </w:r>
      <w:r>
        <w:rPr>
          <w:rFonts w:hint="eastAsia" w:asciiTheme="minorEastAsia" w:hAnsiTheme="minorEastAsia" w:cstheme="minorEastAsia"/>
          <w:color w:val="auto"/>
          <w:sz w:val="24"/>
          <w:szCs w:val="24"/>
          <w:highlight w:val="none"/>
        </w:rPr>
        <w:t>检验合格的试验用药物并回收剩余药物，提供临床试验所需的所有相关技术资料如</w:t>
      </w:r>
      <w:r>
        <w:rPr>
          <w:rFonts w:hint="eastAsia" w:asciiTheme="minorEastAsia" w:hAnsiTheme="minorEastAsia" w:cstheme="minorEastAsia"/>
          <w:strike w:val="0"/>
          <w:dstrike w:val="0"/>
          <w:color w:val="auto"/>
          <w:sz w:val="24"/>
          <w:szCs w:val="24"/>
          <w:highlight w:val="none"/>
          <w:u w:val="none"/>
          <w:lang w:val="en-US" w:eastAsia="zh-CN"/>
        </w:rPr>
        <w:t>NMPA批件/</w:t>
      </w:r>
      <w:r>
        <w:rPr>
          <w:rFonts w:hint="eastAsia" w:asciiTheme="minorEastAsia" w:hAnsiTheme="minorEastAsia" w:cstheme="minorEastAsia"/>
          <w:strike w:val="0"/>
          <w:dstrike w:val="0"/>
          <w:color w:val="auto"/>
          <w:sz w:val="24"/>
          <w:szCs w:val="24"/>
          <w:highlight w:val="none"/>
        </w:rPr>
        <w:t>药物临床试验批准通知书</w:t>
      </w:r>
      <w:r>
        <w:rPr>
          <w:rFonts w:hint="eastAsia" w:asciiTheme="minorEastAsia" w:hAnsiTheme="minorEastAsia" w:cstheme="minorEastAsia"/>
          <w:strike w:val="0"/>
          <w:dstrike w:val="0"/>
          <w:color w:val="auto"/>
          <w:sz w:val="24"/>
          <w:szCs w:val="24"/>
          <w:highlight w:val="none"/>
          <w:lang w:val="en-US" w:eastAsia="zh-CN"/>
        </w:rPr>
        <w:t>/备案文件/注册临床批件（</w:t>
      </w:r>
      <w:r>
        <w:rPr>
          <w:rFonts w:hint="eastAsia" w:ascii="黑体" w:hAnsi="黑体" w:eastAsia="黑体" w:cs="黑体"/>
          <w:strike w:val="0"/>
          <w:dstrike w:val="0"/>
          <w:color w:val="auto"/>
          <w:sz w:val="24"/>
          <w:szCs w:val="24"/>
          <w:highlight w:val="none"/>
          <w:lang w:val="en-US" w:eastAsia="zh-CN"/>
        </w:rPr>
        <w:t>Ⅳ</w:t>
      </w:r>
      <w:r>
        <w:rPr>
          <w:rFonts w:hint="eastAsia" w:asciiTheme="minorEastAsia" w:hAnsiTheme="minorEastAsia" w:cstheme="minorEastAsia"/>
          <w:strike w:val="0"/>
          <w:dstrike w:val="0"/>
          <w:color w:val="auto"/>
          <w:sz w:val="24"/>
          <w:szCs w:val="24"/>
          <w:highlight w:val="none"/>
          <w:lang w:val="en-US" w:eastAsia="zh-CN"/>
        </w:rPr>
        <w:t>期试验）</w:t>
      </w:r>
      <w:r>
        <w:rPr>
          <w:rFonts w:hint="eastAsia" w:asciiTheme="minorEastAsia" w:hAnsiTheme="minorEastAsia" w:cstheme="minorEastAsia"/>
          <w:strike w:val="0"/>
          <w:color w:val="auto"/>
          <w:sz w:val="24"/>
          <w:szCs w:val="24"/>
          <w:highlight w:val="none"/>
        </w:rPr>
        <w:t>、</w:t>
      </w:r>
      <w:r>
        <w:rPr>
          <w:rFonts w:hint="eastAsia" w:asciiTheme="minorEastAsia" w:hAnsiTheme="minorEastAsia" w:cstheme="minorEastAsia"/>
          <w:color w:val="auto"/>
          <w:sz w:val="24"/>
          <w:szCs w:val="24"/>
          <w:highlight w:val="none"/>
        </w:rPr>
        <w:t>甲方及申办者相应资质证明、伦理委员会批件、药物检验合格报告、研究者手册、试验方案、受试者知情同意书、病例报告表、应急信件、严重不良事件记录表及临床研究用文件夹等。</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3、负责对乙方的研究人员进行与该临床研究有关的培训，及时提供相应临床试验经费。</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4、在临床试验进行期间，委派经培训合格并为乙方接受的监查员监督临床试验的质量和进度，并就监查中发现的问题与乙方协商解决。</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5、对临床试验结果进行数据统计并完成统计分析报告，并对其及本临床试验相关的资料享有所有权。</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6、承担受试者发生与试验相关的损害或死亡的治疗费用及相应的经济补偿，并向乙方提供法律上与经济上的担保。若研究者违反本临床试验方案和医疗常规，使受试者遭受损害而导致医疗费用，甲方不予承担。</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7、申办方为此项研究在xxxx保险公司购买了临床试验人身伤害保险，最高保险金额为YYYY万元。受试者在发生不良事件后提出赔偿要求，则由申办方负责联系保险公司，由保险公司依据保险合同支付赔偿金。</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8、当临床试验过程中发生严重不良事件时，应与研究者共同迅速研究所发生的严重不良事件，采取必要的措施以保证受试者的安全，</w:t>
      </w:r>
      <w:r>
        <w:rPr>
          <w:rFonts w:hint="eastAsia" w:asciiTheme="minorEastAsia" w:hAnsiTheme="minorEastAsia" w:cstheme="minorEastAsia"/>
          <w:color w:val="auto"/>
          <w:sz w:val="24"/>
          <w:szCs w:val="24"/>
          <w:highlight w:val="none"/>
        </w:rPr>
        <w:t>有义务协助乙方及时向申办者、负责单位主要研究者、伦理委员会、临床试验机构报告，并协助申办方向药品监督管理部门、卫生行政部门报告</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同时向涉及同一药物临床试验的其他研究者通报</w:t>
      </w:r>
      <w:r>
        <w:rPr>
          <w:rFonts w:hint="eastAsia" w:asciiTheme="minorEastAsia" w:hAnsiTheme="minorEastAsia" w:cstheme="minorEastAsia"/>
          <w:color w:val="auto"/>
          <w:sz w:val="24"/>
          <w:szCs w:val="24"/>
        </w:rPr>
        <w:t>。</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9、若提前中止或暂停本项临床试验，必须通知负责单位伦理委员会、乙方、</w:t>
      </w:r>
      <w:r>
        <w:rPr>
          <w:rFonts w:hint="eastAsia" w:asciiTheme="minorEastAsia" w:hAnsiTheme="minorEastAsia" w:cstheme="minorEastAsia"/>
          <w:strike w:val="0"/>
          <w:dstrike w:val="0"/>
          <w:color w:val="auto"/>
          <w:sz w:val="24"/>
          <w:szCs w:val="24"/>
          <w:lang w:val="en-US" w:eastAsia="zh-CN"/>
        </w:rPr>
        <w:t>药品监督管理部门</w:t>
      </w:r>
      <w:r>
        <w:rPr>
          <w:rFonts w:hint="eastAsia" w:asciiTheme="minorEastAsia" w:hAnsiTheme="minorEastAsia" w:cstheme="minorEastAsia"/>
          <w:color w:val="auto"/>
          <w:sz w:val="24"/>
          <w:szCs w:val="24"/>
        </w:rPr>
        <w:t>，并阐明理由。</w:t>
      </w: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（二）乙方权利与义务</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1、负责组织、协调、督促本中心参加临床试验的医护人员严格按照国家新药临床研究的相关法律、法规（GCP等）及临床试验方案等相关要求进行本次临床试验。</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2、于协议规定的试验期限内在乙方____专业组完成入组____例，合格病例（指符合入组标准，不符合排除标准、脱落标准和剔除标准）不少于____例，即脱落和剔除病例不超过____例。</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3、临床试验结束时提交完整合格的病例报告表，将所有剩余试验用药及物资归还甲方。</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4、收到甲方提供的临床试验经费后提供相应的财务票据。</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5、试验进行中或结束后，配合国家或地方药品监督管理局</w:t>
      </w:r>
      <w:r>
        <w:rPr>
          <w:rFonts w:hint="eastAsia" w:asciiTheme="minorEastAsia" w:hAnsiTheme="minorEastAsia" w:cstheme="minorEastAsia"/>
          <w:color w:val="auto"/>
          <w:sz w:val="24"/>
          <w:szCs w:val="24"/>
          <w:highlight w:val="none"/>
        </w:rPr>
        <w:t>的</w:t>
      </w:r>
      <w:r>
        <w:rPr>
          <w:rFonts w:hint="eastAsia" w:asciiTheme="minorEastAsia" w:hAnsiTheme="minorEastAsia" w:cstheme="minorEastAsia"/>
          <w:color w:val="auto"/>
          <w:sz w:val="24"/>
          <w:szCs w:val="24"/>
          <w:highlight w:val="none"/>
          <w:lang w:val="en-US" w:eastAsia="zh-CN"/>
        </w:rPr>
        <w:t>检查</w:t>
      </w:r>
      <w:r>
        <w:rPr>
          <w:rFonts w:hint="eastAsia" w:asciiTheme="minorEastAsia" w:hAnsiTheme="minorEastAsia" w:cstheme="minorEastAsia"/>
          <w:color w:val="auto"/>
          <w:sz w:val="24"/>
          <w:szCs w:val="24"/>
          <w:highlight w:val="none"/>
        </w:rPr>
        <w:t>及由甲方委派的稽查员、监查员对临床试验的稽查、监查。</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6、在临床研究过程中，若受试者发生与研究药物相关的不良事件，乙方应立即对受试者进行积极的治疗并记录与病例报告表中。如为严重不良事件，研究者还应报告甲方</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负责单位主要研究者</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伦理委员会</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临床试验机构，并在报告上签名及注明日期。</w:t>
      </w:r>
    </w:p>
    <w:p>
      <w:pPr>
        <w:spacing w:line="360" w:lineRule="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7、在收到甲方数据处理单位对病例报告表的询问表后，应及时提供反馈信息，一般情况下不应超过一周。</w:t>
      </w:r>
    </w:p>
    <w:p>
      <w:pPr>
        <w:spacing w:line="360" w:lineRule="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8、在收到统计分析报告后，如无异议，应在3周内完成临床试验总结报告及分中心小结表。</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val="en-US" w:eastAsia="zh-CN"/>
        </w:rPr>
        <w:t>9</w:t>
      </w:r>
      <w:r>
        <w:rPr>
          <w:rFonts w:hint="eastAsia" w:asciiTheme="minorEastAsia" w:hAnsiTheme="minorEastAsia" w:cstheme="minorEastAsia"/>
          <w:color w:val="auto"/>
          <w:sz w:val="24"/>
          <w:szCs w:val="24"/>
        </w:rPr>
        <w:t>、应严格遵守保密协议，不向除甲方以外任何一方泄露有关本试验的内容。乙方发表本试验相关论文时，应先征得甲方同意。</w:t>
      </w:r>
    </w:p>
    <w:p>
      <w:pPr>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lang w:val="en-US" w:eastAsia="zh-CN"/>
        </w:rPr>
        <w:t>10</w:t>
      </w:r>
      <w:r>
        <w:rPr>
          <w:rFonts w:hint="eastAsia" w:asciiTheme="minorEastAsia" w:hAnsiTheme="minorEastAsia" w:cstheme="minorEastAsia"/>
          <w:color w:val="auto"/>
          <w:sz w:val="24"/>
          <w:szCs w:val="24"/>
        </w:rPr>
        <w:t>、若需提前中止或暂停本项临床试验，必须通知甲方、伦理</w:t>
      </w:r>
      <w:r>
        <w:rPr>
          <w:rFonts w:hint="eastAsia" w:asciiTheme="minorEastAsia" w:hAnsiTheme="minorEastAsia" w:cstheme="minorEastAsia"/>
          <w:color w:val="auto"/>
          <w:sz w:val="24"/>
          <w:szCs w:val="24"/>
          <w:highlight w:val="none"/>
        </w:rPr>
        <w:t>委员会</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strike w:val="0"/>
          <w:dstrike w:val="0"/>
          <w:color w:val="auto"/>
          <w:sz w:val="24"/>
          <w:szCs w:val="24"/>
          <w:highlight w:val="none"/>
        </w:rPr>
        <w:t>临床试验机构</w:t>
      </w:r>
      <w:r>
        <w:rPr>
          <w:rFonts w:hint="eastAsia" w:asciiTheme="minorEastAsia" w:hAnsiTheme="minorEastAsia" w:cstheme="minorEastAsia"/>
          <w:color w:val="auto"/>
          <w:sz w:val="24"/>
          <w:szCs w:val="24"/>
          <w:highlight w:val="none"/>
        </w:rPr>
        <w:t>和受试者，并阐明理由。</w:t>
      </w: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三、协议合作期限</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计划于____年___月__日至____年___月___日，共___天，乙方在如下时间范围之内进行并完成临床试验（部分）计划：</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开始入选受试者：____年__月__日</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结束入选受试者：____年__月__日</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结束观察日期：____年__月</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入组期：____天，观察期：____周</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完成全部病例报告表填写：____年__月</w:t>
      </w:r>
    </w:p>
    <w:p>
      <w:pPr>
        <w:numPr>
          <w:ilvl w:val="0"/>
          <w:numId w:val="47"/>
        </w:num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财务协议（单位:元人民币）</w:t>
      </w:r>
    </w:p>
    <w:p>
      <w:pPr>
        <w:spacing w:line="360" w:lineRule="auto"/>
        <w:rPr>
          <w:rFonts w:hint="eastAsia" w:asciiTheme="minorEastAsia" w:hAnsiTheme="minorEastAsia" w:eastAsiaTheme="minorEastAsia" w:cstheme="minorEastAsia"/>
          <w:b/>
          <w:bCs/>
          <w:color w:val="auto"/>
          <w:sz w:val="24"/>
          <w:szCs w:val="24"/>
          <w:lang w:eastAsia="zh-CN"/>
        </w:rPr>
      </w:pPr>
      <w:r>
        <w:rPr>
          <w:rFonts w:hint="eastAsia" w:asciiTheme="minorEastAsia" w:hAnsiTheme="minorEastAsia" w:cstheme="minorEastAsia"/>
          <w:b/>
          <w:bCs/>
          <w:color w:val="auto"/>
          <w:sz w:val="24"/>
          <w:szCs w:val="24"/>
        </w:rPr>
        <w:t>（一）合同委托方费用承担及支付方式、支付时间：</w:t>
      </w:r>
    </w:p>
    <w:p>
      <w:pPr>
        <w:spacing w:line="360" w:lineRule="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rPr>
        <w:t>本合同费用总额为******元</w:t>
      </w:r>
    </w:p>
    <w:p>
      <w:pPr>
        <w:spacing w:line="360" w:lineRule="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rPr>
        <w:t>支付方式：转账或支票支付</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支付时间：试验前支付80%（******元），试验完成按实际完成病例数支付剩余部分，乙方须向甲方出具山东省统一印发的行政往来收据。</w:t>
      </w: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（二）付款方式</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l、甲方按照以下方式支付给乙方临床试验费用</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银行账户名称：沂源县人民医院</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开户银行：中国农业银行沂源县支行</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银行帐号：15250101040002373</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2、付款收到后，乙方负责提供山东省统一印发的行政往来收据。</w:t>
      </w: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五、成果的归属与分享</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l、临床试验报告及报告内所包含的试验资料和数据按研究方案的规定办理。</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2、乙方若欲将临床试验结果用于科研会议或发表，需事先得到甲方的许可。</w:t>
      </w: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六、违约责任</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l、双方应严格履行本协议的约定，因一方违约给他方造成损失应承担赔偿责任。</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如一方因遭受不可抗力，如战争、灾害、政策变动等其它无法预见并客观上无法避免且不能克服的不可抗力事故以及其他双方一致认同的事件，而不能执行本协议，该方对此不承担责任。双方应尽可能利用合理方法在可能的范围内减轻损失，通过协商决定是否解除协议，或部分免除，或延期履行协议的责任，而且这种变更不应被视为违约。</w:t>
      </w: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七、保密条款</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如果甲乙双方终止合作，合作各方对于其所了解或知悉的合作对方的关于本协议约定之产品的技术秘密与商业秘密仍然负有保密义务，即不得向任何其他方透露或为任何其他方所知情。但因提交该产品审批部门，以及审评专家对产品的审验与研讨论证所导致的信息披露不在其列。</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关于本协议约定之产品的技术秘密与商业秘密是指:</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1、临床资料与试验数据；</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2、产品质量标准及检验方法；</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3、所有相关技术资料与文献。</w:t>
      </w: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八、其他</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l、本协议规定未尽之处，甲乙双方可签订补充协议，补充协议与本协议共同使用具有相应法律效力。本协议之任何修改与补充，均需甲乙双方以书面形式作出，并经甲乙双方书面确认方可生效。</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2、如因甲方原因提前终止临床试验，所付款额按终止时已入选的病例数决定；如因乙方原因提前终止临床试验，所付款项金额由双方协商解决。</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3、本协议未尽事宜，由甲、乙双方友好协商妥善解决。本协议有争执时，经协商仍不能达成一致意见的，应提交仲裁机构仲裁；双方对仲裁机构不能达成一致意见的，可选择第三地仲裁机构，或者通过中华人民共和国法律解决。</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4、本协议一式肆份，双方签字盖章后各执贰份，每份具有同等的法律效力。</w:t>
      </w:r>
    </w:p>
    <w:p>
      <w:pPr>
        <w:numPr>
          <w:ilvl w:val="0"/>
          <w:numId w:val="48"/>
        </w:num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本协议自双方签署盖章之日起生效。</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甲方：XXXXXXXXXXXXXX（章）             乙方：沂源县人民医院（章）</w:t>
      </w:r>
    </w:p>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甲方代表签字：                         乙方代表签字：</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w:t>
      </w:r>
    </w:p>
    <w:p>
      <w:pPr>
        <w:spacing w:line="360" w:lineRule="auto"/>
        <w:ind w:firstLine="4560" w:firstLineChars="19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主要研究者签字：</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日期：    年    月    日               日期：    年    月    日</w:t>
      </w:r>
    </w:p>
    <w:p>
      <w:pPr>
        <w:spacing w:line="360" w:lineRule="auto"/>
        <w:rPr>
          <w:rFonts w:hint="eastAsia" w:ascii="黑体" w:hAnsi="黑体" w:eastAsia="黑体" w:cs="黑体"/>
          <w:bCs/>
          <w:color w:val="auto"/>
          <w:sz w:val="24"/>
          <w:szCs w:val="24"/>
        </w:rPr>
      </w:pPr>
    </w:p>
    <w:p>
      <w:pPr>
        <w:spacing w:line="360" w:lineRule="auto"/>
        <w:rPr>
          <w:rFonts w:ascii="黑体" w:hAnsi="黑体" w:eastAsia="黑体" w:cs="黑体"/>
          <w:bCs/>
          <w:color w:val="auto"/>
          <w:sz w:val="24"/>
          <w:szCs w:val="24"/>
        </w:rPr>
      </w:pPr>
      <w:r>
        <w:rPr>
          <w:rFonts w:hint="eastAsia" w:ascii="黑体" w:hAnsi="黑体" w:eastAsia="黑体" w:cs="黑体"/>
          <w:bCs/>
          <w:color w:val="auto"/>
          <w:sz w:val="24"/>
          <w:szCs w:val="24"/>
        </w:rPr>
        <w:t>附件6   医疗器械合同模板</w:t>
      </w:r>
    </w:p>
    <w:p>
      <w:pPr>
        <w:ind w:firstLine="3092" w:firstLineChars="1100"/>
        <w:rPr>
          <w:rFonts w:ascii="黑体" w:hAnsi="黑体" w:eastAsia="黑体" w:cs="黑体"/>
          <w:b/>
          <w:bCs/>
          <w:color w:val="auto"/>
          <w:sz w:val="28"/>
          <w:szCs w:val="28"/>
        </w:rPr>
      </w:pPr>
      <w:r>
        <w:rPr>
          <w:rFonts w:hint="eastAsia" w:ascii="黑体" w:hAnsi="黑体" w:eastAsia="黑体" w:cs="黑体"/>
          <w:b/>
          <w:bCs/>
          <w:color w:val="auto"/>
          <w:sz w:val="28"/>
          <w:szCs w:val="28"/>
        </w:rPr>
        <w:t>医疗器械临床试验合同</w:t>
      </w:r>
    </w:p>
    <w:p>
      <w:pPr>
        <w:rPr>
          <w:b/>
          <w:bCs/>
          <w:color w:val="auto"/>
        </w:rPr>
      </w:pP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甲方：</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b/>
          <w:bCs/>
          <w:color w:val="auto"/>
          <w:sz w:val="24"/>
          <w:szCs w:val="24"/>
        </w:rPr>
        <w:t>乙方：</w:t>
      </w:r>
      <w:r>
        <w:rPr>
          <w:rFonts w:hint="eastAsia" w:asciiTheme="minorEastAsia" w:hAnsiTheme="minorEastAsia" w:cstheme="minorEastAsia"/>
          <w:color w:val="auto"/>
          <w:sz w:val="24"/>
          <w:szCs w:val="24"/>
        </w:rPr>
        <w:t>沂源县人民医院</w:t>
      </w:r>
    </w:p>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请介绍医疗器械开发背景，及委托我院参与研究的前提阐述。</w:t>
      </w:r>
    </w:p>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研究题目：</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方案编号：</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申办者：</w:t>
      </w:r>
    </w:p>
    <w:p>
      <w:pPr>
        <w:numPr>
          <w:ilvl w:val="0"/>
          <w:numId w:val="49"/>
        </w:numPr>
        <w:spacing w:line="360" w:lineRule="auto"/>
        <w:ind w:firstLine="0"/>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研究目的</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w:t>
      </w:r>
      <w:r>
        <w:rPr>
          <w:rFonts w:hint="eastAsia" w:asciiTheme="minorEastAsia" w:hAnsiTheme="minorEastAsia" w:cstheme="minorEastAsia"/>
          <w:color w:val="auto"/>
          <w:szCs w:val="21"/>
        </w:rPr>
        <w:t xml:space="preserve"> 请根据项目填写</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w:t>
      </w:r>
      <w:r>
        <w:rPr>
          <w:rFonts w:hint="eastAsia" w:asciiTheme="minorEastAsia" w:hAnsiTheme="minorEastAsia" w:cstheme="minorEastAsia"/>
          <w:b/>
          <w:bCs/>
          <w:color w:val="auto"/>
          <w:sz w:val="24"/>
          <w:szCs w:val="24"/>
        </w:rPr>
        <w:t>、双方权利与义务</w:t>
      </w: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 xml:space="preserve"> （一）甲方权利与义务</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1、遵循国家《医疗器械注册管理办法》、《医疗器械临床试验质量管理规范》等法律、法规的要求组织临床试验。</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负责向乙方免费提供试验用医疗器械并回收剩余试验用医疗器械，试验用医疗器械应当质量合格，具有易于识别、正确编码以及贴有“试验用”的特殊标识，并按照临床试验方案要求进行适当包装和保存；同时需明确试验产品的运输条件、储存条件、储存时间、有效期等信息。提供临床试验所需的所有相关技术</w:t>
      </w:r>
      <w:r>
        <w:rPr>
          <w:rFonts w:hint="eastAsia" w:asciiTheme="minorEastAsia" w:hAnsiTheme="minorEastAsia" w:cstheme="minorEastAsia"/>
          <w:color w:val="auto"/>
          <w:sz w:val="24"/>
          <w:szCs w:val="24"/>
          <w:highlight w:val="none"/>
        </w:rPr>
        <w:t>资料如</w:t>
      </w:r>
      <w:r>
        <w:rPr>
          <w:rFonts w:hint="eastAsia" w:asciiTheme="minorEastAsia" w:hAnsiTheme="minorEastAsia" w:cstheme="minorEastAsia"/>
          <w:color w:val="auto"/>
          <w:sz w:val="24"/>
          <w:szCs w:val="24"/>
          <w:highlight w:val="none"/>
          <w:lang w:val="en-US" w:eastAsia="zh-CN"/>
        </w:rPr>
        <w:t>NMPA审批证明或备案证明、</w:t>
      </w:r>
      <w:r>
        <w:rPr>
          <w:rFonts w:hint="eastAsia" w:asciiTheme="minorEastAsia" w:hAnsiTheme="minorEastAsia" w:cstheme="minorEastAsia"/>
          <w:color w:val="auto"/>
          <w:sz w:val="24"/>
          <w:szCs w:val="24"/>
          <w:highlight w:val="none"/>
        </w:rPr>
        <w:t>甲方及申办者相应资质证明、伦理委员会批件、</w:t>
      </w:r>
      <w:r>
        <w:rPr>
          <w:rFonts w:hint="eastAsia" w:asciiTheme="minorEastAsia" w:hAnsiTheme="minorEastAsia" w:cstheme="minorEastAsia"/>
          <w:strike w:val="0"/>
          <w:dstrike w:val="0"/>
          <w:color w:val="auto"/>
          <w:sz w:val="24"/>
          <w:szCs w:val="24"/>
          <w:highlight w:val="none"/>
        </w:rPr>
        <w:t>基于产品技术要求的产品检验报告</w:t>
      </w:r>
      <w:r>
        <w:rPr>
          <w:rFonts w:hint="eastAsia" w:asciiTheme="minorEastAsia" w:hAnsiTheme="minorEastAsia" w:cstheme="minorEastAsia"/>
          <w:color w:val="auto"/>
          <w:sz w:val="24"/>
          <w:szCs w:val="24"/>
          <w:highlight w:val="none"/>
        </w:rPr>
        <w:t>、研究者手册、试验方案、受试者知情同意书、病例报告表、应急信件、严重不良事件记录表及临床研究用文件夹等。</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3、负责对乙方的研究人员进行与该临床研究有关的培训，及时提供相应临床试验经费。</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4、在临床试验进行期间，委派经培训合格并为乙方接受的监查员监督临床试验的质量和进度，并就监查中发现的问题与乙方协商解决。</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5、对临床试验结果进行数据统计并完成统计分析报告，并对其及本临床试验相关的资料享有所有权。</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6、承担受试者发生与试验相关的损害或死亡的治疗费用及相应的经济补偿，并向乙方提供法律上与经济上的担保。若研究者违反本临床试验方案和医疗常规，使受试者遭受损害而导致医疗费用，甲方不予承担。</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7、申办方为此项研究在xxxx保险公司购买了临床试验人身伤害保险，最高保险金额为YYYY万元。受试者在发生不良事件后提出赔偿要求，则由申办方负责联系保险公司，由保险公司依据保险合同支付赔偿金。</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8、当临床试验过程中发生严重不良事件时，应与研究者共同迅速研究所发生的严重不良事件，采取必要的措施以保证受试者的安全，有义务协助乙方及时向申办者、负责单位主要研究者、伦理委员会、临床试验机构报告，并协助申办方向药品监督管理部门、卫生行政部门报告</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同时向涉及同一医疗器械临床试验的其他研究者通报。</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rPr>
        <w:t>9、若提前中止或暂停本项临床试验，必须通知负责单</w:t>
      </w:r>
      <w:r>
        <w:rPr>
          <w:rFonts w:hint="eastAsia" w:asciiTheme="minorEastAsia" w:hAnsiTheme="minorEastAsia" w:cstheme="minorEastAsia"/>
          <w:color w:val="auto"/>
          <w:sz w:val="24"/>
          <w:szCs w:val="24"/>
          <w:highlight w:val="none"/>
        </w:rPr>
        <w:t>位伦理委员会、乙方、</w:t>
      </w:r>
      <w:r>
        <w:rPr>
          <w:rFonts w:hint="eastAsia" w:asciiTheme="minorEastAsia" w:hAnsiTheme="minorEastAsia" w:cstheme="minorEastAsia"/>
          <w:strike w:val="0"/>
          <w:dstrike w:val="0"/>
          <w:color w:val="auto"/>
          <w:sz w:val="24"/>
          <w:szCs w:val="24"/>
          <w:highlight w:val="none"/>
          <w:lang w:val="en-US" w:eastAsia="zh-CN"/>
        </w:rPr>
        <w:t>药品监督管理部门</w:t>
      </w:r>
      <w:r>
        <w:rPr>
          <w:rFonts w:hint="eastAsia" w:asciiTheme="minorEastAsia" w:hAnsiTheme="minorEastAsia" w:cstheme="minorEastAsia"/>
          <w:color w:val="auto"/>
          <w:sz w:val="24"/>
          <w:szCs w:val="24"/>
          <w:highlight w:val="none"/>
        </w:rPr>
        <w:t>，并阐明理由。</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（二）乙方权利与义务</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1、负责组织、协调、督促本中心参加临床试验的医护人员严格按照国家医疗器械临床研究的相关法律、法规（GCP等）及临床试验方案等相关要求进行本次临床试验。</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2、于协议规定的试验期限内在乙方____专业组完成入组____例，合格病例（指符合入组标准，不符合排除标准、脱落标准和剔除标准）不少于____例，即脱落和剔除病例不超过____例。</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3、临床试验结束时提交完整合格的病例报告表，将所有剩余试验用医疗器械及物资归还甲方。</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4、收到甲方提供的临床试验经费后提供相应的财务票据。</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5、试验进行中或结束后，配合</w:t>
      </w:r>
      <w:r>
        <w:rPr>
          <w:rFonts w:hint="eastAsia" w:asciiTheme="minorEastAsia" w:hAnsiTheme="minorEastAsia" w:cstheme="minorEastAsia"/>
          <w:color w:val="auto"/>
          <w:sz w:val="24"/>
          <w:szCs w:val="24"/>
          <w:lang w:val="en-US" w:eastAsia="zh-CN"/>
        </w:rPr>
        <w:t>药品监督管理部门</w:t>
      </w:r>
      <w:r>
        <w:rPr>
          <w:rFonts w:hint="eastAsia" w:asciiTheme="minorEastAsia" w:hAnsiTheme="minorEastAsia" w:cstheme="minorEastAsia"/>
          <w:color w:val="auto"/>
          <w:sz w:val="24"/>
          <w:szCs w:val="24"/>
        </w:rPr>
        <w:t>的视察及由甲方委派的监查员、核查员对临床试验的监查、核查。</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在临床研究过程中，若受试者发生与研究药物相关的不良事件，乙方应立即对受试者进行积极的治疗并记录与病例报告表中。如为严重不良事件，研究者还应报告甲方、负责单位主要研究者、伦理委员会、国家／地方食品药品监督管理局，并在报告上签名及注明日期。</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7、在收到甲方数据处理单位对病例报告表的询问表后，应及时提供反馈信息，一般情况下不应超过一周。</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8、在收到统计分析报告后，如无异议，应在3周内完成临床试验总结报告及分中心小结表。</w:t>
      </w:r>
    </w:p>
    <w:p>
      <w:pPr>
        <w:keepNext w:val="0"/>
        <w:keepLines w:val="0"/>
        <w:pageBreakBefore w:val="0"/>
        <w:widowControl w:val="0"/>
        <w:kinsoku/>
        <w:wordWrap/>
        <w:overflowPunct/>
        <w:topLinePunct w:val="0"/>
        <w:autoSpaceDE/>
        <w:autoSpaceDN/>
        <w:bidi w:val="0"/>
        <w:adjustRightInd/>
        <w:snapToGrid/>
        <w:spacing w:line="490" w:lineRule="exact"/>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val="en-US" w:eastAsia="zh-CN"/>
        </w:rPr>
        <w:t>9</w:t>
      </w:r>
      <w:r>
        <w:rPr>
          <w:rFonts w:hint="eastAsia" w:asciiTheme="minorEastAsia" w:hAnsiTheme="minorEastAsia" w:cstheme="minorEastAsia"/>
          <w:color w:val="auto"/>
          <w:sz w:val="24"/>
          <w:szCs w:val="24"/>
        </w:rPr>
        <w:t>、应严格遵守保密协议，不向除甲方以外任何一方泄露有关本试验的内容。乙方发表本试验相关论文时，应先征得甲方同意。</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val="en-US" w:eastAsia="zh-CN"/>
        </w:rPr>
        <w:t>10</w:t>
      </w:r>
      <w:r>
        <w:rPr>
          <w:rFonts w:hint="eastAsia" w:asciiTheme="minorEastAsia" w:hAnsiTheme="minorEastAsia" w:cstheme="minorEastAsia"/>
          <w:color w:val="auto"/>
          <w:sz w:val="24"/>
          <w:szCs w:val="24"/>
        </w:rPr>
        <w:t>、若需提前中止或暂停本项临床试验，必须通知甲方、伦理委员会、国家/地方食品药品监督管理局和受试者，并阐明理由。</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w:t>
      </w:r>
      <w:r>
        <w:rPr>
          <w:rFonts w:hint="eastAsia" w:asciiTheme="minorEastAsia" w:hAnsiTheme="minorEastAsia" w:cstheme="minorEastAsia"/>
          <w:color w:val="auto"/>
          <w:sz w:val="24"/>
          <w:szCs w:val="24"/>
          <w:lang w:val="en-US" w:eastAsia="zh-CN"/>
        </w:rPr>
        <w:t>1</w:t>
      </w:r>
      <w:r>
        <w:rPr>
          <w:rFonts w:hint="eastAsia" w:asciiTheme="minorEastAsia" w:hAnsiTheme="minorEastAsia" w:cstheme="minorEastAsia"/>
          <w:color w:val="auto"/>
          <w:sz w:val="24"/>
          <w:szCs w:val="24"/>
        </w:rPr>
        <w:t>、负责对临床试验的档案资料进行保管，保管期限至临床试验结束后10年，到期销毁或双方另行约定。</w:t>
      </w: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三、协议合作期限</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计划于____年___月__日至____年___月___日，共___天，乙方在如下时间范围之内进行并完成临床试验（部分）计划：</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开始入选受试者：____年__月__日</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结束入选受试者：____年__月__日</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结束观察日期：____年__月</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入组期：____天，观察期：____周</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完成全部病例报告表填写：____年__月</w:t>
      </w: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四、财务协议（单位:元人民币）</w:t>
      </w:r>
    </w:p>
    <w:p>
      <w:pPr>
        <w:numPr>
          <w:ilvl w:val="0"/>
          <w:numId w:val="50"/>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费用明细</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该试验计划入组______例受试者，预计该项目费用为_________，具体包括：</w:t>
      </w:r>
    </w:p>
    <w:p>
      <w:pPr>
        <w:numPr>
          <w:ilvl w:val="0"/>
          <w:numId w:val="51"/>
        </w:numPr>
        <w:spacing w:line="360" w:lineRule="auto"/>
        <w:rPr>
          <w:rFonts w:ascii="Arial" w:hAnsi="Arial" w:cs="Arial"/>
          <w:color w:val="auto"/>
          <w:sz w:val="24"/>
          <w:szCs w:val="24"/>
        </w:rPr>
      </w:pPr>
      <w:r>
        <w:rPr>
          <w:rFonts w:hint="eastAsia" w:asciiTheme="minorEastAsia" w:hAnsiTheme="minorEastAsia" w:cstheme="minorEastAsia"/>
          <w:color w:val="auto"/>
          <w:sz w:val="24"/>
          <w:szCs w:val="24"/>
        </w:rPr>
        <w:t>临床观察费用：_______元/例，总计：</w:t>
      </w:r>
      <w:r>
        <w:rPr>
          <w:rFonts w:ascii="Arial" w:hAnsi="Arial" w:cs="Arial"/>
          <w:color w:val="auto"/>
          <w:sz w:val="24"/>
          <w:szCs w:val="24"/>
        </w:rPr>
        <w:t>¥</w:t>
      </w:r>
      <w:r>
        <w:rPr>
          <w:rFonts w:hint="eastAsia" w:asciiTheme="minorEastAsia" w:hAnsiTheme="minorEastAsia" w:cstheme="minorEastAsia"/>
          <w:color w:val="auto"/>
          <w:sz w:val="24"/>
          <w:szCs w:val="24"/>
        </w:rPr>
        <w:t>_______</w:t>
      </w:r>
      <w:r>
        <w:rPr>
          <w:rFonts w:hint="eastAsia" w:ascii="Arial" w:hAnsi="Arial" w:cs="Arial"/>
          <w:color w:val="auto"/>
          <w:sz w:val="24"/>
          <w:szCs w:val="24"/>
        </w:rPr>
        <w:t>元；</w:t>
      </w:r>
    </w:p>
    <w:p>
      <w:pPr>
        <w:numPr>
          <w:ilvl w:val="0"/>
          <w:numId w:val="51"/>
        </w:numPr>
        <w:spacing w:line="360" w:lineRule="auto"/>
        <w:rPr>
          <w:rFonts w:ascii="Arial" w:hAnsi="Arial" w:cs="Arial"/>
          <w:color w:val="auto"/>
          <w:sz w:val="24"/>
          <w:szCs w:val="24"/>
        </w:rPr>
      </w:pPr>
      <w:r>
        <w:rPr>
          <w:rFonts w:hint="eastAsia" w:ascii="Arial" w:hAnsi="Arial" w:cs="Arial"/>
          <w:color w:val="auto"/>
          <w:sz w:val="24"/>
          <w:szCs w:val="24"/>
        </w:rPr>
        <w:t>实验室检查费（详见附件1）：</w:t>
      </w:r>
      <w:r>
        <w:rPr>
          <w:rFonts w:hint="eastAsia" w:asciiTheme="minorEastAsia" w:hAnsiTheme="minorEastAsia" w:cstheme="minorEastAsia"/>
          <w:color w:val="auto"/>
          <w:sz w:val="24"/>
          <w:szCs w:val="24"/>
        </w:rPr>
        <w:t>_______元/例，总计：</w:t>
      </w:r>
      <w:r>
        <w:rPr>
          <w:rFonts w:ascii="Arial" w:hAnsi="Arial" w:cs="Arial"/>
          <w:color w:val="auto"/>
          <w:sz w:val="24"/>
          <w:szCs w:val="24"/>
        </w:rPr>
        <w:t>¥</w:t>
      </w:r>
      <w:r>
        <w:rPr>
          <w:rFonts w:hint="eastAsia" w:asciiTheme="minorEastAsia" w:hAnsiTheme="minorEastAsia" w:cstheme="minorEastAsia"/>
          <w:color w:val="auto"/>
          <w:sz w:val="24"/>
          <w:szCs w:val="24"/>
        </w:rPr>
        <w:t>_______</w:t>
      </w:r>
      <w:r>
        <w:rPr>
          <w:rFonts w:hint="eastAsia" w:ascii="Arial" w:hAnsi="Arial" w:cs="Arial"/>
          <w:color w:val="auto"/>
          <w:sz w:val="24"/>
          <w:szCs w:val="24"/>
        </w:rPr>
        <w:t>元；</w:t>
      </w:r>
    </w:p>
    <w:p>
      <w:pPr>
        <w:numPr>
          <w:ilvl w:val="0"/>
          <w:numId w:val="51"/>
        </w:numPr>
        <w:spacing w:line="360" w:lineRule="auto"/>
        <w:rPr>
          <w:rFonts w:ascii="Arial" w:hAnsi="Arial" w:cs="Arial"/>
          <w:color w:val="auto"/>
          <w:sz w:val="24"/>
          <w:szCs w:val="24"/>
        </w:rPr>
      </w:pPr>
      <w:r>
        <w:rPr>
          <w:rFonts w:hint="eastAsia" w:ascii="Arial" w:hAnsi="Arial" w:cs="Arial"/>
          <w:color w:val="auto"/>
          <w:sz w:val="24"/>
          <w:szCs w:val="24"/>
        </w:rPr>
        <w:t>临床试验管理费：</w:t>
      </w:r>
      <w:r>
        <w:rPr>
          <w:rFonts w:hint="eastAsia" w:asciiTheme="minorEastAsia" w:hAnsiTheme="minorEastAsia" w:cstheme="minorEastAsia"/>
          <w:color w:val="auto"/>
          <w:sz w:val="24"/>
          <w:szCs w:val="24"/>
        </w:rPr>
        <w:t>_______</w:t>
      </w:r>
      <w:r>
        <w:rPr>
          <w:rFonts w:hint="eastAsia" w:ascii="Arial" w:hAnsi="Arial" w:cs="Arial"/>
          <w:color w:val="auto"/>
          <w:sz w:val="24"/>
          <w:szCs w:val="24"/>
        </w:rPr>
        <w:t>元；</w:t>
      </w:r>
    </w:p>
    <w:p>
      <w:pPr>
        <w:numPr>
          <w:ilvl w:val="0"/>
          <w:numId w:val="51"/>
        </w:numPr>
        <w:spacing w:line="360" w:lineRule="auto"/>
        <w:rPr>
          <w:rFonts w:ascii="Arial" w:hAnsi="Arial" w:cs="Arial"/>
          <w:color w:val="auto"/>
          <w:sz w:val="24"/>
          <w:szCs w:val="24"/>
        </w:rPr>
      </w:pPr>
      <w:r>
        <w:rPr>
          <w:rFonts w:hint="eastAsia" w:ascii="Arial" w:hAnsi="Arial" w:cs="Arial"/>
          <w:color w:val="auto"/>
          <w:sz w:val="24"/>
          <w:szCs w:val="24"/>
        </w:rPr>
        <w:t>受试者交通补助：</w:t>
      </w:r>
      <w:r>
        <w:rPr>
          <w:rFonts w:hint="eastAsia" w:asciiTheme="minorEastAsia" w:hAnsiTheme="minorEastAsia" w:cstheme="minorEastAsia"/>
          <w:color w:val="auto"/>
          <w:sz w:val="24"/>
          <w:szCs w:val="24"/>
        </w:rPr>
        <w:t>_______</w:t>
      </w:r>
      <w:r>
        <w:rPr>
          <w:rFonts w:hint="eastAsia" w:ascii="Arial" w:hAnsi="Arial" w:cs="Arial"/>
          <w:color w:val="auto"/>
          <w:sz w:val="24"/>
          <w:szCs w:val="24"/>
        </w:rPr>
        <w:t>元，总计：</w:t>
      </w:r>
      <w:r>
        <w:rPr>
          <w:rFonts w:ascii="Arial" w:hAnsi="Arial" w:cs="Arial"/>
          <w:color w:val="auto"/>
          <w:sz w:val="24"/>
          <w:szCs w:val="24"/>
        </w:rPr>
        <w:t>¥</w:t>
      </w:r>
      <w:r>
        <w:rPr>
          <w:rFonts w:hint="eastAsia" w:asciiTheme="minorEastAsia" w:hAnsiTheme="minorEastAsia" w:cstheme="minorEastAsia"/>
          <w:color w:val="auto"/>
          <w:sz w:val="24"/>
          <w:szCs w:val="24"/>
        </w:rPr>
        <w:t>_______</w:t>
      </w:r>
      <w:r>
        <w:rPr>
          <w:rFonts w:hint="eastAsia" w:ascii="Arial" w:hAnsi="Arial" w:cs="Arial"/>
          <w:color w:val="auto"/>
          <w:sz w:val="24"/>
          <w:szCs w:val="24"/>
        </w:rPr>
        <w:t>元；</w:t>
      </w:r>
    </w:p>
    <w:p>
      <w:pPr>
        <w:numPr>
          <w:ilvl w:val="0"/>
          <w:numId w:val="51"/>
        </w:numPr>
        <w:spacing w:line="360" w:lineRule="auto"/>
        <w:rPr>
          <w:rFonts w:ascii="Arial" w:hAnsi="Arial" w:cs="Arial"/>
          <w:color w:val="auto"/>
          <w:sz w:val="24"/>
          <w:szCs w:val="24"/>
        </w:rPr>
      </w:pPr>
      <w:r>
        <w:rPr>
          <w:rFonts w:hint="eastAsia" w:ascii="Arial" w:hAnsi="Arial" w:cs="Arial"/>
          <w:color w:val="auto"/>
          <w:sz w:val="24"/>
          <w:szCs w:val="24"/>
        </w:rPr>
        <w:t>其他费用：质控</w:t>
      </w:r>
      <w:r>
        <w:rPr>
          <w:rFonts w:hint="eastAsia" w:asciiTheme="minorEastAsia" w:hAnsiTheme="minorEastAsia" w:cstheme="minorEastAsia"/>
          <w:color w:val="auto"/>
          <w:sz w:val="24"/>
          <w:szCs w:val="24"/>
        </w:rPr>
        <w:t>_______元/例，药物保存_______元/例，总计</w:t>
      </w:r>
      <w:r>
        <w:rPr>
          <w:rFonts w:ascii="Arial" w:hAnsi="Arial" w:cs="Arial"/>
          <w:color w:val="auto"/>
          <w:sz w:val="24"/>
          <w:szCs w:val="24"/>
        </w:rPr>
        <w:t>¥</w:t>
      </w:r>
      <w:r>
        <w:rPr>
          <w:rFonts w:hint="eastAsia" w:asciiTheme="minorEastAsia" w:hAnsiTheme="minorEastAsia" w:cstheme="minorEastAsia"/>
          <w:color w:val="auto"/>
          <w:sz w:val="24"/>
          <w:szCs w:val="24"/>
        </w:rPr>
        <w:t>_______</w:t>
      </w:r>
      <w:r>
        <w:rPr>
          <w:rFonts w:hint="eastAsia" w:ascii="Arial" w:hAnsi="Arial" w:cs="Arial"/>
          <w:color w:val="auto"/>
          <w:sz w:val="24"/>
          <w:szCs w:val="24"/>
        </w:rPr>
        <w:t>元。</w:t>
      </w:r>
    </w:p>
    <w:p>
      <w:pPr>
        <w:numPr>
          <w:ilvl w:val="0"/>
          <w:numId w:val="50"/>
        </w:numPr>
        <w:spacing w:line="360" w:lineRule="auto"/>
        <w:rPr>
          <w:rFonts w:asciiTheme="minorEastAsia" w:hAnsiTheme="minorEastAsia" w:cstheme="minorEastAsia"/>
          <w:color w:val="auto"/>
          <w:sz w:val="24"/>
          <w:szCs w:val="24"/>
        </w:rPr>
      </w:pPr>
      <w:r>
        <w:rPr>
          <w:rFonts w:hint="eastAsia" w:ascii="Arial" w:hAnsi="Arial" w:cs="Arial"/>
          <w:color w:val="auto"/>
          <w:sz w:val="24"/>
          <w:szCs w:val="24"/>
        </w:rPr>
        <w:t>本试验结束后，按实际发生费用结算（包括筛选失败受试者费用，筛选失败的检查费按实际筛选病例数计算。脱落病例临床试验观察费按照完成病例的50%计算，即</w:t>
      </w:r>
      <w:r>
        <w:rPr>
          <w:rFonts w:hint="eastAsia" w:asciiTheme="minorEastAsia" w:hAnsiTheme="minorEastAsia" w:cstheme="minorEastAsia"/>
          <w:color w:val="auto"/>
          <w:sz w:val="24"/>
          <w:szCs w:val="24"/>
        </w:rPr>
        <w:t>_______元/例）。</w:t>
      </w:r>
    </w:p>
    <w:p>
      <w:pPr>
        <w:numPr>
          <w:ilvl w:val="0"/>
          <w:numId w:val="50"/>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合同委托方费用承担及支付方式、支付时间：</w:t>
      </w:r>
    </w:p>
    <w:p>
      <w:pPr>
        <w:numPr>
          <w:ilvl w:val="0"/>
          <w:numId w:val="50"/>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本合同费用总额为******元</w:t>
      </w:r>
    </w:p>
    <w:p>
      <w:pPr>
        <w:numPr>
          <w:ilvl w:val="0"/>
          <w:numId w:val="50"/>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支付方式：转账或支票支付</w:t>
      </w:r>
    </w:p>
    <w:p>
      <w:pPr>
        <w:numPr>
          <w:ilvl w:val="0"/>
          <w:numId w:val="50"/>
        </w:num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支付时间：试验前支付80%（******元），试验完成按实际完成病例数支付剩余部分，乙方须向甲方出具山东省统一印发的行政往来收据。</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（四）付款方式</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l、甲方按照以下方式支付给乙方临床试验费用</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银行账户名称：沂源县人民医院</w:t>
      </w:r>
    </w:p>
    <w:p>
      <w:pPr>
        <w:pStyle w:val="7"/>
        <w:rPr>
          <w:color w:val="auto"/>
        </w:rPr>
      </w:pPr>
      <w:r>
        <w:rPr>
          <w:rFonts w:hint="eastAsia" w:asciiTheme="minorEastAsia" w:hAnsiTheme="minorEastAsia" w:cstheme="minorEastAsia"/>
          <w:color w:val="auto"/>
          <w:sz w:val="24"/>
          <w:szCs w:val="24"/>
        </w:rPr>
        <w:t>开户银行：</w:t>
      </w:r>
      <w:r>
        <w:rPr>
          <w:rFonts w:hint="eastAsia" w:asciiTheme="minorEastAsia" w:hAnsiTheme="minorEastAsia" w:cstheme="minorEastAsia"/>
          <w:color w:val="auto"/>
          <w:sz w:val="24"/>
        </w:rPr>
        <w:t>中国农业银行沂源县支行</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银行帐号：15250101040002373</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2、付款收到后，乙方负责提供山东省统一印发的行政往来收据。</w:t>
      </w: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五、成果的归属与分享、研究资料保存</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l、临床试验报告及报告内所包含的试验资料和数据按研究方案的规定办理。</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2、乙方若欲将临床试验结果用于科研会议或发表，需事先得到甲方的许可。</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为保证临床试验资料的安全，乙方规定临床试验资料保管期限至临床试验结束后10年，到期销毁或根据甲方要求协商进一步保管事宜，甲方需在保管到期时间提前三个月与乙方主动取得联系，商讨临床试验资料的销毁事宜，如果甲方不主动联系，乙方可以在保管到期后自行销毁。</w:t>
      </w: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六、违约责任</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l、双方应严格履行本协议的约定，因一方违约给他方造成损失应承担赔偿责任。</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如一方因遭受不可抗力，如战争、灾害、政策变动等其它无法预见并客观上无法避免且不能克服的不可抗力事故以及其他双方一致认同的事件，而不能执行本协议，该方对此不承担责任。双方应尽可能利用合理方法在可能的范围内减轻损失，通过协商决定是否解除协议，或部分免除，或延期履行协议的责任，而且这种变更不应被视为违约。</w:t>
      </w: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七、保密条款</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如果甲乙双方终止合作，合作各方对于其所了解或知悉的合作对方的关于本协议约定之产品的技术秘密与商业秘密仍然负有保密义务，即不得向任何其他方透露或为任何其他方所知情。但因提交该产品审批部门，以及审评专家对产品的审验与研讨论证所导致的信息披露不在其列。</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关于本协议约定之产品的技术秘密与商业秘密是指:</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1、临床资料与试验数据；</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2、产品质量标准及检验方法；</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3、所有相关技术资料与文献。</w:t>
      </w:r>
    </w:p>
    <w:p>
      <w:pPr>
        <w:spacing w:line="360" w:lineRule="auto"/>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八、其他</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l、本协议规定未尽之处，甲乙双方可签订补充协议，补充协议与本协议共同使用具有相应法律效力。本协议之任何修改与补充，均需甲乙双方以书面形式作出，并经甲乙双方书面确认方可生效。</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2、如因甲方原因提前终止临床试验，所付款额按终止时已入选的病例数决定；如因乙方原因提前终止临床试验，所付款项金额由双方协商解决。</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3、本协议未尽事宜，由甲、乙双方友好协商妥善解决。本协议有争执时，经协商仍不能达成一致意见的，应提交仲裁机构仲裁；双方对仲裁机构不能达成一致意见的，可选择第三地仲裁机构，或者通过中华人民共和国法律解决。</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4、本协议一式肆份，双方签字盖章后各执贰份，每份具有同等的法律效力。</w:t>
      </w:r>
    </w:p>
    <w:p>
      <w:pPr>
        <w:numPr>
          <w:ilvl w:val="0"/>
          <w:numId w:val="48"/>
        </w:num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本协议自双方签署盖章之日起生效。</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甲方：XXXXXXXXXXXXXX（章）             乙方：沂源县人民医院（章）</w:t>
      </w:r>
    </w:p>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甲方代表签字：                         乙方代表签字：</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w:t>
      </w:r>
    </w:p>
    <w:p>
      <w:pPr>
        <w:spacing w:line="360" w:lineRule="auto"/>
        <w:ind w:firstLine="4560" w:firstLineChars="19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主要研究者签字：</w:t>
      </w:r>
    </w:p>
    <w:p>
      <w:pPr>
        <w:spacing w:line="360" w:lineRule="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日期：    年    月    日               日期：    年    月    日</w:t>
      </w:r>
    </w:p>
    <w:p>
      <w:pPr>
        <w:spacing w:line="360" w:lineRule="auto"/>
        <w:rPr>
          <w:rFonts w:hint="eastAsia" w:asciiTheme="minorEastAsia" w:hAnsi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参考文献</w:t>
      </w:r>
    </w:p>
    <w:p>
      <w:pPr>
        <w:pStyle w:val="36"/>
        <w:keepNext w:val="0"/>
        <w:keepLines w:val="0"/>
        <w:pageBreakBefore w:val="0"/>
        <w:widowControl w:val="0"/>
        <w:numPr>
          <w:ilvl w:val="0"/>
          <w:numId w:val="52"/>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52"/>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国家药品监督管理局，国家卫生健康委员会. 关于发布《医疗器械临床试验质量管理规范》的公告（2022年第28号）.[2022-03-31]. https://www.nmpa.gov.cn/xxgk/ggtg/qtggtg/20220331144903101.html.</w:t>
      </w:r>
    </w:p>
    <w:p>
      <w:pPr>
        <w:tabs>
          <w:tab w:val="left" w:pos="737"/>
        </w:tabs>
        <w:jc w:val="left"/>
        <w:rPr>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906"/>
        <w:gridCol w:w="915"/>
        <w:gridCol w:w="2514"/>
        <w:gridCol w:w="3273"/>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36"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90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2514"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3273"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217"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3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0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3.0</w:t>
            </w:r>
          </w:p>
        </w:tc>
        <w:tc>
          <w:tcPr>
            <w:tcW w:w="91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2514" w:type="dxa"/>
            <w:vAlign w:val="center"/>
          </w:tcPr>
          <w:p>
            <w:pPr>
              <w:rPr>
                <w:rFonts w:hint="default" w:ascii="宋体" w:hAnsi="宋体" w:eastAsia="宋体" w:cs="宋体"/>
                <w:color w:val="auto"/>
                <w:lang w:val="en-US" w:eastAsia="zh-CN"/>
              </w:rPr>
            </w:pPr>
            <w:r>
              <w:rPr>
                <w:rFonts w:hint="eastAsia" w:ascii="宋体" w:hAnsi="宋体" w:eastAsia="宋体" w:cs="宋体"/>
                <w:color w:val="auto"/>
                <w:lang w:val="en-US" w:eastAsia="zh-CN"/>
              </w:rPr>
              <w:t>1.根据最新版GCP修订</w:t>
            </w:r>
            <w:r>
              <w:rPr>
                <w:rFonts w:hint="eastAsia" w:ascii="宋体" w:hAnsi="宋体" w:cs="宋体"/>
                <w:color w:val="auto"/>
                <w:lang w:val="en-US" w:eastAsia="zh-CN"/>
              </w:rPr>
              <w:t>，修订药物临床试验合同模板和医疗器械临床试验模板。</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2.为确保制度的严谨性，增加参考文献。</w:t>
            </w:r>
          </w:p>
        </w:tc>
        <w:tc>
          <w:tcPr>
            <w:tcW w:w="3273" w:type="dxa"/>
            <w:vAlign w:val="center"/>
          </w:tcPr>
          <w:p>
            <w:pPr>
              <w:rPr>
                <w:rFonts w:hint="default" w:ascii="宋体" w:hAnsi="宋体" w:eastAsia="宋体" w:cs="宋体"/>
                <w:color w:val="auto"/>
                <w:lang w:val="en-US" w:eastAsia="zh-CN"/>
              </w:rPr>
            </w:pPr>
            <w:r>
              <w:rPr>
                <w:rFonts w:hint="eastAsia" w:ascii="宋体" w:hAnsi="宋体" w:eastAsia="宋体" w:cs="宋体"/>
                <w:color w:val="auto"/>
                <w:lang w:val="en-US" w:eastAsia="zh-CN"/>
              </w:rPr>
              <w:t>1.修订</w:t>
            </w:r>
            <w:r>
              <w:rPr>
                <w:rFonts w:hint="eastAsia" w:ascii="宋体" w:hAnsi="宋体" w:cs="宋体"/>
                <w:color w:val="auto"/>
                <w:lang w:val="en-US" w:eastAsia="zh-CN"/>
              </w:rPr>
              <w:t>药物临床试验合同模板中有关药品临床试验批件、发生严重不良事件时报告规定；删除乙方完成临床试验总结报告及分中心小结表规定。修订医疗器械临床试验模板中有关产品检验报告和严重不良事件报告等内容；删除乙方完成临床试验总结报告及分中心小结表规定。</w:t>
            </w:r>
          </w:p>
          <w:p>
            <w:pPr>
              <w:rPr>
                <w:rFonts w:hint="eastAsia"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新增参考文献。</w:t>
            </w:r>
          </w:p>
        </w:tc>
        <w:tc>
          <w:tcPr>
            <w:tcW w:w="1217" w:type="dxa"/>
            <w:vAlign w:val="center"/>
          </w:tcPr>
          <w:p>
            <w:pPr>
              <w:rPr>
                <w:rFonts w:hint="eastAsia" w:ascii="宋体" w:hAnsi="宋体" w:eastAsia="宋体" w:cs="宋体"/>
                <w:color w:val="auto"/>
                <w:lang w:val="en-US" w:eastAsia="zh-CN"/>
              </w:rPr>
            </w:pPr>
          </w:p>
        </w:tc>
      </w:tr>
    </w:tbl>
    <w:p>
      <w:pPr>
        <w:pStyle w:val="33"/>
        <w:rPr>
          <w:color w:val="auto"/>
        </w:rPr>
        <w:sectPr>
          <w:headerReference r:id="rId76" w:type="default"/>
          <w:type w:val="continuous"/>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tabs>
          <w:tab w:val="left" w:pos="6814"/>
        </w:tabs>
        <w:ind w:left="840" w:leftChars="400" w:firstLine="1687" w:firstLineChars="600"/>
        <w:rPr>
          <w:rFonts w:ascii="黑体" w:hAnsi="黑体" w:eastAsia="黑体" w:cs="黑体"/>
          <w:b/>
          <w:bCs/>
          <w:color w:val="auto"/>
          <w:sz w:val="28"/>
          <w:szCs w:val="28"/>
        </w:rPr>
      </w:pPr>
      <w:r>
        <w:rPr>
          <w:rFonts w:hint="eastAsia" w:ascii="黑体" w:hAnsi="黑体" w:eastAsia="黑体" w:cs="黑体"/>
          <w:b/>
          <w:bCs/>
          <w:color w:val="auto"/>
          <w:sz w:val="28"/>
          <w:szCs w:val="28"/>
        </w:rPr>
        <w:t>临床试验启动会召开的SOP</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一、目的</w:t>
      </w:r>
    </w:p>
    <w:p>
      <w:pPr>
        <w:tabs>
          <w:tab w:val="left" w:pos="6814"/>
        </w:tabs>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规范药物</w:t>
      </w:r>
      <w:r>
        <w:rPr>
          <w:rFonts w:hint="eastAsia" w:asciiTheme="minorEastAsia" w:hAnsiTheme="minorEastAsia" w:cstheme="minorEastAsia"/>
          <w:color w:val="auto"/>
          <w:sz w:val="24"/>
          <w:szCs w:val="24"/>
          <w:lang w:val="en-US" w:eastAsia="zh-CN"/>
        </w:rPr>
        <w:t>/</w:t>
      </w:r>
      <w:r>
        <w:rPr>
          <w:rFonts w:hint="eastAsia" w:asciiTheme="minorEastAsia" w:hAnsiTheme="minorEastAsia" w:cstheme="minorEastAsia"/>
          <w:color w:val="auto"/>
          <w:sz w:val="24"/>
          <w:szCs w:val="24"/>
        </w:rPr>
        <w:t>医疗器械临床试验启动会程序，提高中心启动的质量，指导研究者规范开展临床试验。</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二、适用范围</w:t>
      </w:r>
    </w:p>
    <w:p>
      <w:pPr>
        <w:tabs>
          <w:tab w:val="left" w:pos="6814"/>
        </w:tabs>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本中心开展的所有药物</w:t>
      </w:r>
      <w:r>
        <w:rPr>
          <w:rFonts w:hint="eastAsia" w:asciiTheme="minorEastAsia" w:hAnsiTheme="minorEastAsia" w:cstheme="minorEastAsia"/>
          <w:color w:val="auto"/>
          <w:sz w:val="24"/>
          <w:szCs w:val="24"/>
          <w:lang w:val="en-US" w:eastAsia="zh-CN"/>
        </w:rPr>
        <w:t>/</w:t>
      </w:r>
      <w:r>
        <w:rPr>
          <w:rFonts w:hint="eastAsia" w:asciiTheme="minorEastAsia" w:hAnsiTheme="minorEastAsia" w:cstheme="minorEastAsia"/>
          <w:color w:val="auto"/>
          <w:sz w:val="24"/>
          <w:szCs w:val="24"/>
        </w:rPr>
        <w:t>医疗器械临床试验。</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三、规程</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（一）启动前的准备</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1、临床试验各方协议签署完成后，由项目负责人或指定的会议负责人落实启动会时间、人员及场地。</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2会议负责人通知相关人员参会，研究项目相关的人员、申办方监查员、机构质量管理员、药物/医疗器械的管理员、主要相关辅助的科室人员（如需要）。</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3、会议负责人准备内部会议记录表，参会人员每人一份PPT讲义，临床试验方案摘要。</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4、会议负责人准备好会议室投影仪和电脑。</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（二）启动会议前</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1、参会人员在内部培训记录表签到，会议由项目负责人主持，临床试验监查员以PPT形式进行试验方案及其它注意事项的讲解，方案讲解要求简明易懂、突出重点。</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（1）方案中受试者的筛选标准、试验流程、各随访期观察指标与实验室检查项目以及疗效评价等。</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（2）试验用药物/医疗器械的管理、IVRS的使用、合并用药及发生不良事件，严重不良事件时如何处理，生物样本的管理，双盲试验的破盲规程等。</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（3）知情同意书的签署、CRF表、原始病历表等资料的填写要求。</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（4）试验的进度计划，对本中心的监查访视计划等。</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在讲解中或讲解后，与会人员可提出相关疑问，监查员予以解答说明，直到研究者对方案内容均理解为止。监查员应对启动会进行记录，对存在争议的问题反馈给申办方，并在本中心正式筛选受试者前予以书面答复。</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3、方案培训结束后由项目负责人对项目进行授权分工，填写《临床试验授权表》（附件1）并对项目组成员进行培训，主要包括：</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（1）该临床试验标准操作规程（SOP）；</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（2）参与临床试验的人员按照授权分工范围开展工作；</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（3）其他与该项临床试验相关的特殊技能或技术。</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4、机构办公室人员对项目组进行GCP培训，要求研究者在研究期间；</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（1）按GCP原则规定，承担相应的责任；</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（2）确保整个试验严格按照试验方案进行；</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（3）熟知试验药物现有的用法用量及其注意事项或试验用医疗器械的规范使用方法及其注意事项；</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（4）在试验方案规定的时间内，严格筛选、入选受试者确保每个受试者在试验前签署知情同意书；</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（5）加强受试者管理，出现AE、SAE按照我院标准操作规程记录处理；</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（6）试验期间积极配合各种检查工作；</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（7）机构的质控计划；</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（8）经费管理</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（三）启动会后</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highlight w:val="none"/>
        </w:rPr>
        <w:t>启动会后监查员撰写会议纪要，</w:t>
      </w:r>
      <w:r>
        <w:rPr>
          <w:rFonts w:hint="eastAsia" w:asciiTheme="minorEastAsia" w:hAnsiTheme="minorEastAsia" w:cstheme="minorEastAsia"/>
          <w:color w:val="auto"/>
          <w:sz w:val="24"/>
          <w:szCs w:val="24"/>
        </w:rPr>
        <w:t>项目负责人签字，专业组和机构办公室资料管理员将会议纪要连同内部培训记录表、培训资料（含PPT）存入研究者文件夹中。</w:t>
      </w:r>
    </w:p>
    <w:p>
      <w:pPr>
        <w:tabs>
          <w:tab w:val="left" w:pos="6814"/>
        </w:tabs>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四、附件《临床试验授权表》</w:t>
      </w:r>
    </w:p>
    <w:p>
      <w:pPr>
        <w:tabs>
          <w:tab w:val="left" w:pos="6814"/>
        </w:tabs>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项目名称</w:t>
      </w:r>
    </w:p>
    <w:tbl>
      <w:tblPr>
        <w:tblStyle w:val="27"/>
        <w:tblpPr w:leftFromText="180" w:rightFromText="180" w:vertAnchor="text" w:horzAnchor="page" w:tblpX="360" w:tblpY="301"/>
        <w:tblOverlap w:val="never"/>
        <w:tblW w:w="11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2450"/>
        <w:gridCol w:w="1528"/>
        <w:gridCol w:w="1056"/>
        <w:gridCol w:w="1069"/>
        <w:gridCol w:w="1052"/>
        <w:gridCol w:w="141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330" w:type="dxa"/>
            <w:vAlign w:val="center"/>
          </w:tcPr>
          <w:p>
            <w:pPr>
              <w:jc w:val="center"/>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姓名正楷</w:t>
            </w:r>
          </w:p>
        </w:tc>
        <w:tc>
          <w:tcPr>
            <w:tcW w:w="2450" w:type="dxa"/>
            <w:vAlign w:val="center"/>
          </w:tcPr>
          <w:p>
            <w:pPr>
              <w:tabs>
                <w:tab w:val="left" w:pos="6814"/>
              </w:tabs>
              <w:jc w:val="center"/>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授权内容</w:t>
            </w:r>
          </w:p>
        </w:tc>
        <w:tc>
          <w:tcPr>
            <w:tcW w:w="1528" w:type="dxa"/>
            <w:vAlign w:val="center"/>
          </w:tcPr>
          <w:p>
            <w:pPr>
              <w:tabs>
                <w:tab w:val="left" w:pos="6814"/>
              </w:tabs>
              <w:jc w:val="center"/>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姓名缩写</w:t>
            </w:r>
          </w:p>
        </w:tc>
        <w:tc>
          <w:tcPr>
            <w:tcW w:w="1056" w:type="dxa"/>
            <w:vAlign w:val="center"/>
          </w:tcPr>
          <w:p>
            <w:pPr>
              <w:jc w:val="center"/>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签名</w:t>
            </w:r>
          </w:p>
        </w:tc>
        <w:tc>
          <w:tcPr>
            <w:tcW w:w="1069" w:type="dxa"/>
            <w:vAlign w:val="center"/>
          </w:tcPr>
          <w:p>
            <w:pPr>
              <w:tabs>
                <w:tab w:val="left" w:pos="6814"/>
              </w:tabs>
              <w:jc w:val="center"/>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授权开始时间</w:t>
            </w:r>
          </w:p>
        </w:tc>
        <w:tc>
          <w:tcPr>
            <w:tcW w:w="1052" w:type="dxa"/>
            <w:vAlign w:val="center"/>
          </w:tcPr>
          <w:p>
            <w:pPr>
              <w:tabs>
                <w:tab w:val="left" w:pos="6814"/>
              </w:tabs>
              <w:jc w:val="center"/>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授权截止时间</w:t>
            </w:r>
          </w:p>
        </w:tc>
        <w:tc>
          <w:tcPr>
            <w:tcW w:w="1415" w:type="dxa"/>
            <w:vAlign w:val="center"/>
          </w:tcPr>
          <w:p>
            <w:pPr>
              <w:tabs>
                <w:tab w:val="left" w:pos="6814"/>
              </w:tabs>
              <w:jc w:val="center"/>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联系方式</w:t>
            </w:r>
          </w:p>
        </w:tc>
        <w:tc>
          <w:tcPr>
            <w:tcW w:w="1260" w:type="dxa"/>
            <w:vAlign w:val="center"/>
          </w:tcPr>
          <w:p>
            <w:pPr>
              <w:tabs>
                <w:tab w:val="left" w:pos="6814"/>
              </w:tabs>
              <w:jc w:val="center"/>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PI签名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30" w:type="dxa"/>
          </w:tcPr>
          <w:p>
            <w:pPr>
              <w:tabs>
                <w:tab w:val="left" w:pos="6814"/>
              </w:tabs>
              <w:ind w:left="840"/>
              <w:rPr>
                <w:rFonts w:asciiTheme="minorEastAsia" w:hAnsiTheme="minorEastAsia" w:cstheme="minorEastAsia"/>
                <w:color w:val="auto"/>
                <w:sz w:val="24"/>
                <w:szCs w:val="24"/>
              </w:rPr>
            </w:pPr>
          </w:p>
        </w:tc>
        <w:tc>
          <w:tcPr>
            <w:tcW w:w="2450" w:type="dxa"/>
          </w:tcPr>
          <w:p>
            <w:pPr>
              <w:tabs>
                <w:tab w:val="left" w:pos="6814"/>
              </w:tabs>
              <w:ind w:left="840"/>
              <w:rPr>
                <w:rFonts w:asciiTheme="minorEastAsia" w:hAnsiTheme="minorEastAsia" w:cstheme="minorEastAsia"/>
                <w:color w:val="auto"/>
                <w:sz w:val="24"/>
                <w:szCs w:val="24"/>
              </w:rPr>
            </w:pPr>
          </w:p>
        </w:tc>
        <w:tc>
          <w:tcPr>
            <w:tcW w:w="1528" w:type="dxa"/>
          </w:tcPr>
          <w:p>
            <w:pPr>
              <w:tabs>
                <w:tab w:val="left" w:pos="6814"/>
              </w:tabs>
              <w:ind w:left="840"/>
              <w:rPr>
                <w:rFonts w:asciiTheme="minorEastAsia" w:hAnsiTheme="minorEastAsia" w:cstheme="minorEastAsia"/>
                <w:color w:val="auto"/>
                <w:sz w:val="24"/>
                <w:szCs w:val="24"/>
              </w:rPr>
            </w:pPr>
          </w:p>
        </w:tc>
        <w:tc>
          <w:tcPr>
            <w:tcW w:w="1056" w:type="dxa"/>
          </w:tcPr>
          <w:p>
            <w:pPr>
              <w:tabs>
                <w:tab w:val="left" w:pos="6814"/>
              </w:tabs>
              <w:ind w:left="840"/>
              <w:rPr>
                <w:rFonts w:asciiTheme="minorEastAsia" w:hAnsiTheme="minorEastAsia" w:cstheme="minorEastAsia"/>
                <w:color w:val="auto"/>
                <w:sz w:val="24"/>
                <w:szCs w:val="24"/>
              </w:rPr>
            </w:pPr>
          </w:p>
        </w:tc>
        <w:tc>
          <w:tcPr>
            <w:tcW w:w="1069" w:type="dxa"/>
          </w:tcPr>
          <w:p>
            <w:pPr>
              <w:tabs>
                <w:tab w:val="left" w:pos="6814"/>
              </w:tabs>
              <w:ind w:left="840"/>
              <w:rPr>
                <w:rFonts w:asciiTheme="minorEastAsia" w:hAnsiTheme="minorEastAsia" w:cstheme="minorEastAsia"/>
                <w:color w:val="auto"/>
                <w:sz w:val="24"/>
                <w:szCs w:val="24"/>
              </w:rPr>
            </w:pPr>
          </w:p>
        </w:tc>
        <w:tc>
          <w:tcPr>
            <w:tcW w:w="1052" w:type="dxa"/>
          </w:tcPr>
          <w:p>
            <w:pPr>
              <w:tabs>
                <w:tab w:val="left" w:pos="6814"/>
              </w:tabs>
              <w:ind w:left="840"/>
              <w:rPr>
                <w:rFonts w:asciiTheme="minorEastAsia" w:hAnsiTheme="minorEastAsia" w:cstheme="minorEastAsia"/>
                <w:color w:val="auto"/>
                <w:sz w:val="24"/>
                <w:szCs w:val="24"/>
              </w:rPr>
            </w:pPr>
          </w:p>
        </w:tc>
        <w:tc>
          <w:tcPr>
            <w:tcW w:w="1415" w:type="dxa"/>
          </w:tcPr>
          <w:p>
            <w:pPr>
              <w:tabs>
                <w:tab w:val="left" w:pos="6814"/>
              </w:tabs>
              <w:ind w:left="840"/>
              <w:rPr>
                <w:rFonts w:asciiTheme="minorEastAsia" w:hAnsiTheme="minorEastAsia" w:cstheme="minorEastAsia"/>
                <w:color w:val="auto"/>
                <w:sz w:val="24"/>
                <w:szCs w:val="24"/>
              </w:rPr>
            </w:pPr>
          </w:p>
        </w:tc>
        <w:tc>
          <w:tcPr>
            <w:tcW w:w="1260" w:type="dxa"/>
          </w:tcPr>
          <w:p>
            <w:pPr>
              <w:tabs>
                <w:tab w:val="left" w:pos="6814"/>
              </w:tabs>
              <w:ind w:left="840"/>
              <w:rPr>
                <w:rFonts w:asciiTheme="minorEastAsia"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330" w:type="dxa"/>
          </w:tcPr>
          <w:p>
            <w:pPr>
              <w:tabs>
                <w:tab w:val="left" w:pos="6814"/>
              </w:tabs>
              <w:ind w:left="840"/>
              <w:rPr>
                <w:rFonts w:asciiTheme="minorEastAsia" w:hAnsiTheme="minorEastAsia" w:cstheme="minorEastAsia"/>
                <w:color w:val="auto"/>
                <w:sz w:val="24"/>
                <w:szCs w:val="24"/>
              </w:rPr>
            </w:pPr>
          </w:p>
        </w:tc>
        <w:tc>
          <w:tcPr>
            <w:tcW w:w="2450" w:type="dxa"/>
          </w:tcPr>
          <w:p>
            <w:pPr>
              <w:tabs>
                <w:tab w:val="left" w:pos="6814"/>
              </w:tabs>
              <w:ind w:left="840"/>
              <w:rPr>
                <w:rFonts w:asciiTheme="minorEastAsia" w:hAnsiTheme="minorEastAsia" w:cstheme="minorEastAsia"/>
                <w:color w:val="auto"/>
                <w:sz w:val="24"/>
                <w:szCs w:val="24"/>
              </w:rPr>
            </w:pPr>
          </w:p>
        </w:tc>
        <w:tc>
          <w:tcPr>
            <w:tcW w:w="1528" w:type="dxa"/>
          </w:tcPr>
          <w:p>
            <w:pPr>
              <w:tabs>
                <w:tab w:val="left" w:pos="6814"/>
              </w:tabs>
              <w:ind w:left="840"/>
              <w:rPr>
                <w:rFonts w:asciiTheme="minorEastAsia" w:hAnsiTheme="minorEastAsia" w:cstheme="minorEastAsia"/>
                <w:color w:val="auto"/>
                <w:sz w:val="24"/>
                <w:szCs w:val="24"/>
              </w:rPr>
            </w:pPr>
          </w:p>
        </w:tc>
        <w:tc>
          <w:tcPr>
            <w:tcW w:w="1056" w:type="dxa"/>
          </w:tcPr>
          <w:p>
            <w:pPr>
              <w:tabs>
                <w:tab w:val="left" w:pos="6814"/>
              </w:tabs>
              <w:ind w:left="840"/>
              <w:rPr>
                <w:rFonts w:asciiTheme="minorEastAsia" w:hAnsiTheme="minorEastAsia" w:cstheme="minorEastAsia"/>
                <w:color w:val="auto"/>
                <w:sz w:val="24"/>
                <w:szCs w:val="24"/>
              </w:rPr>
            </w:pPr>
          </w:p>
        </w:tc>
        <w:tc>
          <w:tcPr>
            <w:tcW w:w="1069" w:type="dxa"/>
          </w:tcPr>
          <w:p>
            <w:pPr>
              <w:tabs>
                <w:tab w:val="left" w:pos="6814"/>
              </w:tabs>
              <w:ind w:left="840"/>
              <w:rPr>
                <w:rFonts w:asciiTheme="minorEastAsia" w:hAnsiTheme="minorEastAsia" w:cstheme="minorEastAsia"/>
                <w:color w:val="auto"/>
                <w:sz w:val="24"/>
                <w:szCs w:val="24"/>
              </w:rPr>
            </w:pPr>
          </w:p>
        </w:tc>
        <w:tc>
          <w:tcPr>
            <w:tcW w:w="1052" w:type="dxa"/>
          </w:tcPr>
          <w:p>
            <w:pPr>
              <w:tabs>
                <w:tab w:val="left" w:pos="6814"/>
              </w:tabs>
              <w:ind w:left="840"/>
              <w:rPr>
                <w:rFonts w:asciiTheme="minorEastAsia" w:hAnsiTheme="minorEastAsia" w:cstheme="minorEastAsia"/>
                <w:color w:val="auto"/>
                <w:sz w:val="24"/>
                <w:szCs w:val="24"/>
              </w:rPr>
            </w:pPr>
          </w:p>
        </w:tc>
        <w:tc>
          <w:tcPr>
            <w:tcW w:w="1415" w:type="dxa"/>
          </w:tcPr>
          <w:p>
            <w:pPr>
              <w:tabs>
                <w:tab w:val="left" w:pos="6814"/>
              </w:tabs>
              <w:ind w:left="840"/>
              <w:rPr>
                <w:rFonts w:asciiTheme="minorEastAsia" w:hAnsiTheme="minorEastAsia" w:cstheme="minorEastAsia"/>
                <w:color w:val="auto"/>
                <w:sz w:val="24"/>
                <w:szCs w:val="24"/>
              </w:rPr>
            </w:pPr>
          </w:p>
        </w:tc>
        <w:tc>
          <w:tcPr>
            <w:tcW w:w="1260" w:type="dxa"/>
          </w:tcPr>
          <w:p>
            <w:pPr>
              <w:tabs>
                <w:tab w:val="left" w:pos="6814"/>
              </w:tabs>
              <w:ind w:left="840"/>
              <w:rPr>
                <w:rFonts w:asciiTheme="minorEastAsia"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330" w:type="dxa"/>
          </w:tcPr>
          <w:p>
            <w:pPr>
              <w:tabs>
                <w:tab w:val="left" w:pos="6814"/>
              </w:tabs>
              <w:ind w:left="840"/>
              <w:rPr>
                <w:rFonts w:asciiTheme="minorEastAsia" w:hAnsiTheme="minorEastAsia" w:cstheme="minorEastAsia"/>
                <w:color w:val="auto"/>
                <w:sz w:val="24"/>
                <w:szCs w:val="24"/>
              </w:rPr>
            </w:pPr>
          </w:p>
        </w:tc>
        <w:tc>
          <w:tcPr>
            <w:tcW w:w="2450" w:type="dxa"/>
          </w:tcPr>
          <w:p>
            <w:pPr>
              <w:tabs>
                <w:tab w:val="left" w:pos="6814"/>
              </w:tabs>
              <w:ind w:left="840"/>
              <w:rPr>
                <w:rFonts w:asciiTheme="minorEastAsia" w:hAnsiTheme="minorEastAsia" w:cstheme="minorEastAsia"/>
                <w:color w:val="auto"/>
                <w:sz w:val="24"/>
                <w:szCs w:val="24"/>
              </w:rPr>
            </w:pPr>
          </w:p>
        </w:tc>
        <w:tc>
          <w:tcPr>
            <w:tcW w:w="1528" w:type="dxa"/>
          </w:tcPr>
          <w:p>
            <w:pPr>
              <w:tabs>
                <w:tab w:val="left" w:pos="6814"/>
              </w:tabs>
              <w:ind w:left="840"/>
              <w:rPr>
                <w:rFonts w:asciiTheme="minorEastAsia" w:hAnsiTheme="minorEastAsia" w:cstheme="minorEastAsia"/>
                <w:color w:val="auto"/>
                <w:sz w:val="24"/>
                <w:szCs w:val="24"/>
              </w:rPr>
            </w:pPr>
          </w:p>
        </w:tc>
        <w:tc>
          <w:tcPr>
            <w:tcW w:w="1056" w:type="dxa"/>
          </w:tcPr>
          <w:p>
            <w:pPr>
              <w:tabs>
                <w:tab w:val="left" w:pos="6814"/>
              </w:tabs>
              <w:ind w:left="840"/>
              <w:rPr>
                <w:rFonts w:asciiTheme="minorEastAsia" w:hAnsiTheme="minorEastAsia" w:cstheme="minorEastAsia"/>
                <w:color w:val="auto"/>
                <w:sz w:val="24"/>
                <w:szCs w:val="24"/>
              </w:rPr>
            </w:pPr>
          </w:p>
        </w:tc>
        <w:tc>
          <w:tcPr>
            <w:tcW w:w="1069" w:type="dxa"/>
          </w:tcPr>
          <w:p>
            <w:pPr>
              <w:tabs>
                <w:tab w:val="left" w:pos="6814"/>
              </w:tabs>
              <w:ind w:left="840"/>
              <w:rPr>
                <w:rFonts w:asciiTheme="minorEastAsia" w:hAnsiTheme="minorEastAsia" w:cstheme="minorEastAsia"/>
                <w:color w:val="auto"/>
                <w:sz w:val="24"/>
                <w:szCs w:val="24"/>
              </w:rPr>
            </w:pPr>
          </w:p>
        </w:tc>
        <w:tc>
          <w:tcPr>
            <w:tcW w:w="1052" w:type="dxa"/>
          </w:tcPr>
          <w:p>
            <w:pPr>
              <w:tabs>
                <w:tab w:val="left" w:pos="6814"/>
              </w:tabs>
              <w:ind w:left="840"/>
              <w:rPr>
                <w:rFonts w:asciiTheme="minorEastAsia" w:hAnsiTheme="minorEastAsia" w:cstheme="minorEastAsia"/>
                <w:color w:val="auto"/>
                <w:sz w:val="24"/>
                <w:szCs w:val="24"/>
              </w:rPr>
            </w:pPr>
          </w:p>
        </w:tc>
        <w:tc>
          <w:tcPr>
            <w:tcW w:w="1415" w:type="dxa"/>
          </w:tcPr>
          <w:p>
            <w:pPr>
              <w:tabs>
                <w:tab w:val="left" w:pos="6814"/>
              </w:tabs>
              <w:ind w:left="840"/>
              <w:rPr>
                <w:rFonts w:asciiTheme="minorEastAsia" w:hAnsiTheme="minorEastAsia" w:cstheme="minorEastAsia"/>
                <w:color w:val="auto"/>
                <w:sz w:val="24"/>
                <w:szCs w:val="24"/>
              </w:rPr>
            </w:pPr>
          </w:p>
        </w:tc>
        <w:tc>
          <w:tcPr>
            <w:tcW w:w="1260" w:type="dxa"/>
          </w:tcPr>
          <w:p>
            <w:pPr>
              <w:tabs>
                <w:tab w:val="left" w:pos="6814"/>
              </w:tabs>
              <w:ind w:left="840"/>
              <w:rPr>
                <w:rFonts w:asciiTheme="minorEastAsia"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2" w:hRule="atLeast"/>
        </w:trPr>
        <w:tc>
          <w:tcPr>
            <w:tcW w:w="1330" w:type="dxa"/>
          </w:tcPr>
          <w:p>
            <w:pPr>
              <w:tabs>
                <w:tab w:val="left" w:pos="6814"/>
              </w:tabs>
              <w:ind w:left="840"/>
              <w:rPr>
                <w:rFonts w:asciiTheme="minorEastAsia" w:hAnsiTheme="minorEastAsia" w:cstheme="minorEastAsia"/>
                <w:color w:val="auto"/>
                <w:sz w:val="24"/>
                <w:szCs w:val="24"/>
              </w:rPr>
            </w:pPr>
          </w:p>
        </w:tc>
        <w:tc>
          <w:tcPr>
            <w:tcW w:w="2450" w:type="dxa"/>
          </w:tcPr>
          <w:p>
            <w:pPr>
              <w:tabs>
                <w:tab w:val="left" w:pos="6814"/>
              </w:tabs>
              <w:ind w:left="840"/>
              <w:rPr>
                <w:rFonts w:asciiTheme="minorEastAsia" w:hAnsiTheme="minorEastAsia" w:cstheme="minorEastAsia"/>
                <w:color w:val="auto"/>
                <w:sz w:val="24"/>
                <w:szCs w:val="24"/>
              </w:rPr>
            </w:pPr>
          </w:p>
        </w:tc>
        <w:tc>
          <w:tcPr>
            <w:tcW w:w="1528" w:type="dxa"/>
          </w:tcPr>
          <w:p>
            <w:pPr>
              <w:tabs>
                <w:tab w:val="left" w:pos="6814"/>
              </w:tabs>
              <w:ind w:left="840"/>
              <w:rPr>
                <w:rFonts w:asciiTheme="minorEastAsia" w:hAnsiTheme="minorEastAsia" w:cstheme="minorEastAsia"/>
                <w:color w:val="auto"/>
                <w:sz w:val="24"/>
                <w:szCs w:val="24"/>
              </w:rPr>
            </w:pPr>
          </w:p>
        </w:tc>
        <w:tc>
          <w:tcPr>
            <w:tcW w:w="1056" w:type="dxa"/>
          </w:tcPr>
          <w:p>
            <w:pPr>
              <w:tabs>
                <w:tab w:val="left" w:pos="6814"/>
              </w:tabs>
              <w:ind w:left="840"/>
              <w:rPr>
                <w:rFonts w:asciiTheme="minorEastAsia" w:hAnsiTheme="minorEastAsia" w:cstheme="minorEastAsia"/>
                <w:color w:val="auto"/>
                <w:sz w:val="24"/>
                <w:szCs w:val="24"/>
              </w:rPr>
            </w:pPr>
          </w:p>
        </w:tc>
        <w:tc>
          <w:tcPr>
            <w:tcW w:w="1069" w:type="dxa"/>
          </w:tcPr>
          <w:p>
            <w:pPr>
              <w:tabs>
                <w:tab w:val="left" w:pos="6814"/>
              </w:tabs>
              <w:ind w:left="840"/>
              <w:rPr>
                <w:rFonts w:asciiTheme="minorEastAsia" w:hAnsiTheme="minorEastAsia" w:cstheme="minorEastAsia"/>
                <w:color w:val="auto"/>
                <w:sz w:val="24"/>
                <w:szCs w:val="24"/>
              </w:rPr>
            </w:pPr>
          </w:p>
        </w:tc>
        <w:tc>
          <w:tcPr>
            <w:tcW w:w="1052" w:type="dxa"/>
          </w:tcPr>
          <w:p>
            <w:pPr>
              <w:tabs>
                <w:tab w:val="left" w:pos="6814"/>
              </w:tabs>
              <w:ind w:left="840"/>
              <w:rPr>
                <w:rFonts w:asciiTheme="minorEastAsia" w:hAnsiTheme="minorEastAsia" w:cstheme="minorEastAsia"/>
                <w:color w:val="auto"/>
                <w:sz w:val="24"/>
                <w:szCs w:val="24"/>
              </w:rPr>
            </w:pPr>
          </w:p>
        </w:tc>
        <w:tc>
          <w:tcPr>
            <w:tcW w:w="1415" w:type="dxa"/>
          </w:tcPr>
          <w:p>
            <w:pPr>
              <w:tabs>
                <w:tab w:val="left" w:pos="6814"/>
              </w:tabs>
              <w:ind w:left="840"/>
              <w:rPr>
                <w:rFonts w:asciiTheme="minorEastAsia" w:hAnsiTheme="minorEastAsia" w:cstheme="minorEastAsia"/>
                <w:color w:val="auto"/>
                <w:sz w:val="24"/>
                <w:szCs w:val="24"/>
              </w:rPr>
            </w:pPr>
          </w:p>
        </w:tc>
        <w:tc>
          <w:tcPr>
            <w:tcW w:w="1260" w:type="dxa"/>
          </w:tcPr>
          <w:p>
            <w:pPr>
              <w:tabs>
                <w:tab w:val="left" w:pos="6814"/>
              </w:tabs>
              <w:ind w:left="840"/>
              <w:rPr>
                <w:rFonts w:asciiTheme="minorEastAsia"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330" w:type="dxa"/>
          </w:tcPr>
          <w:p>
            <w:pPr>
              <w:tabs>
                <w:tab w:val="left" w:pos="6814"/>
              </w:tabs>
              <w:ind w:left="840"/>
              <w:rPr>
                <w:rFonts w:asciiTheme="minorEastAsia" w:hAnsiTheme="minorEastAsia" w:cstheme="minorEastAsia"/>
                <w:color w:val="auto"/>
                <w:sz w:val="24"/>
                <w:szCs w:val="24"/>
              </w:rPr>
            </w:pPr>
          </w:p>
        </w:tc>
        <w:tc>
          <w:tcPr>
            <w:tcW w:w="2450" w:type="dxa"/>
          </w:tcPr>
          <w:p>
            <w:pPr>
              <w:tabs>
                <w:tab w:val="left" w:pos="6814"/>
              </w:tabs>
              <w:ind w:left="840"/>
              <w:rPr>
                <w:rFonts w:asciiTheme="minorEastAsia" w:hAnsiTheme="minorEastAsia" w:cstheme="minorEastAsia"/>
                <w:color w:val="auto"/>
                <w:sz w:val="24"/>
                <w:szCs w:val="24"/>
              </w:rPr>
            </w:pPr>
          </w:p>
        </w:tc>
        <w:tc>
          <w:tcPr>
            <w:tcW w:w="1528" w:type="dxa"/>
          </w:tcPr>
          <w:p>
            <w:pPr>
              <w:tabs>
                <w:tab w:val="left" w:pos="6814"/>
              </w:tabs>
              <w:ind w:left="840"/>
              <w:rPr>
                <w:rFonts w:asciiTheme="minorEastAsia" w:hAnsiTheme="minorEastAsia" w:cstheme="minorEastAsia"/>
                <w:color w:val="auto"/>
                <w:sz w:val="24"/>
                <w:szCs w:val="24"/>
              </w:rPr>
            </w:pPr>
          </w:p>
        </w:tc>
        <w:tc>
          <w:tcPr>
            <w:tcW w:w="1056" w:type="dxa"/>
          </w:tcPr>
          <w:p>
            <w:pPr>
              <w:tabs>
                <w:tab w:val="left" w:pos="6814"/>
              </w:tabs>
              <w:ind w:left="840"/>
              <w:rPr>
                <w:rFonts w:asciiTheme="minorEastAsia" w:hAnsiTheme="minorEastAsia" w:cstheme="minorEastAsia"/>
                <w:color w:val="auto"/>
                <w:sz w:val="24"/>
                <w:szCs w:val="24"/>
              </w:rPr>
            </w:pPr>
          </w:p>
        </w:tc>
        <w:tc>
          <w:tcPr>
            <w:tcW w:w="1069" w:type="dxa"/>
          </w:tcPr>
          <w:p>
            <w:pPr>
              <w:tabs>
                <w:tab w:val="left" w:pos="6814"/>
              </w:tabs>
              <w:ind w:left="840"/>
              <w:rPr>
                <w:rFonts w:asciiTheme="minorEastAsia" w:hAnsiTheme="minorEastAsia" w:cstheme="minorEastAsia"/>
                <w:color w:val="auto"/>
                <w:sz w:val="24"/>
                <w:szCs w:val="24"/>
              </w:rPr>
            </w:pPr>
          </w:p>
        </w:tc>
        <w:tc>
          <w:tcPr>
            <w:tcW w:w="1052" w:type="dxa"/>
          </w:tcPr>
          <w:p>
            <w:pPr>
              <w:tabs>
                <w:tab w:val="left" w:pos="6814"/>
              </w:tabs>
              <w:ind w:left="840"/>
              <w:rPr>
                <w:rFonts w:asciiTheme="minorEastAsia" w:hAnsiTheme="minorEastAsia" w:cstheme="minorEastAsia"/>
                <w:color w:val="auto"/>
                <w:sz w:val="24"/>
                <w:szCs w:val="24"/>
              </w:rPr>
            </w:pPr>
          </w:p>
        </w:tc>
        <w:tc>
          <w:tcPr>
            <w:tcW w:w="1415" w:type="dxa"/>
          </w:tcPr>
          <w:p>
            <w:pPr>
              <w:tabs>
                <w:tab w:val="left" w:pos="6814"/>
              </w:tabs>
              <w:ind w:left="840"/>
              <w:rPr>
                <w:rFonts w:asciiTheme="minorEastAsia" w:hAnsiTheme="minorEastAsia" w:cstheme="minorEastAsia"/>
                <w:color w:val="auto"/>
                <w:sz w:val="24"/>
                <w:szCs w:val="24"/>
              </w:rPr>
            </w:pPr>
          </w:p>
        </w:tc>
        <w:tc>
          <w:tcPr>
            <w:tcW w:w="1260" w:type="dxa"/>
          </w:tcPr>
          <w:p>
            <w:pPr>
              <w:tabs>
                <w:tab w:val="left" w:pos="6814"/>
              </w:tabs>
              <w:ind w:left="840"/>
              <w:rPr>
                <w:rFonts w:asciiTheme="minorEastAsia"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330" w:type="dxa"/>
          </w:tcPr>
          <w:p>
            <w:pPr>
              <w:tabs>
                <w:tab w:val="left" w:pos="6814"/>
              </w:tabs>
              <w:ind w:left="840"/>
              <w:rPr>
                <w:rFonts w:asciiTheme="minorEastAsia" w:hAnsiTheme="minorEastAsia" w:cstheme="minorEastAsia"/>
                <w:color w:val="auto"/>
                <w:sz w:val="24"/>
                <w:szCs w:val="24"/>
              </w:rPr>
            </w:pPr>
          </w:p>
        </w:tc>
        <w:tc>
          <w:tcPr>
            <w:tcW w:w="2450" w:type="dxa"/>
          </w:tcPr>
          <w:p>
            <w:pPr>
              <w:tabs>
                <w:tab w:val="left" w:pos="6814"/>
              </w:tabs>
              <w:ind w:left="840"/>
              <w:rPr>
                <w:rFonts w:asciiTheme="minorEastAsia" w:hAnsiTheme="minorEastAsia" w:cstheme="minorEastAsia"/>
                <w:color w:val="auto"/>
                <w:sz w:val="24"/>
                <w:szCs w:val="24"/>
              </w:rPr>
            </w:pPr>
          </w:p>
        </w:tc>
        <w:tc>
          <w:tcPr>
            <w:tcW w:w="1528" w:type="dxa"/>
          </w:tcPr>
          <w:p>
            <w:pPr>
              <w:tabs>
                <w:tab w:val="left" w:pos="6814"/>
              </w:tabs>
              <w:ind w:left="840"/>
              <w:rPr>
                <w:rFonts w:asciiTheme="minorEastAsia" w:hAnsiTheme="minorEastAsia" w:cstheme="minorEastAsia"/>
                <w:color w:val="auto"/>
                <w:sz w:val="24"/>
                <w:szCs w:val="24"/>
              </w:rPr>
            </w:pPr>
          </w:p>
        </w:tc>
        <w:tc>
          <w:tcPr>
            <w:tcW w:w="1056" w:type="dxa"/>
          </w:tcPr>
          <w:p>
            <w:pPr>
              <w:tabs>
                <w:tab w:val="left" w:pos="6814"/>
              </w:tabs>
              <w:ind w:left="840"/>
              <w:rPr>
                <w:rFonts w:asciiTheme="minorEastAsia" w:hAnsiTheme="minorEastAsia" w:cstheme="minorEastAsia"/>
                <w:color w:val="auto"/>
                <w:sz w:val="24"/>
                <w:szCs w:val="24"/>
              </w:rPr>
            </w:pPr>
          </w:p>
        </w:tc>
        <w:tc>
          <w:tcPr>
            <w:tcW w:w="1069" w:type="dxa"/>
          </w:tcPr>
          <w:p>
            <w:pPr>
              <w:tabs>
                <w:tab w:val="left" w:pos="6814"/>
              </w:tabs>
              <w:ind w:left="840"/>
              <w:rPr>
                <w:rFonts w:asciiTheme="minorEastAsia" w:hAnsiTheme="minorEastAsia" w:cstheme="minorEastAsia"/>
                <w:color w:val="auto"/>
                <w:sz w:val="24"/>
                <w:szCs w:val="24"/>
              </w:rPr>
            </w:pPr>
          </w:p>
        </w:tc>
        <w:tc>
          <w:tcPr>
            <w:tcW w:w="1052" w:type="dxa"/>
          </w:tcPr>
          <w:p>
            <w:pPr>
              <w:tabs>
                <w:tab w:val="left" w:pos="6814"/>
              </w:tabs>
              <w:ind w:left="840"/>
              <w:rPr>
                <w:rFonts w:asciiTheme="minorEastAsia" w:hAnsiTheme="minorEastAsia" w:cstheme="minorEastAsia"/>
                <w:color w:val="auto"/>
                <w:sz w:val="24"/>
                <w:szCs w:val="24"/>
              </w:rPr>
            </w:pPr>
          </w:p>
        </w:tc>
        <w:tc>
          <w:tcPr>
            <w:tcW w:w="1415" w:type="dxa"/>
          </w:tcPr>
          <w:p>
            <w:pPr>
              <w:tabs>
                <w:tab w:val="left" w:pos="6814"/>
              </w:tabs>
              <w:ind w:left="840"/>
              <w:rPr>
                <w:rFonts w:asciiTheme="minorEastAsia" w:hAnsiTheme="minorEastAsia" w:cstheme="minorEastAsia"/>
                <w:color w:val="auto"/>
                <w:sz w:val="24"/>
                <w:szCs w:val="24"/>
              </w:rPr>
            </w:pPr>
          </w:p>
        </w:tc>
        <w:tc>
          <w:tcPr>
            <w:tcW w:w="1260" w:type="dxa"/>
          </w:tcPr>
          <w:p>
            <w:pPr>
              <w:tabs>
                <w:tab w:val="left" w:pos="6814"/>
              </w:tabs>
              <w:ind w:left="840"/>
              <w:rPr>
                <w:rFonts w:asciiTheme="minorEastAsia" w:hAnsiTheme="minorEastAsia" w:cstheme="minorEastAsia"/>
                <w:color w:val="auto"/>
                <w:sz w:val="24"/>
                <w:szCs w:val="24"/>
              </w:rPr>
            </w:pPr>
          </w:p>
        </w:tc>
      </w:tr>
    </w:tbl>
    <w:p>
      <w:pPr>
        <w:tabs>
          <w:tab w:val="left" w:pos="6814"/>
        </w:tabs>
        <w:rPr>
          <w:rFonts w:asciiTheme="minorEastAsia" w:hAnsiTheme="minorEastAsia" w:cstheme="minorEastAsia"/>
          <w:color w:val="auto"/>
          <w:sz w:val="24"/>
          <w:szCs w:val="24"/>
        </w:rPr>
      </w:pPr>
    </w:p>
    <w:p>
      <w:pPr>
        <w:tabs>
          <w:tab w:val="left" w:pos="6814"/>
        </w:tabs>
        <w:rPr>
          <w:rFonts w:ascii="黑体" w:hAnsi="黑体" w:eastAsia="黑体" w:cs="黑体"/>
          <w:b/>
          <w:bCs/>
          <w:color w:val="auto"/>
          <w:sz w:val="28"/>
          <w:szCs w:val="28"/>
        </w:rPr>
      </w:pPr>
      <w:r>
        <w:rPr>
          <w:rFonts w:hint="eastAsia" w:asciiTheme="minorEastAsia" w:hAnsiTheme="minorEastAsia" w:cstheme="minorEastAsia"/>
          <w:color w:val="auto"/>
          <w:sz w:val="24"/>
          <w:szCs w:val="24"/>
        </w:rPr>
        <w:t>工作内容：（如：1、签署知情同意书2、文件管理…..）</w:t>
      </w:r>
    </w:p>
    <w:p>
      <w:pPr>
        <w:spacing w:line="360" w:lineRule="auto"/>
        <w:rPr>
          <w:rFonts w:ascii="黑体" w:hAnsi="黑体" w:eastAsia="黑体" w:cs="黑体"/>
          <w:b/>
          <w:bCs/>
          <w:color w:val="auto"/>
          <w:sz w:val="28"/>
          <w:szCs w:val="28"/>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参考文献</w:t>
      </w:r>
    </w:p>
    <w:p>
      <w:pPr>
        <w:pStyle w:val="36"/>
        <w:keepNext w:val="0"/>
        <w:keepLines w:val="0"/>
        <w:pageBreakBefore w:val="0"/>
        <w:widowControl w:val="0"/>
        <w:numPr>
          <w:ilvl w:val="0"/>
          <w:numId w:val="53"/>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53"/>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国家药品监督管理局，国家卫生健康委员会. 关于发布《医疗器械临床试验质量管理规范》的公告（2022年第28号）.[2022-03-31]. https://www.nmpa.gov.cn/xxgk/ggtg/qtggtg/20220331144903101.html.</w:t>
      </w:r>
    </w:p>
    <w:p>
      <w:pPr>
        <w:pStyle w:val="36"/>
        <w:keepNext w:val="0"/>
        <w:keepLines w:val="0"/>
        <w:pageBreakBefore w:val="0"/>
        <w:widowControl w:val="0"/>
        <w:numPr>
          <w:ilvl w:val="0"/>
          <w:numId w:val="53"/>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国家药监局 国家卫生健康委关于发布药物临床试验机构管理规定的公告(2019年第101号)</w:t>
      </w:r>
      <w:r>
        <w:rPr>
          <w:rFonts w:hint="eastAsia" w:asciiTheme="minorEastAsia" w:hAnsiTheme="minorEastAsia"/>
          <w:color w:val="auto"/>
          <w:sz w:val="24"/>
          <w:szCs w:val="24"/>
          <w:lang w:val="en-US" w:eastAsia="zh-CN"/>
        </w:rPr>
        <w:t>[EB/OL].[2019-11-29]. https://www.nmpa.gov.cn/xxgk/ggtg/qtggtg/20191129174401214.html.</w:t>
      </w:r>
    </w:p>
    <w:p>
      <w:pPr>
        <w:pStyle w:val="36"/>
        <w:keepNext w:val="0"/>
        <w:keepLines w:val="0"/>
        <w:pageBreakBefore w:val="0"/>
        <w:widowControl w:val="0"/>
        <w:numPr>
          <w:ilvl w:val="0"/>
          <w:numId w:val="53"/>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国家食品药品监督管理总局 国家卫生和计划生育委员会关于发布医疗器械临床试验机构条件和备案管理办法的公告（2017年第145号）</w:t>
      </w:r>
      <w:r>
        <w:rPr>
          <w:rFonts w:hint="eastAsia" w:asciiTheme="minorEastAsia" w:hAnsiTheme="minorEastAsia"/>
          <w:color w:val="auto"/>
          <w:sz w:val="24"/>
          <w:szCs w:val="24"/>
          <w:lang w:val="en-US" w:eastAsia="zh-CN"/>
        </w:rPr>
        <w:t>[EB/OL].[2019-11-29].https://www.nmpa.gov.cn/xxgk/ggtg/qtggtg/20171124123401917.html.</w:t>
      </w:r>
    </w:p>
    <w:p>
      <w:pPr>
        <w:pStyle w:val="36"/>
        <w:keepNext w:val="0"/>
        <w:keepLines w:val="0"/>
        <w:pageBreakBefore w:val="0"/>
        <w:widowControl w:val="0"/>
        <w:numPr>
          <w:ilvl w:val="0"/>
          <w:numId w:val="53"/>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国家药监局综合司关于印发医疗器械临床试验检查要点及判定原则的通知</w:t>
      </w:r>
      <w:r>
        <w:rPr>
          <w:rFonts w:hint="eastAsia" w:asciiTheme="minorEastAsia" w:hAnsiTheme="minorEastAsia"/>
          <w:color w:val="auto"/>
          <w:sz w:val="24"/>
          <w:szCs w:val="24"/>
          <w:lang w:val="en-US" w:eastAsia="zh-CN"/>
        </w:rPr>
        <w:t>(药监综械注〔2018〕45号)[EB/OL].https://www.nmpa.gov.cn/directory/web/nmpa/xxgk/fgwj/gzwj/gzwjylqx/20181128142501830.html.</w:t>
      </w:r>
    </w:p>
    <w:p>
      <w:pPr>
        <w:pStyle w:val="36"/>
        <w:keepNext w:val="0"/>
        <w:keepLines w:val="0"/>
        <w:pageBreakBefore w:val="0"/>
        <w:widowControl w:val="0"/>
        <w:numPr>
          <w:ilvl w:val="0"/>
          <w:numId w:val="53"/>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国家食品药品监督管理总局关于发布药物临床试验数据现场核查要点的公告（2015年第228号）</w:t>
      </w:r>
      <w:r>
        <w:rPr>
          <w:rFonts w:hint="eastAsia" w:asciiTheme="minorEastAsia" w:hAnsiTheme="minorEastAsia"/>
          <w:color w:val="auto"/>
          <w:sz w:val="24"/>
          <w:szCs w:val="24"/>
          <w:lang w:val="en-US" w:eastAsia="zh-CN"/>
        </w:rPr>
        <w:t>[EB/OL].[2015-11-10]. https://www.nmpa.gov.cn/xxgk/ggtg/qtggtg/20151110203701981.html.</w:t>
      </w:r>
    </w:p>
    <w:p>
      <w:pPr>
        <w:pStyle w:val="36"/>
        <w:keepNext w:val="0"/>
        <w:keepLines w:val="0"/>
        <w:pageBreakBefore w:val="0"/>
        <w:widowControl w:val="0"/>
        <w:numPr>
          <w:ilvl w:val="0"/>
          <w:numId w:val="53"/>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国家药品监督管理局食品药品审核查验中心关于发布《药品注册核查工作程序（试行）》等5个文件的通告（2021年第30号）</w:t>
      </w:r>
      <w:r>
        <w:rPr>
          <w:rFonts w:hint="eastAsia" w:asciiTheme="minorEastAsia" w:hAnsiTheme="minorEastAsia"/>
          <w:color w:val="auto"/>
          <w:sz w:val="24"/>
          <w:szCs w:val="24"/>
          <w:lang w:val="en-US" w:eastAsia="zh-CN"/>
        </w:rPr>
        <w:t>[EB/OL].[2021-12-20]. https://www.cfdi.org.cn/resource/news/14199.html.</w:t>
      </w:r>
    </w:p>
    <w:p>
      <w:pPr>
        <w:pStyle w:val="36"/>
        <w:keepNext w:val="0"/>
        <w:keepLines w:val="0"/>
        <w:pageBreakBefore w:val="0"/>
        <w:widowControl w:val="0"/>
        <w:numPr>
          <w:ilvl w:val="0"/>
          <w:numId w:val="53"/>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eastAsiaTheme="minorEastAsia"/>
          <w:b w:val="0"/>
          <w:bCs/>
          <w:color w:val="auto"/>
          <w:sz w:val="24"/>
          <w:szCs w:val="24"/>
          <w:lang w:val="en-US" w:eastAsia="zh-CN"/>
        </w:rPr>
      </w:pPr>
      <w:r>
        <w:rPr>
          <w:rFonts w:hint="eastAsia" w:asciiTheme="minorEastAsia" w:hAnsiTheme="minorEastAsia"/>
          <w:b w:val="0"/>
          <w:bCs/>
          <w:color w:val="auto"/>
          <w:sz w:val="24"/>
          <w:szCs w:val="24"/>
          <w:lang w:val="en-US" w:eastAsia="zh-CN"/>
        </w:rPr>
        <w:t>曹玉，元唯安. 药物临床试验实践 [M].北京：中国医药科技出版社，2021.</w:t>
      </w:r>
    </w:p>
    <w:p>
      <w:pPr>
        <w:pStyle w:val="36"/>
        <w:keepNext w:val="0"/>
        <w:keepLines w:val="0"/>
        <w:pageBreakBefore w:val="0"/>
        <w:widowControl w:val="0"/>
        <w:numPr>
          <w:ilvl w:val="0"/>
          <w:numId w:val="53"/>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eastAsiaTheme="minorEastAsia"/>
          <w:b w:val="0"/>
          <w:bCs/>
          <w:color w:val="auto"/>
          <w:sz w:val="24"/>
          <w:szCs w:val="24"/>
          <w:lang w:val="en-US" w:eastAsia="zh-CN"/>
        </w:rPr>
      </w:pPr>
      <w:r>
        <w:rPr>
          <w:rFonts w:hint="eastAsia" w:asciiTheme="minorEastAsia" w:hAnsiTheme="minorEastAsia"/>
          <w:b w:val="0"/>
          <w:bCs/>
          <w:color w:val="auto"/>
          <w:sz w:val="24"/>
          <w:szCs w:val="24"/>
          <w:lang w:val="en-US" w:eastAsia="zh-CN"/>
        </w:rPr>
        <w:t>王白璐医疗器械临床试验机构操作手册 [M]. 北京：人民卫生出版社，2022.</w:t>
      </w:r>
    </w:p>
    <w:p>
      <w:pPr>
        <w:pStyle w:val="33"/>
        <w:rPr>
          <w:color w:val="auto"/>
        </w:rPr>
        <w:sectPr>
          <w:headerReference r:id="rId77" w:type="default"/>
          <w:footerReference r:id="rId78"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spacing w:line="360" w:lineRule="auto"/>
        <w:jc w:val="center"/>
        <w:rPr>
          <w:rFonts w:ascii="黑体" w:hAnsi="黑体" w:eastAsia="黑体" w:cs="黑体"/>
          <w:b/>
          <w:bCs/>
          <w:color w:val="auto"/>
          <w:sz w:val="28"/>
          <w:szCs w:val="28"/>
          <w:highlight w:val="none"/>
        </w:rPr>
      </w:pPr>
      <w:r>
        <w:rPr>
          <w:rFonts w:hint="eastAsia" w:ascii="黑体" w:hAnsi="黑体" w:eastAsia="黑体" w:cs="黑体"/>
          <w:b/>
          <w:bCs/>
          <w:color w:val="auto"/>
          <w:sz w:val="28"/>
          <w:szCs w:val="28"/>
          <w:highlight w:val="none"/>
        </w:rPr>
        <w:t>受试者知情同意的SOP</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rPr>
        <w:t>一、目的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heme="minorEastAsia" w:hAnsiTheme="minorEastAsia"/>
          <w:color w:val="auto"/>
          <w:sz w:val="24"/>
          <w:szCs w:val="24"/>
        </w:rPr>
      </w:pPr>
      <w:r>
        <w:rPr>
          <w:rFonts w:hint="eastAsia" w:asciiTheme="minorEastAsia" w:hAnsiTheme="minorEastAsia"/>
          <w:color w:val="auto"/>
          <w:sz w:val="24"/>
          <w:szCs w:val="24"/>
        </w:rPr>
        <w:t>确保受试者知情同意的过程合法、规范，最大限度保障受试者权益。</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rPr>
        <w:t>二、范围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heme="minorEastAsia" w:hAnsiTheme="minorEastAsia"/>
          <w:color w:val="auto"/>
          <w:sz w:val="24"/>
          <w:szCs w:val="24"/>
        </w:rPr>
      </w:pPr>
      <w:r>
        <w:rPr>
          <w:rFonts w:hint="eastAsia" w:asciiTheme="minorEastAsia" w:hAnsiTheme="minorEastAsia"/>
          <w:color w:val="auto"/>
          <w:sz w:val="24"/>
          <w:szCs w:val="24"/>
        </w:rPr>
        <w:t>适用于所有药物</w:t>
      </w:r>
      <w:r>
        <w:rPr>
          <w:rFonts w:hint="eastAsia" w:asciiTheme="minorEastAsia" w:hAnsiTheme="minorEastAsia"/>
          <w:color w:val="auto"/>
          <w:sz w:val="24"/>
          <w:szCs w:val="24"/>
          <w:lang w:val="en-US" w:eastAsia="zh-CN"/>
        </w:rPr>
        <w:t>/</w:t>
      </w:r>
      <w:r>
        <w:rPr>
          <w:rFonts w:hint="eastAsia" w:asciiTheme="minorEastAsia" w:hAnsiTheme="minorEastAsia"/>
          <w:color w:val="auto"/>
          <w:sz w:val="24"/>
          <w:szCs w:val="24"/>
        </w:rPr>
        <w:t>医疗器械临床研究的项目。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rPr>
        <w:t>三、规程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rPr>
        <w:t>（一）药物临床试验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w:t>
      </w:r>
      <w:r>
        <w:rPr>
          <w:rFonts w:hint="eastAsia" w:asciiTheme="minorEastAsia" w:hAnsiTheme="minorEastAsia"/>
          <w:color w:val="auto"/>
          <w:sz w:val="24"/>
          <w:szCs w:val="24"/>
        </w:rPr>
        <w:t>研究者实施知情同意，应当遵守赫尔辛基宣言的伦理原则，并符合以下要求：</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w:t>
      </w:r>
      <w:r>
        <w:rPr>
          <w:rFonts w:hint="eastAsia" w:asciiTheme="minorEastAsia" w:hAnsiTheme="minorEastAsia"/>
          <w:color w:val="auto"/>
          <w:sz w:val="24"/>
          <w:szCs w:val="24"/>
        </w:rPr>
        <w:t>研究者应当使用经伦理委员会同意的最新版的知情同意书和其他提供给受试者的信息。</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（2）</w:t>
      </w:r>
      <w:r>
        <w:rPr>
          <w:rFonts w:hint="eastAsia" w:asciiTheme="minorEastAsia" w:hAnsiTheme="minorEastAsia"/>
          <w:color w:val="auto"/>
          <w:sz w:val="24"/>
          <w:szCs w:val="24"/>
        </w:rPr>
        <w:t>研究人员不得采用强迫、利诱等不正当的方式影响受试者参加或者继续临床试验。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（3）</w:t>
      </w:r>
      <w:r>
        <w:rPr>
          <w:rFonts w:hint="eastAsia" w:asciiTheme="minorEastAsia" w:hAnsiTheme="minorEastAsia"/>
          <w:color w:val="auto"/>
          <w:sz w:val="24"/>
          <w:szCs w:val="24"/>
        </w:rPr>
        <w:t>研究者或者指定研究人员应当充分告知受试者有关临床试验的所有相关事宜，包括书面信息和伦理委员会的同意意见。</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（4）</w:t>
      </w:r>
      <w:r>
        <w:rPr>
          <w:rFonts w:hint="eastAsia" w:asciiTheme="minorEastAsia" w:hAnsiTheme="minorEastAsia"/>
          <w:color w:val="auto"/>
          <w:sz w:val="24"/>
          <w:szCs w:val="24"/>
        </w:rPr>
        <w:t>知情同意书等提供给受试者的口头和书面资料均应当采用通俗易懂的语言和表达方式，使受试者或者其监护人、见证人易于理解。</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（5）</w:t>
      </w:r>
      <w:r>
        <w:rPr>
          <w:rFonts w:hint="eastAsia" w:asciiTheme="minorEastAsia" w:hAnsiTheme="minorEastAsia"/>
          <w:color w:val="auto"/>
          <w:sz w:val="24"/>
          <w:szCs w:val="24"/>
        </w:rPr>
        <w:t>签署知情同意书之前，研究者或者指定研究人员应当给予受试者或者其监护人充分的时间和机会了解临床试验的详细情况，并详尽回答受试者或者其监护人提出的与临床试验相关的问题。</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（6）</w:t>
      </w:r>
      <w:r>
        <w:rPr>
          <w:rFonts w:hint="eastAsia" w:asciiTheme="minorEastAsia" w:hAnsiTheme="minorEastAsia"/>
          <w:color w:val="auto"/>
          <w:sz w:val="24"/>
          <w:szCs w:val="24"/>
        </w:rPr>
        <w:t>受试者或者其监护人，以及执行知情同意的研究者应当在知情同意书上分别签名并注明日期，如非受试者本人签署，应当注明关系。</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（7）</w:t>
      </w:r>
      <w:r>
        <w:rPr>
          <w:rFonts w:hint="eastAsia" w:asciiTheme="minorEastAsia" w:hAnsiTheme="minorEastAsia"/>
          <w:color w:val="auto"/>
          <w:sz w:val="24"/>
          <w:szCs w:val="24"/>
        </w:rPr>
        <w:t>若受试者或者其监护人缺乏阅读能力，应当有一位公正的见证人见证整个知情同意过程。研究者应当向受试者或者其监护人、见证人详细说明知情同意书和其他文字资料的内容。如受试者或者其监护人口头同意参加试验，在有能力情况下应当尽量签署知情同意书，见证人还应当在知情同意书上签字并注明日期，以证明受试者或者其监护人就知情同意书和其他文字资料得到了研究者准确地解释，并理解了相关内容，同意参加临床试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（8）</w:t>
      </w:r>
      <w:r>
        <w:rPr>
          <w:rFonts w:hint="eastAsia" w:asciiTheme="minorEastAsia" w:hAnsiTheme="minorEastAsia"/>
          <w:color w:val="auto"/>
          <w:sz w:val="24"/>
          <w:szCs w:val="24"/>
        </w:rPr>
        <w:t>受试者或者其监护人应当得到已签署姓名和日期的知情同意书原件或者副本和其他提供给受试者的书面资料，包括更新版知情同意书原件或者副本，和其他提供给受试者的书面资料的修订文本。</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（9）</w:t>
      </w:r>
      <w:r>
        <w:rPr>
          <w:rFonts w:hint="eastAsia" w:asciiTheme="minorEastAsia" w:hAnsiTheme="minorEastAsia"/>
          <w:color w:val="auto"/>
          <w:sz w:val="24"/>
          <w:szCs w:val="24"/>
        </w:rPr>
        <w:t>受试者为无民事行为能力的，应当取得其监护人的书面知情同意；受试者为限制民事行为能力的人的，应当取得本人及其监护人的书面知情同意。当监护人代表受试者知情同意时，应当在受试者可理解的范围内告知受试者临床试验的相关信息，并尽量让受试者亲自签署知情同意书和注明日期。</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（10）</w:t>
      </w:r>
      <w:r>
        <w:rPr>
          <w:rFonts w:hint="eastAsia" w:asciiTheme="minorEastAsia" w:hAnsiTheme="minorEastAsia"/>
          <w:color w:val="auto"/>
          <w:sz w:val="24"/>
          <w:szCs w:val="24"/>
        </w:rPr>
        <w:t>紧急情况下，参加临床试验前不能获得受试者的知情同意时，其监护人可以代表受试者知情同意，若其监护人也不在场时，受试者的入选方式应当在试验方案以及其他文件中清楚表述，并获得伦理委员会的书面同意；同时应当尽快得到受试者或者其监护人可以继续参加临床试验的知情同意。</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（11）</w:t>
      </w:r>
      <w:r>
        <w:rPr>
          <w:rFonts w:hint="eastAsia" w:asciiTheme="minorEastAsia" w:hAnsiTheme="minorEastAsia"/>
          <w:color w:val="auto"/>
          <w:sz w:val="24"/>
          <w:szCs w:val="24"/>
        </w:rPr>
        <w:t>当受试者参加非治疗性临床试验，应当由受试者本人在知情同意书上签字同意和注明日期。</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只有符合下列条件，非治疗临床试验可由监护人代表受试者知情同意：临床试验只能在无知情同意能力的受试者中实施；受试者的预期风险低；受试者健康的负面影响已减至最低，且法律法规不禁止该类临床试验的实施；该类受试者的入选已经得到伦理委员会审查同意。该类临床试验原则上只能在患有试验药物适用的疾病或者状况的患者中实施。在临床试验中应当严密观察受试者，若受试者出现过度痛苦或者不适的表现，应当让其退出试验，还应当给以必要的处置以保证受试者的安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（12）</w:t>
      </w:r>
      <w:r>
        <w:rPr>
          <w:rFonts w:hint="eastAsia" w:asciiTheme="minorEastAsia" w:hAnsiTheme="minorEastAsia"/>
          <w:color w:val="auto"/>
          <w:sz w:val="24"/>
          <w:szCs w:val="24"/>
        </w:rPr>
        <w:t>病史记录中应当记录受试者知情同意的具体时间和人员。</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（13）</w:t>
      </w:r>
      <w:r>
        <w:rPr>
          <w:rFonts w:hint="eastAsia" w:asciiTheme="minorEastAsia" w:hAnsiTheme="minorEastAsia"/>
          <w:color w:val="auto"/>
          <w:sz w:val="24"/>
          <w:szCs w:val="24"/>
        </w:rPr>
        <w:t>儿童作为受试者，应当征得其监护人的知情同意并签署知情同意书。当儿童有能力做出同意参加临床试验的决定时，还应当征得其本人同意，如果儿童受试者本人不同意参加临床试验或者中途决定退出临床试验时，即使监护人已经同意参加或者愿意继续参加，也应当以儿童受试者本人的决定为准，除非在严重或者危及生命疾病的治疗性临床试验中，研究者、其监护人认为儿童受试者若不参加研究其生命会受到危害，这时其监护人的同意即可使患者继续参与研究。在临床试验过程中，儿童受试者达到了签署知情同意的条件，则需要由本人签署知情同意之后方可继续实施。</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14</w:t>
      </w:r>
      <w:r>
        <w:rPr>
          <w:rFonts w:hint="eastAsia" w:asciiTheme="minorEastAsia" w:hAnsiTheme="minorEastAsia"/>
          <w:color w:val="auto"/>
          <w:sz w:val="24"/>
          <w:szCs w:val="24"/>
        </w:rPr>
        <w:t>）研究者获得可能影响受试者继续参加试验的新信息时，应当及时告知受试者或者其监护人，并作相应记录。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2.</w:t>
      </w:r>
      <w:r>
        <w:rPr>
          <w:rFonts w:hint="eastAsia" w:asciiTheme="minorEastAsia" w:hAnsiTheme="minorEastAsia"/>
          <w:color w:val="auto"/>
          <w:sz w:val="24"/>
          <w:szCs w:val="24"/>
        </w:rPr>
        <w:t>知情同意书和提供给受试者的其他资料应当包括：</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w:t>
      </w:r>
      <w:r>
        <w:rPr>
          <w:rFonts w:hint="eastAsia" w:asciiTheme="minorEastAsia" w:hAnsiTheme="minorEastAsia"/>
          <w:color w:val="auto"/>
          <w:sz w:val="24"/>
          <w:szCs w:val="24"/>
        </w:rPr>
        <w:t>临床试验概况。</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（2）</w:t>
      </w:r>
      <w:r>
        <w:rPr>
          <w:rFonts w:hint="eastAsia" w:asciiTheme="minorEastAsia" w:hAnsiTheme="minorEastAsia"/>
          <w:color w:val="auto"/>
          <w:sz w:val="24"/>
          <w:szCs w:val="24"/>
        </w:rPr>
        <w:t>试验目的。</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（3）</w:t>
      </w:r>
      <w:r>
        <w:rPr>
          <w:rFonts w:hint="eastAsia" w:asciiTheme="minorEastAsia" w:hAnsiTheme="minorEastAsia"/>
          <w:color w:val="auto"/>
          <w:sz w:val="24"/>
          <w:szCs w:val="24"/>
        </w:rPr>
        <w:t>试验治疗和随机分配至各组的可能性。</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（4）</w:t>
      </w:r>
      <w:r>
        <w:rPr>
          <w:rFonts w:hint="eastAsia" w:asciiTheme="minorEastAsia" w:hAnsiTheme="minorEastAsia"/>
          <w:color w:val="auto"/>
          <w:sz w:val="24"/>
          <w:szCs w:val="24"/>
        </w:rPr>
        <w:t>受试者需要遵守的试验步骤，包括创伤性医疗操作。</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（5）</w:t>
      </w:r>
      <w:r>
        <w:rPr>
          <w:rFonts w:hint="eastAsia" w:asciiTheme="minorEastAsia" w:hAnsiTheme="minorEastAsia"/>
          <w:color w:val="auto"/>
          <w:sz w:val="24"/>
          <w:szCs w:val="24"/>
        </w:rPr>
        <w:t>受试者的义务。</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（6）</w:t>
      </w:r>
      <w:r>
        <w:rPr>
          <w:rFonts w:hint="eastAsia" w:asciiTheme="minorEastAsia" w:hAnsiTheme="minorEastAsia"/>
          <w:color w:val="auto"/>
          <w:sz w:val="24"/>
          <w:szCs w:val="24"/>
        </w:rPr>
        <w:t>临床试验所涉及试验性的内容。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（7）</w:t>
      </w:r>
      <w:r>
        <w:rPr>
          <w:rFonts w:hint="eastAsia" w:asciiTheme="minorEastAsia" w:hAnsiTheme="minorEastAsia"/>
          <w:color w:val="auto"/>
          <w:sz w:val="24"/>
          <w:szCs w:val="24"/>
        </w:rPr>
        <w:t>试验可能致受试者的风险或者不便，尤其是存在影响胚胎、胎儿或者哺乳婴儿的风险时。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（8）</w:t>
      </w:r>
      <w:r>
        <w:rPr>
          <w:rFonts w:hint="eastAsia" w:asciiTheme="minorEastAsia" w:hAnsiTheme="minorEastAsia"/>
          <w:color w:val="auto"/>
          <w:sz w:val="24"/>
          <w:szCs w:val="24"/>
        </w:rPr>
        <w:t>试验预期的获益，以及不能获益的可能性。</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（9）</w:t>
      </w:r>
      <w:r>
        <w:rPr>
          <w:rFonts w:hint="eastAsia" w:asciiTheme="minorEastAsia" w:hAnsiTheme="minorEastAsia"/>
          <w:color w:val="auto"/>
          <w:sz w:val="24"/>
          <w:szCs w:val="24"/>
        </w:rPr>
        <w:t>其他可选的药物和治疗方法，及其重要的潜在获益和风险。</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（10）</w:t>
      </w:r>
      <w:r>
        <w:rPr>
          <w:rFonts w:hint="eastAsia" w:asciiTheme="minorEastAsia" w:hAnsiTheme="minorEastAsia"/>
          <w:color w:val="auto"/>
          <w:sz w:val="24"/>
          <w:szCs w:val="24"/>
        </w:rPr>
        <w:t>受试者发生与试验相关的损害时，可获得补偿以及治疗。</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（11）</w:t>
      </w:r>
      <w:r>
        <w:rPr>
          <w:rFonts w:hint="eastAsia" w:asciiTheme="minorEastAsia" w:hAnsiTheme="minorEastAsia"/>
          <w:color w:val="auto"/>
          <w:sz w:val="24"/>
          <w:szCs w:val="24"/>
        </w:rPr>
        <w:t>受试者参加临床试验可能获得的补偿。</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（12）</w:t>
      </w:r>
      <w:r>
        <w:rPr>
          <w:rFonts w:hint="eastAsia" w:asciiTheme="minorEastAsia" w:hAnsiTheme="minorEastAsia"/>
          <w:color w:val="auto"/>
          <w:sz w:val="24"/>
          <w:szCs w:val="24"/>
        </w:rPr>
        <w:t>受试者参加临床试验预期的花费。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（13）</w:t>
      </w:r>
      <w:r>
        <w:rPr>
          <w:rFonts w:hint="eastAsia" w:asciiTheme="minorEastAsia" w:hAnsiTheme="minorEastAsia"/>
          <w:color w:val="auto"/>
          <w:sz w:val="24"/>
          <w:szCs w:val="24"/>
        </w:rPr>
        <w:t>受试者参加试验是自愿的，可以拒绝参加或者有权在试验任何阶段随时退出试验而不会遭到歧视或者报复，其医疗待遇与权益不会受到影响。</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（14）</w:t>
      </w:r>
      <w:r>
        <w:rPr>
          <w:rFonts w:hint="eastAsia" w:asciiTheme="minorEastAsia" w:hAnsiTheme="minorEastAsia"/>
          <w:color w:val="auto"/>
          <w:sz w:val="24"/>
          <w:szCs w:val="24"/>
        </w:rPr>
        <w:t>在不违反保密原则和相关法规的情况下，监查员、稽查员、伦理委员会和药品监督管理部门检查人员可以查阅受试者的原始医学记录，以核实临床试验的过程和数据。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（15）</w:t>
      </w:r>
      <w:r>
        <w:rPr>
          <w:rFonts w:hint="eastAsia" w:asciiTheme="minorEastAsia" w:hAnsiTheme="minorEastAsia"/>
          <w:color w:val="auto"/>
          <w:sz w:val="24"/>
          <w:szCs w:val="24"/>
        </w:rPr>
        <w:t>受试者相关身份鉴别记录的保密事宜，不公开使用。如果发布临床试验结果，受试者的身份信息仍保密。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（16）</w:t>
      </w:r>
      <w:r>
        <w:rPr>
          <w:rFonts w:hint="eastAsia" w:asciiTheme="minorEastAsia" w:hAnsiTheme="minorEastAsia"/>
          <w:color w:val="auto"/>
          <w:sz w:val="24"/>
          <w:szCs w:val="24"/>
        </w:rPr>
        <w:t>有新的可能影响受试者继续参加试验的信息时，将及时告知受试者或者其监护人。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（17）</w:t>
      </w:r>
      <w:r>
        <w:rPr>
          <w:rFonts w:hint="eastAsia" w:asciiTheme="minorEastAsia" w:hAnsiTheme="minorEastAsia"/>
          <w:color w:val="auto"/>
          <w:sz w:val="24"/>
          <w:szCs w:val="24"/>
        </w:rPr>
        <w:t>当存在有关试验信息和受试者权益的问题，以及发生试验相关损害时，受试者可联系的研究者和伦理委员会及其联系方式。</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（18）</w:t>
      </w:r>
      <w:r>
        <w:rPr>
          <w:rFonts w:hint="eastAsia" w:asciiTheme="minorEastAsia" w:hAnsiTheme="minorEastAsia"/>
          <w:color w:val="auto"/>
          <w:sz w:val="24"/>
          <w:szCs w:val="24"/>
        </w:rPr>
        <w:t>受试者可能被终止试验的情况以及理由。</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（19）</w:t>
      </w:r>
      <w:r>
        <w:rPr>
          <w:rFonts w:hint="eastAsia" w:asciiTheme="minorEastAsia" w:hAnsiTheme="minorEastAsia"/>
          <w:color w:val="auto"/>
          <w:sz w:val="24"/>
          <w:szCs w:val="24"/>
        </w:rPr>
        <w:t>受试者参加试验的预期持续时间。</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（20）</w:t>
      </w:r>
      <w:r>
        <w:rPr>
          <w:rFonts w:hint="eastAsia" w:asciiTheme="minorEastAsia" w:hAnsiTheme="minorEastAsia"/>
          <w:color w:val="auto"/>
          <w:sz w:val="24"/>
          <w:szCs w:val="24"/>
        </w:rPr>
        <w:t xml:space="preserve">参加该试验的预计受试者人数。 </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3.知情同意书一式两份，一份保存于受试者文件夹，另一份交受试者保存。</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4.知情同意的过程应清楚地在原始病历中记录。</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5.</w:t>
      </w:r>
      <w:r>
        <w:rPr>
          <w:rFonts w:hint="default" w:asciiTheme="minorEastAsia" w:hAnsiTheme="minorEastAsia"/>
          <w:color w:val="auto"/>
          <w:sz w:val="24"/>
          <w:szCs w:val="24"/>
          <w:lang w:val="en-US" w:eastAsia="zh-CN"/>
        </w:rPr>
        <w:t>研究过程中发生下列情形时，研究者应当再次获取</w:t>
      </w:r>
      <w:r>
        <w:rPr>
          <w:rFonts w:hint="eastAsia" w:asciiTheme="minorEastAsia" w:hAnsiTheme="minorEastAsia"/>
          <w:color w:val="auto"/>
          <w:sz w:val="24"/>
          <w:szCs w:val="24"/>
          <w:lang w:val="en-US" w:eastAsia="zh-CN"/>
        </w:rPr>
        <w:t>受试者</w:t>
      </w:r>
      <w:r>
        <w:rPr>
          <w:rFonts w:hint="default" w:asciiTheme="minorEastAsia" w:hAnsiTheme="minorEastAsia"/>
          <w:color w:val="auto"/>
          <w:sz w:val="24"/>
          <w:szCs w:val="24"/>
          <w:lang w:val="en-US" w:eastAsia="zh-CN"/>
        </w:rPr>
        <w:t>的知情同意：</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w:t>
      </w:r>
      <w:r>
        <w:rPr>
          <w:rFonts w:hint="eastAsia" w:asciiTheme="minorEastAsia" w:hAnsiTheme="minorEastAsia"/>
          <w:color w:val="auto"/>
          <w:sz w:val="24"/>
          <w:szCs w:val="24"/>
          <w:lang w:val="en-US" w:eastAsia="zh-CN"/>
        </w:rPr>
        <w:t>1</w:t>
      </w:r>
      <w:r>
        <w:rPr>
          <w:rFonts w:hint="default" w:asciiTheme="minorEastAsia" w:hAnsiTheme="minorEastAsia"/>
          <w:color w:val="auto"/>
          <w:sz w:val="24"/>
          <w:szCs w:val="24"/>
          <w:lang w:val="en-US" w:eastAsia="zh-CN"/>
        </w:rPr>
        <w:t>）</w:t>
      </w:r>
      <w:r>
        <w:rPr>
          <w:rFonts w:hint="eastAsia" w:asciiTheme="minorEastAsia" w:hAnsiTheme="minorEastAsia"/>
          <w:color w:val="auto"/>
          <w:sz w:val="24"/>
          <w:szCs w:val="24"/>
          <w:lang w:val="en-US" w:eastAsia="zh-CN"/>
        </w:rPr>
        <w:t>受试者</w:t>
      </w:r>
      <w:r>
        <w:rPr>
          <w:rFonts w:hint="default" w:asciiTheme="minorEastAsia" w:hAnsiTheme="minorEastAsia"/>
          <w:color w:val="auto"/>
          <w:sz w:val="24"/>
          <w:szCs w:val="24"/>
          <w:lang w:val="en-US" w:eastAsia="zh-CN"/>
        </w:rPr>
        <w:t>相关的研究内容发生实质性变化的；</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w:t>
      </w:r>
      <w:r>
        <w:rPr>
          <w:rFonts w:hint="eastAsia" w:asciiTheme="minorEastAsia" w:hAnsiTheme="minorEastAsia"/>
          <w:color w:val="auto"/>
          <w:sz w:val="24"/>
          <w:szCs w:val="24"/>
          <w:lang w:val="en-US" w:eastAsia="zh-CN"/>
        </w:rPr>
        <w:t>2</w:t>
      </w:r>
      <w:r>
        <w:rPr>
          <w:rFonts w:hint="default" w:asciiTheme="minorEastAsia" w:hAnsiTheme="minorEastAsia"/>
          <w:color w:val="auto"/>
          <w:sz w:val="24"/>
          <w:szCs w:val="24"/>
          <w:lang w:val="en-US" w:eastAsia="zh-CN"/>
        </w:rPr>
        <w:t>）与研究相关的风险实质性提高或者增加的；</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w:t>
      </w:r>
      <w:r>
        <w:rPr>
          <w:rFonts w:hint="eastAsia" w:asciiTheme="minorEastAsia" w:hAnsiTheme="minorEastAsia"/>
          <w:color w:val="auto"/>
          <w:sz w:val="24"/>
          <w:szCs w:val="24"/>
          <w:lang w:val="en-US" w:eastAsia="zh-CN"/>
        </w:rPr>
        <w:t>3</w:t>
      </w:r>
      <w:r>
        <w:rPr>
          <w:rFonts w:hint="default" w:asciiTheme="minorEastAsia" w:hAnsiTheme="minorEastAsia"/>
          <w:color w:val="auto"/>
          <w:sz w:val="24"/>
          <w:szCs w:val="24"/>
          <w:lang w:val="en-US" w:eastAsia="zh-CN"/>
        </w:rPr>
        <w:t>）</w:t>
      </w:r>
      <w:r>
        <w:rPr>
          <w:rFonts w:hint="eastAsia" w:asciiTheme="minorEastAsia" w:hAnsiTheme="minorEastAsia"/>
          <w:color w:val="auto"/>
          <w:sz w:val="24"/>
          <w:szCs w:val="24"/>
          <w:lang w:val="en-US" w:eastAsia="zh-CN"/>
        </w:rPr>
        <w:t>受试者</w:t>
      </w:r>
      <w:r>
        <w:rPr>
          <w:rFonts w:hint="default" w:asciiTheme="minorEastAsia" w:hAnsiTheme="minorEastAsia"/>
          <w:color w:val="auto"/>
          <w:sz w:val="24"/>
          <w:szCs w:val="24"/>
          <w:lang w:val="en-US" w:eastAsia="zh-CN"/>
        </w:rPr>
        <w:t>民事行为能力等级提高的。</w:t>
      </w:r>
    </w:p>
    <w:p>
      <w:pPr>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rPr>
        <w:t>（二）医疗器械临床试验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 xml:space="preserve"> </w:t>
      </w:r>
      <w:r>
        <w:rPr>
          <w:rFonts w:hint="eastAsia" w:asciiTheme="minorEastAsia" w:hAnsiTheme="minorEastAsia"/>
          <w:color w:val="auto"/>
          <w:sz w:val="24"/>
          <w:szCs w:val="24"/>
          <w:lang w:val="en-US" w:eastAsia="zh-CN"/>
        </w:rPr>
        <w:t>1.</w:t>
      </w:r>
      <w:r>
        <w:rPr>
          <w:rFonts w:hint="eastAsia" w:asciiTheme="minorEastAsia" w:hAnsiTheme="minorEastAsia"/>
          <w:color w:val="auto"/>
          <w:sz w:val="24"/>
          <w:szCs w:val="24"/>
        </w:rPr>
        <w:t xml:space="preserve">研究者应当遵守《世界医学大会赫尔辛基宣言》的伦理准则及相关伦理要求，并符合以下要求：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1</w:t>
      </w:r>
      <w:r>
        <w:rPr>
          <w:rFonts w:hint="eastAsia" w:asciiTheme="minorEastAsia" w:hAnsiTheme="minorEastAsia"/>
          <w:color w:val="auto"/>
          <w:sz w:val="24"/>
          <w:szCs w:val="24"/>
        </w:rPr>
        <w:t>）应当使用经伦理委员会同意的最新版本知情同意书和其他提供给受试者的信息；</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2</w:t>
      </w:r>
      <w:r>
        <w:rPr>
          <w:rFonts w:hint="eastAsia" w:asciiTheme="minorEastAsia" w:hAnsiTheme="minorEastAsia"/>
          <w:color w:val="auto"/>
          <w:sz w:val="24"/>
          <w:szCs w:val="24"/>
        </w:rPr>
        <w:t>）在受试者参与临床试验前，应当向受试者说明试验医疗器械以及临床试验有关的详细情况，告知受试者可能的受益和已知的、可以预见的风险，经充分和详细解释后由受试者在知情同意书上签署姓名和日期，研究者在知情同意书上应当签署姓名和日期；</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3</w:t>
      </w:r>
      <w:r>
        <w:rPr>
          <w:rFonts w:hint="eastAsia" w:asciiTheme="minorEastAsia" w:hAnsiTheme="minorEastAsia"/>
          <w:color w:val="auto"/>
          <w:sz w:val="24"/>
          <w:szCs w:val="24"/>
        </w:rPr>
        <w:t>）受试者为无民事行为能力人或者限制民事行为能力人的，应当依法获得其监护人的书面知情同意；受试者缺乏阅读能力的，应当有一位公正见证人见证整个知情同意过程并在知情同意书上签字并注明日期；</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4</w:t>
      </w:r>
      <w:r>
        <w:rPr>
          <w:rFonts w:hint="eastAsia" w:asciiTheme="minorEastAsia" w:hAnsiTheme="minorEastAsia"/>
          <w:color w:val="auto"/>
          <w:sz w:val="24"/>
          <w:szCs w:val="24"/>
        </w:rPr>
        <w:t>）不应当强迫或者以其他不正当方式诱使受试者参加临床试验；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5</w:t>
      </w:r>
      <w:r>
        <w:rPr>
          <w:rFonts w:hint="eastAsia" w:asciiTheme="minorEastAsia" w:hAnsiTheme="minorEastAsia"/>
          <w:color w:val="auto"/>
          <w:sz w:val="24"/>
          <w:szCs w:val="24"/>
        </w:rPr>
        <w:t>）确保知情同意书更新并获得伦理委员会审查同意后，所有受影响的未结束试验流程的受试者，都签署新修订的知情同意书。</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2.</w:t>
      </w:r>
      <w:r>
        <w:rPr>
          <w:rFonts w:hint="eastAsia" w:asciiTheme="minorEastAsia" w:hAnsiTheme="minorEastAsia"/>
          <w:color w:val="auto"/>
          <w:sz w:val="24"/>
          <w:szCs w:val="24"/>
        </w:rPr>
        <w:t>知情同意书一般应当包括下列内容以及对事项的说明：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1</w:t>
      </w:r>
      <w:r>
        <w:rPr>
          <w:rFonts w:hint="eastAsia" w:asciiTheme="minorEastAsia" w:hAnsiTheme="minorEastAsia"/>
          <w:color w:val="auto"/>
          <w:sz w:val="24"/>
          <w:szCs w:val="24"/>
        </w:rPr>
        <w:t>）主要研究者的姓名以及相关信息；</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2</w:t>
      </w:r>
      <w:r>
        <w:rPr>
          <w:rFonts w:hint="eastAsia" w:asciiTheme="minorEastAsia" w:hAnsiTheme="minorEastAsia"/>
          <w:color w:val="auto"/>
          <w:sz w:val="24"/>
          <w:szCs w:val="24"/>
        </w:rPr>
        <w:t>）医疗器械临床试验机构的名称；</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3</w:t>
      </w:r>
      <w:r>
        <w:rPr>
          <w:rFonts w:hint="eastAsia" w:asciiTheme="minorEastAsia" w:hAnsiTheme="minorEastAsia"/>
          <w:color w:val="auto"/>
          <w:sz w:val="24"/>
          <w:szCs w:val="24"/>
        </w:rPr>
        <w:t>）临床试验名称、目的、方法、内容；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4</w:t>
      </w:r>
      <w:r>
        <w:rPr>
          <w:rFonts w:hint="eastAsia" w:asciiTheme="minorEastAsia" w:hAnsiTheme="minorEastAsia"/>
          <w:color w:val="auto"/>
          <w:sz w:val="24"/>
          <w:szCs w:val="24"/>
        </w:rPr>
        <w:t>）临床试验过程、期限；</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5</w:t>
      </w:r>
      <w:r>
        <w:rPr>
          <w:rFonts w:hint="eastAsia" w:asciiTheme="minorEastAsia" w:hAnsiTheme="minorEastAsia"/>
          <w:color w:val="auto"/>
          <w:sz w:val="24"/>
          <w:szCs w:val="24"/>
        </w:rPr>
        <w:t>）临床试验的资金来源、可能的利益冲突；</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6</w:t>
      </w:r>
      <w:r>
        <w:rPr>
          <w:rFonts w:hint="eastAsia" w:asciiTheme="minorEastAsia" w:hAnsiTheme="minorEastAsia"/>
          <w:color w:val="auto"/>
          <w:sz w:val="24"/>
          <w:szCs w:val="24"/>
        </w:rPr>
        <w:t>）预期受试者可能的受益和已知的、可以预见的风险以及可能发生的不良事件；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7</w:t>
      </w:r>
      <w:r>
        <w:rPr>
          <w:rFonts w:hint="eastAsia" w:asciiTheme="minorEastAsia" w:hAnsiTheme="minorEastAsia"/>
          <w:color w:val="auto"/>
          <w:sz w:val="24"/>
          <w:szCs w:val="24"/>
        </w:rPr>
        <w:t>）受试者可以获得的替代诊疗方法以及其潜在受益和风险的信息；</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8</w:t>
      </w:r>
      <w:r>
        <w:rPr>
          <w:rFonts w:hint="eastAsia" w:asciiTheme="minorEastAsia" w:hAnsiTheme="minorEastAsia"/>
          <w:color w:val="auto"/>
          <w:sz w:val="24"/>
          <w:szCs w:val="24"/>
        </w:rPr>
        <w:t>）适用时，说明受试者可能被分配到临床试验的不同组别；</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9</w:t>
      </w:r>
      <w:r>
        <w:rPr>
          <w:rFonts w:hint="eastAsia" w:asciiTheme="minorEastAsia" w:hAnsiTheme="minorEastAsia"/>
          <w:color w:val="auto"/>
          <w:sz w:val="24"/>
          <w:szCs w:val="24"/>
        </w:rPr>
        <w:t>）受试者参加临床试验是自愿的，且在临床试验的任何阶段有权退出而不会受到歧视或者报复，其医疗待遇与权益不受影响；</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10</w:t>
      </w:r>
      <w:r>
        <w:rPr>
          <w:rFonts w:hint="eastAsia" w:asciiTheme="minorEastAsia" w:hAnsiTheme="minorEastAsia"/>
          <w:color w:val="auto"/>
          <w:sz w:val="24"/>
          <w:szCs w:val="24"/>
        </w:rPr>
        <w:t>）告知受试者参加临床试验的个人资料属于保密，但医疗器械临床试验机构管理部门、伦理委员会、药品监督管理部门、卫生健康管理部门或者监查员、稽查员在工作需要时按照规定程序可以查阅受试者参加临床试验的个人资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11</w:t>
      </w:r>
      <w:r>
        <w:rPr>
          <w:rFonts w:hint="eastAsia" w:asciiTheme="minorEastAsia" w:hAnsiTheme="minorEastAsia"/>
          <w:color w:val="auto"/>
          <w:sz w:val="24"/>
          <w:szCs w:val="24"/>
        </w:rPr>
        <w:t>）受试者在临床试验期间可能获得的免费诊疗项目和其他相关补偿；</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12</w:t>
      </w:r>
      <w:r>
        <w:rPr>
          <w:rFonts w:hint="eastAsia" w:asciiTheme="minorEastAsia" w:hAnsiTheme="minorEastAsia"/>
          <w:color w:val="auto"/>
          <w:sz w:val="24"/>
          <w:szCs w:val="24"/>
        </w:rPr>
        <w:t>）如发生与临床试验相关的伤害，受试者可以获得的治疗和/或赔偿；</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13</w:t>
      </w:r>
      <w:r>
        <w:rPr>
          <w:rFonts w:hint="eastAsia" w:asciiTheme="minorEastAsia" w:hAnsiTheme="minorEastAsia"/>
          <w:color w:val="auto"/>
          <w:sz w:val="24"/>
          <w:szCs w:val="24"/>
        </w:rPr>
        <w:t>）受试者在临床试验期间可以随时了解与其相关的信息资料。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heme="minorEastAsia" w:hAnsiTheme="minorEastAsia"/>
          <w:color w:val="auto"/>
          <w:sz w:val="24"/>
          <w:szCs w:val="24"/>
        </w:rPr>
      </w:pPr>
      <w:r>
        <w:rPr>
          <w:rFonts w:hint="eastAsia" w:asciiTheme="minorEastAsia" w:hAnsiTheme="minorEastAsia"/>
          <w:color w:val="auto"/>
          <w:sz w:val="24"/>
          <w:szCs w:val="24"/>
        </w:rPr>
        <w:t>知情同意书应当注明制定的版本和日期或者修订后的版本和日期。知情同意书应当采用受试者能够理解的语言和文字。知情同意书不应当含有会引起受试者放弃合法权益以及免除医疗器械临床试验机构和主要研究者、申办者应当负责任的内容。</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3.知情同意书一式两份，一份保存于受试者文件夹，另一份交受试者保存。</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4.知情同意的过程应清楚地在原始病历中记录。</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5.研究过程中发生下列情形时，研究者应当再次获取受试者的知情同意：</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（1）受试者相关的研究内容发生实质性变化的；</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（2）与研究相关的风险实质性提高或者增加的；</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（3）受试者民事行为能力等级提高的。</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四、参考文献</w:t>
      </w:r>
    </w:p>
    <w:p>
      <w:pPr>
        <w:pStyle w:val="36"/>
        <w:keepNext w:val="0"/>
        <w:keepLines w:val="0"/>
        <w:pageBreakBefore w:val="0"/>
        <w:widowControl w:val="0"/>
        <w:numPr>
          <w:ilvl w:val="0"/>
          <w:numId w:val="54"/>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54"/>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 xml:space="preserve">国家药品监督管理局，国家卫生健康委员会. 关于发布《医疗器械临床试验质量管理规范》的公告（2022年第28号）.[2022-03-31]. </w:t>
      </w:r>
      <w:r>
        <w:rPr>
          <w:rFonts w:hint="eastAsia" w:asciiTheme="minorEastAsia" w:hAnsiTheme="minorEastAsia"/>
          <w:color w:val="auto"/>
          <w:sz w:val="24"/>
          <w:szCs w:val="24"/>
          <w:u w:val="none"/>
          <w:lang w:val="en-US" w:eastAsia="zh-CN"/>
        </w:rPr>
        <w:t>https://www.nmpa.gov.cn/xxgk/ggtg/qtggtg/20220331144903101.html.</w:t>
      </w:r>
    </w:p>
    <w:p>
      <w:pPr>
        <w:pStyle w:val="36"/>
        <w:keepNext w:val="0"/>
        <w:keepLines w:val="0"/>
        <w:pageBreakBefore w:val="0"/>
        <w:widowControl w:val="0"/>
        <w:numPr>
          <w:ilvl w:val="0"/>
          <w:numId w:val="54"/>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eastAsia" w:asciiTheme="minorEastAsia" w:hAnsiTheme="minorEastAsia" w:eastAsiaTheme="minorEastAsia"/>
          <w:color w:val="auto"/>
          <w:sz w:val="24"/>
          <w:szCs w:val="24"/>
          <w:lang w:val="en-US" w:eastAsia="zh-CN"/>
        </w:rPr>
      </w:pPr>
      <w:r>
        <w:rPr>
          <w:rFonts w:hint="eastAsia" w:asciiTheme="minorEastAsia" w:hAnsiTheme="minorEastAsia"/>
          <w:color w:val="auto"/>
          <w:sz w:val="24"/>
          <w:szCs w:val="24"/>
        </w:rPr>
        <w:t>卫生健康委 教育部 科技部 中医药局</w:t>
      </w:r>
      <w:r>
        <w:rPr>
          <w:rFonts w:hint="eastAsia" w:asciiTheme="minorEastAsia" w:hAnsiTheme="minorEastAsia"/>
          <w:color w:val="auto"/>
          <w:sz w:val="24"/>
          <w:szCs w:val="24"/>
          <w:lang w:val="en-US" w:eastAsia="zh-CN"/>
        </w:rPr>
        <w:t>. 关于印发涉及人的生命科学和医学研究伦理审查办法的通知（国卫科教发〔2023〕4号）. [2023-02-27]. http://www.nhc.gov.cn/qjjys/s7946/202302/c3374c180dc5489d85f95df5b46afaf5.shtml</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lang w:val="en-US" w:eastAsia="zh-CN"/>
        </w:rPr>
        <w:t>五</w:t>
      </w:r>
      <w:r>
        <w:rPr>
          <w:rFonts w:hint="eastAsia" w:asciiTheme="minorEastAsia" w:hAnsiTheme="minorEastAsia"/>
          <w:color w:val="auto"/>
          <w:sz w:val="24"/>
          <w:szCs w:val="24"/>
        </w:rPr>
        <w:t>、附件 相关名词</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（一）药物临床试验中</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1</w:t>
      </w:r>
      <w:r>
        <w:rPr>
          <w:rFonts w:hint="eastAsia" w:asciiTheme="minorEastAsia" w:hAnsiTheme="minorEastAsia"/>
          <w:color w:val="auto"/>
          <w:sz w:val="24"/>
          <w:szCs w:val="24"/>
        </w:rPr>
        <w:t>）受试者，指参加一项临床试验，并作为试验用药品的接受者，包括患者、健康受试者。</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2</w:t>
      </w:r>
      <w:r>
        <w:rPr>
          <w:rFonts w:hint="eastAsia" w:asciiTheme="minorEastAsia" w:hAnsiTheme="minorEastAsia"/>
          <w:color w:val="auto"/>
          <w:sz w:val="24"/>
          <w:szCs w:val="24"/>
        </w:rPr>
        <w:t>）弱势受试者，指维护自身意愿和权利的能力不足或者丧失的受试者，其自愿参加临床试验的意愿，有可能被试验的预期获益或者拒绝参加可能被报复而受到不正当影响。包括：研究者的学生和下级、申办者的员工、军人、犯人、无药可救疾病的患者、处于危急状况的患者，入住福利院的人、流浪者、未成年人和无能力知情同意的人等。</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3</w:t>
      </w:r>
      <w:r>
        <w:rPr>
          <w:rFonts w:hint="eastAsia" w:asciiTheme="minorEastAsia" w:hAnsiTheme="minorEastAsia"/>
          <w:color w:val="auto"/>
          <w:sz w:val="24"/>
          <w:szCs w:val="24"/>
        </w:rPr>
        <w:t>）知情同意，指受试者被告知可影响其做出参加临床试验决定的各方面情况后，确认同意自愿参加临床试验的过程。该过程应当以书面的、签署姓名和日期的知情同意书作为文件证明。</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w:t>
      </w:r>
      <w:r>
        <w:rPr>
          <w:rFonts w:hint="eastAsia" w:asciiTheme="minorEastAsia" w:hAnsiTheme="minorEastAsia"/>
          <w:color w:val="auto"/>
          <w:sz w:val="24"/>
          <w:szCs w:val="24"/>
          <w:lang w:val="en-US" w:eastAsia="zh-CN"/>
        </w:rPr>
        <w:t>4</w:t>
      </w:r>
      <w:r>
        <w:rPr>
          <w:rFonts w:hint="eastAsia" w:asciiTheme="minorEastAsia" w:hAnsiTheme="minorEastAsia"/>
          <w:color w:val="auto"/>
          <w:sz w:val="24"/>
          <w:szCs w:val="24"/>
        </w:rPr>
        <w:t>）公正见证人，指与临床试验无关，不受临床试验相关人员不公正影响的个人，在受试者或者其监护人无阅读能力时，作为公正的见证人，阅读知情同意书和其他书面资料，并见证知情同意。</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（二）医疗器械临床试验中</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eastAsia="zh-CN"/>
        </w:rPr>
        <w:t>（</w:t>
      </w:r>
      <w:r>
        <w:rPr>
          <w:rFonts w:hint="eastAsia" w:asciiTheme="minorEastAsia" w:hAnsiTheme="minorEastAsia"/>
          <w:color w:val="auto"/>
          <w:sz w:val="24"/>
          <w:szCs w:val="24"/>
          <w:lang w:val="en-US" w:eastAsia="zh-CN"/>
        </w:rPr>
        <w:t>1</w:t>
      </w:r>
      <w:r>
        <w:rPr>
          <w:rFonts w:hint="eastAsia" w:asciiTheme="minorEastAsia" w:hAnsiTheme="minorEastAsia"/>
          <w:color w:val="auto"/>
          <w:sz w:val="24"/>
          <w:szCs w:val="24"/>
          <w:lang w:eastAsia="zh-CN"/>
        </w:rPr>
        <w:t>）</w:t>
      </w:r>
      <w:r>
        <w:rPr>
          <w:rFonts w:hint="eastAsia" w:asciiTheme="minorEastAsia" w:hAnsiTheme="minorEastAsia"/>
          <w:color w:val="auto"/>
          <w:sz w:val="24"/>
          <w:szCs w:val="24"/>
        </w:rPr>
        <w:t xml:space="preserve">知情同意，是指向受试者告知医疗器械临床试验的各方面情况后，受试者确认自愿参加该项医疗器械临床试验的过程，应当以书面签署姓名和注明日期的知情同意书作为证明文件。 </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eastAsia="zh-CN"/>
        </w:rPr>
        <w:t>（</w:t>
      </w:r>
      <w:r>
        <w:rPr>
          <w:rFonts w:hint="eastAsia" w:asciiTheme="minorEastAsia" w:hAnsiTheme="minorEastAsia"/>
          <w:color w:val="auto"/>
          <w:sz w:val="24"/>
          <w:szCs w:val="24"/>
          <w:lang w:val="en-US" w:eastAsia="zh-CN"/>
        </w:rPr>
        <w:t>2</w:t>
      </w:r>
      <w:r>
        <w:rPr>
          <w:rFonts w:hint="eastAsia" w:asciiTheme="minorEastAsia" w:hAnsiTheme="minorEastAsia"/>
          <w:color w:val="auto"/>
          <w:sz w:val="24"/>
          <w:szCs w:val="24"/>
          <w:lang w:eastAsia="zh-CN"/>
        </w:rPr>
        <w:t>）</w:t>
      </w:r>
      <w:r>
        <w:rPr>
          <w:rFonts w:hint="eastAsia" w:asciiTheme="minorEastAsia" w:hAnsiTheme="minorEastAsia"/>
          <w:color w:val="auto"/>
          <w:sz w:val="24"/>
          <w:szCs w:val="24"/>
        </w:rPr>
        <w:t>受试者，是指自愿参加医疗器械临床试验的个人。</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eastAsia="zh-CN"/>
        </w:rPr>
        <w:t>（</w:t>
      </w:r>
      <w:r>
        <w:rPr>
          <w:rFonts w:hint="eastAsia" w:asciiTheme="minorEastAsia" w:hAnsiTheme="minorEastAsia"/>
          <w:color w:val="auto"/>
          <w:sz w:val="24"/>
          <w:szCs w:val="24"/>
          <w:lang w:val="en-US" w:eastAsia="zh-CN"/>
        </w:rPr>
        <w:t>3</w:t>
      </w:r>
      <w:r>
        <w:rPr>
          <w:rFonts w:hint="eastAsia" w:asciiTheme="minorEastAsia" w:hAnsiTheme="minorEastAsia"/>
          <w:color w:val="auto"/>
          <w:sz w:val="24"/>
          <w:szCs w:val="24"/>
          <w:lang w:eastAsia="zh-CN"/>
        </w:rPr>
        <w:t>）</w:t>
      </w:r>
      <w:r>
        <w:rPr>
          <w:rFonts w:hint="eastAsia" w:asciiTheme="minorEastAsia" w:hAnsiTheme="minorEastAsia"/>
          <w:color w:val="auto"/>
          <w:sz w:val="24"/>
          <w:szCs w:val="24"/>
        </w:rPr>
        <w:t>公正见证人，是指与医疗器械临床试验无关，不受临床试验相关人员不公正影响的个人，在受试者无阅读能力时，作为公正的见证人，阅读知情同意书和其他提供给受试者的信息，并见证知情同意。</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906"/>
        <w:gridCol w:w="915"/>
        <w:gridCol w:w="3072"/>
        <w:gridCol w:w="2715"/>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36"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90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3072"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2715"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217"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8" w:hRule="atLeast"/>
          <w:jc w:val="center"/>
        </w:trPr>
        <w:tc>
          <w:tcPr>
            <w:tcW w:w="63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0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3.0</w:t>
            </w:r>
          </w:p>
        </w:tc>
        <w:tc>
          <w:tcPr>
            <w:tcW w:w="91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3072" w:type="dxa"/>
            <w:vAlign w:val="center"/>
          </w:tcPr>
          <w:p>
            <w:pPr>
              <w:rPr>
                <w:rFonts w:hint="default" w:ascii="宋体" w:hAnsi="宋体" w:eastAsia="宋体" w:cs="宋体"/>
                <w:color w:val="auto"/>
                <w:lang w:val="en-US" w:eastAsia="zh-CN"/>
              </w:rPr>
            </w:pPr>
            <w:r>
              <w:rPr>
                <w:rFonts w:hint="eastAsia" w:ascii="宋体" w:hAnsi="宋体" w:eastAsia="宋体" w:cs="宋体"/>
                <w:color w:val="auto"/>
                <w:lang w:val="en-US" w:eastAsia="zh-CN"/>
              </w:rPr>
              <w:t>1.根据现行版GCP和相关法规，修订药物和医疗器械临床试验中对知情同意内容和规程的要求。</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2.为确保制度的严谨性，增加参考文献。</w:t>
            </w:r>
          </w:p>
        </w:tc>
        <w:tc>
          <w:tcPr>
            <w:tcW w:w="27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1.修订药物和医疗器械临床试验中知情同意书的内容要求。</w:t>
            </w:r>
          </w:p>
          <w:p>
            <w:pPr>
              <w:rPr>
                <w:rFonts w:hint="default" w:ascii="宋体" w:hAnsi="宋体" w:eastAsia="宋体" w:cs="宋体"/>
                <w:color w:val="auto"/>
                <w:lang w:val="en-US" w:eastAsia="zh-CN"/>
              </w:rPr>
            </w:pPr>
            <w:r>
              <w:rPr>
                <w:rFonts w:hint="eastAsia" w:ascii="宋体" w:hAnsi="宋体" w:eastAsia="宋体" w:cs="宋体"/>
                <w:color w:val="auto"/>
                <w:lang w:val="en-US" w:eastAsia="zh-CN"/>
              </w:rPr>
              <w:t>2.明确研究过程中研究者应当再次获取受试者的知情同意的情形。</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2.新增参考文献。</w:t>
            </w:r>
          </w:p>
        </w:tc>
        <w:tc>
          <w:tcPr>
            <w:tcW w:w="1217" w:type="dxa"/>
            <w:vAlign w:val="center"/>
          </w:tcPr>
          <w:p>
            <w:pPr>
              <w:rPr>
                <w:rFonts w:hint="eastAsia" w:ascii="宋体" w:hAnsi="宋体" w:eastAsia="宋体" w:cs="宋体"/>
                <w:color w:val="auto"/>
                <w:lang w:val="en-US" w:eastAsia="zh-CN"/>
              </w:rPr>
            </w:pPr>
          </w:p>
        </w:tc>
      </w:tr>
    </w:tbl>
    <w:p>
      <w:pPr>
        <w:spacing w:line="360" w:lineRule="auto"/>
        <w:rPr>
          <w:rFonts w:ascii="黑体" w:hAnsi="黑体" w:eastAsia="黑体" w:cs="黑体"/>
          <w:b/>
          <w:bCs/>
          <w:color w:val="auto"/>
          <w:sz w:val="28"/>
          <w:szCs w:val="28"/>
        </w:rPr>
      </w:pPr>
    </w:p>
    <w:p>
      <w:pPr>
        <w:spacing w:line="360" w:lineRule="auto"/>
        <w:rPr>
          <w:rFonts w:ascii="黑体" w:hAnsi="黑体" w:eastAsia="黑体" w:cs="黑体"/>
          <w:b/>
          <w:bCs/>
          <w:color w:val="auto"/>
          <w:sz w:val="28"/>
          <w:szCs w:val="28"/>
        </w:rPr>
      </w:pPr>
    </w:p>
    <w:p>
      <w:pPr>
        <w:spacing w:line="360" w:lineRule="auto"/>
        <w:ind w:firstLine="2891" w:firstLineChars="1200"/>
        <w:rPr>
          <w:rFonts w:ascii="黑体" w:hAnsi="黑体" w:eastAsia="黑体" w:cs="黑体"/>
          <w:b/>
          <w:bCs/>
          <w:color w:val="auto"/>
          <w:sz w:val="24"/>
          <w:szCs w:val="24"/>
        </w:rPr>
        <w:sectPr>
          <w:headerReference r:id="rId79" w:type="default"/>
          <w:footerReference r:id="rId80" w:type="default"/>
          <w:pgSz w:w="11907" w:h="16840"/>
          <w:pgMar w:top="1417" w:right="1191" w:bottom="1474" w:left="1474" w:header="0" w:footer="992" w:gutter="0"/>
          <w:pgBorders>
            <w:top w:val="none" w:sz="0" w:space="0"/>
            <w:left w:val="none" w:sz="0" w:space="0"/>
            <w:bottom w:val="none" w:sz="0" w:space="0"/>
            <w:right w:val="none" w:sz="0" w:space="0"/>
          </w:pgBorders>
          <w:pgNumType w:fmt="decimal" w:start="1"/>
          <w:cols w:space="720" w:num="1"/>
          <w:docGrid w:linePitch="286" w:charSpace="0"/>
        </w:sectPr>
      </w:pPr>
    </w:p>
    <w:p>
      <w:pPr>
        <w:spacing w:line="360" w:lineRule="auto"/>
        <w:ind w:firstLine="3373" w:firstLineChars="1200"/>
        <w:rPr>
          <w:rFonts w:ascii="黑体" w:hAnsi="黑体" w:eastAsia="黑体" w:cs="黑体"/>
          <w:b/>
          <w:bCs/>
          <w:color w:val="auto"/>
          <w:sz w:val="28"/>
          <w:szCs w:val="28"/>
        </w:rPr>
      </w:pPr>
      <w:r>
        <w:rPr>
          <w:rFonts w:hint="eastAsia" w:ascii="黑体" w:hAnsi="黑体" w:eastAsia="黑体" w:cs="黑体"/>
          <w:b/>
          <w:bCs/>
          <w:color w:val="auto"/>
          <w:sz w:val="28"/>
          <w:szCs w:val="28"/>
        </w:rPr>
        <w:t>紧急揭盲的SOP</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一、目的</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为保证临床试验盲法的顺利实施及应急状态下紧急情况处理的规范，保证受试者的安全。</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二、范围</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所有设盲药物</w:t>
      </w:r>
      <w:r>
        <w:rPr>
          <w:rFonts w:hint="eastAsia" w:asciiTheme="minorEastAsia" w:hAnsiTheme="minorEastAsia" w:cstheme="minorEastAsia"/>
          <w:color w:val="auto"/>
          <w:sz w:val="24"/>
          <w:szCs w:val="24"/>
          <w:lang w:val="en-US" w:eastAsia="zh-CN"/>
        </w:rPr>
        <w:t>/</w:t>
      </w:r>
      <w:r>
        <w:rPr>
          <w:rFonts w:hint="eastAsia" w:asciiTheme="minorEastAsia" w:hAnsiTheme="minorEastAsia" w:cstheme="minorEastAsia"/>
          <w:color w:val="auto"/>
          <w:sz w:val="24"/>
          <w:szCs w:val="24"/>
        </w:rPr>
        <w:t>医疗器械临床试验。</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三、规程</w:t>
      </w:r>
    </w:p>
    <w:p>
      <w:pPr>
        <w:spacing w:line="360" w:lineRule="auto"/>
        <w:ind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（一）应急信封直接送至专业科室，专业组接收人应认真检查盲底的密封情况，确认密封完好后双方在交接单上签字，交接单一式两份，一分专业科室留存，一份申办者留存。</w:t>
      </w:r>
    </w:p>
    <w:p>
      <w:pPr>
        <w:spacing w:line="360" w:lineRule="auto"/>
        <w:ind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（二）试验过程中应急信封由项目负责人或其指定专人保管，置于专用文件柜中加锁保管，任何情况下不可随意打开盲底、并要定期检查应急信封的完整性及密封情况，如有问题及时上报。</w:t>
      </w:r>
    </w:p>
    <w:p>
      <w:pPr>
        <w:spacing w:line="360" w:lineRule="auto"/>
        <w:ind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出现严重不良事件或不良反应，需要知道受试者使用何种试验用药物/医疗器械，才能采取针对性处理时处于对受试者的保护应考虑紧急揭盲。研究者在得到项目负责人的批准后，拆封应急信封，查明所服药品/所用医疗器械的种类并及时抢救。需会诊时按照医院抢救流程紧急调动相关科室人员或科室主任进行抢救，必要时送ICU 。一旦揭盲，该患者将被中止试验，作为脱落病例处理，并将处理结果通知申办方。</w:t>
      </w:r>
    </w:p>
    <w:p>
      <w:pPr>
        <w:spacing w:line="360" w:lineRule="auto"/>
        <w:ind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（四）在临床试验过程中，如全部盲底泄密或应急信件拆阅率超过20％时，本双盲试验失效。</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参考文献</w:t>
      </w:r>
    </w:p>
    <w:p>
      <w:pPr>
        <w:pStyle w:val="36"/>
        <w:keepNext w:val="0"/>
        <w:keepLines w:val="0"/>
        <w:pageBreakBefore w:val="0"/>
        <w:widowControl w:val="0"/>
        <w:numPr>
          <w:ilvl w:val="0"/>
          <w:numId w:val="55"/>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55"/>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国家药品监督管理局，国家卫生健康委员会. 关于发布《医疗器械临床试验质量管理规范》的公告（2022年第28号）.[2022-03-31]. https://www.nmpa.gov.cn/xxgk/ggtg/qtggtg/20220331144903101.html.</w:t>
      </w:r>
    </w:p>
    <w:p>
      <w:pPr>
        <w:pStyle w:val="36"/>
        <w:keepNext w:val="0"/>
        <w:keepLines w:val="0"/>
        <w:pageBreakBefore w:val="0"/>
        <w:widowControl w:val="0"/>
        <w:numPr>
          <w:ilvl w:val="0"/>
          <w:numId w:val="55"/>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国家药监局 国家卫生健康委关于发布药物临床试验机构管理规定的公告(2019年第101号)</w:t>
      </w:r>
      <w:r>
        <w:rPr>
          <w:rFonts w:hint="eastAsia" w:asciiTheme="minorEastAsia" w:hAnsiTheme="minorEastAsia"/>
          <w:color w:val="auto"/>
          <w:sz w:val="24"/>
          <w:szCs w:val="24"/>
          <w:lang w:val="en-US" w:eastAsia="zh-CN"/>
        </w:rPr>
        <w:t>[EB/OL].[2019-11-29]. https://www.nmpa.gov.cn/xxgk/ggtg/qtggtg/20191129174401214.html.</w:t>
      </w:r>
    </w:p>
    <w:p>
      <w:pPr>
        <w:pStyle w:val="36"/>
        <w:keepNext w:val="0"/>
        <w:keepLines w:val="0"/>
        <w:pageBreakBefore w:val="0"/>
        <w:widowControl w:val="0"/>
        <w:numPr>
          <w:ilvl w:val="0"/>
          <w:numId w:val="55"/>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国家食品药品监督管理总局 国家卫生和计划生育委员会关于发布医疗器械临床试验机构条件和备案管理办法的公告（2017年第145号）</w:t>
      </w:r>
      <w:r>
        <w:rPr>
          <w:rFonts w:hint="eastAsia" w:asciiTheme="minorEastAsia" w:hAnsiTheme="minorEastAsia"/>
          <w:color w:val="auto"/>
          <w:sz w:val="24"/>
          <w:szCs w:val="24"/>
          <w:lang w:val="en-US" w:eastAsia="zh-CN"/>
        </w:rPr>
        <w:t>[EB/OL].[2019-11-29].https://www.nmpa.gov.cn/xxgk/ggtg/qtggtg/20171124123401917.html.</w:t>
      </w:r>
    </w:p>
    <w:p>
      <w:pPr>
        <w:pStyle w:val="36"/>
        <w:keepNext w:val="0"/>
        <w:keepLines w:val="0"/>
        <w:pageBreakBefore w:val="0"/>
        <w:widowControl w:val="0"/>
        <w:numPr>
          <w:ilvl w:val="0"/>
          <w:numId w:val="55"/>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国家药监局综合司关于印发医疗器械临床试验检查要点及判定原则的通知</w:t>
      </w:r>
      <w:r>
        <w:rPr>
          <w:rFonts w:hint="eastAsia" w:asciiTheme="minorEastAsia" w:hAnsiTheme="minorEastAsia"/>
          <w:color w:val="auto"/>
          <w:sz w:val="24"/>
          <w:szCs w:val="24"/>
          <w:lang w:val="en-US" w:eastAsia="zh-CN"/>
        </w:rPr>
        <w:t>(药监综械注〔2018〕45号)[EB/OL].https://www.nmpa.gov.cn/directory/web/nmpa/xxgk/fgwj/gzwj/gzwjylqx/20181128142501830.html.</w:t>
      </w:r>
    </w:p>
    <w:p>
      <w:pPr>
        <w:pStyle w:val="36"/>
        <w:keepNext w:val="0"/>
        <w:keepLines w:val="0"/>
        <w:pageBreakBefore w:val="0"/>
        <w:widowControl w:val="0"/>
        <w:numPr>
          <w:ilvl w:val="0"/>
          <w:numId w:val="55"/>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国家食品药品监督管理总局关于发布药物临床试验数据现场核查要点的公告（2015年第228号）</w:t>
      </w:r>
      <w:r>
        <w:rPr>
          <w:rFonts w:hint="eastAsia" w:asciiTheme="minorEastAsia" w:hAnsiTheme="minorEastAsia"/>
          <w:color w:val="auto"/>
          <w:sz w:val="24"/>
          <w:szCs w:val="24"/>
          <w:lang w:val="en-US" w:eastAsia="zh-CN"/>
        </w:rPr>
        <w:t>[EB/OL].[2015-11-10]. https://www.nmpa.gov.cn/xxgk/ggtg/qtggtg/20151110203701981.html.</w:t>
      </w:r>
    </w:p>
    <w:p>
      <w:pPr>
        <w:pStyle w:val="36"/>
        <w:keepNext w:val="0"/>
        <w:keepLines w:val="0"/>
        <w:pageBreakBefore w:val="0"/>
        <w:widowControl w:val="0"/>
        <w:numPr>
          <w:ilvl w:val="0"/>
          <w:numId w:val="55"/>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国家药品监督管理局食品药品审核查验中心关于发布《药品注册核查工作程序（试行）》等5个文件的通告（2021年第30号）</w:t>
      </w:r>
      <w:r>
        <w:rPr>
          <w:rFonts w:hint="eastAsia" w:asciiTheme="minorEastAsia" w:hAnsiTheme="minorEastAsia"/>
          <w:color w:val="auto"/>
          <w:sz w:val="24"/>
          <w:szCs w:val="24"/>
          <w:lang w:val="en-US" w:eastAsia="zh-CN"/>
        </w:rPr>
        <w:t>[EB/OL].[2021-12-20]. https://www.cfdi.org.cn/resource/news/14199.html.</w:t>
      </w:r>
    </w:p>
    <w:p>
      <w:pPr>
        <w:pStyle w:val="36"/>
        <w:keepNext w:val="0"/>
        <w:keepLines w:val="0"/>
        <w:pageBreakBefore w:val="0"/>
        <w:widowControl w:val="0"/>
        <w:numPr>
          <w:ilvl w:val="0"/>
          <w:numId w:val="55"/>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eastAsiaTheme="minorEastAsia"/>
          <w:b w:val="0"/>
          <w:bCs/>
          <w:color w:val="auto"/>
          <w:sz w:val="24"/>
          <w:szCs w:val="24"/>
          <w:lang w:val="en-US" w:eastAsia="zh-CN"/>
        </w:rPr>
      </w:pPr>
      <w:r>
        <w:rPr>
          <w:rFonts w:hint="eastAsia" w:asciiTheme="minorEastAsia" w:hAnsiTheme="minorEastAsia"/>
          <w:b w:val="0"/>
          <w:bCs/>
          <w:color w:val="auto"/>
          <w:sz w:val="24"/>
          <w:szCs w:val="24"/>
          <w:lang w:val="en-US" w:eastAsia="zh-CN"/>
        </w:rPr>
        <w:t>曹玉，元唯安. 药物临床试验实践 [M].北京：中国医药科技出版社，2021.</w:t>
      </w:r>
    </w:p>
    <w:p>
      <w:pPr>
        <w:pStyle w:val="36"/>
        <w:keepNext w:val="0"/>
        <w:keepLines w:val="0"/>
        <w:pageBreakBefore w:val="0"/>
        <w:widowControl w:val="0"/>
        <w:numPr>
          <w:ilvl w:val="0"/>
          <w:numId w:val="55"/>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eastAsiaTheme="minorEastAsia"/>
          <w:b w:val="0"/>
          <w:bCs/>
          <w:color w:val="auto"/>
          <w:sz w:val="24"/>
          <w:szCs w:val="24"/>
          <w:lang w:val="en-US" w:eastAsia="zh-CN"/>
        </w:rPr>
      </w:pPr>
      <w:r>
        <w:rPr>
          <w:rFonts w:hint="eastAsia" w:asciiTheme="minorEastAsia" w:hAnsiTheme="minorEastAsia"/>
          <w:b w:val="0"/>
          <w:bCs/>
          <w:color w:val="auto"/>
          <w:sz w:val="24"/>
          <w:szCs w:val="24"/>
          <w:lang w:val="en-US" w:eastAsia="zh-CN"/>
        </w:rPr>
        <w:t>王白璐医疗器械临床试验机构操作手册 [M]. 北京：人民卫生出版社，2022.</w:t>
      </w:r>
    </w:p>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 w:val="24"/>
          <w:szCs w:val="24"/>
        </w:rPr>
      </w:pPr>
    </w:p>
    <w:p>
      <w:pPr>
        <w:spacing w:line="360" w:lineRule="auto"/>
        <w:rPr>
          <w:rFonts w:ascii="黑体" w:hAnsi="黑体" w:eastAsia="黑体" w:cs="黑体"/>
          <w:b/>
          <w:bCs/>
          <w:color w:val="auto"/>
          <w:sz w:val="28"/>
          <w:szCs w:val="28"/>
        </w:rPr>
      </w:pPr>
    </w:p>
    <w:p>
      <w:pPr>
        <w:spacing w:line="360" w:lineRule="auto"/>
        <w:ind w:firstLine="3092" w:firstLineChars="1100"/>
        <w:rPr>
          <w:rFonts w:ascii="黑体" w:hAnsi="黑体" w:eastAsia="黑体" w:cs="黑体"/>
          <w:b/>
          <w:bCs/>
          <w:color w:val="auto"/>
          <w:sz w:val="28"/>
          <w:szCs w:val="28"/>
        </w:rPr>
      </w:pPr>
    </w:p>
    <w:p>
      <w:pPr>
        <w:spacing w:line="360" w:lineRule="auto"/>
        <w:ind w:firstLine="3092" w:firstLineChars="1100"/>
        <w:rPr>
          <w:rFonts w:ascii="黑体" w:hAnsi="黑体" w:eastAsia="黑体" w:cs="黑体"/>
          <w:b/>
          <w:bCs/>
          <w:color w:val="auto"/>
          <w:sz w:val="28"/>
          <w:szCs w:val="28"/>
        </w:rPr>
        <w:sectPr>
          <w:headerReference r:id="rId81" w:type="default"/>
          <w:footerReference r:id="rId82" w:type="default"/>
          <w:pgSz w:w="11907" w:h="16840"/>
          <w:pgMar w:top="1417" w:right="1191" w:bottom="1474" w:left="1474" w:header="0" w:footer="992" w:gutter="0"/>
          <w:pgBorders>
            <w:top w:val="none" w:sz="0" w:space="0"/>
            <w:left w:val="none" w:sz="0" w:space="0"/>
            <w:bottom w:val="none" w:sz="0" w:space="0"/>
            <w:right w:val="none" w:sz="0" w:space="0"/>
          </w:pgBorders>
          <w:pgNumType w:fmt="decimal" w:start="1"/>
          <w:cols w:space="720" w:num="1"/>
          <w:docGrid w:linePitch="286" w:charSpace="0"/>
        </w:sectPr>
      </w:pPr>
    </w:p>
    <w:p>
      <w:pPr>
        <w:spacing w:line="360" w:lineRule="auto"/>
        <w:ind w:firstLine="3092" w:firstLineChars="1100"/>
        <w:rPr>
          <w:rFonts w:hint="eastAsia" w:ascii="黑体" w:hAnsi="黑体" w:eastAsia="黑体" w:cs="黑体"/>
          <w:b/>
          <w:bCs/>
          <w:color w:val="auto"/>
          <w:sz w:val="28"/>
          <w:szCs w:val="28"/>
        </w:rPr>
        <w:sectPr>
          <w:headerReference r:id="rId83" w:type="default"/>
          <w:footerReference r:id="rId84" w:type="default"/>
          <w:pgSz w:w="11907" w:h="16840"/>
          <w:pgMar w:top="1417" w:right="1191" w:bottom="1474" w:left="1474" w:header="0" w:footer="992" w:gutter="0"/>
          <w:pgBorders>
            <w:top w:val="none" w:sz="0" w:space="0"/>
            <w:left w:val="none" w:sz="0" w:space="0"/>
            <w:bottom w:val="none" w:sz="0" w:space="0"/>
            <w:right w:val="none" w:sz="0" w:space="0"/>
          </w:pgBorders>
          <w:pgNumType w:fmt="decimal" w:start="1"/>
          <w:cols w:space="720" w:num="1"/>
          <w:docGrid w:linePitch="286" w:charSpace="0"/>
        </w:sectPr>
      </w:pPr>
    </w:p>
    <w:p>
      <w:pPr>
        <w:spacing w:line="360" w:lineRule="auto"/>
        <w:ind w:firstLine="3092" w:firstLineChars="1100"/>
        <w:rPr>
          <w:rFonts w:ascii="黑体" w:hAnsi="黑体" w:eastAsia="黑体" w:cs="黑体"/>
          <w:b/>
          <w:bCs/>
          <w:color w:val="auto"/>
          <w:sz w:val="28"/>
          <w:szCs w:val="28"/>
        </w:rPr>
      </w:pPr>
      <w:r>
        <w:rPr>
          <w:rFonts w:hint="eastAsia" w:ascii="黑体" w:hAnsi="黑体" w:eastAsia="黑体" w:cs="黑体"/>
          <w:b/>
          <w:bCs/>
          <w:color w:val="auto"/>
          <w:sz w:val="28"/>
          <w:szCs w:val="28"/>
        </w:rPr>
        <w:t>受试者招募的SOP</w:t>
      </w:r>
    </w:p>
    <w:p>
      <w:pPr>
        <w:numPr>
          <w:ilvl w:val="0"/>
          <w:numId w:val="56"/>
        </w:num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目的</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建立受试者招募及管理程序，确保受试者的招募和临床试验顺利进行。</w:t>
      </w:r>
    </w:p>
    <w:p>
      <w:pPr>
        <w:numPr>
          <w:ilvl w:val="0"/>
          <w:numId w:val="56"/>
        </w:num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适用范围</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适用于药物</w:t>
      </w:r>
      <w:r>
        <w:rPr>
          <w:rFonts w:hint="eastAsia" w:asciiTheme="minorEastAsia" w:hAnsiTheme="minorEastAsia" w:cstheme="minorEastAsia"/>
          <w:color w:val="auto"/>
          <w:sz w:val="24"/>
          <w:szCs w:val="24"/>
          <w:lang w:val="en-US" w:eastAsia="zh-CN"/>
        </w:rPr>
        <w:t>/</w:t>
      </w:r>
      <w:r>
        <w:rPr>
          <w:rFonts w:hint="eastAsia" w:asciiTheme="minorEastAsia" w:hAnsiTheme="minorEastAsia" w:cstheme="minorEastAsia"/>
          <w:color w:val="auto"/>
          <w:sz w:val="24"/>
          <w:szCs w:val="24"/>
        </w:rPr>
        <w:t>医疗器械临床试验受试者的招募。</w:t>
      </w:r>
    </w:p>
    <w:p>
      <w:pPr>
        <w:numPr>
          <w:ilvl w:val="0"/>
          <w:numId w:val="56"/>
        </w:num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规程</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（一）招募计划</w:t>
      </w:r>
    </w:p>
    <w:p>
      <w:pPr>
        <w:numPr>
          <w:ilvl w:val="0"/>
          <w:numId w:val="57"/>
        </w:numPr>
        <w:tabs>
          <w:tab w:val="clear" w:pos="312"/>
        </w:tabs>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受试者招募工作一般由研究医生及研究协调员共同承担</w:t>
      </w:r>
      <w:r>
        <w:rPr>
          <w:rFonts w:hint="eastAsia" w:asciiTheme="minorEastAsia" w:hAnsiTheme="minorEastAsia" w:cstheme="minorEastAsia"/>
          <w:color w:val="auto"/>
          <w:sz w:val="24"/>
          <w:szCs w:val="24"/>
          <w:lang w:eastAsia="zh-CN"/>
        </w:rPr>
        <w:t>，也可委托</w:t>
      </w:r>
      <w:r>
        <w:rPr>
          <w:rFonts w:hint="eastAsia" w:asciiTheme="minorEastAsia" w:hAnsiTheme="minorEastAsia" w:cstheme="minorEastAsia"/>
          <w:color w:val="auto"/>
          <w:sz w:val="24"/>
          <w:szCs w:val="24"/>
          <w:lang w:val="en-US" w:eastAsia="zh-CN"/>
        </w:rPr>
        <w:t>SMO</w:t>
      </w:r>
      <w:r>
        <w:rPr>
          <w:rFonts w:hint="eastAsia" w:asciiTheme="minorEastAsia" w:hAnsiTheme="minorEastAsia" w:cstheme="minorEastAsia"/>
          <w:color w:val="auto"/>
          <w:sz w:val="24"/>
          <w:szCs w:val="24"/>
          <w:lang w:eastAsia="zh-CN"/>
        </w:rPr>
        <w:t>公司</w:t>
      </w:r>
      <w:r>
        <w:rPr>
          <w:rFonts w:hint="eastAsia" w:asciiTheme="minorEastAsia" w:hAnsiTheme="minorEastAsia" w:cstheme="minorEastAsia"/>
          <w:color w:val="auto"/>
          <w:sz w:val="24"/>
          <w:szCs w:val="24"/>
        </w:rPr>
        <w:t>。</w:t>
      </w:r>
    </w:p>
    <w:p>
      <w:pPr>
        <w:numPr>
          <w:ilvl w:val="0"/>
          <w:numId w:val="57"/>
        </w:numPr>
        <w:tabs>
          <w:tab w:val="clear" w:pos="312"/>
        </w:tabs>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确定符合入选标准的潜在候选者聚集的区域。</w:t>
      </w:r>
    </w:p>
    <w:p>
      <w:pPr>
        <w:numPr>
          <w:ilvl w:val="0"/>
          <w:numId w:val="58"/>
        </w:num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招募受试者的材料</w:t>
      </w:r>
    </w:p>
    <w:p>
      <w:pPr>
        <w:numPr>
          <w:ilvl w:val="0"/>
          <w:numId w:val="59"/>
        </w:numPr>
        <w:tabs>
          <w:tab w:val="clear" w:pos="312"/>
        </w:tabs>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对外发布的招募材料都应通过本院临床试验伦理委员会审批同意。</w:t>
      </w:r>
    </w:p>
    <w:p>
      <w:pPr>
        <w:numPr>
          <w:ilvl w:val="0"/>
          <w:numId w:val="59"/>
        </w:numPr>
        <w:tabs>
          <w:tab w:val="clear" w:pos="312"/>
        </w:tabs>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在招募受试者之前，首先应在充分了解试验方案的基础上制定出合理的招募受试者的材料或广告。</w:t>
      </w:r>
    </w:p>
    <w:p>
      <w:pPr>
        <w:numPr>
          <w:ilvl w:val="0"/>
          <w:numId w:val="59"/>
        </w:numPr>
        <w:tabs>
          <w:tab w:val="clear" w:pos="312"/>
        </w:tabs>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招募材料或广告的内容包括受试目的、试验药品/试验医疗器械、试验过程受试者选择的要求、出现不良事件时所给予的救治措施及受试者权益等。此外，要留下联系医师的姓名、电话和报名参加的时间等。</w:t>
      </w:r>
    </w:p>
    <w:p>
      <w:pPr>
        <w:numPr>
          <w:ilvl w:val="0"/>
          <w:numId w:val="59"/>
        </w:numPr>
        <w:tabs>
          <w:tab w:val="clear" w:pos="312"/>
        </w:tabs>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招募广告描述必须科学、客观、真实，不得使用夸张的广告语句，不得夸大试验药物/医疗器械的疗效。</w:t>
      </w:r>
    </w:p>
    <w:p>
      <w:pPr>
        <w:numPr>
          <w:ilvl w:val="0"/>
          <w:numId w:val="60"/>
        </w:num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招募受试者的方式</w:t>
      </w:r>
    </w:p>
    <w:p>
      <w:pPr>
        <w:numPr>
          <w:ilvl w:val="0"/>
          <w:numId w:val="60"/>
        </w:num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1、通过报纸、网络、微信发布；</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2、在医院或其他场所的告示栏中张贴招募材料；</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3、建立患者的资料库，有合适的受试者可以直接电话联系；</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4、通过中间人帮助联系潜在受试者等。</w:t>
      </w:r>
    </w:p>
    <w:p>
      <w:pPr>
        <w:numPr>
          <w:ilvl w:val="0"/>
          <w:numId w:val="61"/>
        </w:num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正式招募</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1、在招募期间，研究医生或CRC收到受试者问询电话需耐心、详细回答受试者提出的问题，必要时安排与受试者见面，对其详细介绍方案的内容，告知受试者可能的受益和风险。</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2、研究者应实事求是，不应当强迫或者以其他不正当方式诱使受试者参加临床试验。</w:t>
      </w:r>
    </w:p>
    <w:p>
      <w:pPr>
        <w:pStyle w:val="33"/>
        <w:rPr>
          <w:color w:val="auto"/>
        </w:rPr>
        <w:sectPr>
          <w:headerReference r:id="rId85" w:type="default"/>
          <w:pgSz w:w="11907" w:h="16840"/>
          <w:pgMar w:top="1417" w:right="1191" w:bottom="1474" w:left="1474" w:header="0" w:footer="992" w:gutter="0"/>
          <w:pgBorders>
            <w:top w:val="none" w:sz="0" w:space="0"/>
            <w:left w:val="none" w:sz="0" w:space="0"/>
            <w:bottom w:val="none" w:sz="0" w:space="0"/>
            <w:right w:val="none" w:sz="0" w:space="0"/>
          </w:pgBorders>
          <w:pgNumType w:fmt="decimal" w:start="1"/>
          <w:cols w:space="720" w:num="1"/>
          <w:docGrid w:linePitch="286" w:charSpace="0"/>
        </w:sectPr>
      </w:pPr>
    </w:p>
    <w:p>
      <w:pPr>
        <w:spacing w:line="360" w:lineRule="auto"/>
        <w:jc w:val="center"/>
        <w:rPr>
          <w:rFonts w:ascii="黑体" w:hAnsi="黑体" w:eastAsia="黑体" w:cs="黑体"/>
          <w:b/>
          <w:bCs/>
          <w:color w:val="auto"/>
          <w:sz w:val="28"/>
          <w:szCs w:val="28"/>
        </w:rPr>
      </w:pPr>
      <w:r>
        <w:rPr>
          <w:rFonts w:hint="eastAsia" w:ascii="黑体" w:hAnsi="黑体" w:eastAsia="黑体" w:cs="黑体"/>
          <w:b/>
          <w:bCs/>
          <w:color w:val="auto"/>
          <w:sz w:val="28"/>
          <w:szCs w:val="28"/>
        </w:rPr>
        <w:t>受试者管理的SOP</w:t>
      </w:r>
    </w:p>
    <w:p>
      <w:pPr>
        <w:numPr>
          <w:ilvl w:val="0"/>
          <w:numId w:val="62"/>
        </w:numPr>
        <w:spacing w:line="360" w:lineRule="auto"/>
        <w:rPr>
          <w:color w:val="auto"/>
          <w:sz w:val="24"/>
          <w:szCs w:val="24"/>
        </w:rPr>
      </w:pPr>
      <w:r>
        <w:rPr>
          <w:rFonts w:hint="eastAsia"/>
          <w:color w:val="auto"/>
          <w:sz w:val="24"/>
          <w:szCs w:val="24"/>
        </w:rPr>
        <w:t>目的</w:t>
      </w:r>
    </w:p>
    <w:p>
      <w:pPr>
        <w:spacing w:line="360" w:lineRule="auto"/>
        <w:ind w:firstLine="480" w:firstLineChars="200"/>
        <w:rPr>
          <w:color w:val="auto"/>
          <w:sz w:val="24"/>
          <w:szCs w:val="24"/>
        </w:rPr>
      </w:pPr>
      <w:r>
        <w:rPr>
          <w:rFonts w:hint="eastAsia"/>
          <w:color w:val="auto"/>
          <w:sz w:val="24"/>
          <w:szCs w:val="24"/>
        </w:rPr>
        <w:t>建立受试者管理程序，确保临床试验顺利进行。</w:t>
      </w:r>
    </w:p>
    <w:p>
      <w:pPr>
        <w:numPr>
          <w:ilvl w:val="0"/>
          <w:numId w:val="62"/>
        </w:numPr>
        <w:spacing w:line="360" w:lineRule="auto"/>
        <w:rPr>
          <w:color w:val="auto"/>
          <w:sz w:val="24"/>
          <w:szCs w:val="24"/>
        </w:rPr>
      </w:pPr>
      <w:r>
        <w:rPr>
          <w:rFonts w:hint="eastAsia"/>
          <w:color w:val="auto"/>
          <w:sz w:val="24"/>
          <w:szCs w:val="24"/>
        </w:rPr>
        <w:t>适用范围</w:t>
      </w:r>
    </w:p>
    <w:p>
      <w:pPr>
        <w:spacing w:line="360" w:lineRule="auto"/>
        <w:ind w:firstLine="480" w:firstLineChars="200"/>
        <w:rPr>
          <w:color w:val="auto"/>
          <w:sz w:val="24"/>
          <w:szCs w:val="24"/>
        </w:rPr>
      </w:pPr>
      <w:r>
        <w:rPr>
          <w:rFonts w:hint="eastAsia"/>
          <w:color w:val="auto"/>
          <w:sz w:val="24"/>
          <w:szCs w:val="24"/>
        </w:rPr>
        <w:t>所有药物</w:t>
      </w:r>
      <w:r>
        <w:rPr>
          <w:rFonts w:hint="eastAsia"/>
          <w:color w:val="auto"/>
          <w:sz w:val="24"/>
          <w:szCs w:val="24"/>
          <w:lang w:val="en-US" w:eastAsia="zh-CN"/>
        </w:rPr>
        <w:t>/</w:t>
      </w:r>
      <w:r>
        <w:rPr>
          <w:rFonts w:hint="eastAsia"/>
          <w:color w:val="auto"/>
          <w:sz w:val="24"/>
          <w:szCs w:val="24"/>
        </w:rPr>
        <w:t>医疗器械临床试验的受试者管理。</w:t>
      </w:r>
    </w:p>
    <w:p>
      <w:pPr>
        <w:numPr>
          <w:ilvl w:val="0"/>
          <w:numId w:val="62"/>
        </w:numPr>
        <w:spacing w:line="360" w:lineRule="auto"/>
        <w:rPr>
          <w:color w:val="auto"/>
          <w:sz w:val="24"/>
          <w:szCs w:val="24"/>
        </w:rPr>
      </w:pPr>
      <w:r>
        <w:rPr>
          <w:rFonts w:hint="eastAsia"/>
          <w:color w:val="auto"/>
          <w:sz w:val="24"/>
          <w:szCs w:val="24"/>
        </w:rPr>
        <w:t>规程</w:t>
      </w:r>
    </w:p>
    <w:p>
      <w:pPr>
        <w:spacing w:line="360" w:lineRule="auto"/>
        <w:ind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（一）充分知情并签署知情同意书后，研究者收集临床试验方案要求的受试者基本信息。</w:t>
      </w:r>
    </w:p>
    <w:p>
      <w:pPr>
        <w:spacing w:line="360" w:lineRule="auto"/>
        <w:ind w:firstLine="240" w:firstLineChars="1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（二）筛选符合入选标准的受试者，填写“受试者筛选与入选表”及“受试者鉴认代码表”。</w:t>
      </w:r>
    </w:p>
    <w:p>
      <w:pPr>
        <w:spacing w:line="360" w:lineRule="auto"/>
        <w:ind w:firstLine="240" w:firstLineChars="1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（三）耐心向受试者做好解释工作，使其充分理解，按照方案要求，接受适当的治疗，收集相关的信息，按时随访。</w:t>
      </w:r>
    </w:p>
    <w:p>
      <w:pPr>
        <w:spacing w:line="360" w:lineRule="auto"/>
        <w:ind w:firstLine="240" w:firstLineChars="1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（四）筛选完成，符合入选标准的受试者按方案要求随机给药或按方案要求给予相应治疗，告知受试者在治疗期间遵医嘱并及填写日记卡（如适用），按照要求定期来医院进行随访治疗。</w:t>
      </w:r>
    </w:p>
    <w:p>
      <w:pPr>
        <w:spacing w:line="360" w:lineRule="auto"/>
        <w:ind w:firstLine="240" w:firstLineChars="100"/>
        <w:jc w:val="left"/>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rPr>
        <w:t>（五）告知受试者在参加临床研究期间发生的所有不良事件都应及时记录或联系告知研究者</w:t>
      </w:r>
      <w:r>
        <w:rPr>
          <w:rFonts w:hint="eastAsia" w:asciiTheme="minorEastAsia" w:hAnsiTheme="minorEastAsia" w:cstheme="minorEastAsia"/>
          <w:color w:val="auto"/>
          <w:sz w:val="24"/>
          <w:szCs w:val="24"/>
          <w:highlight w:val="none"/>
        </w:rPr>
        <w:t>。研究者应将自己的联系方式留给受试者，以便受试者随时联系。</w:t>
      </w:r>
    </w:p>
    <w:p>
      <w:pPr>
        <w:spacing w:line="360" w:lineRule="auto"/>
        <w:ind w:firstLine="240" w:firstLineChars="100"/>
        <w:jc w:val="left"/>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（六）住院受试者每次服药由</w:t>
      </w:r>
      <w:r>
        <w:rPr>
          <w:rFonts w:hint="eastAsia" w:asciiTheme="minorEastAsia" w:hAnsiTheme="minorEastAsia" w:cstheme="minorEastAsia"/>
          <w:color w:val="auto"/>
          <w:sz w:val="24"/>
          <w:szCs w:val="24"/>
          <w:highlight w:val="none"/>
          <w:lang w:val="en-US" w:eastAsia="zh-CN"/>
        </w:rPr>
        <w:t>研究者</w:t>
      </w:r>
      <w:r>
        <w:rPr>
          <w:rFonts w:hint="eastAsia" w:asciiTheme="minorEastAsia" w:hAnsiTheme="minorEastAsia" w:cstheme="minorEastAsia"/>
          <w:color w:val="auto"/>
          <w:sz w:val="24"/>
          <w:szCs w:val="24"/>
          <w:highlight w:val="none"/>
        </w:rPr>
        <w:t>给药，保证按方案使用。</w:t>
      </w:r>
    </w:p>
    <w:p>
      <w:pPr>
        <w:spacing w:line="360" w:lineRule="auto"/>
        <w:ind w:firstLine="240" w:firstLineChars="1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highlight w:val="none"/>
        </w:rPr>
        <w:t>（七）研究人员应规定随访前一天与受试者</w:t>
      </w:r>
      <w:r>
        <w:rPr>
          <w:rFonts w:hint="eastAsia" w:asciiTheme="minorEastAsia" w:hAnsiTheme="minorEastAsia" w:cstheme="minorEastAsia"/>
          <w:color w:val="auto"/>
          <w:sz w:val="24"/>
          <w:szCs w:val="24"/>
        </w:rPr>
        <w:t>取得联系，告知随访安排及需要注意的事项，如是否需要空腹等；同时嘱咐受试者按医嘱用药，随访时将剩余的药物及包装（铝箔、药盒、药瓶等）或剩余医疗器械及包装归还给药物/医疗器械管理员。</w:t>
      </w:r>
    </w:p>
    <w:p>
      <w:pPr>
        <w:spacing w:line="360" w:lineRule="auto"/>
        <w:ind w:firstLine="240" w:firstLineChars="1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（八）向受试者提供提醒措施，如在包装上加印提示性语言或标志。</w:t>
      </w:r>
    </w:p>
    <w:p>
      <w:pPr>
        <w:spacing w:line="360" w:lineRule="auto"/>
        <w:ind w:firstLine="240" w:firstLineChars="1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（九）每次随访结束后，告知受试者下次随访日期。</w:t>
      </w:r>
    </w:p>
    <w:p>
      <w:pPr>
        <w:spacing w:line="360" w:lineRule="auto"/>
        <w:ind w:firstLine="240" w:firstLineChars="1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（十）随访时通过交谈和实验室检查尽可能全面地了解受试者用药后或</w:t>
      </w:r>
      <w:r>
        <w:rPr>
          <w:rFonts w:hint="eastAsia" w:asciiTheme="minorEastAsia" w:hAnsiTheme="minorEastAsia" w:cstheme="minorEastAsia"/>
          <w:color w:val="auto"/>
          <w:sz w:val="24"/>
          <w:szCs w:val="24"/>
          <w:lang w:eastAsia="zh-CN"/>
        </w:rPr>
        <w:t>使</w:t>
      </w:r>
      <w:r>
        <w:rPr>
          <w:rFonts w:hint="eastAsia" w:asciiTheme="minorEastAsia" w:hAnsiTheme="minorEastAsia" w:cstheme="minorEastAsia"/>
          <w:color w:val="auto"/>
          <w:sz w:val="24"/>
          <w:szCs w:val="24"/>
        </w:rPr>
        <w:t>用试验医疗器械后的临床情况和可能的不良事件，关注受试者日记卡所填写的内容，询问应客观直接，避免诱导或暗示，导致受试者对试验药物/医疗器械的效果和不良反应做出不客观的反映，尤其是随访观察指标是受试者的主观感受时更应注意上述问题。如有不良事件或合并用药或医学治疗需及时记录在原始病历上。</w:t>
      </w:r>
    </w:p>
    <w:p>
      <w:pPr>
        <w:spacing w:line="360" w:lineRule="auto"/>
        <w:ind w:firstLine="240" w:firstLineChars="1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（十一）应对受试者在研究期间发生的所有不良事件进行随访，追踪至解决。</w:t>
      </w:r>
    </w:p>
    <w:p>
      <w:pPr>
        <w:spacing w:line="360" w:lineRule="auto"/>
        <w:ind w:firstLine="240" w:firstLineChars="1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十二）受试者要求退出试验时，应详细记录退出的原因、时间。如受试者退出试验不是由于试验药物/医疗器械的疗效和疾病的变化，研究者应进行解释和说服，尽量提高受试者的依从性。禁止对退出试验的受试者进行言语上的侵犯，和干扰其接受进一步相应治疗的行为发生。</w:t>
      </w:r>
    </w:p>
    <w:p>
      <w:pPr>
        <w:spacing w:line="360" w:lineRule="auto"/>
        <w:ind w:firstLine="240" w:firstLineChars="1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（十三）因不良事件退出试验的受试者，研究者应积极与申办者联系，对受试者进行积极正确的医疗处置，并随访至稳定为止。</w:t>
      </w:r>
    </w:p>
    <w:p>
      <w:pPr>
        <w:spacing w:line="360" w:lineRule="auto"/>
        <w:ind w:firstLine="240" w:firstLineChars="1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（十四）告知受试者研究期间的资料，研究方将进行保密，同时要求受试者不得随意将试验研究资料对外泄露。</w:t>
      </w:r>
    </w:p>
    <w:p>
      <w:pPr>
        <w:spacing w:line="360" w:lineRule="auto"/>
        <w:ind w:firstLine="240" w:firstLineChars="1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（十五）参加临床试验的研究团队相对固定。</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四、附件</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附件1：受试者筛选入选表</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附件2：受试者鉴认代码表</w:t>
      </w:r>
    </w:p>
    <w:p>
      <w:pPr>
        <w:spacing w:line="360" w:lineRule="auto"/>
        <w:jc w:val="left"/>
        <w:rPr>
          <w:rFonts w:asciiTheme="minorEastAsia" w:hAnsiTheme="minorEastAsia" w:cstheme="minorEastAsia"/>
          <w:color w:val="auto"/>
          <w:sz w:val="24"/>
          <w:szCs w:val="24"/>
        </w:rPr>
      </w:pP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b/>
          <w:bCs/>
          <w:color w:val="auto"/>
          <w:sz w:val="24"/>
          <w:szCs w:val="24"/>
        </w:rPr>
        <w:t>附件1</w:t>
      </w:r>
      <w:r>
        <w:rPr>
          <w:rFonts w:hint="eastAsia" w:asciiTheme="minorEastAsia" w:hAnsiTheme="minorEastAsia" w:cstheme="minorEastAsia"/>
          <w:color w:val="auto"/>
          <w:sz w:val="24"/>
          <w:szCs w:val="24"/>
        </w:rPr>
        <w:t xml:space="preserve">                    </w:t>
      </w:r>
    </w:p>
    <w:p>
      <w:pPr>
        <w:spacing w:line="360" w:lineRule="auto"/>
        <w:ind w:firstLine="3132" w:firstLineChars="1300"/>
        <w:jc w:val="left"/>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受试者筛选入选表</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项目名称：________________________________申办方___________________________</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试验中心编号及名称________________________主要研究者_______________________</w:t>
      </w:r>
    </w:p>
    <w:tbl>
      <w:tblPr>
        <w:tblStyle w:val="28"/>
        <w:tblW w:w="9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384"/>
        <w:gridCol w:w="776"/>
        <w:gridCol w:w="780"/>
        <w:gridCol w:w="1260"/>
        <w:gridCol w:w="1275"/>
        <w:gridCol w:w="1820"/>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980" w:type="dxa"/>
            <w:vAlign w:val="center"/>
          </w:tcPr>
          <w:p>
            <w:pPr>
              <w:jc w:val="center"/>
              <w:rPr>
                <w:rFonts w:asciiTheme="minorEastAsia" w:hAnsiTheme="minorEastAsia" w:cstheme="minorEastAsia"/>
                <w:color w:val="auto"/>
                <w:sz w:val="24"/>
                <w:szCs w:val="24"/>
              </w:rPr>
            </w:pPr>
            <w:r>
              <w:rPr>
                <w:rFonts w:hint="eastAsia" w:asciiTheme="minorEastAsia" w:hAnsiTheme="minorEastAsia" w:cstheme="minorEastAsia"/>
                <w:color w:val="auto"/>
                <w:szCs w:val="21"/>
              </w:rPr>
              <w:t>筛选号</w:t>
            </w:r>
          </w:p>
        </w:tc>
        <w:tc>
          <w:tcPr>
            <w:tcW w:w="1384"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受试者姓名拼音缩写</w:t>
            </w:r>
          </w:p>
        </w:tc>
        <w:tc>
          <w:tcPr>
            <w:tcW w:w="776"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性别</w:t>
            </w:r>
          </w:p>
        </w:tc>
        <w:tc>
          <w:tcPr>
            <w:tcW w:w="780"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年龄</w:t>
            </w:r>
          </w:p>
        </w:tc>
        <w:tc>
          <w:tcPr>
            <w:tcW w:w="1260"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筛选日期</w:t>
            </w:r>
          </w:p>
        </w:tc>
        <w:tc>
          <w:tcPr>
            <w:tcW w:w="1275"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入组时间</w:t>
            </w:r>
          </w:p>
        </w:tc>
        <w:tc>
          <w:tcPr>
            <w:tcW w:w="1820"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随机号/药物（医疗器械）编号</w:t>
            </w:r>
          </w:p>
        </w:tc>
        <w:tc>
          <w:tcPr>
            <w:tcW w:w="1183"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筛选失败原因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spacing w:line="360" w:lineRule="auto"/>
              <w:rPr>
                <w:rFonts w:asciiTheme="minorEastAsia" w:hAnsiTheme="minorEastAsia" w:cstheme="minorEastAsia"/>
                <w:color w:val="auto"/>
                <w:sz w:val="24"/>
                <w:szCs w:val="24"/>
              </w:rPr>
            </w:pPr>
          </w:p>
        </w:tc>
        <w:tc>
          <w:tcPr>
            <w:tcW w:w="1384" w:type="dxa"/>
          </w:tcPr>
          <w:p>
            <w:pPr>
              <w:spacing w:line="360" w:lineRule="auto"/>
              <w:rPr>
                <w:rFonts w:asciiTheme="minorEastAsia" w:hAnsiTheme="minorEastAsia" w:cstheme="minorEastAsia"/>
                <w:color w:val="auto"/>
                <w:sz w:val="24"/>
                <w:szCs w:val="24"/>
              </w:rPr>
            </w:pPr>
          </w:p>
        </w:tc>
        <w:tc>
          <w:tcPr>
            <w:tcW w:w="776" w:type="dxa"/>
          </w:tcPr>
          <w:p>
            <w:pPr>
              <w:spacing w:line="360" w:lineRule="auto"/>
              <w:rPr>
                <w:rFonts w:asciiTheme="minorEastAsia" w:hAnsiTheme="minorEastAsia" w:cstheme="minorEastAsia"/>
                <w:color w:val="auto"/>
                <w:sz w:val="24"/>
                <w:szCs w:val="24"/>
              </w:rPr>
            </w:pPr>
          </w:p>
        </w:tc>
        <w:tc>
          <w:tcPr>
            <w:tcW w:w="780" w:type="dxa"/>
          </w:tcPr>
          <w:p>
            <w:pPr>
              <w:spacing w:line="360" w:lineRule="auto"/>
              <w:rPr>
                <w:rFonts w:asciiTheme="minorEastAsia" w:hAnsiTheme="minorEastAsia" w:cstheme="minorEastAsia"/>
                <w:color w:val="auto"/>
                <w:sz w:val="24"/>
                <w:szCs w:val="24"/>
              </w:rPr>
            </w:pPr>
          </w:p>
        </w:tc>
        <w:tc>
          <w:tcPr>
            <w:tcW w:w="1260" w:type="dxa"/>
          </w:tcPr>
          <w:p>
            <w:pPr>
              <w:spacing w:line="360" w:lineRule="auto"/>
              <w:rPr>
                <w:rFonts w:asciiTheme="minorEastAsia" w:hAnsiTheme="minorEastAsia" w:cstheme="minorEastAsia"/>
                <w:color w:val="auto"/>
                <w:sz w:val="24"/>
                <w:szCs w:val="24"/>
              </w:rPr>
            </w:pPr>
          </w:p>
        </w:tc>
        <w:tc>
          <w:tcPr>
            <w:tcW w:w="1275" w:type="dxa"/>
          </w:tcPr>
          <w:p>
            <w:pPr>
              <w:spacing w:line="360" w:lineRule="auto"/>
              <w:rPr>
                <w:rFonts w:asciiTheme="minorEastAsia" w:hAnsiTheme="minorEastAsia" w:cstheme="minorEastAsia"/>
                <w:color w:val="auto"/>
                <w:sz w:val="24"/>
                <w:szCs w:val="24"/>
              </w:rPr>
            </w:pPr>
          </w:p>
        </w:tc>
        <w:tc>
          <w:tcPr>
            <w:tcW w:w="1820" w:type="dxa"/>
          </w:tcPr>
          <w:p>
            <w:pPr>
              <w:spacing w:line="360" w:lineRule="auto"/>
              <w:rPr>
                <w:rFonts w:asciiTheme="minorEastAsia" w:hAnsiTheme="minorEastAsia" w:cstheme="minorEastAsia"/>
                <w:color w:val="auto"/>
                <w:sz w:val="24"/>
                <w:szCs w:val="24"/>
              </w:rPr>
            </w:pPr>
          </w:p>
        </w:tc>
        <w:tc>
          <w:tcPr>
            <w:tcW w:w="1183" w:type="dxa"/>
          </w:tcPr>
          <w:p>
            <w:pPr>
              <w:spacing w:line="360" w:lineRule="auto"/>
              <w:rPr>
                <w:rFonts w:asciiTheme="minorEastAsia"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spacing w:line="360" w:lineRule="auto"/>
              <w:rPr>
                <w:rFonts w:asciiTheme="minorEastAsia" w:hAnsiTheme="minorEastAsia" w:cstheme="minorEastAsia"/>
                <w:color w:val="auto"/>
                <w:sz w:val="24"/>
                <w:szCs w:val="24"/>
              </w:rPr>
            </w:pPr>
          </w:p>
        </w:tc>
        <w:tc>
          <w:tcPr>
            <w:tcW w:w="1384" w:type="dxa"/>
          </w:tcPr>
          <w:p>
            <w:pPr>
              <w:spacing w:line="360" w:lineRule="auto"/>
              <w:rPr>
                <w:rFonts w:asciiTheme="minorEastAsia" w:hAnsiTheme="minorEastAsia" w:cstheme="minorEastAsia"/>
                <w:color w:val="auto"/>
                <w:sz w:val="24"/>
                <w:szCs w:val="24"/>
              </w:rPr>
            </w:pPr>
          </w:p>
        </w:tc>
        <w:tc>
          <w:tcPr>
            <w:tcW w:w="776" w:type="dxa"/>
          </w:tcPr>
          <w:p>
            <w:pPr>
              <w:spacing w:line="360" w:lineRule="auto"/>
              <w:rPr>
                <w:rFonts w:asciiTheme="minorEastAsia" w:hAnsiTheme="minorEastAsia" w:cstheme="minorEastAsia"/>
                <w:color w:val="auto"/>
                <w:sz w:val="24"/>
                <w:szCs w:val="24"/>
              </w:rPr>
            </w:pPr>
          </w:p>
        </w:tc>
        <w:tc>
          <w:tcPr>
            <w:tcW w:w="780" w:type="dxa"/>
          </w:tcPr>
          <w:p>
            <w:pPr>
              <w:spacing w:line="360" w:lineRule="auto"/>
              <w:rPr>
                <w:rFonts w:asciiTheme="minorEastAsia" w:hAnsiTheme="minorEastAsia" w:cstheme="minorEastAsia"/>
                <w:color w:val="auto"/>
                <w:sz w:val="24"/>
                <w:szCs w:val="24"/>
              </w:rPr>
            </w:pPr>
          </w:p>
        </w:tc>
        <w:tc>
          <w:tcPr>
            <w:tcW w:w="1260" w:type="dxa"/>
          </w:tcPr>
          <w:p>
            <w:pPr>
              <w:spacing w:line="360" w:lineRule="auto"/>
              <w:rPr>
                <w:rFonts w:asciiTheme="minorEastAsia" w:hAnsiTheme="minorEastAsia" w:cstheme="minorEastAsia"/>
                <w:color w:val="auto"/>
                <w:sz w:val="24"/>
                <w:szCs w:val="24"/>
              </w:rPr>
            </w:pPr>
          </w:p>
        </w:tc>
        <w:tc>
          <w:tcPr>
            <w:tcW w:w="1275" w:type="dxa"/>
          </w:tcPr>
          <w:p>
            <w:pPr>
              <w:spacing w:line="360" w:lineRule="auto"/>
              <w:rPr>
                <w:rFonts w:asciiTheme="minorEastAsia" w:hAnsiTheme="minorEastAsia" w:cstheme="minorEastAsia"/>
                <w:color w:val="auto"/>
                <w:sz w:val="24"/>
                <w:szCs w:val="24"/>
              </w:rPr>
            </w:pPr>
          </w:p>
        </w:tc>
        <w:tc>
          <w:tcPr>
            <w:tcW w:w="1820" w:type="dxa"/>
          </w:tcPr>
          <w:p>
            <w:pPr>
              <w:spacing w:line="360" w:lineRule="auto"/>
              <w:rPr>
                <w:rFonts w:asciiTheme="minorEastAsia" w:hAnsiTheme="minorEastAsia" w:cstheme="minorEastAsia"/>
                <w:color w:val="auto"/>
                <w:sz w:val="24"/>
                <w:szCs w:val="24"/>
              </w:rPr>
            </w:pPr>
          </w:p>
        </w:tc>
        <w:tc>
          <w:tcPr>
            <w:tcW w:w="1183" w:type="dxa"/>
          </w:tcPr>
          <w:p>
            <w:pPr>
              <w:spacing w:line="360" w:lineRule="auto"/>
              <w:rPr>
                <w:rFonts w:asciiTheme="minorEastAsia"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spacing w:line="360" w:lineRule="auto"/>
              <w:rPr>
                <w:rFonts w:asciiTheme="minorEastAsia" w:hAnsiTheme="minorEastAsia" w:cstheme="minorEastAsia"/>
                <w:color w:val="auto"/>
                <w:sz w:val="24"/>
                <w:szCs w:val="24"/>
              </w:rPr>
            </w:pPr>
          </w:p>
        </w:tc>
        <w:tc>
          <w:tcPr>
            <w:tcW w:w="1384" w:type="dxa"/>
          </w:tcPr>
          <w:p>
            <w:pPr>
              <w:spacing w:line="360" w:lineRule="auto"/>
              <w:rPr>
                <w:rFonts w:asciiTheme="minorEastAsia" w:hAnsiTheme="minorEastAsia" w:cstheme="minorEastAsia"/>
                <w:color w:val="auto"/>
                <w:sz w:val="24"/>
                <w:szCs w:val="24"/>
              </w:rPr>
            </w:pPr>
          </w:p>
        </w:tc>
        <w:tc>
          <w:tcPr>
            <w:tcW w:w="776" w:type="dxa"/>
          </w:tcPr>
          <w:p>
            <w:pPr>
              <w:spacing w:line="360" w:lineRule="auto"/>
              <w:rPr>
                <w:rFonts w:asciiTheme="minorEastAsia" w:hAnsiTheme="minorEastAsia" w:cstheme="minorEastAsia"/>
                <w:color w:val="auto"/>
                <w:sz w:val="24"/>
                <w:szCs w:val="24"/>
              </w:rPr>
            </w:pPr>
          </w:p>
        </w:tc>
        <w:tc>
          <w:tcPr>
            <w:tcW w:w="780" w:type="dxa"/>
          </w:tcPr>
          <w:p>
            <w:pPr>
              <w:spacing w:line="360" w:lineRule="auto"/>
              <w:rPr>
                <w:rFonts w:asciiTheme="minorEastAsia" w:hAnsiTheme="minorEastAsia" w:cstheme="minorEastAsia"/>
                <w:color w:val="auto"/>
                <w:sz w:val="24"/>
                <w:szCs w:val="24"/>
              </w:rPr>
            </w:pPr>
          </w:p>
        </w:tc>
        <w:tc>
          <w:tcPr>
            <w:tcW w:w="1260" w:type="dxa"/>
          </w:tcPr>
          <w:p>
            <w:pPr>
              <w:spacing w:line="360" w:lineRule="auto"/>
              <w:rPr>
                <w:rFonts w:asciiTheme="minorEastAsia" w:hAnsiTheme="minorEastAsia" w:cstheme="minorEastAsia"/>
                <w:color w:val="auto"/>
                <w:sz w:val="24"/>
                <w:szCs w:val="24"/>
              </w:rPr>
            </w:pPr>
          </w:p>
        </w:tc>
        <w:tc>
          <w:tcPr>
            <w:tcW w:w="1275" w:type="dxa"/>
          </w:tcPr>
          <w:p>
            <w:pPr>
              <w:spacing w:line="360" w:lineRule="auto"/>
              <w:rPr>
                <w:rFonts w:asciiTheme="minorEastAsia" w:hAnsiTheme="minorEastAsia" w:cstheme="minorEastAsia"/>
                <w:color w:val="auto"/>
                <w:sz w:val="24"/>
                <w:szCs w:val="24"/>
              </w:rPr>
            </w:pPr>
          </w:p>
        </w:tc>
        <w:tc>
          <w:tcPr>
            <w:tcW w:w="1820" w:type="dxa"/>
          </w:tcPr>
          <w:p>
            <w:pPr>
              <w:spacing w:line="360" w:lineRule="auto"/>
              <w:rPr>
                <w:rFonts w:asciiTheme="minorEastAsia" w:hAnsiTheme="minorEastAsia" w:cstheme="minorEastAsia"/>
                <w:color w:val="auto"/>
                <w:sz w:val="24"/>
                <w:szCs w:val="24"/>
              </w:rPr>
            </w:pPr>
          </w:p>
        </w:tc>
        <w:tc>
          <w:tcPr>
            <w:tcW w:w="1183" w:type="dxa"/>
          </w:tcPr>
          <w:p>
            <w:pPr>
              <w:spacing w:line="360" w:lineRule="auto"/>
              <w:rPr>
                <w:rFonts w:asciiTheme="minorEastAsia"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spacing w:line="360" w:lineRule="auto"/>
              <w:rPr>
                <w:rFonts w:asciiTheme="minorEastAsia" w:hAnsiTheme="minorEastAsia" w:cstheme="minorEastAsia"/>
                <w:color w:val="auto"/>
                <w:sz w:val="24"/>
                <w:szCs w:val="24"/>
              </w:rPr>
            </w:pPr>
          </w:p>
        </w:tc>
        <w:tc>
          <w:tcPr>
            <w:tcW w:w="1384" w:type="dxa"/>
          </w:tcPr>
          <w:p>
            <w:pPr>
              <w:spacing w:line="360" w:lineRule="auto"/>
              <w:rPr>
                <w:rFonts w:asciiTheme="minorEastAsia" w:hAnsiTheme="minorEastAsia" w:cstheme="minorEastAsia"/>
                <w:color w:val="auto"/>
                <w:sz w:val="24"/>
                <w:szCs w:val="24"/>
              </w:rPr>
            </w:pPr>
          </w:p>
        </w:tc>
        <w:tc>
          <w:tcPr>
            <w:tcW w:w="776" w:type="dxa"/>
          </w:tcPr>
          <w:p>
            <w:pPr>
              <w:spacing w:line="360" w:lineRule="auto"/>
              <w:rPr>
                <w:rFonts w:asciiTheme="minorEastAsia" w:hAnsiTheme="minorEastAsia" w:cstheme="minorEastAsia"/>
                <w:color w:val="auto"/>
                <w:sz w:val="24"/>
                <w:szCs w:val="24"/>
              </w:rPr>
            </w:pPr>
          </w:p>
        </w:tc>
        <w:tc>
          <w:tcPr>
            <w:tcW w:w="780" w:type="dxa"/>
          </w:tcPr>
          <w:p>
            <w:pPr>
              <w:spacing w:line="360" w:lineRule="auto"/>
              <w:rPr>
                <w:rFonts w:asciiTheme="minorEastAsia" w:hAnsiTheme="minorEastAsia" w:cstheme="minorEastAsia"/>
                <w:color w:val="auto"/>
                <w:sz w:val="24"/>
                <w:szCs w:val="24"/>
              </w:rPr>
            </w:pPr>
          </w:p>
        </w:tc>
        <w:tc>
          <w:tcPr>
            <w:tcW w:w="1260" w:type="dxa"/>
          </w:tcPr>
          <w:p>
            <w:pPr>
              <w:spacing w:line="360" w:lineRule="auto"/>
              <w:rPr>
                <w:rFonts w:asciiTheme="minorEastAsia" w:hAnsiTheme="minorEastAsia" w:cstheme="minorEastAsia"/>
                <w:color w:val="auto"/>
                <w:sz w:val="24"/>
                <w:szCs w:val="24"/>
              </w:rPr>
            </w:pPr>
          </w:p>
        </w:tc>
        <w:tc>
          <w:tcPr>
            <w:tcW w:w="1275" w:type="dxa"/>
          </w:tcPr>
          <w:p>
            <w:pPr>
              <w:spacing w:line="360" w:lineRule="auto"/>
              <w:rPr>
                <w:rFonts w:asciiTheme="minorEastAsia" w:hAnsiTheme="minorEastAsia" w:cstheme="minorEastAsia"/>
                <w:color w:val="auto"/>
                <w:sz w:val="24"/>
                <w:szCs w:val="24"/>
              </w:rPr>
            </w:pPr>
          </w:p>
        </w:tc>
        <w:tc>
          <w:tcPr>
            <w:tcW w:w="1820" w:type="dxa"/>
          </w:tcPr>
          <w:p>
            <w:pPr>
              <w:spacing w:line="360" w:lineRule="auto"/>
              <w:rPr>
                <w:rFonts w:asciiTheme="minorEastAsia" w:hAnsiTheme="minorEastAsia" w:cstheme="minorEastAsia"/>
                <w:color w:val="auto"/>
                <w:sz w:val="24"/>
                <w:szCs w:val="24"/>
              </w:rPr>
            </w:pPr>
          </w:p>
        </w:tc>
        <w:tc>
          <w:tcPr>
            <w:tcW w:w="1183" w:type="dxa"/>
          </w:tcPr>
          <w:p>
            <w:pPr>
              <w:spacing w:line="360" w:lineRule="auto"/>
              <w:rPr>
                <w:rFonts w:asciiTheme="minorEastAsia"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spacing w:line="360" w:lineRule="auto"/>
              <w:rPr>
                <w:rFonts w:asciiTheme="minorEastAsia" w:hAnsiTheme="minorEastAsia" w:cstheme="minorEastAsia"/>
                <w:color w:val="auto"/>
                <w:sz w:val="24"/>
                <w:szCs w:val="24"/>
              </w:rPr>
            </w:pPr>
          </w:p>
        </w:tc>
        <w:tc>
          <w:tcPr>
            <w:tcW w:w="1384" w:type="dxa"/>
          </w:tcPr>
          <w:p>
            <w:pPr>
              <w:spacing w:line="360" w:lineRule="auto"/>
              <w:rPr>
                <w:rFonts w:asciiTheme="minorEastAsia" w:hAnsiTheme="minorEastAsia" w:cstheme="minorEastAsia"/>
                <w:color w:val="auto"/>
                <w:sz w:val="24"/>
                <w:szCs w:val="24"/>
              </w:rPr>
            </w:pPr>
          </w:p>
        </w:tc>
        <w:tc>
          <w:tcPr>
            <w:tcW w:w="776" w:type="dxa"/>
          </w:tcPr>
          <w:p>
            <w:pPr>
              <w:spacing w:line="360" w:lineRule="auto"/>
              <w:rPr>
                <w:rFonts w:asciiTheme="minorEastAsia" w:hAnsiTheme="minorEastAsia" w:cstheme="minorEastAsia"/>
                <w:color w:val="auto"/>
                <w:sz w:val="24"/>
                <w:szCs w:val="24"/>
              </w:rPr>
            </w:pPr>
          </w:p>
        </w:tc>
        <w:tc>
          <w:tcPr>
            <w:tcW w:w="780" w:type="dxa"/>
          </w:tcPr>
          <w:p>
            <w:pPr>
              <w:spacing w:line="360" w:lineRule="auto"/>
              <w:rPr>
                <w:rFonts w:asciiTheme="minorEastAsia" w:hAnsiTheme="minorEastAsia" w:cstheme="minorEastAsia"/>
                <w:color w:val="auto"/>
                <w:sz w:val="24"/>
                <w:szCs w:val="24"/>
              </w:rPr>
            </w:pPr>
          </w:p>
        </w:tc>
        <w:tc>
          <w:tcPr>
            <w:tcW w:w="1260" w:type="dxa"/>
          </w:tcPr>
          <w:p>
            <w:pPr>
              <w:spacing w:line="360" w:lineRule="auto"/>
              <w:rPr>
                <w:rFonts w:asciiTheme="minorEastAsia" w:hAnsiTheme="minorEastAsia" w:cstheme="minorEastAsia"/>
                <w:color w:val="auto"/>
                <w:sz w:val="24"/>
                <w:szCs w:val="24"/>
              </w:rPr>
            </w:pPr>
          </w:p>
        </w:tc>
        <w:tc>
          <w:tcPr>
            <w:tcW w:w="1275" w:type="dxa"/>
          </w:tcPr>
          <w:p>
            <w:pPr>
              <w:spacing w:line="360" w:lineRule="auto"/>
              <w:rPr>
                <w:rFonts w:asciiTheme="minorEastAsia" w:hAnsiTheme="minorEastAsia" w:cstheme="minorEastAsia"/>
                <w:color w:val="auto"/>
                <w:sz w:val="24"/>
                <w:szCs w:val="24"/>
              </w:rPr>
            </w:pPr>
          </w:p>
        </w:tc>
        <w:tc>
          <w:tcPr>
            <w:tcW w:w="1820" w:type="dxa"/>
          </w:tcPr>
          <w:p>
            <w:pPr>
              <w:spacing w:line="360" w:lineRule="auto"/>
              <w:rPr>
                <w:rFonts w:asciiTheme="minorEastAsia" w:hAnsiTheme="minorEastAsia" w:cstheme="minorEastAsia"/>
                <w:color w:val="auto"/>
                <w:sz w:val="24"/>
                <w:szCs w:val="24"/>
              </w:rPr>
            </w:pPr>
          </w:p>
        </w:tc>
        <w:tc>
          <w:tcPr>
            <w:tcW w:w="1183" w:type="dxa"/>
          </w:tcPr>
          <w:p>
            <w:pPr>
              <w:spacing w:line="360" w:lineRule="auto"/>
              <w:rPr>
                <w:rFonts w:asciiTheme="minorEastAsia"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spacing w:line="360" w:lineRule="auto"/>
              <w:rPr>
                <w:rFonts w:asciiTheme="minorEastAsia" w:hAnsiTheme="minorEastAsia" w:cstheme="minorEastAsia"/>
                <w:color w:val="auto"/>
                <w:sz w:val="24"/>
                <w:szCs w:val="24"/>
              </w:rPr>
            </w:pPr>
          </w:p>
        </w:tc>
        <w:tc>
          <w:tcPr>
            <w:tcW w:w="1384" w:type="dxa"/>
          </w:tcPr>
          <w:p>
            <w:pPr>
              <w:spacing w:line="360" w:lineRule="auto"/>
              <w:rPr>
                <w:rFonts w:asciiTheme="minorEastAsia" w:hAnsiTheme="minorEastAsia" w:cstheme="minorEastAsia"/>
                <w:color w:val="auto"/>
                <w:sz w:val="24"/>
                <w:szCs w:val="24"/>
              </w:rPr>
            </w:pPr>
          </w:p>
        </w:tc>
        <w:tc>
          <w:tcPr>
            <w:tcW w:w="776" w:type="dxa"/>
          </w:tcPr>
          <w:p>
            <w:pPr>
              <w:spacing w:line="360" w:lineRule="auto"/>
              <w:rPr>
                <w:rFonts w:asciiTheme="minorEastAsia" w:hAnsiTheme="minorEastAsia" w:cstheme="minorEastAsia"/>
                <w:color w:val="auto"/>
                <w:sz w:val="24"/>
                <w:szCs w:val="24"/>
              </w:rPr>
            </w:pPr>
          </w:p>
        </w:tc>
        <w:tc>
          <w:tcPr>
            <w:tcW w:w="780" w:type="dxa"/>
          </w:tcPr>
          <w:p>
            <w:pPr>
              <w:spacing w:line="360" w:lineRule="auto"/>
              <w:rPr>
                <w:rFonts w:asciiTheme="minorEastAsia" w:hAnsiTheme="minorEastAsia" w:cstheme="minorEastAsia"/>
                <w:color w:val="auto"/>
                <w:sz w:val="24"/>
                <w:szCs w:val="24"/>
              </w:rPr>
            </w:pPr>
          </w:p>
        </w:tc>
        <w:tc>
          <w:tcPr>
            <w:tcW w:w="1260" w:type="dxa"/>
          </w:tcPr>
          <w:p>
            <w:pPr>
              <w:spacing w:line="360" w:lineRule="auto"/>
              <w:rPr>
                <w:rFonts w:asciiTheme="minorEastAsia" w:hAnsiTheme="minorEastAsia" w:cstheme="minorEastAsia"/>
                <w:color w:val="auto"/>
                <w:sz w:val="24"/>
                <w:szCs w:val="24"/>
              </w:rPr>
            </w:pPr>
          </w:p>
        </w:tc>
        <w:tc>
          <w:tcPr>
            <w:tcW w:w="1275" w:type="dxa"/>
          </w:tcPr>
          <w:p>
            <w:pPr>
              <w:spacing w:line="360" w:lineRule="auto"/>
              <w:rPr>
                <w:rFonts w:asciiTheme="minorEastAsia" w:hAnsiTheme="minorEastAsia" w:cstheme="minorEastAsia"/>
                <w:color w:val="auto"/>
                <w:sz w:val="24"/>
                <w:szCs w:val="24"/>
              </w:rPr>
            </w:pPr>
          </w:p>
        </w:tc>
        <w:tc>
          <w:tcPr>
            <w:tcW w:w="1820" w:type="dxa"/>
          </w:tcPr>
          <w:p>
            <w:pPr>
              <w:spacing w:line="360" w:lineRule="auto"/>
              <w:rPr>
                <w:rFonts w:asciiTheme="minorEastAsia" w:hAnsiTheme="minorEastAsia" w:cstheme="minorEastAsia"/>
                <w:color w:val="auto"/>
                <w:sz w:val="24"/>
                <w:szCs w:val="24"/>
              </w:rPr>
            </w:pPr>
          </w:p>
        </w:tc>
        <w:tc>
          <w:tcPr>
            <w:tcW w:w="1183" w:type="dxa"/>
          </w:tcPr>
          <w:p>
            <w:pPr>
              <w:spacing w:line="360" w:lineRule="auto"/>
              <w:rPr>
                <w:rFonts w:asciiTheme="minorEastAsia"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spacing w:line="360" w:lineRule="auto"/>
              <w:rPr>
                <w:rFonts w:asciiTheme="minorEastAsia" w:hAnsiTheme="minorEastAsia" w:cstheme="minorEastAsia"/>
                <w:color w:val="auto"/>
                <w:sz w:val="24"/>
                <w:szCs w:val="24"/>
              </w:rPr>
            </w:pPr>
          </w:p>
        </w:tc>
        <w:tc>
          <w:tcPr>
            <w:tcW w:w="1384" w:type="dxa"/>
          </w:tcPr>
          <w:p>
            <w:pPr>
              <w:spacing w:line="360" w:lineRule="auto"/>
              <w:rPr>
                <w:rFonts w:asciiTheme="minorEastAsia" w:hAnsiTheme="minorEastAsia" w:cstheme="minorEastAsia"/>
                <w:color w:val="auto"/>
                <w:sz w:val="24"/>
                <w:szCs w:val="24"/>
              </w:rPr>
            </w:pPr>
          </w:p>
        </w:tc>
        <w:tc>
          <w:tcPr>
            <w:tcW w:w="776" w:type="dxa"/>
          </w:tcPr>
          <w:p>
            <w:pPr>
              <w:spacing w:line="360" w:lineRule="auto"/>
              <w:rPr>
                <w:rFonts w:asciiTheme="minorEastAsia" w:hAnsiTheme="minorEastAsia" w:cstheme="minorEastAsia"/>
                <w:color w:val="auto"/>
                <w:sz w:val="24"/>
                <w:szCs w:val="24"/>
              </w:rPr>
            </w:pPr>
          </w:p>
        </w:tc>
        <w:tc>
          <w:tcPr>
            <w:tcW w:w="780" w:type="dxa"/>
          </w:tcPr>
          <w:p>
            <w:pPr>
              <w:spacing w:line="360" w:lineRule="auto"/>
              <w:rPr>
                <w:rFonts w:asciiTheme="minorEastAsia" w:hAnsiTheme="minorEastAsia" w:cstheme="minorEastAsia"/>
                <w:color w:val="auto"/>
                <w:sz w:val="24"/>
                <w:szCs w:val="24"/>
              </w:rPr>
            </w:pPr>
          </w:p>
        </w:tc>
        <w:tc>
          <w:tcPr>
            <w:tcW w:w="1260" w:type="dxa"/>
          </w:tcPr>
          <w:p>
            <w:pPr>
              <w:spacing w:line="360" w:lineRule="auto"/>
              <w:rPr>
                <w:rFonts w:asciiTheme="minorEastAsia" w:hAnsiTheme="minorEastAsia" w:cstheme="minorEastAsia"/>
                <w:color w:val="auto"/>
                <w:sz w:val="24"/>
                <w:szCs w:val="24"/>
              </w:rPr>
            </w:pPr>
          </w:p>
        </w:tc>
        <w:tc>
          <w:tcPr>
            <w:tcW w:w="1275" w:type="dxa"/>
          </w:tcPr>
          <w:p>
            <w:pPr>
              <w:spacing w:line="360" w:lineRule="auto"/>
              <w:rPr>
                <w:rFonts w:asciiTheme="minorEastAsia" w:hAnsiTheme="minorEastAsia" w:cstheme="minorEastAsia"/>
                <w:color w:val="auto"/>
                <w:sz w:val="24"/>
                <w:szCs w:val="24"/>
              </w:rPr>
            </w:pPr>
          </w:p>
        </w:tc>
        <w:tc>
          <w:tcPr>
            <w:tcW w:w="1820" w:type="dxa"/>
          </w:tcPr>
          <w:p>
            <w:pPr>
              <w:spacing w:line="360" w:lineRule="auto"/>
              <w:rPr>
                <w:rFonts w:asciiTheme="minorEastAsia" w:hAnsiTheme="minorEastAsia" w:cstheme="minorEastAsia"/>
                <w:color w:val="auto"/>
                <w:sz w:val="24"/>
                <w:szCs w:val="24"/>
              </w:rPr>
            </w:pPr>
          </w:p>
        </w:tc>
        <w:tc>
          <w:tcPr>
            <w:tcW w:w="1183" w:type="dxa"/>
          </w:tcPr>
          <w:p>
            <w:pPr>
              <w:spacing w:line="360" w:lineRule="auto"/>
              <w:rPr>
                <w:rFonts w:asciiTheme="minorEastAsia" w:hAnsiTheme="minorEastAsia" w:cs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spacing w:line="360" w:lineRule="auto"/>
              <w:rPr>
                <w:rFonts w:asciiTheme="minorEastAsia" w:hAnsiTheme="minorEastAsia" w:cstheme="minorEastAsia"/>
                <w:color w:val="auto"/>
                <w:sz w:val="24"/>
                <w:szCs w:val="24"/>
              </w:rPr>
            </w:pPr>
          </w:p>
        </w:tc>
        <w:tc>
          <w:tcPr>
            <w:tcW w:w="1384" w:type="dxa"/>
          </w:tcPr>
          <w:p>
            <w:pPr>
              <w:spacing w:line="360" w:lineRule="auto"/>
              <w:rPr>
                <w:rFonts w:asciiTheme="minorEastAsia" w:hAnsiTheme="minorEastAsia" w:cstheme="minorEastAsia"/>
                <w:color w:val="auto"/>
                <w:sz w:val="24"/>
                <w:szCs w:val="24"/>
              </w:rPr>
            </w:pPr>
          </w:p>
        </w:tc>
        <w:tc>
          <w:tcPr>
            <w:tcW w:w="776" w:type="dxa"/>
          </w:tcPr>
          <w:p>
            <w:pPr>
              <w:spacing w:line="360" w:lineRule="auto"/>
              <w:rPr>
                <w:rFonts w:asciiTheme="minorEastAsia" w:hAnsiTheme="minorEastAsia" w:cstheme="minorEastAsia"/>
                <w:color w:val="auto"/>
                <w:sz w:val="24"/>
                <w:szCs w:val="24"/>
              </w:rPr>
            </w:pPr>
          </w:p>
        </w:tc>
        <w:tc>
          <w:tcPr>
            <w:tcW w:w="780" w:type="dxa"/>
          </w:tcPr>
          <w:p>
            <w:pPr>
              <w:spacing w:line="360" w:lineRule="auto"/>
              <w:rPr>
                <w:rFonts w:asciiTheme="minorEastAsia" w:hAnsiTheme="minorEastAsia" w:cstheme="minorEastAsia"/>
                <w:color w:val="auto"/>
                <w:sz w:val="24"/>
                <w:szCs w:val="24"/>
              </w:rPr>
            </w:pPr>
          </w:p>
        </w:tc>
        <w:tc>
          <w:tcPr>
            <w:tcW w:w="1260" w:type="dxa"/>
          </w:tcPr>
          <w:p>
            <w:pPr>
              <w:spacing w:line="360" w:lineRule="auto"/>
              <w:rPr>
                <w:rFonts w:asciiTheme="minorEastAsia" w:hAnsiTheme="minorEastAsia" w:cstheme="minorEastAsia"/>
                <w:color w:val="auto"/>
                <w:sz w:val="24"/>
                <w:szCs w:val="24"/>
              </w:rPr>
            </w:pPr>
          </w:p>
        </w:tc>
        <w:tc>
          <w:tcPr>
            <w:tcW w:w="1275" w:type="dxa"/>
          </w:tcPr>
          <w:p>
            <w:pPr>
              <w:spacing w:line="360" w:lineRule="auto"/>
              <w:rPr>
                <w:rFonts w:asciiTheme="minorEastAsia" w:hAnsiTheme="minorEastAsia" w:cstheme="minorEastAsia"/>
                <w:color w:val="auto"/>
                <w:sz w:val="24"/>
                <w:szCs w:val="24"/>
              </w:rPr>
            </w:pPr>
          </w:p>
        </w:tc>
        <w:tc>
          <w:tcPr>
            <w:tcW w:w="1820" w:type="dxa"/>
          </w:tcPr>
          <w:p>
            <w:pPr>
              <w:spacing w:line="360" w:lineRule="auto"/>
              <w:rPr>
                <w:rFonts w:asciiTheme="minorEastAsia" w:hAnsiTheme="minorEastAsia" w:cstheme="minorEastAsia"/>
                <w:color w:val="auto"/>
                <w:sz w:val="24"/>
                <w:szCs w:val="24"/>
              </w:rPr>
            </w:pPr>
          </w:p>
        </w:tc>
        <w:tc>
          <w:tcPr>
            <w:tcW w:w="1183" w:type="dxa"/>
          </w:tcPr>
          <w:p>
            <w:pPr>
              <w:spacing w:line="360" w:lineRule="auto"/>
              <w:rPr>
                <w:rFonts w:asciiTheme="minorEastAsia" w:hAnsiTheme="minorEastAsia" w:cstheme="minorEastAsia"/>
                <w:color w:val="auto"/>
                <w:sz w:val="24"/>
                <w:szCs w:val="24"/>
              </w:rPr>
            </w:pPr>
          </w:p>
        </w:tc>
      </w:tr>
    </w:tbl>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 w:val="24"/>
          <w:szCs w:val="24"/>
        </w:rPr>
      </w:pPr>
    </w:p>
    <w:p>
      <w:pPr>
        <w:spacing w:line="360" w:lineRule="auto"/>
        <w:jc w:val="left"/>
        <w:rPr>
          <w:rFonts w:asciiTheme="minorEastAsia" w:hAnsiTheme="minorEastAsia" w:cstheme="minorEastAsia"/>
          <w:color w:val="auto"/>
          <w:sz w:val="24"/>
          <w:szCs w:val="24"/>
        </w:rPr>
      </w:pPr>
    </w:p>
    <w:p>
      <w:pPr>
        <w:spacing w:line="360" w:lineRule="auto"/>
        <w:jc w:val="left"/>
        <w:rPr>
          <w:rFonts w:asciiTheme="minorEastAsia" w:hAnsiTheme="minorEastAsia" w:cstheme="minorEastAsia"/>
          <w:color w:val="auto"/>
          <w:sz w:val="24"/>
          <w:szCs w:val="24"/>
        </w:rPr>
      </w:pPr>
    </w:p>
    <w:p>
      <w:pPr>
        <w:spacing w:line="360" w:lineRule="auto"/>
        <w:jc w:val="left"/>
        <w:rPr>
          <w:rFonts w:asciiTheme="minorEastAsia" w:hAnsiTheme="minorEastAsia" w:cstheme="minorEastAsia"/>
          <w:color w:val="auto"/>
          <w:sz w:val="24"/>
          <w:szCs w:val="24"/>
        </w:rPr>
      </w:pPr>
    </w:p>
    <w:p>
      <w:pPr>
        <w:spacing w:line="360" w:lineRule="auto"/>
        <w:jc w:val="left"/>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附件2</w:t>
      </w:r>
    </w:p>
    <w:p>
      <w:pPr>
        <w:spacing w:line="360" w:lineRule="auto"/>
        <w:ind w:firstLine="3614" w:firstLineChars="1500"/>
        <w:jc w:val="left"/>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受试者鉴认代码表</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项目名称：________________________________申办方___________________________</w:t>
      </w:r>
    </w:p>
    <w:p>
      <w:pPr>
        <w:spacing w:line="360" w:lineRule="auto"/>
        <w:jc w:val="left"/>
        <w:rPr>
          <w:rFonts w:asciiTheme="minorEastAsia" w:hAnsiTheme="minorEastAsia" w:cstheme="minorEastAsia"/>
          <w:b/>
          <w:bCs/>
          <w:color w:val="auto"/>
          <w:sz w:val="24"/>
          <w:szCs w:val="24"/>
        </w:rPr>
      </w:pPr>
      <w:r>
        <w:rPr>
          <w:rFonts w:hint="eastAsia" w:asciiTheme="minorEastAsia" w:hAnsiTheme="minorEastAsia" w:cstheme="minorEastAsia"/>
          <w:color w:val="auto"/>
          <w:sz w:val="24"/>
          <w:szCs w:val="24"/>
        </w:rPr>
        <w:t>试验中心编号及名称________________________主要研究者_______________________</w:t>
      </w:r>
    </w:p>
    <w:tbl>
      <w:tblPr>
        <w:tblStyle w:val="28"/>
        <w:tblW w:w="96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215"/>
        <w:gridCol w:w="990"/>
        <w:gridCol w:w="795"/>
        <w:gridCol w:w="750"/>
        <w:gridCol w:w="1125"/>
        <w:gridCol w:w="1485"/>
        <w:gridCol w:w="1241"/>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785"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筛选号</w:t>
            </w:r>
          </w:p>
        </w:tc>
        <w:tc>
          <w:tcPr>
            <w:tcW w:w="1215"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受试者姓名</w:t>
            </w:r>
          </w:p>
        </w:tc>
        <w:tc>
          <w:tcPr>
            <w:tcW w:w="990"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受试者姓名拼音缩写</w:t>
            </w:r>
          </w:p>
        </w:tc>
        <w:tc>
          <w:tcPr>
            <w:tcW w:w="795"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性别</w:t>
            </w:r>
          </w:p>
        </w:tc>
        <w:tc>
          <w:tcPr>
            <w:tcW w:w="750"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年龄</w:t>
            </w:r>
          </w:p>
        </w:tc>
        <w:tc>
          <w:tcPr>
            <w:tcW w:w="1125"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住院号/门诊号</w:t>
            </w:r>
          </w:p>
        </w:tc>
        <w:tc>
          <w:tcPr>
            <w:tcW w:w="1485"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受试者联系地址</w:t>
            </w:r>
          </w:p>
        </w:tc>
        <w:tc>
          <w:tcPr>
            <w:tcW w:w="1241"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受试者身份证号码</w:t>
            </w:r>
          </w:p>
        </w:tc>
        <w:tc>
          <w:tcPr>
            <w:tcW w:w="1279"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受试者联系方式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spacing w:line="360" w:lineRule="auto"/>
              <w:jc w:val="center"/>
              <w:rPr>
                <w:rFonts w:ascii="黑体" w:hAnsi="黑体" w:eastAsia="黑体" w:cs="黑体"/>
                <w:b/>
                <w:color w:val="auto"/>
                <w:sz w:val="28"/>
                <w:szCs w:val="28"/>
              </w:rPr>
            </w:pPr>
          </w:p>
        </w:tc>
        <w:tc>
          <w:tcPr>
            <w:tcW w:w="1215" w:type="dxa"/>
          </w:tcPr>
          <w:p>
            <w:pPr>
              <w:spacing w:line="360" w:lineRule="auto"/>
              <w:jc w:val="center"/>
              <w:rPr>
                <w:rFonts w:ascii="黑体" w:hAnsi="黑体" w:eastAsia="黑体" w:cs="黑体"/>
                <w:b/>
                <w:color w:val="auto"/>
                <w:sz w:val="28"/>
                <w:szCs w:val="28"/>
              </w:rPr>
            </w:pPr>
          </w:p>
        </w:tc>
        <w:tc>
          <w:tcPr>
            <w:tcW w:w="990" w:type="dxa"/>
          </w:tcPr>
          <w:p>
            <w:pPr>
              <w:spacing w:line="360" w:lineRule="auto"/>
              <w:jc w:val="center"/>
              <w:rPr>
                <w:rFonts w:ascii="黑体" w:hAnsi="黑体" w:eastAsia="黑体" w:cs="黑体"/>
                <w:b/>
                <w:color w:val="auto"/>
                <w:sz w:val="28"/>
                <w:szCs w:val="28"/>
              </w:rPr>
            </w:pPr>
          </w:p>
        </w:tc>
        <w:tc>
          <w:tcPr>
            <w:tcW w:w="795" w:type="dxa"/>
          </w:tcPr>
          <w:p>
            <w:pPr>
              <w:spacing w:line="360" w:lineRule="auto"/>
              <w:jc w:val="center"/>
              <w:rPr>
                <w:rFonts w:ascii="黑体" w:hAnsi="黑体" w:eastAsia="黑体" w:cs="黑体"/>
                <w:b/>
                <w:color w:val="auto"/>
                <w:sz w:val="28"/>
                <w:szCs w:val="28"/>
              </w:rPr>
            </w:pPr>
          </w:p>
        </w:tc>
        <w:tc>
          <w:tcPr>
            <w:tcW w:w="750" w:type="dxa"/>
          </w:tcPr>
          <w:p>
            <w:pPr>
              <w:spacing w:line="360" w:lineRule="auto"/>
              <w:jc w:val="center"/>
              <w:rPr>
                <w:rFonts w:ascii="黑体" w:hAnsi="黑体" w:eastAsia="黑体" w:cs="黑体"/>
                <w:b/>
                <w:color w:val="auto"/>
                <w:sz w:val="28"/>
                <w:szCs w:val="28"/>
              </w:rPr>
            </w:pPr>
          </w:p>
        </w:tc>
        <w:tc>
          <w:tcPr>
            <w:tcW w:w="1125" w:type="dxa"/>
          </w:tcPr>
          <w:p>
            <w:pPr>
              <w:spacing w:line="360" w:lineRule="auto"/>
              <w:jc w:val="center"/>
              <w:rPr>
                <w:rFonts w:ascii="黑体" w:hAnsi="黑体" w:eastAsia="黑体" w:cs="黑体"/>
                <w:b/>
                <w:color w:val="auto"/>
                <w:sz w:val="28"/>
                <w:szCs w:val="28"/>
              </w:rPr>
            </w:pPr>
          </w:p>
        </w:tc>
        <w:tc>
          <w:tcPr>
            <w:tcW w:w="1485" w:type="dxa"/>
          </w:tcPr>
          <w:p>
            <w:pPr>
              <w:spacing w:line="360" w:lineRule="auto"/>
              <w:jc w:val="center"/>
              <w:rPr>
                <w:rFonts w:ascii="黑体" w:hAnsi="黑体" w:eastAsia="黑体" w:cs="黑体"/>
                <w:b/>
                <w:color w:val="auto"/>
                <w:sz w:val="28"/>
                <w:szCs w:val="28"/>
              </w:rPr>
            </w:pPr>
          </w:p>
        </w:tc>
        <w:tc>
          <w:tcPr>
            <w:tcW w:w="1241" w:type="dxa"/>
          </w:tcPr>
          <w:p>
            <w:pPr>
              <w:spacing w:line="360" w:lineRule="auto"/>
              <w:jc w:val="center"/>
              <w:rPr>
                <w:rFonts w:ascii="黑体" w:hAnsi="黑体" w:eastAsia="黑体" w:cs="黑体"/>
                <w:b/>
                <w:color w:val="auto"/>
                <w:sz w:val="28"/>
                <w:szCs w:val="28"/>
              </w:rPr>
            </w:pPr>
          </w:p>
        </w:tc>
        <w:tc>
          <w:tcPr>
            <w:tcW w:w="1279" w:type="dxa"/>
          </w:tcPr>
          <w:p>
            <w:pPr>
              <w:spacing w:line="360" w:lineRule="auto"/>
              <w:jc w:val="center"/>
              <w:rPr>
                <w:rFonts w:ascii="黑体" w:hAnsi="黑体" w:eastAsia="黑体" w:cs="黑体"/>
                <w:b/>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spacing w:line="360" w:lineRule="auto"/>
              <w:jc w:val="center"/>
              <w:rPr>
                <w:rFonts w:ascii="黑体" w:hAnsi="黑体" w:eastAsia="黑体" w:cs="黑体"/>
                <w:b/>
                <w:color w:val="auto"/>
                <w:sz w:val="28"/>
                <w:szCs w:val="28"/>
              </w:rPr>
            </w:pPr>
          </w:p>
        </w:tc>
        <w:tc>
          <w:tcPr>
            <w:tcW w:w="1215" w:type="dxa"/>
          </w:tcPr>
          <w:p>
            <w:pPr>
              <w:spacing w:line="360" w:lineRule="auto"/>
              <w:jc w:val="center"/>
              <w:rPr>
                <w:rFonts w:ascii="黑体" w:hAnsi="黑体" w:eastAsia="黑体" w:cs="黑体"/>
                <w:b/>
                <w:color w:val="auto"/>
                <w:sz w:val="28"/>
                <w:szCs w:val="28"/>
              </w:rPr>
            </w:pPr>
          </w:p>
        </w:tc>
        <w:tc>
          <w:tcPr>
            <w:tcW w:w="990" w:type="dxa"/>
          </w:tcPr>
          <w:p>
            <w:pPr>
              <w:spacing w:line="360" w:lineRule="auto"/>
              <w:jc w:val="center"/>
              <w:rPr>
                <w:rFonts w:ascii="黑体" w:hAnsi="黑体" w:eastAsia="黑体" w:cs="黑体"/>
                <w:b/>
                <w:color w:val="auto"/>
                <w:sz w:val="28"/>
                <w:szCs w:val="28"/>
              </w:rPr>
            </w:pPr>
          </w:p>
        </w:tc>
        <w:tc>
          <w:tcPr>
            <w:tcW w:w="795" w:type="dxa"/>
          </w:tcPr>
          <w:p>
            <w:pPr>
              <w:spacing w:line="360" w:lineRule="auto"/>
              <w:jc w:val="center"/>
              <w:rPr>
                <w:rFonts w:ascii="黑体" w:hAnsi="黑体" w:eastAsia="黑体" w:cs="黑体"/>
                <w:b/>
                <w:color w:val="auto"/>
                <w:sz w:val="28"/>
                <w:szCs w:val="28"/>
              </w:rPr>
            </w:pPr>
          </w:p>
        </w:tc>
        <w:tc>
          <w:tcPr>
            <w:tcW w:w="750" w:type="dxa"/>
          </w:tcPr>
          <w:p>
            <w:pPr>
              <w:spacing w:line="360" w:lineRule="auto"/>
              <w:jc w:val="center"/>
              <w:rPr>
                <w:rFonts w:ascii="黑体" w:hAnsi="黑体" w:eastAsia="黑体" w:cs="黑体"/>
                <w:b/>
                <w:color w:val="auto"/>
                <w:sz w:val="28"/>
                <w:szCs w:val="28"/>
              </w:rPr>
            </w:pPr>
          </w:p>
        </w:tc>
        <w:tc>
          <w:tcPr>
            <w:tcW w:w="1125" w:type="dxa"/>
          </w:tcPr>
          <w:p>
            <w:pPr>
              <w:spacing w:line="360" w:lineRule="auto"/>
              <w:jc w:val="center"/>
              <w:rPr>
                <w:rFonts w:ascii="黑体" w:hAnsi="黑体" w:eastAsia="黑体" w:cs="黑体"/>
                <w:b/>
                <w:color w:val="auto"/>
                <w:sz w:val="28"/>
                <w:szCs w:val="28"/>
              </w:rPr>
            </w:pPr>
          </w:p>
        </w:tc>
        <w:tc>
          <w:tcPr>
            <w:tcW w:w="1485" w:type="dxa"/>
          </w:tcPr>
          <w:p>
            <w:pPr>
              <w:spacing w:line="360" w:lineRule="auto"/>
              <w:jc w:val="center"/>
              <w:rPr>
                <w:rFonts w:ascii="黑体" w:hAnsi="黑体" w:eastAsia="黑体" w:cs="黑体"/>
                <w:b/>
                <w:color w:val="auto"/>
                <w:sz w:val="28"/>
                <w:szCs w:val="28"/>
              </w:rPr>
            </w:pPr>
          </w:p>
        </w:tc>
        <w:tc>
          <w:tcPr>
            <w:tcW w:w="1241" w:type="dxa"/>
          </w:tcPr>
          <w:p>
            <w:pPr>
              <w:spacing w:line="360" w:lineRule="auto"/>
              <w:jc w:val="center"/>
              <w:rPr>
                <w:rFonts w:ascii="黑体" w:hAnsi="黑体" w:eastAsia="黑体" w:cs="黑体"/>
                <w:b/>
                <w:color w:val="auto"/>
                <w:sz w:val="28"/>
                <w:szCs w:val="28"/>
              </w:rPr>
            </w:pPr>
          </w:p>
        </w:tc>
        <w:tc>
          <w:tcPr>
            <w:tcW w:w="1279" w:type="dxa"/>
          </w:tcPr>
          <w:p>
            <w:pPr>
              <w:spacing w:line="360" w:lineRule="auto"/>
              <w:jc w:val="center"/>
              <w:rPr>
                <w:rFonts w:ascii="黑体" w:hAnsi="黑体" w:eastAsia="黑体" w:cs="黑体"/>
                <w:b/>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spacing w:line="360" w:lineRule="auto"/>
              <w:jc w:val="center"/>
              <w:rPr>
                <w:rFonts w:ascii="黑体" w:hAnsi="黑体" w:eastAsia="黑体" w:cs="黑体"/>
                <w:b/>
                <w:color w:val="auto"/>
                <w:sz w:val="28"/>
                <w:szCs w:val="28"/>
              </w:rPr>
            </w:pPr>
          </w:p>
        </w:tc>
        <w:tc>
          <w:tcPr>
            <w:tcW w:w="1215" w:type="dxa"/>
          </w:tcPr>
          <w:p>
            <w:pPr>
              <w:spacing w:line="360" w:lineRule="auto"/>
              <w:jc w:val="center"/>
              <w:rPr>
                <w:rFonts w:ascii="黑体" w:hAnsi="黑体" w:eastAsia="黑体" w:cs="黑体"/>
                <w:b/>
                <w:color w:val="auto"/>
                <w:sz w:val="28"/>
                <w:szCs w:val="28"/>
              </w:rPr>
            </w:pPr>
          </w:p>
        </w:tc>
        <w:tc>
          <w:tcPr>
            <w:tcW w:w="990" w:type="dxa"/>
          </w:tcPr>
          <w:p>
            <w:pPr>
              <w:spacing w:line="360" w:lineRule="auto"/>
              <w:jc w:val="center"/>
              <w:rPr>
                <w:rFonts w:ascii="黑体" w:hAnsi="黑体" w:eastAsia="黑体" w:cs="黑体"/>
                <w:b/>
                <w:color w:val="auto"/>
                <w:sz w:val="28"/>
                <w:szCs w:val="28"/>
              </w:rPr>
            </w:pPr>
          </w:p>
        </w:tc>
        <w:tc>
          <w:tcPr>
            <w:tcW w:w="795" w:type="dxa"/>
          </w:tcPr>
          <w:p>
            <w:pPr>
              <w:spacing w:line="360" w:lineRule="auto"/>
              <w:jc w:val="center"/>
              <w:rPr>
                <w:rFonts w:ascii="黑体" w:hAnsi="黑体" w:eastAsia="黑体" w:cs="黑体"/>
                <w:b/>
                <w:color w:val="auto"/>
                <w:sz w:val="28"/>
                <w:szCs w:val="28"/>
              </w:rPr>
            </w:pPr>
          </w:p>
        </w:tc>
        <w:tc>
          <w:tcPr>
            <w:tcW w:w="750" w:type="dxa"/>
          </w:tcPr>
          <w:p>
            <w:pPr>
              <w:spacing w:line="360" w:lineRule="auto"/>
              <w:jc w:val="center"/>
              <w:rPr>
                <w:rFonts w:ascii="黑体" w:hAnsi="黑体" w:eastAsia="黑体" w:cs="黑体"/>
                <w:b/>
                <w:color w:val="auto"/>
                <w:sz w:val="28"/>
                <w:szCs w:val="28"/>
              </w:rPr>
            </w:pPr>
          </w:p>
        </w:tc>
        <w:tc>
          <w:tcPr>
            <w:tcW w:w="1125" w:type="dxa"/>
          </w:tcPr>
          <w:p>
            <w:pPr>
              <w:spacing w:line="360" w:lineRule="auto"/>
              <w:jc w:val="center"/>
              <w:rPr>
                <w:rFonts w:ascii="黑体" w:hAnsi="黑体" w:eastAsia="黑体" w:cs="黑体"/>
                <w:b/>
                <w:color w:val="auto"/>
                <w:sz w:val="28"/>
                <w:szCs w:val="28"/>
              </w:rPr>
            </w:pPr>
          </w:p>
        </w:tc>
        <w:tc>
          <w:tcPr>
            <w:tcW w:w="1485" w:type="dxa"/>
          </w:tcPr>
          <w:p>
            <w:pPr>
              <w:spacing w:line="360" w:lineRule="auto"/>
              <w:jc w:val="center"/>
              <w:rPr>
                <w:rFonts w:ascii="黑体" w:hAnsi="黑体" w:eastAsia="黑体" w:cs="黑体"/>
                <w:b/>
                <w:color w:val="auto"/>
                <w:sz w:val="28"/>
                <w:szCs w:val="28"/>
              </w:rPr>
            </w:pPr>
          </w:p>
        </w:tc>
        <w:tc>
          <w:tcPr>
            <w:tcW w:w="1241" w:type="dxa"/>
          </w:tcPr>
          <w:p>
            <w:pPr>
              <w:spacing w:line="360" w:lineRule="auto"/>
              <w:jc w:val="center"/>
              <w:rPr>
                <w:rFonts w:ascii="黑体" w:hAnsi="黑体" w:eastAsia="黑体" w:cs="黑体"/>
                <w:b/>
                <w:color w:val="auto"/>
                <w:sz w:val="28"/>
                <w:szCs w:val="28"/>
              </w:rPr>
            </w:pPr>
          </w:p>
        </w:tc>
        <w:tc>
          <w:tcPr>
            <w:tcW w:w="1279" w:type="dxa"/>
          </w:tcPr>
          <w:p>
            <w:pPr>
              <w:spacing w:line="360" w:lineRule="auto"/>
              <w:jc w:val="center"/>
              <w:rPr>
                <w:rFonts w:ascii="黑体" w:hAnsi="黑体" w:eastAsia="黑体" w:cs="黑体"/>
                <w:b/>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spacing w:line="360" w:lineRule="auto"/>
              <w:jc w:val="center"/>
              <w:rPr>
                <w:rFonts w:ascii="黑体" w:hAnsi="黑体" w:eastAsia="黑体" w:cs="黑体"/>
                <w:b/>
                <w:color w:val="auto"/>
                <w:sz w:val="28"/>
                <w:szCs w:val="28"/>
              </w:rPr>
            </w:pPr>
          </w:p>
        </w:tc>
        <w:tc>
          <w:tcPr>
            <w:tcW w:w="1215" w:type="dxa"/>
          </w:tcPr>
          <w:p>
            <w:pPr>
              <w:spacing w:line="360" w:lineRule="auto"/>
              <w:jc w:val="center"/>
              <w:rPr>
                <w:rFonts w:ascii="黑体" w:hAnsi="黑体" w:eastAsia="黑体" w:cs="黑体"/>
                <w:b/>
                <w:color w:val="auto"/>
                <w:sz w:val="28"/>
                <w:szCs w:val="28"/>
              </w:rPr>
            </w:pPr>
          </w:p>
        </w:tc>
        <w:tc>
          <w:tcPr>
            <w:tcW w:w="990" w:type="dxa"/>
          </w:tcPr>
          <w:p>
            <w:pPr>
              <w:spacing w:line="360" w:lineRule="auto"/>
              <w:jc w:val="center"/>
              <w:rPr>
                <w:rFonts w:ascii="黑体" w:hAnsi="黑体" w:eastAsia="黑体" w:cs="黑体"/>
                <w:b/>
                <w:color w:val="auto"/>
                <w:sz w:val="28"/>
                <w:szCs w:val="28"/>
              </w:rPr>
            </w:pPr>
          </w:p>
        </w:tc>
        <w:tc>
          <w:tcPr>
            <w:tcW w:w="795" w:type="dxa"/>
          </w:tcPr>
          <w:p>
            <w:pPr>
              <w:spacing w:line="360" w:lineRule="auto"/>
              <w:jc w:val="center"/>
              <w:rPr>
                <w:rFonts w:ascii="黑体" w:hAnsi="黑体" w:eastAsia="黑体" w:cs="黑体"/>
                <w:b/>
                <w:color w:val="auto"/>
                <w:sz w:val="28"/>
                <w:szCs w:val="28"/>
              </w:rPr>
            </w:pPr>
          </w:p>
        </w:tc>
        <w:tc>
          <w:tcPr>
            <w:tcW w:w="750" w:type="dxa"/>
          </w:tcPr>
          <w:p>
            <w:pPr>
              <w:spacing w:line="360" w:lineRule="auto"/>
              <w:jc w:val="center"/>
              <w:rPr>
                <w:rFonts w:ascii="黑体" w:hAnsi="黑体" w:eastAsia="黑体" w:cs="黑体"/>
                <w:b/>
                <w:color w:val="auto"/>
                <w:sz w:val="28"/>
                <w:szCs w:val="28"/>
              </w:rPr>
            </w:pPr>
          </w:p>
        </w:tc>
        <w:tc>
          <w:tcPr>
            <w:tcW w:w="1125" w:type="dxa"/>
          </w:tcPr>
          <w:p>
            <w:pPr>
              <w:spacing w:line="360" w:lineRule="auto"/>
              <w:jc w:val="center"/>
              <w:rPr>
                <w:rFonts w:ascii="黑体" w:hAnsi="黑体" w:eastAsia="黑体" w:cs="黑体"/>
                <w:b/>
                <w:color w:val="auto"/>
                <w:sz w:val="28"/>
                <w:szCs w:val="28"/>
              </w:rPr>
            </w:pPr>
          </w:p>
        </w:tc>
        <w:tc>
          <w:tcPr>
            <w:tcW w:w="1485" w:type="dxa"/>
          </w:tcPr>
          <w:p>
            <w:pPr>
              <w:spacing w:line="360" w:lineRule="auto"/>
              <w:jc w:val="center"/>
              <w:rPr>
                <w:rFonts w:ascii="黑体" w:hAnsi="黑体" w:eastAsia="黑体" w:cs="黑体"/>
                <w:b/>
                <w:color w:val="auto"/>
                <w:sz w:val="28"/>
                <w:szCs w:val="28"/>
              </w:rPr>
            </w:pPr>
          </w:p>
        </w:tc>
        <w:tc>
          <w:tcPr>
            <w:tcW w:w="1241" w:type="dxa"/>
          </w:tcPr>
          <w:p>
            <w:pPr>
              <w:spacing w:line="360" w:lineRule="auto"/>
              <w:jc w:val="center"/>
              <w:rPr>
                <w:rFonts w:ascii="黑体" w:hAnsi="黑体" w:eastAsia="黑体" w:cs="黑体"/>
                <w:b/>
                <w:color w:val="auto"/>
                <w:sz w:val="28"/>
                <w:szCs w:val="28"/>
              </w:rPr>
            </w:pPr>
          </w:p>
        </w:tc>
        <w:tc>
          <w:tcPr>
            <w:tcW w:w="1279" w:type="dxa"/>
          </w:tcPr>
          <w:p>
            <w:pPr>
              <w:spacing w:line="360" w:lineRule="auto"/>
              <w:jc w:val="center"/>
              <w:rPr>
                <w:rFonts w:ascii="黑体" w:hAnsi="黑体" w:eastAsia="黑体" w:cs="黑体"/>
                <w:b/>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spacing w:line="360" w:lineRule="auto"/>
              <w:jc w:val="center"/>
              <w:rPr>
                <w:rFonts w:ascii="黑体" w:hAnsi="黑体" w:eastAsia="黑体" w:cs="黑体"/>
                <w:b/>
                <w:color w:val="auto"/>
                <w:sz w:val="28"/>
                <w:szCs w:val="28"/>
              </w:rPr>
            </w:pPr>
          </w:p>
        </w:tc>
        <w:tc>
          <w:tcPr>
            <w:tcW w:w="1215" w:type="dxa"/>
          </w:tcPr>
          <w:p>
            <w:pPr>
              <w:spacing w:line="360" w:lineRule="auto"/>
              <w:jc w:val="center"/>
              <w:rPr>
                <w:rFonts w:ascii="黑体" w:hAnsi="黑体" w:eastAsia="黑体" w:cs="黑体"/>
                <w:b/>
                <w:color w:val="auto"/>
                <w:sz w:val="28"/>
                <w:szCs w:val="28"/>
              </w:rPr>
            </w:pPr>
          </w:p>
        </w:tc>
        <w:tc>
          <w:tcPr>
            <w:tcW w:w="990" w:type="dxa"/>
          </w:tcPr>
          <w:p>
            <w:pPr>
              <w:spacing w:line="360" w:lineRule="auto"/>
              <w:jc w:val="center"/>
              <w:rPr>
                <w:rFonts w:ascii="黑体" w:hAnsi="黑体" w:eastAsia="黑体" w:cs="黑体"/>
                <w:b/>
                <w:color w:val="auto"/>
                <w:sz w:val="28"/>
                <w:szCs w:val="28"/>
              </w:rPr>
            </w:pPr>
          </w:p>
        </w:tc>
        <w:tc>
          <w:tcPr>
            <w:tcW w:w="795" w:type="dxa"/>
          </w:tcPr>
          <w:p>
            <w:pPr>
              <w:spacing w:line="360" w:lineRule="auto"/>
              <w:jc w:val="center"/>
              <w:rPr>
                <w:rFonts w:ascii="黑体" w:hAnsi="黑体" w:eastAsia="黑体" w:cs="黑体"/>
                <w:b/>
                <w:color w:val="auto"/>
                <w:sz w:val="28"/>
                <w:szCs w:val="28"/>
              </w:rPr>
            </w:pPr>
          </w:p>
        </w:tc>
        <w:tc>
          <w:tcPr>
            <w:tcW w:w="750" w:type="dxa"/>
          </w:tcPr>
          <w:p>
            <w:pPr>
              <w:spacing w:line="360" w:lineRule="auto"/>
              <w:jc w:val="center"/>
              <w:rPr>
                <w:rFonts w:ascii="黑体" w:hAnsi="黑体" w:eastAsia="黑体" w:cs="黑体"/>
                <w:b/>
                <w:color w:val="auto"/>
                <w:sz w:val="28"/>
                <w:szCs w:val="28"/>
              </w:rPr>
            </w:pPr>
          </w:p>
        </w:tc>
        <w:tc>
          <w:tcPr>
            <w:tcW w:w="1125" w:type="dxa"/>
          </w:tcPr>
          <w:p>
            <w:pPr>
              <w:spacing w:line="360" w:lineRule="auto"/>
              <w:jc w:val="center"/>
              <w:rPr>
                <w:rFonts w:ascii="黑体" w:hAnsi="黑体" w:eastAsia="黑体" w:cs="黑体"/>
                <w:b/>
                <w:color w:val="auto"/>
                <w:sz w:val="28"/>
                <w:szCs w:val="28"/>
              </w:rPr>
            </w:pPr>
          </w:p>
        </w:tc>
        <w:tc>
          <w:tcPr>
            <w:tcW w:w="1485" w:type="dxa"/>
          </w:tcPr>
          <w:p>
            <w:pPr>
              <w:spacing w:line="360" w:lineRule="auto"/>
              <w:jc w:val="center"/>
              <w:rPr>
                <w:rFonts w:ascii="黑体" w:hAnsi="黑体" w:eastAsia="黑体" w:cs="黑体"/>
                <w:b/>
                <w:color w:val="auto"/>
                <w:sz w:val="28"/>
                <w:szCs w:val="28"/>
              </w:rPr>
            </w:pPr>
          </w:p>
        </w:tc>
        <w:tc>
          <w:tcPr>
            <w:tcW w:w="1241" w:type="dxa"/>
          </w:tcPr>
          <w:p>
            <w:pPr>
              <w:spacing w:line="360" w:lineRule="auto"/>
              <w:jc w:val="center"/>
              <w:rPr>
                <w:rFonts w:ascii="黑体" w:hAnsi="黑体" w:eastAsia="黑体" w:cs="黑体"/>
                <w:b/>
                <w:color w:val="auto"/>
                <w:sz w:val="28"/>
                <w:szCs w:val="28"/>
              </w:rPr>
            </w:pPr>
          </w:p>
        </w:tc>
        <w:tc>
          <w:tcPr>
            <w:tcW w:w="1279" w:type="dxa"/>
          </w:tcPr>
          <w:p>
            <w:pPr>
              <w:spacing w:line="360" w:lineRule="auto"/>
              <w:jc w:val="center"/>
              <w:rPr>
                <w:rFonts w:ascii="黑体" w:hAnsi="黑体" w:eastAsia="黑体" w:cs="黑体"/>
                <w:b/>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spacing w:line="360" w:lineRule="auto"/>
              <w:jc w:val="center"/>
              <w:rPr>
                <w:rFonts w:ascii="黑体" w:hAnsi="黑体" w:eastAsia="黑体" w:cs="黑体"/>
                <w:b/>
                <w:color w:val="auto"/>
                <w:sz w:val="28"/>
                <w:szCs w:val="28"/>
              </w:rPr>
            </w:pPr>
          </w:p>
        </w:tc>
        <w:tc>
          <w:tcPr>
            <w:tcW w:w="1215" w:type="dxa"/>
          </w:tcPr>
          <w:p>
            <w:pPr>
              <w:spacing w:line="360" w:lineRule="auto"/>
              <w:jc w:val="center"/>
              <w:rPr>
                <w:rFonts w:ascii="黑体" w:hAnsi="黑体" w:eastAsia="黑体" w:cs="黑体"/>
                <w:b/>
                <w:color w:val="auto"/>
                <w:sz w:val="28"/>
                <w:szCs w:val="28"/>
              </w:rPr>
            </w:pPr>
          </w:p>
        </w:tc>
        <w:tc>
          <w:tcPr>
            <w:tcW w:w="990" w:type="dxa"/>
          </w:tcPr>
          <w:p>
            <w:pPr>
              <w:spacing w:line="360" w:lineRule="auto"/>
              <w:jc w:val="center"/>
              <w:rPr>
                <w:rFonts w:ascii="黑体" w:hAnsi="黑体" w:eastAsia="黑体" w:cs="黑体"/>
                <w:b/>
                <w:color w:val="auto"/>
                <w:sz w:val="28"/>
                <w:szCs w:val="28"/>
              </w:rPr>
            </w:pPr>
          </w:p>
        </w:tc>
        <w:tc>
          <w:tcPr>
            <w:tcW w:w="795" w:type="dxa"/>
          </w:tcPr>
          <w:p>
            <w:pPr>
              <w:spacing w:line="360" w:lineRule="auto"/>
              <w:jc w:val="center"/>
              <w:rPr>
                <w:rFonts w:ascii="黑体" w:hAnsi="黑体" w:eastAsia="黑体" w:cs="黑体"/>
                <w:b/>
                <w:color w:val="auto"/>
                <w:sz w:val="28"/>
                <w:szCs w:val="28"/>
              </w:rPr>
            </w:pPr>
          </w:p>
        </w:tc>
        <w:tc>
          <w:tcPr>
            <w:tcW w:w="750" w:type="dxa"/>
          </w:tcPr>
          <w:p>
            <w:pPr>
              <w:spacing w:line="360" w:lineRule="auto"/>
              <w:jc w:val="center"/>
              <w:rPr>
                <w:rFonts w:ascii="黑体" w:hAnsi="黑体" w:eastAsia="黑体" w:cs="黑体"/>
                <w:b/>
                <w:color w:val="auto"/>
                <w:sz w:val="28"/>
                <w:szCs w:val="28"/>
              </w:rPr>
            </w:pPr>
          </w:p>
        </w:tc>
        <w:tc>
          <w:tcPr>
            <w:tcW w:w="1125" w:type="dxa"/>
          </w:tcPr>
          <w:p>
            <w:pPr>
              <w:spacing w:line="360" w:lineRule="auto"/>
              <w:jc w:val="center"/>
              <w:rPr>
                <w:rFonts w:ascii="黑体" w:hAnsi="黑体" w:eastAsia="黑体" w:cs="黑体"/>
                <w:b/>
                <w:color w:val="auto"/>
                <w:sz w:val="28"/>
                <w:szCs w:val="28"/>
              </w:rPr>
            </w:pPr>
          </w:p>
        </w:tc>
        <w:tc>
          <w:tcPr>
            <w:tcW w:w="1485" w:type="dxa"/>
          </w:tcPr>
          <w:p>
            <w:pPr>
              <w:spacing w:line="360" w:lineRule="auto"/>
              <w:jc w:val="center"/>
              <w:rPr>
                <w:rFonts w:ascii="黑体" w:hAnsi="黑体" w:eastAsia="黑体" w:cs="黑体"/>
                <w:b/>
                <w:color w:val="auto"/>
                <w:sz w:val="28"/>
                <w:szCs w:val="28"/>
              </w:rPr>
            </w:pPr>
          </w:p>
        </w:tc>
        <w:tc>
          <w:tcPr>
            <w:tcW w:w="1241" w:type="dxa"/>
          </w:tcPr>
          <w:p>
            <w:pPr>
              <w:spacing w:line="360" w:lineRule="auto"/>
              <w:jc w:val="center"/>
              <w:rPr>
                <w:rFonts w:ascii="黑体" w:hAnsi="黑体" w:eastAsia="黑体" w:cs="黑体"/>
                <w:b/>
                <w:color w:val="auto"/>
                <w:sz w:val="28"/>
                <w:szCs w:val="28"/>
              </w:rPr>
            </w:pPr>
          </w:p>
        </w:tc>
        <w:tc>
          <w:tcPr>
            <w:tcW w:w="1279" w:type="dxa"/>
          </w:tcPr>
          <w:p>
            <w:pPr>
              <w:spacing w:line="360" w:lineRule="auto"/>
              <w:jc w:val="center"/>
              <w:rPr>
                <w:rFonts w:ascii="黑体" w:hAnsi="黑体" w:eastAsia="黑体" w:cs="黑体"/>
                <w:b/>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spacing w:line="360" w:lineRule="auto"/>
              <w:jc w:val="center"/>
              <w:rPr>
                <w:rFonts w:ascii="黑体" w:hAnsi="黑体" w:eastAsia="黑体" w:cs="黑体"/>
                <w:b/>
                <w:color w:val="auto"/>
                <w:sz w:val="28"/>
                <w:szCs w:val="28"/>
              </w:rPr>
            </w:pPr>
          </w:p>
        </w:tc>
        <w:tc>
          <w:tcPr>
            <w:tcW w:w="1215" w:type="dxa"/>
          </w:tcPr>
          <w:p>
            <w:pPr>
              <w:spacing w:line="360" w:lineRule="auto"/>
              <w:jc w:val="center"/>
              <w:rPr>
                <w:rFonts w:ascii="黑体" w:hAnsi="黑体" w:eastAsia="黑体" w:cs="黑体"/>
                <w:b/>
                <w:color w:val="auto"/>
                <w:sz w:val="28"/>
                <w:szCs w:val="28"/>
              </w:rPr>
            </w:pPr>
          </w:p>
        </w:tc>
        <w:tc>
          <w:tcPr>
            <w:tcW w:w="990" w:type="dxa"/>
          </w:tcPr>
          <w:p>
            <w:pPr>
              <w:spacing w:line="360" w:lineRule="auto"/>
              <w:jc w:val="center"/>
              <w:rPr>
                <w:rFonts w:ascii="黑体" w:hAnsi="黑体" w:eastAsia="黑体" w:cs="黑体"/>
                <w:b/>
                <w:color w:val="auto"/>
                <w:sz w:val="28"/>
                <w:szCs w:val="28"/>
              </w:rPr>
            </w:pPr>
          </w:p>
        </w:tc>
        <w:tc>
          <w:tcPr>
            <w:tcW w:w="795" w:type="dxa"/>
          </w:tcPr>
          <w:p>
            <w:pPr>
              <w:spacing w:line="360" w:lineRule="auto"/>
              <w:jc w:val="center"/>
              <w:rPr>
                <w:rFonts w:ascii="黑体" w:hAnsi="黑体" w:eastAsia="黑体" w:cs="黑体"/>
                <w:b/>
                <w:color w:val="auto"/>
                <w:sz w:val="28"/>
                <w:szCs w:val="28"/>
              </w:rPr>
            </w:pPr>
          </w:p>
        </w:tc>
        <w:tc>
          <w:tcPr>
            <w:tcW w:w="750" w:type="dxa"/>
          </w:tcPr>
          <w:p>
            <w:pPr>
              <w:spacing w:line="360" w:lineRule="auto"/>
              <w:jc w:val="center"/>
              <w:rPr>
                <w:rFonts w:ascii="黑体" w:hAnsi="黑体" w:eastAsia="黑体" w:cs="黑体"/>
                <w:b/>
                <w:color w:val="auto"/>
                <w:sz w:val="28"/>
                <w:szCs w:val="28"/>
              </w:rPr>
            </w:pPr>
          </w:p>
        </w:tc>
        <w:tc>
          <w:tcPr>
            <w:tcW w:w="1125" w:type="dxa"/>
          </w:tcPr>
          <w:p>
            <w:pPr>
              <w:spacing w:line="360" w:lineRule="auto"/>
              <w:jc w:val="center"/>
              <w:rPr>
                <w:rFonts w:ascii="黑体" w:hAnsi="黑体" w:eastAsia="黑体" w:cs="黑体"/>
                <w:b/>
                <w:color w:val="auto"/>
                <w:sz w:val="28"/>
                <w:szCs w:val="28"/>
              </w:rPr>
            </w:pPr>
          </w:p>
        </w:tc>
        <w:tc>
          <w:tcPr>
            <w:tcW w:w="1485" w:type="dxa"/>
          </w:tcPr>
          <w:p>
            <w:pPr>
              <w:spacing w:line="360" w:lineRule="auto"/>
              <w:jc w:val="center"/>
              <w:rPr>
                <w:rFonts w:ascii="黑体" w:hAnsi="黑体" w:eastAsia="黑体" w:cs="黑体"/>
                <w:b/>
                <w:color w:val="auto"/>
                <w:sz w:val="28"/>
                <w:szCs w:val="28"/>
              </w:rPr>
            </w:pPr>
          </w:p>
        </w:tc>
        <w:tc>
          <w:tcPr>
            <w:tcW w:w="1241" w:type="dxa"/>
          </w:tcPr>
          <w:p>
            <w:pPr>
              <w:spacing w:line="360" w:lineRule="auto"/>
              <w:jc w:val="center"/>
              <w:rPr>
                <w:rFonts w:ascii="黑体" w:hAnsi="黑体" w:eastAsia="黑体" w:cs="黑体"/>
                <w:b/>
                <w:color w:val="auto"/>
                <w:sz w:val="28"/>
                <w:szCs w:val="28"/>
              </w:rPr>
            </w:pPr>
          </w:p>
        </w:tc>
        <w:tc>
          <w:tcPr>
            <w:tcW w:w="1279" w:type="dxa"/>
          </w:tcPr>
          <w:p>
            <w:pPr>
              <w:spacing w:line="360" w:lineRule="auto"/>
              <w:jc w:val="center"/>
              <w:rPr>
                <w:rFonts w:ascii="黑体" w:hAnsi="黑体" w:eastAsia="黑体" w:cs="黑体"/>
                <w:b/>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spacing w:line="360" w:lineRule="auto"/>
              <w:jc w:val="center"/>
              <w:rPr>
                <w:rFonts w:ascii="黑体" w:hAnsi="黑体" w:eastAsia="黑体" w:cs="黑体"/>
                <w:b/>
                <w:color w:val="auto"/>
                <w:sz w:val="28"/>
                <w:szCs w:val="28"/>
              </w:rPr>
            </w:pPr>
          </w:p>
        </w:tc>
        <w:tc>
          <w:tcPr>
            <w:tcW w:w="1215" w:type="dxa"/>
          </w:tcPr>
          <w:p>
            <w:pPr>
              <w:spacing w:line="360" w:lineRule="auto"/>
              <w:jc w:val="center"/>
              <w:rPr>
                <w:rFonts w:ascii="黑体" w:hAnsi="黑体" w:eastAsia="黑体" w:cs="黑体"/>
                <w:b/>
                <w:color w:val="auto"/>
                <w:sz w:val="28"/>
                <w:szCs w:val="28"/>
              </w:rPr>
            </w:pPr>
          </w:p>
        </w:tc>
        <w:tc>
          <w:tcPr>
            <w:tcW w:w="990" w:type="dxa"/>
          </w:tcPr>
          <w:p>
            <w:pPr>
              <w:spacing w:line="360" w:lineRule="auto"/>
              <w:jc w:val="center"/>
              <w:rPr>
                <w:rFonts w:ascii="黑体" w:hAnsi="黑体" w:eastAsia="黑体" w:cs="黑体"/>
                <w:b/>
                <w:color w:val="auto"/>
                <w:sz w:val="28"/>
                <w:szCs w:val="28"/>
              </w:rPr>
            </w:pPr>
          </w:p>
        </w:tc>
        <w:tc>
          <w:tcPr>
            <w:tcW w:w="795" w:type="dxa"/>
          </w:tcPr>
          <w:p>
            <w:pPr>
              <w:spacing w:line="360" w:lineRule="auto"/>
              <w:jc w:val="center"/>
              <w:rPr>
                <w:rFonts w:ascii="黑体" w:hAnsi="黑体" w:eastAsia="黑体" w:cs="黑体"/>
                <w:b/>
                <w:color w:val="auto"/>
                <w:sz w:val="28"/>
                <w:szCs w:val="28"/>
              </w:rPr>
            </w:pPr>
          </w:p>
        </w:tc>
        <w:tc>
          <w:tcPr>
            <w:tcW w:w="750" w:type="dxa"/>
          </w:tcPr>
          <w:p>
            <w:pPr>
              <w:spacing w:line="360" w:lineRule="auto"/>
              <w:jc w:val="center"/>
              <w:rPr>
                <w:rFonts w:ascii="黑体" w:hAnsi="黑体" w:eastAsia="黑体" w:cs="黑体"/>
                <w:b/>
                <w:color w:val="auto"/>
                <w:sz w:val="28"/>
                <w:szCs w:val="28"/>
              </w:rPr>
            </w:pPr>
          </w:p>
        </w:tc>
        <w:tc>
          <w:tcPr>
            <w:tcW w:w="1125" w:type="dxa"/>
          </w:tcPr>
          <w:p>
            <w:pPr>
              <w:spacing w:line="360" w:lineRule="auto"/>
              <w:jc w:val="center"/>
              <w:rPr>
                <w:rFonts w:ascii="黑体" w:hAnsi="黑体" w:eastAsia="黑体" w:cs="黑体"/>
                <w:b/>
                <w:color w:val="auto"/>
                <w:sz w:val="28"/>
                <w:szCs w:val="28"/>
              </w:rPr>
            </w:pPr>
          </w:p>
        </w:tc>
        <w:tc>
          <w:tcPr>
            <w:tcW w:w="1485" w:type="dxa"/>
          </w:tcPr>
          <w:p>
            <w:pPr>
              <w:spacing w:line="360" w:lineRule="auto"/>
              <w:jc w:val="center"/>
              <w:rPr>
                <w:rFonts w:ascii="黑体" w:hAnsi="黑体" w:eastAsia="黑体" w:cs="黑体"/>
                <w:b/>
                <w:color w:val="auto"/>
                <w:sz w:val="28"/>
                <w:szCs w:val="28"/>
              </w:rPr>
            </w:pPr>
          </w:p>
        </w:tc>
        <w:tc>
          <w:tcPr>
            <w:tcW w:w="1241" w:type="dxa"/>
          </w:tcPr>
          <w:p>
            <w:pPr>
              <w:spacing w:line="360" w:lineRule="auto"/>
              <w:jc w:val="center"/>
              <w:rPr>
                <w:rFonts w:ascii="黑体" w:hAnsi="黑体" w:eastAsia="黑体" w:cs="黑体"/>
                <w:b/>
                <w:color w:val="auto"/>
                <w:sz w:val="28"/>
                <w:szCs w:val="28"/>
              </w:rPr>
            </w:pPr>
          </w:p>
        </w:tc>
        <w:tc>
          <w:tcPr>
            <w:tcW w:w="1279" w:type="dxa"/>
          </w:tcPr>
          <w:p>
            <w:pPr>
              <w:spacing w:line="360" w:lineRule="auto"/>
              <w:jc w:val="center"/>
              <w:rPr>
                <w:rFonts w:ascii="黑体" w:hAnsi="黑体" w:eastAsia="黑体" w:cs="黑体"/>
                <w:b/>
                <w:color w:val="auto"/>
                <w:sz w:val="28"/>
                <w:szCs w:val="28"/>
              </w:rPr>
            </w:pPr>
          </w:p>
        </w:tc>
      </w:tr>
    </w:tbl>
    <w:p>
      <w:pPr>
        <w:spacing w:line="360" w:lineRule="auto"/>
        <w:jc w:val="center"/>
        <w:rPr>
          <w:rFonts w:ascii="黑体" w:hAnsi="黑体" w:eastAsia="黑体" w:cs="黑体"/>
          <w:b/>
          <w:color w:val="auto"/>
          <w:sz w:val="28"/>
          <w:szCs w:val="28"/>
        </w:rPr>
      </w:pPr>
    </w:p>
    <w:p>
      <w:pPr>
        <w:pStyle w:val="36"/>
        <w:keepNext w:val="0"/>
        <w:keepLines w:val="0"/>
        <w:pageBreakBefore w:val="0"/>
        <w:widowControl w:val="0"/>
        <w:numPr>
          <w:ilvl w:val="0"/>
          <w:numId w:val="0"/>
        </w:numPr>
        <w:tabs>
          <w:tab w:val="left" w:pos="2790"/>
        </w:tabs>
        <w:kinsoku/>
        <w:wordWrap w:val="0"/>
        <w:overflowPunct/>
        <w:topLinePunct w:val="0"/>
        <w:autoSpaceDE/>
        <w:autoSpaceDN/>
        <w:bidi w:val="0"/>
        <w:adjustRightInd/>
        <w:snapToGrid/>
        <w:spacing w:line="360" w:lineRule="auto"/>
        <w:jc w:val="left"/>
        <w:textAlignment w:val="auto"/>
        <w:rPr>
          <w:rFonts w:hint="default" w:asciiTheme="minorEastAsia" w:hAnsiTheme="minorEastAsia" w:eastAsiaTheme="minorEastAsia"/>
          <w:b w:val="0"/>
          <w:bCs/>
          <w:color w:val="auto"/>
          <w:sz w:val="24"/>
          <w:szCs w:val="24"/>
          <w:lang w:val="en-US" w:eastAsia="zh-CN"/>
        </w:rPr>
      </w:pPr>
    </w:p>
    <w:p>
      <w:pPr>
        <w:spacing w:line="360" w:lineRule="auto"/>
        <w:jc w:val="center"/>
        <w:rPr>
          <w:rFonts w:ascii="黑体" w:hAnsi="黑体" w:eastAsia="黑体" w:cs="黑体"/>
          <w:b/>
          <w:color w:val="auto"/>
          <w:sz w:val="28"/>
          <w:szCs w:val="28"/>
        </w:rPr>
      </w:pPr>
    </w:p>
    <w:p>
      <w:pPr>
        <w:spacing w:line="360" w:lineRule="auto"/>
        <w:jc w:val="center"/>
        <w:rPr>
          <w:rFonts w:ascii="黑体" w:hAnsi="黑体" w:eastAsia="黑体" w:cs="黑体"/>
          <w:b/>
          <w:color w:val="auto"/>
          <w:sz w:val="28"/>
          <w:szCs w:val="28"/>
        </w:rPr>
      </w:pPr>
    </w:p>
    <w:p>
      <w:pPr>
        <w:spacing w:line="360" w:lineRule="auto"/>
        <w:jc w:val="center"/>
        <w:rPr>
          <w:rFonts w:ascii="黑体" w:hAnsi="黑体" w:eastAsia="黑体" w:cs="黑体"/>
          <w:b/>
          <w:color w:val="auto"/>
          <w:sz w:val="28"/>
          <w:szCs w:val="28"/>
        </w:rPr>
        <w:sectPr>
          <w:headerReference r:id="rId86" w:type="default"/>
          <w:footerReference r:id="rId87" w:type="default"/>
          <w:pgSz w:w="11907" w:h="16840"/>
          <w:pgMar w:top="1417" w:right="1191" w:bottom="1474" w:left="1474" w:header="0" w:footer="992" w:gutter="0"/>
          <w:pgBorders>
            <w:top w:val="none" w:sz="0" w:space="0"/>
            <w:left w:val="none" w:sz="0" w:space="0"/>
            <w:bottom w:val="none" w:sz="0" w:space="0"/>
            <w:right w:val="none" w:sz="0" w:space="0"/>
          </w:pgBorders>
          <w:pgNumType w:fmt="decimal" w:start="1"/>
          <w:cols w:space="720" w:num="1"/>
          <w:docGrid w:linePitch="286" w:charSpace="0"/>
        </w:sectPr>
      </w:pPr>
    </w:p>
    <w:p>
      <w:pPr>
        <w:spacing w:line="360" w:lineRule="auto"/>
        <w:jc w:val="center"/>
        <w:rPr>
          <w:rFonts w:hint="eastAsia" w:ascii="黑体" w:hAnsi="黑体" w:eastAsia="黑体" w:cs="黑体"/>
          <w:b/>
          <w:color w:val="auto"/>
          <w:sz w:val="28"/>
          <w:szCs w:val="28"/>
        </w:rPr>
      </w:pPr>
    </w:p>
    <w:p>
      <w:pPr>
        <w:spacing w:line="360" w:lineRule="auto"/>
        <w:jc w:val="center"/>
        <w:rPr>
          <w:rFonts w:ascii="黑体" w:hAnsi="黑体" w:eastAsia="黑体" w:cs="黑体"/>
          <w:b/>
          <w:color w:val="auto"/>
          <w:sz w:val="28"/>
          <w:szCs w:val="28"/>
        </w:rPr>
      </w:pPr>
      <w:r>
        <w:rPr>
          <w:rFonts w:hint="eastAsia" w:ascii="黑体" w:hAnsi="黑体" w:eastAsia="黑体" w:cs="黑体"/>
          <w:b/>
          <w:color w:val="auto"/>
          <w:sz w:val="28"/>
          <w:szCs w:val="28"/>
          <w:lang w:val="en-US" w:eastAsia="zh-CN"/>
        </w:rPr>
        <w:t>试验用</w:t>
      </w:r>
      <w:r>
        <w:rPr>
          <w:rFonts w:hint="eastAsia" w:ascii="黑体" w:hAnsi="黑体" w:eastAsia="黑体" w:cs="黑体"/>
          <w:b/>
          <w:color w:val="auto"/>
          <w:sz w:val="28"/>
          <w:szCs w:val="28"/>
        </w:rPr>
        <w:t>药物的接收、保存、分发、回收、退还、销毁的SOP</w:t>
      </w:r>
    </w:p>
    <w:p>
      <w:pPr>
        <w:spacing w:line="360" w:lineRule="auto"/>
        <w:rPr>
          <w:rFonts w:hint="eastAsia" w:ascii="宋体" w:hAnsi="宋体"/>
          <w:b/>
          <w:color w:val="auto"/>
          <w:sz w:val="24"/>
          <w:szCs w:val="24"/>
        </w:rPr>
      </w:pPr>
      <w:r>
        <w:rPr>
          <w:rFonts w:hint="eastAsia" w:ascii="宋体" w:hAnsi="宋体"/>
          <w:b/>
          <w:color w:val="auto"/>
          <w:sz w:val="24"/>
          <w:szCs w:val="24"/>
        </w:rPr>
        <w:t>一</w:t>
      </w:r>
      <w:r>
        <w:rPr>
          <w:rFonts w:hint="eastAsia" w:ascii="宋体" w:hAnsi="宋体"/>
          <w:color w:val="auto"/>
          <w:sz w:val="24"/>
          <w:szCs w:val="24"/>
          <w:lang w:eastAsia="zh-CN"/>
        </w:rPr>
        <w:t>、</w:t>
      </w:r>
      <w:r>
        <w:rPr>
          <w:rFonts w:hint="eastAsia" w:ascii="宋体" w:hAnsi="宋体"/>
          <w:b/>
          <w:color w:val="auto"/>
          <w:sz w:val="24"/>
          <w:szCs w:val="24"/>
        </w:rPr>
        <w:t>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rPr>
      </w:pPr>
      <w:r>
        <w:rPr>
          <w:rFonts w:hint="eastAsia" w:ascii="宋体" w:hAnsi="宋体"/>
          <w:color w:val="auto"/>
          <w:sz w:val="24"/>
          <w:szCs w:val="24"/>
        </w:rPr>
        <w:t>保障临床试验用药物的安全储存、流畅和正常使用。</w:t>
      </w:r>
    </w:p>
    <w:p>
      <w:pPr>
        <w:spacing w:line="360" w:lineRule="auto"/>
        <w:rPr>
          <w:rFonts w:hint="eastAsia" w:ascii="宋体" w:hAnsi="宋体"/>
          <w:color w:val="auto"/>
          <w:sz w:val="24"/>
          <w:szCs w:val="24"/>
        </w:rPr>
      </w:pPr>
      <w:r>
        <w:rPr>
          <w:rFonts w:hint="eastAsia" w:ascii="宋体" w:hAnsi="宋体"/>
          <w:b/>
          <w:color w:val="auto"/>
          <w:sz w:val="24"/>
          <w:szCs w:val="24"/>
        </w:rPr>
        <w:t>二</w:t>
      </w:r>
      <w:r>
        <w:rPr>
          <w:rFonts w:hint="eastAsia" w:ascii="宋体" w:hAnsi="宋体"/>
          <w:color w:val="auto"/>
          <w:sz w:val="24"/>
          <w:szCs w:val="24"/>
          <w:lang w:eastAsia="zh-CN"/>
        </w:rPr>
        <w:t>、</w:t>
      </w:r>
      <w:r>
        <w:rPr>
          <w:rFonts w:hint="eastAsia" w:ascii="宋体" w:hAnsi="宋体"/>
          <w:b/>
          <w:color w:val="auto"/>
          <w:sz w:val="24"/>
          <w:szCs w:val="24"/>
        </w:rPr>
        <w:t>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rPr>
      </w:pPr>
      <w:r>
        <w:rPr>
          <w:rFonts w:hint="eastAsia" w:ascii="宋体" w:hAnsi="宋体"/>
          <w:color w:val="auto"/>
          <w:sz w:val="24"/>
          <w:szCs w:val="24"/>
        </w:rPr>
        <w:t>适用于药物临床试验的药物管理，其他临床研究可参照。</w:t>
      </w:r>
    </w:p>
    <w:p>
      <w:pPr>
        <w:spacing w:line="360" w:lineRule="auto"/>
        <w:rPr>
          <w:rFonts w:hint="eastAsia" w:ascii="宋体" w:hAnsi="宋体"/>
          <w:color w:val="auto"/>
          <w:sz w:val="24"/>
          <w:szCs w:val="24"/>
        </w:rPr>
      </w:pPr>
      <w:r>
        <w:rPr>
          <w:rFonts w:hint="eastAsia" w:ascii="宋体" w:hAnsi="宋体"/>
          <w:b/>
          <w:color w:val="auto"/>
          <w:sz w:val="24"/>
          <w:szCs w:val="24"/>
        </w:rPr>
        <w:t>三</w:t>
      </w:r>
      <w:r>
        <w:rPr>
          <w:rFonts w:hint="eastAsia" w:ascii="宋体" w:hAnsi="宋体"/>
          <w:color w:val="auto"/>
          <w:sz w:val="24"/>
          <w:szCs w:val="24"/>
          <w:lang w:eastAsia="zh-CN"/>
        </w:rPr>
        <w:t>、</w:t>
      </w:r>
      <w:r>
        <w:rPr>
          <w:rFonts w:hint="eastAsia" w:ascii="宋体" w:hAnsi="宋体"/>
          <w:b/>
          <w:color w:val="auto"/>
          <w:sz w:val="24"/>
          <w:szCs w:val="24"/>
        </w:rPr>
        <w:t>规程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b/>
          <w:color w:val="auto"/>
          <w:sz w:val="24"/>
          <w:szCs w:val="24"/>
        </w:rPr>
      </w:pPr>
      <w:r>
        <w:rPr>
          <w:rFonts w:hint="eastAsia" w:ascii="宋体" w:hAnsi="宋体"/>
          <w:b/>
          <w:color w:val="auto"/>
          <w:sz w:val="24"/>
          <w:szCs w:val="24"/>
          <w:lang w:eastAsia="zh-CN"/>
        </w:rPr>
        <w:t>（</w:t>
      </w:r>
      <w:r>
        <w:rPr>
          <w:rFonts w:hint="eastAsia" w:ascii="宋体" w:hAnsi="宋体"/>
          <w:b/>
          <w:color w:val="auto"/>
          <w:sz w:val="24"/>
          <w:szCs w:val="24"/>
          <w:lang w:val="en-US" w:eastAsia="zh-CN"/>
        </w:rPr>
        <w:t>一</w:t>
      </w:r>
      <w:r>
        <w:rPr>
          <w:rFonts w:hint="eastAsia" w:ascii="宋体" w:hAnsi="宋体"/>
          <w:b/>
          <w:color w:val="auto"/>
          <w:sz w:val="24"/>
          <w:szCs w:val="24"/>
          <w:lang w:eastAsia="zh-CN"/>
        </w:rPr>
        <w:t>）</w:t>
      </w:r>
      <w:r>
        <w:rPr>
          <w:rFonts w:hint="eastAsia" w:ascii="宋体" w:hAnsi="宋体"/>
          <w:b/>
          <w:color w:val="auto"/>
          <w:sz w:val="24"/>
          <w:szCs w:val="24"/>
        </w:rPr>
        <w:t>试验用药物的接收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val="en-US" w:eastAsia="zh-CN"/>
        </w:rPr>
        <w:t>1.机构设GCP中心药房，</w:t>
      </w:r>
      <w:r>
        <w:rPr>
          <w:rFonts w:hint="eastAsia" w:ascii="宋体" w:hAnsi="宋体"/>
          <w:color w:val="auto"/>
          <w:sz w:val="24"/>
          <w:szCs w:val="24"/>
        </w:rPr>
        <w:t>由专人负责管理。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val="en-US" w:eastAsia="zh-CN"/>
        </w:rPr>
        <w:t>2.</w:t>
      </w:r>
      <w:r>
        <w:rPr>
          <w:rFonts w:hint="eastAsia" w:ascii="宋体" w:hAnsi="宋体"/>
          <w:color w:val="auto"/>
          <w:sz w:val="24"/>
          <w:szCs w:val="24"/>
        </w:rPr>
        <w:t>新开始的药物临床试验，由研究者通知临床试验机构中心药房人员参加临床试验启动会。申办方应提供给临床试验机构中心药房该试验药物的相关资料。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val="en-US" w:eastAsia="zh-CN"/>
        </w:rPr>
        <w:t>3.</w:t>
      </w:r>
      <w:r>
        <w:rPr>
          <w:rFonts w:hint="eastAsia" w:ascii="宋体" w:hAnsi="宋体"/>
          <w:color w:val="auto"/>
          <w:sz w:val="24"/>
          <w:szCs w:val="24"/>
        </w:rPr>
        <w:t>申办者/CRO与机构签订协议后，方可按储存要求运送试验用药物至机构中心药房，由药物管理员接收。如果申办方对药物管理有特殊要求，须在药物运送至试验药房前对药物管理员进行相关培训。</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val="en-US" w:eastAsia="zh-CN"/>
        </w:rPr>
        <w:t>4.</w:t>
      </w:r>
      <w:r>
        <w:rPr>
          <w:rFonts w:hint="eastAsia" w:ascii="宋体" w:hAnsi="宋体"/>
          <w:color w:val="auto"/>
          <w:sz w:val="24"/>
          <w:szCs w:val="24"/>
        </w:rPr>
        <w:t>接收药物时应核对以下项目，并填好“临床试验用药物接收登记表”（见附件1）核对无误后，交接双方签名并注明日期，原件交机构办公室归档，复印件留存于机构中心药房。</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rPr>
        <w:t>1</w:t>
      </w:r>
      <w:r>
        <w:rPr>
          <w:rFonts w:hint="eastAsia" w:ascii="宋体" w:hAnsi="宋体"/>
          <w:color w:val="auto"/>
          <w:sz w:val="24"/>
          <w:szCs w:val="24"/>
          <w:lang w:eastAsia="zh-CN"/>
        </w:rPr>
        <w:t>）</w:t>
      </w:r>
      <w:r>
        <w:rPr>
          <w:rFonts w:hint="eastAsia" w:ascii="宋体" w:hAnsi="宋体"/>
          <w:color w:val="auto"/>
          <w:sz w:val="24"/>
          <w:szCs w:val="24"/>
        </w:rPr>
        <w:t>运货单和试验用药物“药品质量检验报告”，每一批次药品均须附“药品质量检验报告”，试验用药物生产厂家证明文件（营业执照、GMP证书）。</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2</w:t>
      </w:r>
      <w:r>
        <w:rPr>
          <w:rFonts w:hint="eastAsia" w:ascii="宋体" w:hAnsi="宋体"/>
          <w:color w:val="auto"/>
          <w:sz w:val="24"/>
          <w:szCs w:val="24"/>
          <w:lang w:eastAsia="zh-CN"/>
        </w:rPr>
        <w:t>）</w:t>
      </w:r>
      <w:r>
        <w:rPr>
          <w:rFonts w:hint="eastAsia" w:ascii="宋体" w:hAnsi="宋体"/>
          <w:color w:val="auto"/>
          <w:sz w:val="24"/>
          <w:szCs w:val="24"/>
        </w:rPr>
        <w:t>试验用药物的名称、数量（以片、粒、瓶、支等为药物的最小计数单位，下同）、剂型、规格、生产时间、生产批号、有效期</w:t>
      </w:r>
      <w:r>
        <w:rPr>
          <w:rFonts w:hint="eastAsia" w:ascii="宋体" w:hAnsi="宋体"/>
          <w:color w:val="auto"/>
          <w:sz w:val="24"/>
          <w:szCs w:val="24"/>
          <w:highlight w:val="none"/>
        </w:rPr>
        <w:t>、药物编号、生产厂家、运输过程中的条件是否与储存条件相一致（包括冷链运输的温度记录）。在接收药物时发现试验药物信息与试验方案要求不符时拒绝接收，如有更改必须经申办方/CRO项目监查员出具相关有效证明文件，经机构办公室主任签字同意后方可接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3</w:t>
      </w:r>
      <w:r>
        <w:rPr>
          <w:rFonts w:hint="eastAsia" w:ascii="宋体" w:hAnsi="宋体"/>
          <w:color w:val="auto"/>
          <w:sz w:val="24"/>
          <w:szCs w:val="24"/>
          <w:lang w:eastAsia="zh-CN"/>
        </w:rPr>
        <w:t>）</w:t>
      </w:r>
      <w:r>
        <w:rPr>
          <w:rFonts w:hint="eastAsia" w:ascii="宋体" w:hAnsi="宋体"/>
          <w:color w:val="auto"/>
          <w:sz w:val="24"/>
          <w:szCs w:val="24"/>
        </w:rPr>
        <w:t>阳性对照药必须为已批准上市的药品，并附药品说明书和“药品质量检验报告”。</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4</w:t>
      </w:r>
      <w:r>
        <w:rPr>
          <w:rFonts w:hint="eastAsia" w:ascii="宋体" w:hAnsi="宋体"/>
          <w:color w:val="auto"/>
          <w:sz w:val="24"/>
          <w:szCs w:val="24"/>
          <w:lang w:eastAsia="zh-CN"/>
        </w:rPr>
        <w:t>）</w:t>
      </w:r>
      <w:r>
        <w:rPr>
          <w:rFonts w:hint="eastAsia" w:ascii="宋体" w:hAnsi="宋体"/>
          <w:color w:val="auto"/>
          <w:sz w:val="24"/>
          <w:szCs w:val="24"/>
        </w:rPr>
        <w:t>药物编号：双盲药物每盒（瓶）均应有药物编号，接收时要检查药物编号与送货单上的号码是否一致，如果出现不一致，应与该项目的监查员联系；凡双盲试验，试验用药物与阳性对照药或安慰剂在外形（形状、色泽、质感）、气味、包装、标签和其他特征上一致；接收双盲药物时如附有应急信封，要注意应急信封上的编号与该批药物的编号是否一致，并检查信封是否密封，如有破损要及时与项目监查员联系；接收应急信封后应交由PI或PI指定的研究者保管。药物管理员与PI或PI指定的研究者做好应急信件交接记录（见附件</w:t>
      </w:r>
      <w:r>
        <w:rPr>
          <w:rFonts w:hint="eastAsia" w:ascii="宋体" w:hAnsi="宋体"/>
          <w:color w:val="auto"/>
          <w:sz w:val="24"/>
          <w:szCs w:val="24"/>
          <w:lang w:val="en-US" w:eastAsia="zh-CN"/>
        </w:rPr>
        <w:t>3</w:t>
      </w:r>
      <w:r>
        <w:rPr>
          <w:rFonts w:hint="eastAsia" w:ascii="宋体" w:hAnsi="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5</w:t>
      </w:r>
      <w:r>
        <w:rPr>
          <w:rFonts w:hint="eastAsia" w:ascii="宋体" w:hAnsi="宋体"/>
          <w:color w:val="auto"/>
          <w:sz w:val="24"/>
          <w:szCs w:val="24"/>
          <w:lang w:eastAsia="zh-CN"/>
        </w:rPr>
        <w:t>）</w:t>
      </w:r>
      <w:r>
        <w:rPr>
          <w:rFonts w:hint="eastAsia" w:ascii="宋体" w:hAnsi="宋体"/>
          <w:color w:val="auto"/>
          <w:sz w:val="24"/>
          <w:szCs w:val="24"/>
        </w:rPr>
        <w:t>药物包装：检查药物的内外包装是否完好，包装的标识是否清楚。</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6</w:t>
      </w:r>
      <w:r>
        <w:rPr>
          <w:rFonts w:hint="eastAsia" w:ascii="宋体" w:hAnsi="宋体"/>
          <w:color w:val="auto"/>
          <w:sz w:val="24"/>
          <w:szCs w:val="24"/>
          <w:lang w:eastAsia="zh-CN"/>
        </w:rPr>
        <w:t>）</w:t>
      </w:r>
      <w:r>
        <w:rPr>
          <w:rFonts w:hint="eastAsia" w:ascii="宋体" w:hAnsi="宋体"/>
          <w:color w:val="auto"/>
          <w:sz w:val="24"/>
          <w:szCs w:val="24"/>
        </w:rPr>
        <w:t>药物标签：药袋、小盒、大盒均须贴标签，内容为试验编号、XX临床试验用药物（标明“临床试验专用”）、药物名称、药物编码、规格、用法用量、注意事项、储藏条件、有效期、生产批号、生产时间、生产厂家等。</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7</w:t>
      </w:r>
      <w:r>
        <w:rPr>
          <w:rFonts w:hint="eastAsia" w:ascii="宋体" w:hAnsi="宋体"/>
          <w:color w:val="auto"/>
          <w:sz w:val="24"/>
          <w:szCs w:val="24"/>
          <w:lang w:eastAsia="zh-CN"/>
        </w:rPr>
        <w:t>）</w:t>
      </w:r>
      <w:r>
        <w:rPr>
          <w:rFonts w:hint="eastAsia" w:ascii="宋体" w:hAnsi="宋体"/>
          <w:color w:val="auto"/>
          <w:sz w:val="24"/>
          <w:szCs w:val="24"/>
        </w:rPr>
        <w:t>冷链运输药物的接收，首先要核对温度计的编号与运货单上登记的编号是否一致，再记录温度，核对无误后药物管理员与送货人在温度记录单上签上姓名、时间，最后将“温度记录表”原件与运货单一起归档。</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8</w:t>
      </w:r>
      <w:r>
        <w:rPr>
          <w:rFonts w:hint="eastAsia" w:ascii="宋体" w:hAnsi="宋体"/>
          <w:color w:val="auto"/>
          <w:sz w:val="24"/>
          <w:szCs w:val="24"/>
          <w:lang w:eastAsia="zh-CN"/>
        </w:rPr>
        <w:t>）</w:t>
      </w:r>
      <w:r>
        <w:rPr>
          <w:rFonts w:hint="eastAsia" w:ascii="宋体" w:hAnsi="宋体"/>
          <w:color w:val="auto"/>
          <w:sz w:val="24"/>
          <w:szCs w:val="24"/>
        </w:rPr>
        <w:t>如果运输过程中的温度计出现警铃，应把该批药按原储存条件独立放置，药物管理员立即通知该项目监查员，等待申办方温控小组给出书面回复决定该批药物能否使用，并将回复文件打印归档。</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val="en-US" w:eastAsia="zh-CN"/>
        </w:rPr>
        <w:t>5.</w:t>
      </w:r>
      <w:r>
        <w:rPr>
          <w:rFonts w:hint="eastAsia" w:ascii="宋体" w:hAnsi="宋体"/>
          <w:color w:val="auto"/>
          <w:sz w:val="24"/>
          <w:szCs w:val="24"/>
        </w:rPr>
        <w:t>试验用药物的抽查：抽样方法按照《中华人民共和国药典•一部》（2015年）。</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rPr>
        <w:t>1</w:t>
      </w:r>
      <w:r>
        <w:rPr>
          <w:rFonts w:hint="eastAsia" w:ascii="宋体" w:hAnsi="宋体"/>
          <w:color w:val="auto"/>
          <w:sz w:val="24"/>
          <w:szCs w:val="24"/>
          <w:highlight w:val="none"/>
          <w:lang w:eastAsia="zh-CN"/>
        </w:rPr>
        <w:t>）</w:t>
      </w:r>
      <w:r>
        <w:rPr>
          <w:rFonts w:hint="eastAsia" w:ascii="宋体" w:hAnsi="宋体"/>
          <w:color w:val="auto"/>
          <w:sz w:val="24"/>
          <w:szCs w:val="24"/>
          <w:highlight w:val="none"/>
        </w:rPr>
        <w:t>药物管理员依据药物编码逐件验收。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color w:val="auto"/>
          <w:sz w:val="24"/>
          <w:szCs w:val="24"/>
          <w:highlight w:val="none"/>
        </w:rPr>
        <w:t>每批药物不足5盒（瓶）的，每盒（瓶）取样；5-99盒（瓶），随机取样5盒（瓶）；100-1000瓶，按5%比例取样；超过1000盒（瓶）的，超过部分按1%比例取样。</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3</w:t>
      </w:r>
      <w:r>
        <w:rPr>
          <w:rFonts w:hint="eastAsia" w:ascii="宋体" w:hAnsi="宋体"/>
          <w:color w:val="auto"/>
          <w:sz w:val="24"/>
          <w:szCs w:val="24"/>
          <w:lang w:eastAsia="zh-CN"/>
        </w:rPr>
        <w:t>）</w:t>
      </w:r>
      <w:r>
        <w:rPr>
          <w:rFonts w:hint="eastAsia" w:ascii="宋体" w:hAnsi="宋体"/>
          <w:color w:val="auto"/>
          <w:sz w:val="24"/>
          <w:szCs w:val="24"/>
        </w:rPr>
        <w:t>主要观察药品外观有没有变化，注射剂要注意有没有出现混浊、沉淀和变色的现象。</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4</w:t>
      </w:r>
      <w:r>
        <w:rPr>
          <w:rFonts w:hint="eastAsia" w:ascii="宋体" w:hAnsi="宋体"/>
          <w:color w:val="auto"/>
          <w:sz w:val="24"/>
          <w:szCs w:val="24"/>
          <w:lang w:eastAsia="zh-CN"/>
        </w:rPr>
        <w:t>）</w:t>
      </w:r>
      <w:r>
        <w:rPr>
          <w:rFonts w:hint="eastAsia" w:ascii="宋体" w:hAnsi="宋体"/>
          <w:color w:val="auto"/>
          <w:sz w:val="24"/>
          <w:szCs w:val="24"/>
        </w:rPr>
        <w:t>送</w:t>
      </w:r>
      <w:r>
        <w:rPr>
          <w:rFonts w:hint="eastAsia" w:ascii="宋体" w:hAnsi="宋体"/>
          <w:b w:val="0"/>
          <w:bCs w:val="0"/>
          <w:color w:val="auto"/>
          <w:sz w:val="24"/>
          <w:szCs w:val="24"/>
        </w:rPr>
        <w:t>货人与药物管理员验收交接后，药物管理员及时填写“临床试验用药物接收登记表”（见附件1）和“临床试验用药物出入库记录表”（见附件2），签字</w:t>
      </w:r>
      <w:r>
        <w:rPr>
          <w:rFonts w:hint="eastAsia" w:ascii="宋体" w:hAnsi="宋体"/>
          <w:color w:val="auto"/>
          <w:sz w:val="24"/>
          <w:szCs w:val="24"/>
        </w:rPr>
        <w:t>并注明时间。</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b/>
          <w:color w:val="auto"/>
          <w:sz w:val="24"/>
          <w:szCs w:val="24"/>
        </w:rPr>
      </w:pPr>
      <w:r>
        <w:rPr>
          <w:rFonts w:hint="eastAsia" w:ascii="宋体" w:hAnsi="宋体"/>
          <w:b/>
          <w:color w:val="auto"/>
          <w:sz w:val="24"/>
          <w:szCs w:val="24"/>
          <w:lang w:eastAsia="zh-CN"/>
        </w:rPr>
        <w:t>（</w:t>
      </w:r>
      <w:r>
        <w:rPr>
          <w:rFonts w:hint="eastAsia" w:ascii="宋体" w:hAnsi="宋体"/>
          <w:b/>
          <w:color w:val="auto"/>
          <w:sz w:val="24"/>
          <w:szCs w:val="24"/>
          <w:lang w:val="en-US" w:eastAsia="zh-CN"/>
        </w:rPr>
        <w:t>二</w:t>
      </w:r>
      <w:r>
        <w:rPr>
          <w:rFonts w:hint="eastAsia" w:ascii="宋体" w:hAnsi="宋体"/>
          <w:b/>
          <w:color w:val="auto"/>
          <w:sz w:val="24"/>
          <w:szCs w:val="24"/>
          <w:lang w:eastAsia="zh-CN"/>
        </w:rPr>
        <w:t>）</w:t>
      </w:r>
      <w:r>
        <w:rPr>
          <w:rFonts w:hint="eastAsia" w:ascii="宋体" w:hAnsi="宋体"/>
          <w:b/>
          <w:color w:val="auto"/>
          <w:sz w:val="24"/>
          <w:szCs w:val="24"/>
        </w:rPr>
        <w:t>试验用药物的保管</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val="en-US" w:eastAsia="zh-CN"/>
        </w:rPr>
        <w:t>1.</w:t>
      </w:r>
      <w:r>
        <w:rPr>
          <w:rFonts w:hint="eastAsia" w:ascii="宋体" w:hAnsi="宋体"/>
          <w:color w:val="auto"/>
          <w:sz w:val="24"/>
          <w:szCs w:val="24"/>
        </w:rPr>
        <w:t>试验用药物的储存应具备必要的环境和设备（如温度/湿度调控、带锁橱柜、标识和冰箱等）</w:t>
      </w:r>
      <w:r>
        <w:rPr>
          <w:rFonts w:hint="eastAsia" w:ascii="宋体" w:hAnsi="宋体"/>
          <w:color w:val="auto"/>
          <w:sz w:val="24"/>
          <w:szCs w:val="24"/>
          <w:lang w:eastAsia="zh-CN"/>
        </w:rPr>
        <w:t>，</w:t>
      </w:r>
      <w:r>
        <w:rPr>
          <w:rFonts w:hint="eastAsia" w:ascii="宋体" w:hAnsi="宋体"/>
          <w:color w:val="auto"/>
          <w:sz w:val="24"/>
          <w:szCs w:val="24"/>
        </w:rPr>
        <w:t>试验用药物存储</w:t>
      </w:r>
      <w:r>
        <w:rPr>
          <w:rFonts w:hint="eastAsia" w:ascii="宋体" w:hAnsi="宋体"/>
          <w:color w:val="auto"/>
          <w:sz w:val="24"/>
          <w:szCs w:val="24"/>
          <w:lang w:eastAsia="zh-CN"/>
        </w:rPr>
        <w:t>房</w:t>
      </w:r>
      <w:r>
        <w:rPr>
          <w:rFonts w:hint="eastAsia" w:ascii="宋体" w:hAnsi="宋体"/>
          <w:color w:val="auto"/>
          <w:sz w:val="24"/>
          <w:szCs w:val="24"/>
        </w:rPr>
        <w:t>间的基本要求如下：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1</w:t>
      </w:r>
      <w:r>
        <w:rPr>
          <w:rFonts w:hint="eastAsia" w:ascii="宋体" w:hAnsi="宋体"/>
          <w:color w:val="auto"/>
          <w:sz w:val="24"/>
          <w:szCs w:val="24"/>
          <w:lang w:eastAsia="zh-CN"/>
        </w:rPr>
        <w:t>）</w:t>
      </w:r>
      <w:r>
        <w:rPr>
          <w:rFonts w:hint="eastAsia" w:ascii="宋体" w:hAnsi="宋体"/>
          <w:color w:val="auto"/>
          <w:sz w:val="24"/>
          <w:szCs w:val="24"/>
        </w:rPr>
        <w:t>独立设置，避光、通风；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2</w:t>
      </w:r>
      <w:r>
        <w:rPr>
          <w:rFonts w:hint="eastAsia" w:ascii="宋体" w:hAnsi="宋体"/>
          <w:color w:val="auto"/>
          <w:sz w:val="24"/>
          <w:szCs w:val="24"/>
          <w:lang w:eastAsia="zh-CN"/>
        </w:rPr>
        <w:t>）</w:t>
      </w:r>
      <w:r>
        <w:rPr>
          <w:rFonts w:hint="eastAsia" w:ascii="宋体" w:hAnsi="宋体"/>
          <w:color w:val="auto"/>
          <w:sz w:val="24"/>
          <w:szCs w:val="24"/>
        </w:rPr>
        <w:t>可调控和检测温度、湿度；</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3</w:t>
      </w:r>
      <w:r>
        <w:rPr>
          <w:rFonts w:hint="eastAsia" w:ascii="宋体" w:hAnsi="宋体"/>
          <w:color w:val="auto"/>
          <w:sz w:val="24"/>
          <w:szCs w:val="24"/>
          <w:lang w:eastAsia="zh-CN"/>
        </w:rPr>
        <w:t>）</w:t>
      </w:r>
      <w:r>
        <w:rPr>
          <w:rFonts w:hint="eastAsia" w:ascii="宋体" w:hAnsi="宋体"/>
          <w:color w:val="auto"/>
          <w:sz w:val="24"/>
          <w:szCs w:val="24"/>
        </w:rPr>
        <w:t>可采取相应措施防盗、防火、防尘、防潮、防霉、防污染、防虫、防鼠等；</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4</w:t>
      </w:r>
      <w:r>
        <w:rPr>
          <w:rFonts w:hint="eastAsia" w:ascii="宋体" w:hAnsi="宋体"/>
          <w:color w:val="auto"/>
          <w:sz w:val="24"/>
          <w:szCs w:val="24"/>
          <w:lang w:eastAsia="zh-CN"/>
        </w:rPr>
        <w:t>）</w:t>
      </w:r>
      <w:r>
        <w:rPr>
          <w:rFonts w:hint="eastAsia" w:ascii="宋体" w:hAnsi="宋体"/>
          <w:color w:val="auto"/>
          <w:sz w:val="24"/>
          <w:szCs w:val="24"/>
        </w:rPr>
        <w:t>符合安全用电要求的照明。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val="en-US" w:eastAsia="zh-CN"/>
        </w:rPr>
        <w:t>2.</w:t>
      </w:r>
      <w:r>
        <w:rPr>
          <w:rFonts w:hint="eastAsia" w:ascii="宋体" w:hAnsi="宋体"/>
          <w:color w:val="auto"/>
          <w:sz w:val="24"/>
          <w:szCs w:val="24"/>
        </w:rPr>
        <w:t>临床试验用药物专柜加锁存放。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1</w:t>
      </w:r>
      <w:r>
        <w:rPr>
          <w:rFonts w:hint="eastAsia" w:ascii="宋体" w:hAnsi="宋体"/>
          <w:color w:val="auto"/>
          <w:sz w:val="24"/>
          <w:szCs w:val="24"/>
          <w:lang w:eastAsia="zh-CN"/>
        </w:rPr>
        <w:t>）</w:t>
      </w:r>
      <w:r>
        <w:rPr>
          <w:rFonts w:hint="eastAsia" w:ascii="宋体" w:hAnsi="宋体"/>
          <w:color w:val="auto"/>
          <w:sz w:val="24"/>
          <w:szCs w:val="24"/>
        </w:rPr>
        <w:t>按照现行法规和方案的要求储存试验用药物，特别注意须冷藏或冷冻的试验用药物应存放于专用的冰箱（冰柜），需要避光的药物应储存于密闭遮光的柜子内。</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2</w:t>
      </w:r>
      <w:r>
        <w:rPr>
          <w:rFonts w:hint="eastAsia" w:ascii="宋体" w:hAnsi="宋体"/>
          <w:color w:val="auto"/>
          <w:sz w:val="24"/>
          <w:szCs w:val="24"/>
          <w:lang w:eastAsia="zh-CN"/>
        </w:rPr>
        <w:t>）</w:t>
      </w:r>
      <w:r>
        <w:rPr>
          <w:rFonts w:hint="eastAsia" w:ascii="宋体" w:hAnsi="宋体"/>
          <w:color w:val="auto"/>
          <w:sz w:val="24"/>
          <w:szCs w:val="24"/>
        </w:rPr>
        <w:t>每一个试验项目应按照编码顺序分别储存于不同的专用柜层，并有明显的标识牌。</w:t>
      </w:r>
    </w:p>
    <w:p>
      <w:pPr>
        <w:keepNext w:val="0"/>
        <w:keepLines w:val="0"/>
        <w:pageBreakBefore w:val="0"/>
        <w:widowControl w:val="0"/>
        <w:kinsoku/>
        <w:wordWrap/>
        <w:overflowPunct/>
        <w:topLinePunct w:val="0"/>
        <w:autoSpaceDE/>
        <w:autoSpaceDN/>
        <w:bidi w:val="0"/>
        <w:adjustRightInd/>
        <w:snapToGrid/>
        <w:spacing w:line="454" w:lineRule="exact"/>
        <w:ind w:firstLine="0" w:firstLineChars="0"/>
        <w:textAlignment w:val="auto"/>
        <w:outlineLvl w:val="9"/>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3</w:t>
      </w:r>
      <w:r>
        <w:rPr>
          <w:rFonts w:hint="eastAsia" w:ascii="宋体" w:hAnsi="宋体"/>
          <w:color w:val="auto"/>
          <w:sz w:val="24"/>
          <w:szCs w:val="24"/>
          <w:lang w:eastAsia="zh-CN"/>
        </w:rPr>
        <w:t>）</w:t>
      </w:r>
      <w:r>
        <w:rPr>
          <w:rFonts w:hint="eastAsia" w:ascii="宋体" w:hAnsi="宋体"/>
          <w:color w:val="auto"/>
          <w:sz w:val="24"/>
          <w:szCs w:val="24"/>
          <w:highlight w:val="none"/>
        </w:rPr>
        <w:t>GCP中心药房设有实时温湿度监控管理系统监控温湿度，若收到超温报警短信，药物管理人员需要及时赶回药房，查看超温原因并及时处理，每月定期导出温湿度数据据打印存档。常温存放的试验用药物室温应控制在10℃－30℃，阴凉存放的试验用药物系指不超过20℃，凉暗处存放的试验药物系指避光并不超过20℃；冷藏存放的试验用药物温度控制在2℃－10℃（除另有规定外，贮藏项下未规定储藏温度的一般系指常温）；试验用药物储存环境相对湿度应保持在35％－75％之间，进行温度、湿度</w:t>
      </w:r>
      <w:r>
        <w:rPr>
          <w:rFonts w:hint="eastAsia" w:ascii="宋体" w:hAnsi="宋体"/>
          <w:color w:val="auto"/>
          <w:sz w:val="24"/>
          <w:szCs w:val="24"/>
          <w:highlight w:val="none"/>
          <w:lang w:val="en-US" w:eastAsia="zh-CN"/>
        </w:rPr>
        <w:t>实时</w:t>
      </w:r>
      <w:r>
        <w:rPr>
          <w:rFonts w:hint="eastAsia" w:ascii="宋体" w:hAnsi="宋体"/>
          <w:color w:val="auto"/>
          <w:sz w:val="24"/>
          <w:szCs w:val="24"/>
          <w:highlight w:val="none"/>
        </w:rPr>
        <w:t>监测，确保储存条件符合要求。（如果</w:t>
      </w:r>
      <w:r>
        <w:rPr>
          <w:rFonts w:hint="eastAsia" w:ascii="宋体" w:hAnsi="宋体"/>
          <w:color w:val="auto"/>
          <w:sz w:val="24"/>
          <w:szCs w:val="24"/>
        </w:rPr>
        <w:t>试验方案对药物储存条件有特殊要求，严格按试验方案执行）药物管理员发现室内温度、湿度或者冰箱的温度、湿度超出药物管理规定的温度、湿度条件范围时，应及时将超温药物妥善隔离保管，并用醒目的标签标记。报告项目监查员和研究者，由其确定该批超温药物是否正常使用，如不可用，则紧急申请该项目新的试验药物（防止断药），并将有关文件归档留存。</w:t>
      </w:r>
    </w:p>
    <w:p>
      <w:pPr>
        <w:keepNext w:val="0"/>
        <w:keepLines w:val="0"/>
        <w:pageBreakBefore w:val="0"/>
        <w:widowControl w:val="0"/>
        <w:kinsoku/>
        <w:wordWrap/>
        <w:overflowPunct/>
        <w:topLinePunct w:val="0"/>
        <w:autoSpaceDE/>
        <w:autoSpaceDN/>
        <w:bidi w:val="0"/>
        <w:adjustRightInd/>
        <w:snapToGrid/>
        <w:spacing w:line="454" w:lineRule="exact"/>
        <w:ind w:firstLine="0" w:firstLineChars="0"/>
        <w:textAlignment w:val="auto"/>
        <w:outlineLvl w:val="9"/>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4</w:t>
      </w:r>
      <w:r>
        <w:rPr>
          <w:rFonts w:hint="eastAsia" w:ascii="宋体" w:hAnsi="宋体"/>
          <w:color w:val="auto"/>
          <w:sz w:val="24"/>
          <w:szCs w:val="24"/>
          <w:lang w:eastAsia="zh-CN"/>
        </w:rPr>
        <w:t>）</w:t>
      </w:r>
      <w:r>
        <w:rPr>
          <w:rFonts w:hint="eastAsia" w:ascii="宋体" w:hAnsi="宋体"/>
          <w:color w:val="auto"/>
          <w:sz w:val="24"/>
          <w:szCs w:val="24"/>
        </w:rPr>
        <w:t>药物管理员应每月对试验用药物进行盘点，清点品种数目，要求在品种、数量和编码等方面必须一致，如出现任何不一致事件（如错码、丢失、缺药等）应立即向研究者和申办者报告，并做好相应的记录；盘点时还应检查试验用药物的外观质量和有效期，防止出现破损、发霉、失效等情况；对于有效期在3个月之内的药物，应通知申办者提供新的试验用药物。盘点情况记录在“临床试验用药</w:t>
      </w:r>
      <w:r>
        <w:rPr>
          <w:rFonts w:hint="eastAsia" w:ascii="宋体" w:hAnsi="宋体"/>
          <w:b w:val="0"/>
          <w:bCs w:val="0"/>
          <w:color w:val="auto"/>
          <w:sz w:val="24"/>
          <w:szCs w:val="24"/>
        </w:rPr>
        <w:t>盘点表”（见附件</w:t>
      </w:r>
      <w:r>
        <w:rPr>
          <w:rFonts w:hint="eastAsia" w:ascii="宋体" w:hAnsi="宋体"/>
          <w:b w:val="0"/>
          <w:bCs w:val="0"/>
          <w:color w:val="auto"/>
          <w:sz w:val="24"/>
          <w:szCs w:val="24"/>
          <w:lang w:val="en-US" w:eastAsia="zh-CN"/>
        </w:rPr>
        <w:t>4</w:t>
      </w:r>
      <w:r>
        <w:rPr>
          <w:rFonts w:hint="eastAsia" w:ascii="宋体" w:hAnsi="宋体"/>
          <w:b w:val="0"/>
          <w:bCs w:val="0"/>
          <w:color w:val="auto"/>
          <w:sz w:val="24"/>
          <w:szCs w:val="24"/>
        </w:rPr>
        <w:t>）中。</w:t>
      </w:r>
    </w:p>
    <w:p>
      <w:pPr>
        <w:keepNext w:val="0"/>
        <w:keepLines w:val="0"/>
        <w:pageBreakBefore w:val="0"/>
        <w:widowControl w:val="0"/>
        <w:kinsoku/>
        <w:wordWrap/>
        <w:overflowPunct/>
        <w:topLinePunct w:val="0"/>
        <w:autoSpaceDE/>
        <w:autoSpaceDN/>
        <w:bidi w:val="0"/>
        <w:adjustRightInd/>
        <w:snapToGrid/>
        <w:spacing w:line="454" w:lineRule="exact"/>
        <w:ind w:firstLine="0" w:firstLineChars="0"/>
        <w:textAlignment w:val="auto"/>
        <w:outlineLvl w:val="9"/>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5</w:t>
      </w:r>
      <w:r>
        <w:rPr>
          <w:rFonts w:hint="eastAsia" w:ascii="宋体" w:hAnsi="宋体"/>
          <w:color w:val="auto"/>
          <w:sz w:val="24"/>
          <w:szCs w:val="24"/>
          <w:lang w:eastAsia="zh-CN"/>
        </w:rPr>
        <w:t>）</w:t>
      </w:r>
      <w:r>
        <w:rPr>
          <w:rFonts w:hint="eastAsia" w:ascii="宋体" w:hAnsi="宋体"/>
          <w:color w:val="auto"/>
          <w:sz w:val="24"/>
          <w:szCs w:val="24"/>
        </w:rPr>
        <w:t>试验用药物出现破损、变质、失效等情况，应将药物集中存放于“不合格药物区”，并有明显的标识牌，加锁管理，统一退还申办方；在试验用药物的保管过程中，如有试验用药物储存条件不符合要求，应立即通知项目监查员，并与其协商该批药物的处理方法。</w:t>
      </w:r>
    </w:p>
    <w:p>
      <w:pPr>
        <w:keepNext w:val="0"/>
        <w:keepLines w:val="0"/>
        <w:pageBreakBefore w:val="0"/>
        <w:widowControl w:val="0"/>
        <w:kinsoku/>
        <w:wordWrap/>
        <w:overflowPunct/>
        <w:topLinePunct w:val="0"/>
        <w:autoSpaceDE/>
        <w:autoSpaceDN/>
        <w:bidi w:val="0"/>
        <w:adjustRightInd/>
        <w:snapToGrid/>
        <w:spacing w:line="454" w:lineRule="exact"/>
        <w:ind w:firstLine="0" w:firstLineChars="0"/>
        <w:textAlignment w:val="auto"/>
        <w:outlineLvl w:val="9"/>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6</w:t>
      </w:r>
      <w:r>
        <w:rPr>
          <w:rFonts w:hint="eastAsia" w:ascii="宋体" w:hAnsi="宋体"/>
          <w:color w:val="auto"/>
          <w:sz w:val="24"/>
          <w:szCs w:val="24"/>
          <w:lang w:eastAsia="zh-CN"/>
        </w:rPr>
        <w:t>）</w:t>
      </w:r>
      <w:r>
        <w:rPr>
          <w:rFonts w:hint="eastAsia" w:ascii="宋体" w:hAnsi="宋体"/>
          <w:color w:val="auto"/>
          <w:sz w:val="24"/>
          <w:szCs w:val="24"/>
        </w:rPr>
        <w:t>药物管理员负责保管药房和所有药柜、冰箱的钥匙，确保试验用药物不发生丢失；如有发生试验用药物丢失或失窃的情况，药物管理员应立即报告机构办公室主任、主要研究者及申办者，并及时追查药物下落。</w:t>
      </w:r>
    </w:p>
    <w:p>
      <w:pPr>
        <w:keepNext w:val="0"/>
        <w:keepLines w:val="0"/>
        <w:pageBreakBefore w:val="0"/>
        <w:widowControl w:val="0"/>
        <w:kinsoku/>
        <w:wordWrap/>
        <w:overflowPunct/>
        <w:topLinePunct w:val="0"/>
        <w:autoSpaceDE/>
        <w:autoSpaceDN/>
        <w:bidi w:val="0"/>
        <w:adjustRightInd/>
        <w:snapToGrid/>
        <w:spacing w:line="454" w:lineRule="exact"/>
        <w:ind w:firstLine="0" w:firstLineChars="0"/>
        <w:textAlignment w:val="auto"/>
        <w:outlineLvl w:val="9"/>
        <w:rPr>
          <w:rFonts w:hint="eastAsia" w:ascii="宋体" w:hAnsi="宋体"/>
          <w:color w:val="auto"/>
          <w:sz w:val="24"/>
          <w:szCs w:val="24"/>
        </w:rPr>
      </w:pPr>
      <w:r>
        <w:rPr>
          <w:rFonts w:hint="eastAsia" w:ascii="宋体" w:hAnsi="宋体"/>
          <w:color w:val="auto"/>
          <w:sz w:val="24"/>
          <w:szCs w:val="24"/>
          <w:lang w:val="en-US" w:eastAsia="zh-CN"/>
        </w:rPr>
        <w:t>3.</w:t>
      </w:r>
      <w:r>
        <w:rPr>
          <w:rFonts w:hint="eastAsia" w:ascii="宋体" w:hAnsi="宋体"/>
          <w:color w:val="auto"/>
          <w:sz w:val="24"/>
          <w:szCs w:val="24"/>
        </w:rPr>
        <w:t>试验用药物的补充。</w:t>
      </w:r>
    </w:p>
    <w:p>
      <w:pPr>
        <w:keepNext w:val="0"/>
        <w:keepLines w:val="0"/>
        <w:pageBreakBefore w:val="0"/>
        <w:widowControl w:val="0"/>
        <w:kinsoku/>
        <w:wordWrap/>
        <w:overflowPunct/>
        <w:topLinePunct w:val="0"/>
        <w:autoSpaceDE/>
        <w:autoSpaceDN/>
        <w:bidi w:val="0"/>
        <w:adjustRightInd/>
        <w:snapToGrid/>
        <w:spacing w:line="454" w:lineRule="exact"/>
        <w:ind w:firstLine="0" w:firstLineChars="0"/>
        <w:textAlignment w:val="auto"/>
        <w:outlineLvl w:val="9"/>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1</w:t>
      </w:r>
      <w:r>
        <w:rPr>
          <w:rFonts w:hint="eastAsia" w:ascii="宋体" w:hAnsi="宋体"/>
          <w:color w:val="auto"/>
          <w:sz w:val="24"/>
          <w:szCs w:val="24"/>
          <w:lang w:eastAsia="zh-CN"/>
        </w:rPr>
        <w:t>）</w:t>
      </w:r>
      <w:r>
        <w:rPr>
          <w:rFonts w:hint="eastAsia" w:ascii="宋体" w:hAnsi="宋体"/>
          <w:color w:val="auto"/>
          <w:sz w:val="24"/>
          <w:szCs w:val="24"/>
        </w:rPr>
        <w:t>药物管理员日常清点试验用药物，当发现药物库存不足时，应及时通知项目监查员、研究者和申办者，并按要求及时补充药物。</w:t>
      </w:r>
    </w:p>
    <w:p>
      <w:pPr>
        <w:keepNext w:val="0"/>
        <w:keepLines w:val="0"/>
        <w:pageBreakBefore w:val="0"/>
        <w:widowControl w:val="0"/>
        <w:kinsoku/>
        <w:wordWrap/>
        <w:overflowPunct/>
        <w:topLinePunct w:val="0"/>
        <w:autoSpaceDE/>
        <w:autoSpaceDN/>
        <w:bidi w:val="0"/>
        <w:adjustRightInd/>
        <w:snapToGrid/>
        <w:spacing w:line="454" w:lineRule="exact"/>
        <w:ind w:firstLine="0" w:firstLineChars="0"/>
        <w:textAlignment w:val="auto"/>
        <w:outlineLvl w:val="9"/>
        <w:rPr>
          <w:rFonts w:hint="eastAsia" w:ascii="宋体" w:hAnsi="宋体"/>
          <w:color w:val="auto"/>
          <w:sz w:val="24"/>
          <w:szCs w:val="24"/>
        </w:rPr>
      </w:pPr>
      <w:r>
        <w:rPr>
          <w:rFonts w:hint="eastAsia" w:ascii="宋体" w:hAnsi="宋体"/>
          <w:color w:val="auto"/>
          <w:sz w:val="24"/>
          <w:szCs w:val="24"/>
          <w:lang w:eastAsia="zh-CN"/>
        </w:rPr>
        <w:t>（</w:t>
      </w:r>
      <w:r>
        <w:rPr>
          <w:rFonts w:hint="eastAsia" w:ascii="宋体" w:hAnsi="宋体"/>
          <w:color w:val="auto"/>
          <w:sz w:val="24"/>
          <w:szCs w:val="24"/>
          <w:lang w:val="en-US" w:eastAsia="zh-CN"/>
        </w:rPr>
        <w:t>2</w:t>
      </w:r>
      <w:r>
        <w:rPr>
          <w:rFonts w:hint="eastAsia" w:ascii="宋体" w:hAnsi="宋体"/>
          <w:color w:val="auto"/>
          <w:sz w:val="24"/>
          <w:szCs w:val="24"/>
          <w:lang w:eastAsia="zh-CN"/>
        </w:rPr>
        <w:t>）</w:t>
      </w:r>
      <w:r>
        <w:rPr>
          <w:rFonts w:hint="eastAsia" w:ascii="宋体" w:hAnsi="宋体"/>
          <w:color w:val="auto"/>
          <w:sz w:val="24"/>
          <w:szCs w:val="24"/>
        </w:rPr>
        <w:t>临床试验项目进行过程中，如果任何试验用药物的规格、有效期等发生改变，药物管理员要求项目监查员出具正式的变更文件进行有效说明，且变更文件须与该项目资料一起妥善保存。</w:t>
      </w:r>
    </w:p>
    <w:p>
      <w:pPr>
        <w:keepNext w:val="0"/>
        <w:keepLines w:val="0"/>
        <w:pageBreakBefore w:val="0"/>
        <w:widowControl w:val="0"/>
        <w:kinsoku/>
        <w:wordWrap/>
        <w:overflowPunct/>
        <w:topLinePunct w:val="0"/>
        <w:autoSpaceDE/>
        <w:autoSpaceDN/>
        <w:bidi w:val="0"/>
        <w:adjustRightInd/>
        <w:snapToGrid/>
        <w:spacing w:line="454" w:lineRule="exact"/>
        <w:ind w:firstLine="0" w:firstLineChars="0"/>
        <w:textAlignment w:val="auto"/>
        <w:outlineLvl w:val="9"/>
        <w:rPr>
          <w:rFonts w:hint="eastAsia" w:ascii="宋体" w:hAnsi="宋体"/>
          <w:b/>
          <w:color w:val="auto"/>
          <w:sz w:val="24"/>
          <w:szCs w:val="24"/>
          <w:highlight w:val="none"/>
        </w:rPr>
      </w:pPr>
      <w:r>
        <w:rPr>
          <w:rFonts w:hint="eastAsia" w:ascii="宋体" w:hAnsi="宋体"/>
          <w:b/>
          <w:color w:val="auto"/>
          <w:sz w:val="24"/>
          <w:szCs w:val="24"/>
          <w:lang w:eastAsia="zh-CN"/>
        </w:rPr>
        <w:t>（</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lang w:eastAsia="zh-CN"/>
        </w:rPr>
        <w:t>）</w:t>
      </w:r>
      <w:r>
        <w:rPr>
          <w:rFonts w:hint="eastAsia" w:ascii="宋体" w:hAnsi="宋体"/>
          <w:b/>
          <w:color w:val="auto"/>
          <w:sz w:val="24"/>
          <w:szCs w:val="24"/>
          <w:highlight w:val="none"/>
        </w:rPr>
        <w:t>试验用药物的分发回收</w:t>
      </w:r>
    </w:p>
    <w:p>
      <w:pPr>
        <w:keepNext w:val="0"/>
        <w:keepLines w:val="0"/>
        <w:pageBreakBefore w:val="0"/>
        <w:widowControl w:val="0"/>
        <w:kinsoku/>
        <w:wordWrap/>
        <w:overflowPunct/>
        <w:topLinePunct w:val="0"/>
        <w:autoSpaceDE/>
        <w:autoSpaceDN/>
        <w:bidi w:val="0"/>
        <w:adjustRightInd/>
        <w:snapToGrid/>
        <w:spacing w:line="454" w:lineRule="exact"/>
        <w:ind w:firstLine="0" w:firstLineChars="0"/>
        <w:jc w:val="left"/>
        <w:textAlignment w:val="auto"/>
        <w:outlineLvl w:val="9"/>
        <w:rPr>
          <w:rFonts w:hint="eastAsia"/>
          <w:b w:val="0"/>
          <w:bCs w:val="0"/>
          <w:color w:val="auto"/>
          <w:sz w:val="24"/>
          <w:szCs w:val="24"/>
        </w:rPr>
      </w:pPr>
      <w:r>
        <w:rPr>
          <w:rFonts w:hint="eastAsia" w:ascii="宋体" w:hAnsi="宋体"/>
          <w:b w:val="0"/>
          <w:bCs w:val="0"/>
          <w:color w:val="auto"/>
          <w:sz w:val="24"/>
          <w:szCs w:val="24"/>
          <w:highlight w:val="none"/>
          <w:lang w:val="en-US" w:eastAsia="zh-CN"/>
        </w:rPr>
        <w:t>1.</w:t>
      </w:r>
      <w:r>
        <w:rPr>
          <w:rFonts w:hint="eastAsia" w:ascii="宋体" w:hAnsi="宋体"/>
          <w:b w:val="0"/>
          <w:bCs w:val="0"/>
          <w:color w:val="auto"/>
          <w:sz w:val="24"/>
          <w:szCs w:val="24"/>
          <w:highlight w:val="none"/>
        </w:rPr>
        <w:t>门诊受试者凭研究医生开具的专用处方（见附件</w:t>
      </w:r>
      <w:r>
        <w:rPr>
          <w:rFonts w:hint="eastAsia" w:ascii="宋体" w:hAnsi="宋体"/>
          <w:b w:val="0"/>
          <w:bCs w:val="0"/>
          <w:color w:val="auto"/>
          <w:sz w:val="24"/>
          <w:szCs w:val="24"/>
          <w:highlight w:val="none"/>
          <w:lang w:val="en-US" w:eastAsia="zh-CN"/>
        </w:rPr>
        <w:t>5</w:t>
      </w:r>
      <w:r>
        <w:rPr>
          <w:rFonts w:hint="eastAsia" w:ascii="宋体" w:hAnsi="宋体"/>
          <w:b w:val="0"/>
          <w:bCs w:val="0"/>
          <w:color w:val="auto"/>
          <w:sz w:val="24"/>
          <w:szCs w:val="24"/>
          <w:highlight w:val="none"/>
        </w:rPr>
        <w:t>）到</w:t>
      </w:r>
      <w:r>
        <w:rPr>
          <w:rFonts w:hint="eastAsia" w:ascii="宋体" w:hAnsi="宋体"/>
          <w:b w:val="0"/>
          <w:bCs w:val="0"/>
          <w:color w:val="auto"/>
          <w:sz w:val="24"/>
          <w:szCs w:val="24"/>
          <w:highlight w:val="none"/>
          <w:lang w:val="en-US" w:eastAsia="zh-CN"/>
        </w:rPr>
        <w:t>专业组</w:t>
      </w:r>
      <w:r>
        <w:rPr>
          <w:rFonts w:hint="eastAsia" w:ascii="宋体" w:hAnsi="宋体"/>
          <w:b w:val="0"/>
          <w:bCs w:val="0"/>
          <w:color w:val="auto"/>
          <w:sz w:val="24"/>
          <w:szCs w:val="24"/>
          <w:highlight w:val="none"/>
        </w:rPr>
        <w:t>领取试验用药物，药物管理员根据授权医生开具的处方进行临床试验药物的分发，核对处方内容：包括项目名称（方案编号）、受试者姓名与编号以及药物名称、规格、数量和使用方法，确定无误后，药物管理员与领药人均应在处方上签名，处方由药物管理员按项目保管；住院受试者由研究护士或科室药物管理员凭试验用药物请领单（见附件</w:t>
      </w:r>
      <w:r>
        <w:rPr>
          <w:rFonts w:hint="eastAsia" w:ascii="宋体" w:hAnsi="宋体"/>
          <w:b w:val="0"/>
          <w:bCs w:val="0"/>
          <w:color w:val="auto"/>
          <w:sz w:val="24"/>
          <w:szCs w:val="24"/>
          <w:highlight w:val="none"/>
          <w:lang w:val="en-US" w:eastAsia="zh-CN"/>
        </w:rPr>
        <w:t>6</w:t>
      </w:r>
      <w:r>
        <w:rPr>
          <w:rFonts w:hint="eastAsia" w:ascii="宋体" w:hAnsi="宋体"/>
          <w:b w:val="0"/>
          <w:bCs w:val="0"/>
          <w:color w:val="auto"/>
          <w:sz w:val="24"/>
          <w:szCs w:val="24"/>
          <w:highlight w:val="none"/>
        </w:rPr>
        <w:t>）到</w:t>
      </w:r>
      <w:r>
        <w:rPr>
          <w:rFonts w:hint="eastAsia" w:ascii="宋体" w:hAnsi="宋体"/>
          <w:b w:val="0"/>
          <w:bCs w:val="0"/>
          <w:color w:val="auto"/>
          <w:sz w:val="24"/>
          <w:szCs w:val="24"/>
          <w:highlight w:val="none"/>
          <w:lang w:val="en-US" w:eastAsia="zh-CN"/>
        </w:rPr>
        <w:t>专业组</w:t>
      </w:r>
      <w:r>
        <w:rPr>
          <w:rFonts w:hint="eastAsia" w:ascii="宋体" w:hAnsi="宋体"/>
          <w:b w:val="0"/>
          <w:bCs w:val="0"/>
          <w:color w:val="auto"/>
          <w:sz w:val="24"/>
          <w:szCs w:val="24"/>
        </w:rPr>
        <w:t>领取试验用药物</w:t>
      </w:r>
      <w:r>
        <w:rPr>
          <w:rFonts w:hint="eastAsia" w:ascii="宋体" w:hAnsi="宋体"/>
          <w:b w:val="0"/>
          <w:bCs w:val="0"/>
          <w:color w:val="auto"/>
          <w:sz w:val="24"/>
          <w:szCs w:val="24"/>
          <w:lang w:eastAsia="zh-CN"/>
        </w:rPr>
        <w:t>，并在</w:t>
      </w:r>
      <w:r>
        <w:rPr>
          <w:rFonts w:hint="eastAsia" w:ascii="宋体" w:hAnsi="宋体"/>
          <w:b w:val="0"/>
          <w:bCs w:val="0"/>
          <w:color w:val="auto"/>
          <w:sz w:val="24"/>
          <w:szCs w:val="24"/>
        </w:rPr>
        <w:t>“</w:t>
      </w:r>
      <w:r>
        <w:rPr>
          <w:rFonts w:hint="eastAsia" w:ascii="宋体" w:hAnsi="宋体" w:cs="宋体"/>
          <w:b w:val="0"/>
          <w:bCs w:val="0"/>
          <w:color w:val="auto"/>
          <w:sz w:val="24"/>
          <w:szCs w:val="24"/>
        </w:rPr>
        <w:t>试验药物发放回收记录表</w:t>
      </w:r>
      <w:r>
        <w:rPr>
          <w:rFonts w:hint="eastAsia" w:ascii="宋体" w:hAnsi="宋体"/>
          <w:b w:val="0"/>
          <w:bCs w:val="0"/>
          <w:color w:val="auto"/>
          <w:sz w:val="24"/>
          <w:szCs w:val="24"/>
        </w:rPr>
        <w:t>”</w:t>
      </w:r>
      <w:r>
        <w:rPr>
          <w:rFonts w:hint="eastAsia" w:ascii="宋体" w:hAnsi="宋体"/>
          <w:b w:val="0"/>
          <w:bCs w:val="0"/>
          <w:color w:val="auto"/>
          <w:sz w:val="24"/>
          <w:szCs w:val="24"/>
          <w:lang w:eastAsia="zh-CN"/>
        </w:rPr>
        <w:t>中签字</w:t>
      </w:r>
      <w:r>
        <w:rPr>
          <w:rFonts w:hint="eastAsia" w:ascii="宋体" w:hAnsi="宋体"/>
          <w:b w:val="0"/>
          <w:bCs w:val="0"/>
          <w:color w:val="auto"/>
          <w:sz w:val="24"/>
          <w:szCs w:val="24"/>
        </w:rPr>
        <w:t>。药物管理员及时填好“</w:t>
      </w:r>
      <w:r>
        <w:rPr>
          <w:rFonts w:hint="eastAsia"/>
          <w:b w:val="0"/>
          <w:bCs w:val="0"/>
          <w:color w:val="auto"/>
          <w:sz w:val="24"/>
          <w:szCs w:val="24"/>
        </w:rPr>
        <w:t>临床试验用药物出入库记录表</w:t>
      </w:r>
      <w:r>
        <w:rPr>
          <w:rFonts w:hint="eastAsia" w:ascii="宋体" w:hAnsi="宋体"/>
          <w:b w:val="0"/>
          <w:bCs w:val="0"/>
          <w:color w:val="auto"/>
          <w:sz w:val="24"/>
          <w:szCs w:val="24"/>
        </w:rPr>
        <w:t>”与“</w:t>
      </w:r>
      <w:r>
        <w:rPr>
          <w:rFonts w:hint="eastAsia" w:ascii="宋体" w:hAnsi="宋体" w:cs="宋体"/>
          <w:b w:val="0"/>
          <w:bCs w:val="0"/>
          <w:color w:val="auto"/>
          <w:sz w:val="24"/>
          <w:szCs w:val="24"/>
        </w:rPr>
        <w:t>试验药物发放回收记录表</w:t>
      </w:r>
      <w:r>
        <w:rPr>
          <w:rFonts w:hint="eastAsia" w:ascii="宋体" w:hAnsi="宋体"/>
          <w:b w:val="0"/>
          <w:bCs w:val="0"/>
          <w:color w:val="auto"/>
          <w:sz w:val="24"/>
          <w:szCs w:val="24"/>
        </w:rPr>
        <w:t>”（见附件2、附件</w:t>
      </w:r>
      <w:r>
        <w:rPr>
          <w:rFonts w:hint="eastAsia" w:ascii="宋体" w:hAnsi="宋体"/>
          <w:b w:val="0"/>
          <w:bCs w:val="0"/>
          <w:color w:val="auto"/>
          <w:sz w:val="24"/>
          <w:szCs w:val="24"/>
          <w:lang w:val="en-US" w:eastAsia="zh-CN"/>
        </w:rPr>
        <w:t>7</w:t>
      </w:r>
      <w:r>
        <w:rPr>
          <w:rFonts w:hint="eastAsia" w:ascii="宋体" w:hAnsi="宋体"/>
          <w:b w:val="0"/>
          <w:bCs w:val="0"/>
          <w:color w:val="auto"/>
          <w:sz w:val="24"/>
          <w:szCs w:val="24"/>
        </w:rPr>
        <w:t>）。</w:t>
      </w:r>
    </w:p>
    <w:p>
      <w:pPr>
        <w:keepNext w:val="0"/>
        <w:keepLines w:val="0"/>
        <w:pageBreakBefore w:val="0"/>
        <w:widowControl w:val="0"/>
        <w:kinsoku/>
        <w:wordWrap/>
        <w:overflowPunct/>
        <w:topLinePunct w:val="0"/>
        <w:autoSpaceDE/>
        <w:autoSpaceDN/>
        <w:bidi w:val="0"/>
        <w:adjustRightInd/>
        <w:snapToGrid/>
        <w:spacing w:line="456" w:lineRule="exact"/>
        <w:ind w:firstLine="0" w:firstLineChars="0"/>
        <w:textAlignment w:val="auto"/>
        <w:outlineLvl w:val="9"/>
        <w:rPr>
          <w:rFonts w:hint="eastAsia" w:ascii="宋体" w:hAnsi="宋体"/>
          <w:b w:val="0"/>
          <w:bCs w:val="0"/>
          <w:color w:val="auto"/>
          <w:sz w:val="24"/>
          <w:szCs w:val="24"/>
        </w:rPr>
      </w:pPr>
      <w:r>
        <w:rPr>
          <w:rFonts w:hint="eastAsia" w:ascii="宋体" w:hAnsi="宋体"/>
          <w:b w:val="0"/>
          <w:bCs w:val="0"/>
          <w:color w:val="auto"/>
          <w:sz w:val="24"/>
          <w:szCs w:val="24"/>
          <w:lang w:val="en-US" w:eastAsia="zh-CN"/>
        </w:rPr>
        <w:t>2.</w:t>
      </w:r>
      <w:r>
        <w:rPr>
          <w:rFonts w:hint="eastAsia" w:ascii="宋体" w:hAnsi="宋体"/>
          <w:b w:val="0"/>
          <w:bCs w:val="0"/>
          <w:color w:val="auto"/>
          <w:sz w:val="24"/>
          <w:szCs w:val="24"/>
        </w:rPr>
        <w:t>由药物管理员，研究护士或经培训的临床护士向受试者说明具体的用法用量，对需要回收的口服试验用药物，应交代包装与剩余药物必须回收；需要回收的注射剂应在外包装注明“请留瓶”字样。</w:t>
      </w:r>
    </w:p>
    <w:p>
      <w:pPr>
        <w:keepNext w:val="0"/>
        <w:keepLines w:val="0"/>
        <w:pageBreakBefore w:val="0"/>
        <w:widowControl w:val="0"/>
        <w:kinsoku/>
        <w:wordWrap/>
        <w:overflowPunct/>
        <w:topLinePunct w:val="0"/>
        <w:autoSpaceDE/>
        <w:autoSpaceDN/>
        <w:bidi w:val="0"/>
        <w:adjustRightInd/>
        <w:snapToGrid/>
        <w:spacing w:line="456" w:lineRule="exact"/>
        <w:ind w:firstLine="0" w:firstLineChars="0"/>
        <w:textAlignment w:val="auto"/>
        <w:outlineLvl w:val="9"/>
        <w:rPr>
          <w:rFonts w:hint="eastAsia" w:ascii="宋体" w:hAnsi="宋体"/>
          <w:b w:val="0"/>
          <w:bCs w:val="0"/>
          <w:color w:val="auto"/>
          <w:sz w:val="24"/>
          <w:szCs w:val="24"/>
        </w:rPr>
      </w:pPr>
      <w:r>
        <w:rPr>
          <w:rFonts w:hint="eastAsia" w:ascii="宋体" w:hAnsi="宋体"/>
          <w:b w:val="0"/>
          <w:bCs w:val="0"/>
          <w:color w:val="auto"/>
          <w:sz w:val="24"/>
          <w:szCs w:val="24"/>
          <w:lang w:val="en-US" w:eastAsia="zh-CN"/>
        </w:rPr>
        <w:t>3.</w:t>
      </w:r>
      <w:r>
        <w:rPr>
          <w:rFonts w:hint="eastAsia" w:ascii="宋体" w:hAnsi="宋体"/>
          <w:b w:val="0"/>
          <w:bCs w:val="0"/>
          <w:color w:val="auto"/>
          <w:sz w:val="24"/>
          <w:szCs w:val="24"/>
        </w:rPr>
        <w:t>受试者把剩余的药物及空包装（如铝箔、药盒、药瓶等）归还给该项目的研究护士，研究护士清点后交</w:t>
      </w:r>
      <w:r>
        <w:rPr>
          <w:rFonts w:hint="eastAsia" w:ascii="宋体" w:hAnsi="宋体"/>
          <w:b w:val="0"/>
          <w:bCs w:val="0"/>
          <w:color w:val="auto"/>
          <w:sz w:val="24"/>
          <w:szCs w:val="24"/>
          <w:lang w:eastAsia="zh-CN"/>
        </w:rPr>
        <w:t>机构</w:t>
      </w:r>
      <w:r>
        <w:rPr>
          <w:rFonts w:hint="eastAsia" w:ascii="宋体" w:hAnsi="宋体"/>
          <w:b w:val="0"/>
          <w:bCs w:val="0"/>
          <w:color w:val="auto"/>
          <w:sz w:val="24"/>
          <w:szCs w:val="24"/>
        </w:rPr>
        <w:t>药物管理员，药物管理员再根据受试者服药剂量来清点药物的数量以及空包装（如铝箔、药盒、药瓶等）是否相符，并记录“试验药物发放回收记录表”（见附件</w:t>
      </w:r>
      <w:r>
        <w:rPr>
          <w:rFonts w:hint="eastAsia" w:ascii="宋体" w:hAnsi="宋体"/>
          <w:b w:val="0"/>
          <w:bCs w:val="0"/>
          <w:color w:val="auto"/>
          <w:sz w:val="24"/>
          <w:szCs w:val="24"/>
          <w:lang w:val="en-US" w:eastAsia="zh-CN"/>
        </w:rPr>
        <w:t>7</w:t>
      </w:r>
      <w:r>
        <w:rPr>
          <w:rFonts w:hint="eastAsia" w:ascii="宋体" w:hAnsi="宋体"/>
          <w:b w:val="0"/>
          <w:bCs w:val="0"/>
          <w:color w:val="auto"/>
          <w:sz w:val="24"/>
          <w:szCs w:val="24"/>
        </w:rPr>
        <w:t>）。如有应急信件，研究者（PI</w:t>
      </w:r>
      <w:r>
        <w:rPr>
          <w:rFonts w:ascii="宋体" w:hAnsi="宋体"/>
          <w:b w:val="0"/>
          <w:bCs w:val="0"/>
          <w:color w:val="auto"/>
          <w:sz w:val="24"/>
          <w:szCs w:val="24"/>
        </w:rPr>
        <w:t>）</w:t>
      </w:r>
      <w:r>
        <w:rPr>
          <w:rFonts w:hint="eastAsia" w:ascii="宋体" w:hAnsi="宋体"/>
          <w:b w:val="0"/>
          <w:bCs w:val="0"/>
          <w:color w:val="auto"/>
          <w:sz w:val="24"/>
          <w:szCs w:val="24"/>
        </w:rPr>
        <w:t>一并交还给机构药物管理员，且做好应急信件交接记录（见附件</w:t>
      </w:r>
      <w:r>
        <w:rPr>
          <w:rFonts w:hint="eastAsia" w:ascii="宋体" w:hAnsi="宋体"/>
          <w:b w:val="0"/>
          <w:bCs w:val="0"/>
          <w:color w:val="auto"/>
          <w:sz w:val="24"/>
          <w:szCs w:val="24"/>
          <w:lang w:val="en-US" w:eastAsia="zh-CN"/>
        </w:rPr>
        <w:t>4</w:t>
      </w:r>
      <w:r>
        <w:rPr>
          <w:rFonts w:hint="eastAsia" w:ascii="宋体" w:hAnsi="宋体"/>
          <w:b w:val="0"/>
          <w:bCs w:val="0"/>
          <w:color w:val="auto"/>
          <w:sz w:val="24"/>
          <w:szCs w:val="24"/>
        </w:rPr>
        <w:t>）。</w:t>
      </w:r>
    </w:p>
    <w:p>
      <w:pPr>
        <w:keepNext w:val="0"/>
        <w:keepLines w:val="0"/>
        <w:pageBreakBefore w:val="0"/>
        <w:widowControl w:val="0"/>
        <w:kinsoku/>
        <w:wordWrap/>
        <w:overflowPunct/>
        <w:topLinePunct w:val="0"/>
        <w:autoSpaceDE/>
        <w:autoSpaceDN/>
        <w:bidi w:val="0"/>
        <w:adjustRightInd/>
        <w:snapToGrid/>
        <w:spacing w:line="456" w:lineRule="exact"/>
        <w:ind w:firstLine="0" w:firstLineChars="0"/>
        <w:textAlignment w:val="auto"/>
        <w:outlineLvl w:val="9"/>
        <w:rPr>
          <w:rFonts w:hint="eastAsia" w:ascii="宋体" w:hAnsi="宋体"/>
          <w:b/>
          <w:color w:val="auto"/>
          <w:sz w:val="24"/>
          <w:szCs w:val="24"/>
        </w:rPr>
      </w:pPr>
      <w:r>
        <w:rPr>
          <w:rFonts w:hint="eastAsia" w:ascii="宋体" w:hAnsi="宋体"/>
          <w:b/>
          <w:color w:val="auto"/>
          <w:sz w:val="24"/>
          <w:szCs w:val="24"/>
          <w:lang w:eastAsia="zh-CN"/>
        </w:rPr>
        <w:t>（</w:t>
      </w:r>
      <w:r>
        <w:rPr>
          <w:rFonts w:hint="eastAsia" w:ascii="宋体" w:hAnsi="宋体"/>
          <w:b/>
          <w:color w:val="auto"/>
          <w:sz w:val="24"/>
          <w:szCs w:val="24"/>
          <w:lang w:val="en-US" w:eastAsia="zh-CN"/>
        </w:rPr>
        <w:t>四</w:t>
      </w:r>
      <w:r>
        <w:rPr>
          <w:rFonts w:hint="eastAsia" w:ascii="宋体" w:hAnsi="宋体"/>
          <w:b/>
          <w:color w:val="auto"/>
          <w:sz w:val="24"/>
          <w:szCs w:val="24"/>
          <w:lang w:eastAsia="zh-CN"/>
        </w:rPr>
        <w:t>）</w:t>
      </w:r>
      <w:r>
        <w:rPr>
          <w:rFonts w:hint="eastAsia" w:ascii="宋体" w:hAnsi="宋体"/>
          <w:b/>
          <w:color w:val="auto"/>
          <w:sz w:val="24"/>
          <w:szCs w:val="24"/>
        </w:rPr>
        <w:t>试验用药物的使用</w:t>
      </w:r>
    </w:p>
    <w:p>
      <w:pPr>
        <w:keepNext w:val="0"/>
        <w:keepLines w:val="0"/>
        <w:pageBreakBefore w:val="0"/>
        <w:widowControl w:val="0"/>
        <w:kinsoku/>
        <w:wordWrap/>
        <w:overflowPunct/>
        <w:topLinePunct w:val="0"/>
        <w:autoSpaceDE/>
        <w:autoSpaceDN/>
        <w:bidi w:val="0"/>
        <w:adjustRightInd/>
        <w:snapToGrid/>
        <w:spacing w:line="456" w:lineRule="exact"/>
        <w:ind w:firstLine="0" w:firstLineChars="0"/>
        <w:textAlignment w:val="auto"/>
        <w:outlineLvl w:val="9"/>
        <w:rPr>
          <w:rFonts w:hint="eastAsia" w:ascii="宋体" w:hAnsi="宋体"/>
          <w:color w:val="auto"/>
          <w:sz w:val="24"/>
          <w:szCs w:val="24"/>
        </w:rPr>
      </w:pPr>
      <w:r>
        <w:rPr>
          <w:rFonts w:hint="eastAsia" w:ascii="宋体" w:hAnsi="宋体"/>
          <w:color w:val="auto"/>
          <w:sz w:val="24"/>
          <w:szCs w:val="24"/>
          <w:lang w:val="en-US" w:eastAsia="zh-CN"/>
        </w:rPr>
        <w:t>1.</w:t>
      </w:r>
      <w:r>
        <w:rPr>
          <w:rFonts w:hint="eastAsia" w:ascii="宋体" w:hAnsi="宋体"/>
          <w:color w:val="auto"/>
          <w:sz w:val="24"/>
          <w:szCs w:val="24"/>
        </w:rPr>
        <w:t>试验用药物的使用由研究者负责，试验用药物不得挪作他用，严禁在市场上销售。</w:t>
      </w:r>
    </w:p>
    <w:p>
      <w:pPr>
        <w:keepNext w:val="0"/>
        <w:keepLines w:val="0"/>
        <w:pageBreakBefore w:val="0"/>
        <w:widowControl w:val="0"/>
        <w:kinsoku/>
        <w:wordWrap/>
        <w:overflowPunct/>
        <w:topLinePunct w:val="0"/>
        <w:autoSpaceDE/>
        <w:autoSpaceDN/>
        <w:bidi w:val="0"/>
        <w:adjustRightInd/>
        <w:snapToGrid/>
        <w:spacing w:line="456" w:lineRule="exact"/>
        <w:ind w:firstLine="0" w:firstLineChars="0"/>
        <w:textAlignment w:val="auto"/>
        <w:outlineLvl w:val="9"/>
        <w:rPr>
          <w:rFonts w:hint="eastAsia" w:ascii="宋体" w:hAnsi="宋体"/>
          <w:color w:val="auto"/>
          <w:sz w:val="24"/>
          <w:szCs w:val="24"/>
        </w:rPr>
      </w:pPr>
      <w:r>
        <w:rPr>
          <w:rFonts w:hint="eastAsia" w:ascii="宋体" w:hAnsi="宋体"/>
          <w:color w:val="auto"/>
          <w:sz w:val="24"/>
          <w:szCs w:val="24"/>
          <w:lang w:val="en-US" w:eastAsia="zh-CN"/>
        </w:rPr>
        <w:t>2.</w:t>
      </w:r>
      <w:r>
        <w:rPr>
          <w:rFonts w:hint="eastAsia" w:ascii="宋体" w:hAnsi="宋体"/>
          <w:color w:val="auto"/>
          <w:sz w:val="24"/>
          <w:szCs w:val="24"/>
        </w:rPr>
        <w:t>研究者必须确保试验用药物仅用于该临床试验的受试者，其用法与剂量应严格遵照临床研究方案。</w:t>
      </w:r>
    </w:p>
    <w:p>
      <w:pPr>
        <w:keepNext w:val="0"/>
        <w:keepLines w:val="0"/>
        <w:pageBreakBefore w:val="0"/>
        <w:widowControl w:val="0"/>
        <w:kinsoku/>
        <w:wordWrap/>
        <w:overflowPunct/>
        <w:topLinePunct w:val="0"/>
        <w:autoSpaceDE/>
        <w:autoSpaceDN/>
        <w:bidi w:val="0"/>
        <w:adjustRightInd/>
        <w:snapToGrid/>
        <w:spacing w:line="456" w:lineRule="exact"/>
        <w:ind w:firstLine="0" w:firstLineChars="0"/>
        <w:textAlignment w:val="auto"/>
        <w:outlineLvl w:val="9"/>
        <w:rPr>
          <w:rFonts w:hint="eastAsia" w:ascii="宋体" w:hAnsi="宋体"/>
          <w:color w:val="auto"/>
          <w:sz w:val="24"/>
          <w:szCs w:val="24"/>
        </w:rPr>
      </w:pPr>
      <w:r>
        <w:rPr>
          <w:rFonts w:hint="eastAsia" w:ascii="宋体" w:hAnsi="宋体"/>
          <w:color w:val="auto"/>
          <w:sz w:val="24"/>
          <w:szCs w:val="24"/>
          <w:lang w:val="en-US" w:eastAsia="zh-CN"/>
        </w:rPr>
        <w:t>3.</w:t>
      </w:r>
      <w:r>
        <w:rPr>
          <w:rFonts w:hint="eastAsia" w:ascii="宋体" w:hAnsi="宋体"/>
          <w:color w:val="auto"/>
          <w:sz w:val="24"/>
          <w:szCs w:val="24"/>
        </w:rPr>
        <w:t>研究者不得把试验用药物转交任何非临床试验参与者。</w:t>
      </w:r>
    </w:p>
    <w:p>
      <w:pPr>
        <w:keepNext w:val="0"/>
        <w:keepLines w:val="0"/>
        <w:pageBreakBefore w:val="0"/>
        <w:widowControl w:val="0"/>
        <w:kinsoku/>
        <w:wordWrap/>
        <w:overflowPunct/>
        <w:topLinePunct w:val="0"/>
        <w:autoSpaceDE/>
        <w:autoSpaceDN/>
        <w:bidi w:val="0"/>
        <w:adjustRightInd/>
        <w:snapToGrid/>
        <w:spacing w:line="456" w:lineRule="exact"/>
        <w:ind w:firstLine="0" w:firstLineChars="0"/>
        <w:textAlignment w:val="auto"/>
        <w:outlineLvl w:val="9"/>
        <w:rPr>
          <w:rFonts w:hint="eastAsia" w:ascii="宋体" w:hAnsi="宋体"/>
          <w:color w:val="auto"/>
          <w:sz w:val="24"/>
          <w:szCs w:val="24"/>
          <w:lang w:eastAsia="zh-CN"/>
        </w:rPr>
      </w:pPr>
      <w:r>
        <w:rPr>
          <w:rFonts w:hint="eastAsia" w:ascii="宋体" w:hAnsi="宋体"/>
          <w:color w:val="auto"/>
          <w:sz w:val="24"/>
          <w:szCs w:val="24"/>
          <w:lang w:val="en-US" w:eastAsia="zh-CN"/>
        </w:rPr>
        <w:t>4.</w:t>
      </w:r>
      <w:r>
        <w:rPr>
          <w:rFonts w:hint="eastAsia" w:ascii="宋体" w:hAnsi="宋体"/>
          <w:color w:val="auto"/>
          <w:sz w:val="24"/>
          <w:szCs w:val="24"/>
        </w:rPr>
        <w:t>严禁将剩余的试验用药物用于非临床试验的受试者，严禁将剩余的试验用药物用于销售</w:t>
      </w:r>
      <w:r>
        <w:rPr>
          <w:rFonts w:hint="eastAsia" w:ascii="宋体" w:hAnsi="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56" w:lineRule="exact"/>
        <w:ind w:firstLine="0" w:firstLineChars="0"/>
        <w:textAlignment w:val="auto"/>
        <w:outlineLvl w:val="9"/>
        <w:rPr>
          <w:rFonts w:hint="eastAsia" w:ascii="宋体" w:hAnsi="宋体"/>
          <w:b/>
          <w:bCs/>
          <w:color w:val="auto"/>
          <w:sz w:val="24"/>
          <w:szCs w:val="24"/>
        </w:rPr>
      </w:pPr>
      <w:r>
        <w:rPr>
          <w:rFonts w:hint="eastAsia" w:ascii="宋体" w:hAnsi="宋体"/>
          <w:b/>
          <w:bCs/>
          <w:color w:val="auto"/>
          <w:sz w:val="24"/>
          <w:szCs w:val="24"/>
          <w:lang w:eastAsia="zh-CN"/>
        </w:rPr>
        <w:t>（</w:t>
      </w:r>
      <w:r>
        <w:rPr>
          <w:rFonts w:hint="eastAsia" w:ascii="宋体" w:hAnsi="宋体"/>
          <w:b/>
          <w:bCs/>
          <w:color w:val="auto"/>
          <w:sz w:val="24"/>
          <w:szCs w:val="24"/>
          <w:lang w:val="en-US" w:eastAsia="zh-CN"/>
        </w:rPr>
        <w:t>五</w:t>
      </w:r>
      <w:r>
        <w:rPr>
          <w:rFonts w:hint="eastAsia" w:ascii="宋体" w:hAnsi="宋体"/>
          <w:b/>
          <w:bCs/>
          <w:color w:val="auto"/>
          <w:sz w:val="24"/>
          <w:szCs w:val="24"/>
          <w:lang w:eastAsia="zh-CN"/>
        </w:rPr>
        <w:t>）</w:t>
      </w:r>
      <w:r>
        <w:rPr>
          <w:rFonts w:hint="eastAsia" w:ascii="宋体" w:hAnsi="宋体"/>
          <w:b/>
          <w:bCs/>
          <w:color w:val="auto"/>
          <w:sz w:val="24"/>
          <w:szCs w:val="24"/>
        </w:rPr>
        <w:t>试验用药物的退还</w:t>
      </w:r>
    </w:p>
    <w:p>
      <w:pPr>
        <w:keepNext w:val="0"/>
        <w:keepLines w:val="0"/>
        <w:pageBreakBefore w:val="0"/>
        <w:widowControl w:val="0"/>
        <w:kinsoku/>
        <w:wordWrap/>
        <w:overflowPunct/>
        <w:topLinePunct w:val="0"/>
        <w:autoSpaceDE/>
        <w:autoSpaceDN/>
        <w:bidi w:val="0"/>
        <w:adjustRightInd/>
        <w:snapToGrid/>
        <w:spacing w:line="456" w:lineRule="exact"/>
        <w:ind w:firstLine="0" w:firstLineChars="0"/>
        <w:textAlignment w:val="auto"/>
        <w:outlineLvl w:val="9"/>
        <w:rPr>
          <w:rFonts w:hint="eastAsia" w:ascii="宋体" w:hAnsi="宋体"/>
          <w:color w:val="auto"/>
          <w:sz w:val="24"/>
          <w:szCs w:val="24"/>
        </w:rPr>
      </w:pPr>
      <w:r>
        <w:rPr>
          <w:rFonts w:hint="eastAsia" w:ascii="宋体" w:hAnsi="宋体"/>
          <w:color w:val="auto"/>
          <w:sz w:val="24"/>
          <w:szCs w:val="24"/>
          <w:lang w:val="en-US" w:eastAsia="zh-CN"/>
        </w:rPr>
        <w:t>1.</w:t>
      </w:r>
      <w:r>
        <w:rPr>
          <w:rFonts w:hint="eastAsia" w:ascii="宋体" w:hAnsi="宋体"/>
          <w:color w:val="auto"/>
          <w:sz w:val="24"/>
          <w:szCs w:val="24"/>
        </w:rPr>
        <w:t>不合格临床试验用药物、受试者使用后的剩余药物和试验结束后的剩余药物以及回收的包装应退还给申办方或监查员，并办理退回交接手续，若有应急信件的一并返还；退回时双方核对试验用药物及空包装的名称、剂型、规格、数量、批号、药物编号范围等；核对所用数量与临床试验所需数量是否一致；填写临床试验用药退</w:t>
      </w:r>
      <w:r>
        <w:rPr>
          <w:rFonts w:hint="eastAsia" w:ascii="宋体" w:hAnsi="宋体"/>
          <w:b w:val="0"/>
          <w:bCs w:val="0"/>
          <w:color w:val="auto"/>
          <w:sz w:val="24"/>
          <w:szCs w:val="24"/>
        </w:rPr>
        <w:t>还表（见附件</w:t>
      </w:r>
      <w:r>
        <w:rPr>
          <w:rFonts w:hint="eastAsia" w:ascii="宋体" w:hAnsi="宋体"/>
          <w:b w:val="0"/>
          <w:bCs w:val="0"/>
          <w:color w:val="auto"/>
          <w:sz w:val="24"/>
          <w:szCs w:val="24"/>
          <w:lang w:val="en-US" w:eastAsia="zh-CN"/>
        </w:rPr>
        <w:t>8</w:t>
      </w:r>
      <w:r>
        <w:rPr>
          <w:rFonts w:hint="eastAsia" w:ascii="宋体" w:hAnsi="宋体"/>
          <w:b w:val="0"/>
          <w:bCs w:val="0"/>
          <w:color w:val="auto"/>
          <w:sz w:val="24"/>
          <w:szCs w:val="24"/>
        </w:rPr>
        <w:t>），双</w:t>
      </w:r>
      <w:r>
        <w:rPr>
          <w:rFonts w:hint="eastAsia" w:ascii="宋体" w:hAnsi="宋体"/>
          <w:color w:val="auto"/>
          <w:sz w:val="24"/>
          <w:szCs w:val="24"/>
        </w:rPr>
        <w:t>方签字并注明日期。</w:t>
      </w:r>
    </w:p>
    <w:p>
      <w:pPr>
        <w:keepNext w:val="0"/>
        <w:keepLines w:val="0"/>
        <w:pageBreakBefore w:val="0"/>
        <w:widowControl w:val="0"/>
        <w:kinsoku/>
        <w:wordWrap/>
        <w:overflowPunct/>
        <w:topLinePunct w:val="0"/>
        <w:autoSpaceDE/>
        <w:autoSpaceDN/>
        <w:bidi w:val="0"/>
        <w:adjustRightInd/>
        <w:snapToGrid/>
        <w:spacing w:line="456" w:lineRule="exact"/>
        <w:ind w:firstLine="0" w:firstLineChars="0"/>
        <w:textAlignment w:val="auto"/>
        <w:outlineLvl w:val="9"/>
        <w:rPr>
          <w:rFonts w:hint="eastAsia" w:ascii="宋体" w:hAnsi="宋体"/>
          <w:color w:val="auto"/>
          <w:sz w:val="24"/>
          <w:szCs w:val="24"/>
        </w:rPr>
      </w:pPr>
      <w:r>
        <w:rPr>
          <w:rFonts w:hint="eastAsia" w:ascii="宋体" w:hAnsi="宋体"/>
          <w:color w:val="auto"/>
          <w:sz w:val="24"/>
          <w:szCs w:val="24"/>
          <w:lang w:val="en-US" w:eastAsia="zh-CN"/>
        </w:rPr>
        <w:t>2.</w:t>
      </w:r>
      <w:r>
        <w:rPr>
          <w:rFonts w:hint="eastAsia" w:ascii="宋体" w:hAnsi="宋体"/>
          <w:color w:val="auto"/>
          <w:sz w:val="24"/>
          <w:szCs w:val="24"/>
        </w:rPr>
        <w:t>药物管理员通知</w:t>
      </w:r>
      <w:r>
        <w:rPr>
          <w:rFonts w:hint="eastAsia" w:ascii="宋体" w:hAnsi="宋体"/>
          <w:color w:val="auto"/>
          <w:sz w:val="24"/>
          <w:szCs w:val="24"/>
          <w:lang w:eastAsia="zh-CN"/>
        </w:rPr>
        <w:t>申办方或</w:t>
      </w:r>
      <w:r>
        <w:rPr>
          <w:rFonts w:hint="eastAsia" w:ascii="宋体" w:hAnsi="宋体"/>
          <w:color w:val="auto"/>
          <w:sz w:val="24"/>
          <w:szCs w:val="24"/>
        </w:rPr>
        <w:t>项目监查员回收剩余药物、包装物，</w:t>
      </w:r>
      <w:r>
        <w:rPr>
          <w:rFonts w:hint="eastAsia" w:ascii="宋体" w:hAnsi="宋体"/>
          <w:color w:val="auto"/>
          <w:sz w:val="24"/>
          <w:szCs w:val="24"/>
          <w:lang w:eastAsia="zh-CN"/>
        </w:rPr>
        <w:t>申办方或</w:t>
      </w:r>
      <w:r>
        <w:rPr>
          <w:rFonts w:hint="eastAsia" w:ascii="宋体" w:hAnsi="宋体"/>
          <w:color w:val="auto"/>
          <w:sz w:val="24"/>
          <w:szCs w:val="24"/>
        </w:rPr>
        <w:t>项目监查员应及时回收，以免影响临床试验的正常进行。</w:t>
      </w:r>
    </w:p>
    <w:p>
      <w:pPr>
        <w:keepNext w:val="0"/>
        <w:keepLines w:val="0"/>
        <w:pageBreakBefore w:val="0"/>
        <w:widowControl w:val="0"/>
        <w:kinsoku/>
        <w:wordWrap/>
        <w:overflowPunct/>
        <w:topLinePunct w:val="0"/>
        <w:autoSpaceDE/>
        <w:autoSpaceDN/>
        <w:bidi w:val="0"/>
        <w:adjustRightInd/>
        <w:snapToGrid/>
        <w:spacing w:line="456" w:lineRule="exact"/>
        <w:ind w:firstLine="0" w:firstLineChars="0"/>
        <w:textAlignment w:val="auto"/>
        <w:outlineLvl w:val="9"/>
        <w:rPr>
          <w:rFonts w:hint="eastAsia" w:ascii="宋体" w:hAnsi="宋体"/>
          <w:b/>
          <w:color w:val="auto"/>
          <w:sz w:val="24"/>
          <w:szCs w:val="24"/>
        </w:rPr>
      </w:pPr>
      <w:r>
        <w:rPr>
          <w:rFonts w:hint="eastAsia" w:ascii="宋体" w:hAnsi="宋体"/>
          <w:b/>
          <w:color w:val="auto"/>
          <w:sz w:val="24"/>
          <w:szCs w:val="24"/>
          <w:lang w:eastAsia="zh-CN"/>
        </w:rPr>
        <w:t>（</w:t>
      </w:r>
      <w:r>
        <w:rPr>
          <w:rFonts w:hint="eastAsia" w:ascii="宋体" w:hAnsi="宋体"/>
          <w:b/>
          <w:color w:val="auto"/>
          <w:sz w:val="24"/>
          <w:szCs w:val="24"/>
          <w:lang w:val="en-US" w:eastAsia="zh-CN"/>
        </w:rPr>
        <w:t>六</w:t>
      </w:r>
      <w:r>
        <w:rPr>
          <w:rFonts w:hint="eastAsia" w:ascii="宋体" w:hAnsi="宋体"/>
          <w:b/>
          <w:color w:val="auto"/>
          <w:sz w:val="24"/>
          <w:szCs w:val="24"/>
          <w:lang w:eastAsia="zh-CN"/>
        </w:rPr>
        <w:t>）</w:t>
      </w:r>
      <w:r>
        <w:rPr>
          <w:rFonts w:hint="eastAsia" w:ascii="宋体" w:hAnsi="宋体"/>
          <w:b/>
          <w:color w:val="auto"/>
          <w:sz w:val="24"/>
          <w:szCs w:val="24"/>
        </w:rPr>
        <w:t>试验用药物的销毁</w:t>
      </w:r>
    </w:p>
    <w:p>
      <w:pPr>
        <w:keepNext w:val="0"/>
        <w:keepLines w:val="0"/>
        <w:pageBreakBefore w:val="0"/>
        <w:widowControl w:val="0"/>
        <w:kinsoku/>
        <w:wordWrap/>
        <w:overflowPunct/>
        <w:topLinePunct w:val="0"/>
        <w:autoSpaceDE/>
        <w:autoSpaceDN/>
        <w:bidi w:val="0"/>
        <w:adjustRightInd/>
        <w:snapToGrid/>
        <w:spacing w:line="456" w:lineRule="exact"/>
        <w:ind w:firstLine="0" w:firstLineChars="0"/>
        <w:textAlignment w:val="auto"/>
        <w:outlineLvl w:val="9"/>
        <w:rPr>
          <w:rFonts w:hint="eastAsia" w:ascii="宋体" w:hAnsi="宋体"/>
          <w:color w:val="auto"/>
          <w:sz w:val="24"/>
          <w:szCs w:val="24"/>
        </w:rPr>
      </w:pPr>
      <w:r>
        <w:rPr>
          <w:rFonts w:hint="eastAsia" w:ascii="宋体" w:hAnsi="宋体"/>
          <w:color w:val="auto"/>
          <w:sz w:val="24"/>
          <w:szCs w:val="24"/>
          <w:lang w:val="en-US" w:eastAsia="zh-CN"/>
        </w:rPr>
        <w:t>1.</w:t>
      </w:r>
      <w:r>
        <w:rPr>
          <w:rFonts w:hint="eastAsia" w:ascii="宋体" w:hAnsi="宋体"/>
          <w:color w:val="auto"/>
          <w:sz w:val="24"/>
          <w:szCs w:val="24"/>
        </w:rPr>
        <w:t>申办者可将剩余的临床试验用药物（包含受试者使用后的剩余药物和未使用的药物及空包装）回收，自行销毁。药物管理员在试验结束后通知申办者回收试验用药物，申办方派出人员自行取回剩余药物，一周内未取走的药品将按照医院流程销毁。</w:t>
      </w:r>
    </w:p>
    <w:p>
      <w:pPr>
        <w:keepNext w:val="0"/>
        <w:keepLines w:val="0"/>
        <w:pageBreakBefore w:val="0"/>
        <w:widowControl w:val="0"/>
        <w:kinsoku/>
        <w:wordWrap/>
        <w:overflowPunct/>
        <w:topLinePunct w:val="0"/>
        <w:autoSpaceDE/>
        <w:autoSpaceDN/>
        <w:bidi w:val="0"/>
        <w:adjustRightInd/>
        <w:snapToGrid/>
        <w:spacing w:line="456" w:lineRule="exact"/>
        <w:ind w:firstLine="0" w:firstLineChars="0"/>
        <w:textAlignment w:val="auto"/>
        <w:outlineLvl w:val="9"/>
        <w:rPr>
          <w:rFonts w:hint="eastAsia" w:ascii="宋体" w:hAnsi="宋体" w:eastAsiaTheme="minorEastAsia"/>
          <w:b w:val="0"/>
          <w:bCs w:val="0"/>
          <w:color w:val="auto"/>
          <w:sz w:val="24"/>
          <w:szCs w:val="24"/>
          <w:lang w:eastAsia="zh-CN"/>
        </w:rPr>
      </w:pPr>
      <w:r>
        <w:rPr>
          <w:rFonts w:hint="eastAsia" w:ascii="宋体" w:hAnsi="宋体"/>
          <w:color w:val="auto"/>
          <w:sz w:val="24"/>
          <w:szCs w:val="24"/>
          <w:lang w:val="en-US" w:eastAsia="zh-CN"/>
        </w:rPr>
        <w:t>2.</w:t>
      </w:r>
      <w:r>
        <w:rPr>
          <w:rFonts w:hint="eastAsia" w:ascii="宋体" w:hAnsi="宋体"/>
          <w:color w:val="auto"/>
          <w:sz w:val="24"/>
          <w:szCs w:val="24"/>
        </w:rPr>
        <w:t>临床试验中</w:t>
      </w:r>
      <w:r>
        <w:rPr>
          <w:rFonts w:hint="eastAsia" w:ascii="宋体" w:hAnsi="宋体"/>
          <w:b w:val="0"/>
          <w:bCs w:val="0"/>
          <w:color w:val="auto"/>
          <w:sz w:val="24"/>
          <w:szCs w:val="24"/>
        </w:rPr>
        <w:t>心药房对化疗药品及细胞毒药品不予回收，申办者需填写“临床试验用药物销毁授权书”（见附件</w:t>
      </w:r>
      <w:r>
        <w:rPr>
          <w:rFonts w:hint="eastAsia" w:ascii="宋体" w:hAnsi="宋体"/>
          <w:b w:val="0"/>
          <w:bCs w:val="0"/>
          <w:color w:val="auto"/>
          <w:sz w:val="24"/>
          <w:szCs w:val="24"/>
          <w:lang w:val="en-US" w:eastAsia="zh-CN"/>
        </w:rPr>
        <w:t>9</w:t>
      </w:r>
      <w:r>
        <w:rPr>
          <w:rFonts w:hint="eastAsia" w:ascii="宋体" w:hAnsi="宋体"/>
          <w:b w:val="0"/>
          <w:bCs w:val="0"/>
          <w:color w:val="auto"/>
          <w:sz w:val="24"/>
          <w:szCs w:val="24"/>
        </w:rPr>
        <w:t>）授权医院进行销毁</w:t>
      </w:r>
      <w:r>
        <w:rPr>
          <w:rFonts w:hint="eastAsia" w:ascii="宋体" w:hAnsi="宋体"/>
          <w:b w:val="0"/>
          <w:bCs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56" w:lineRule="exact"/>
        <w:ind w:firstLine="0" w:firstLineChars="0"/>
        <w:textAlignment w:val="auto"/>
        <w:outlineLvl w:val="9"/>
        <w:rPr>
          <w:rFonts w:hint="eastAsia" w:ascii="宋体" w:hAnsi="宋体"/>
          <w:color w:val="auto"/>
          <w:sz w:val="24"/>
          <w:szCs w:val="24"/>
        </w:rPr>
      </w:pPr>
      <w:r>
        <w:rPr>
          <w:rFonts w:hint="eastAsia" w:ascii="宋体" w:hAnsi="宋体"/>
          <w:b w:val="0"/>
          <w:bCs w:val="0"/>
          <w:color w:val="auto"/>
          <w:sz w:val="24"/>
          <w:szCs w:val="24"/>
          <w:lang w:val="en-US" w:eastAsia="zh-CN"/>
        </w:rPr>
        <w:t>3.</w:t>
      </w:r>
      <w:r>
        <w:rPr>
          <w:rFonts w:hint="eastAsia" w:ascii="宋体" w:hAnsi="宋体"/>
          <w:b w:val="0"/>
          <w:bCs w:val="0"/>
          <w:color w:val="auto"/>
          <w:sz w:val="24"/>
          <w:szCs w:val="24"/>
        </w:rPr>
        <w:t>申办者已授权医院自行销毁的临床试验用药物（包含受试者使用后的剩余药物和未使用的药物及空包装），在双方共同见证下，按医院的销毁程序进行销毁。销毁时必须由至少一名药物管理员和监查员或者2名药物管理员共同参与，并及时填写“临床试验用药物/包装销毁记录表”（见附件1</w:t>
      </w:r>
      <w:r>
        <w:rPr>
          <w:rFonts w:hint="eastAsia" w:ascii="宋体" w:hAnsi="宋体"/>
          <w:b w:val="0"/>
          <w:bCs w:val="0"/>
          <w:color w:val="auto"/>
          <w:sz w:val="24"/>
          <w:szCs w:val="24"/>
          <w:lang w:val="en-US" w:eastAsia="zh-CN"/>
        </w:rPr>
        <w:t>0</w:t>
      </w:r>
      <w:r>
        <w:rPr>
          <w:rFonts w:hint="eastAsia" w:ascii="宋体" w:hAnsi="宋体"/>
          <w:b w:val="0"/>
          <w:bCs w:val="0"/>
          <w:color w:val="auto"/>
          <w:sz w:val="24"/>
          <w:szCs w:val="24"/>
        </w:rPr>
        <w:t>），保证可以追溯到批号或受试者的编号以及实际销毁的数量。销毁记录需留存一份在机构，与项目</w:t>
      </w:r>
      <w:r>
        <w:rPr>
          <w:rFonts w:hint="eastAsia" w:ascii="宋体" w:hAnsi="宋体"/>
          <w:color w:val="auto"/>
          <w:sz w:val="24"/>
          <w:szCs w:val="24"/>
        </w:rPr>
        <w:t>资料一并归档。</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lang w:val="en-US" w:eastAsia="zh-CN"/>
        </w:rPr>
      </w:pPr>
      <w:r>
        <w:rPr>
          <w:rFonts w:hint="eastAsia" w:ascii="宋体" w:hAnsi="宋体"/>
          <w:color w:val="auto"/>
          <w:sz w:val="24"/>
          <w:szCs w:val="24"/>
          <w:lang w:val="en-US" w:eastAsia="zh-CN"/>
        </w:rPr>
        <w:t>四、附件</w:t>
      </w:r>
    </w:p>
    <w:p>
      <w:pPr>
        <w:spacing w:line="360" w:lineRule="auto"/>
        <w:rPr>
          <w:rFonts w:hint="eastAsia"/>
          <w:b w:val="0"/>
          <w:bCs/>
          <w:color w:val="auto"/>
          <w:sz w:val="24"/>
          <w:szCs w:val="24"/>
          <w:lang w:eastAsia="zh-CN"/>
        </w:rPr>
      </w:pPr>
      <w:r>
        <w:rPr>
          <w:rFonts w:hint="eastAsia"/>
          <w:b w:val="0"/>
          <w:bCs/>
          <w:color w:val="auto"/>
          <w:sz w:val="24"/>
          <w:szCs w:val="24"/>
        </w:rPr>
        <w:t>附件1：临床试验用药物接收登记表</w:t>
      </w:r>
      <w:r>
        <w:rPr>
          <w:rFonts w:hint="eastAsia"/>
          <w:b w:val="0"/>
          <w:bCs/>
          <w:color w:val="auto"/>
          <w:sz w:val="24"/>
          <w:szCs w:val="24"/>
          <w:lang w:eastAsia="zh-CN"/>
        </w:rPr>
        <w:t>；</w:t>
      </w:r>
    </w:p>
    <w:p>
      <w:pPr>
        <w:spacing w:line="360" w:lineRule="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附件2</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临床试验用药物出入库记录表</w:t>
      </w:r>
      <w:r>
        <w:rPr>
          <w:rFonts w:hint="eastAsia" w:ascii="宋体" w:hAnsi="宋体" w:eastAsia="宋体" w:cs="宋体"/>
          <w:b w:val="0"/>
          <w:bCs w:val="0"/>
          <w:color w:val="auto"/>
          <w:sz w:val="24"/>
          <w:szCs w:val="24"/>
          <w:lang w:eastAsia="zh-CN"/>
        </w:rPr>
        <w:t>；</w:t>
      </w:r>
    </w:p>
    <w:p>
      <w:pPr>
        <w:spacing w:line="360" w:lineRule="auto"/>
        <w:rPr>
          <w:rFonts w:hint="eastAsia" w:ascii="宋体" w:hAnsi="宋体"/>
          <w:b w:val="0"/>
          <w:bCs w:val="0"/>
          <w:color w:val="auto"/>
          <w:sz w:val="24"/>
          <w:szCs w:val="24"/>
          <w:lang w:eastAsia="zh-CN"/>
        </w:rPr>
      </w:pPr>
      <w:r>
        <w:rPr>
          <w:rFonts w:hint="eastAsia" w:ascii="宋体" w:hAnsi="宋体"/>
          <w:b w:val="0"/>
          <w:bCs w:val="0"/>
          <w:color w:val="auto"/>
          <w:sz w:val="24"/>
          <w:szCs w:val="24"/>
        </w:rPr>
        <w:t>附件</w:t>
      </w:r>
      <w:r>
        <w:rPr>
          <w:rFonts w:hint="eastAsia" w:ascii="宋体" w:hAnsi="宋体"/>
          <w:b w:val="0"/>
          <w:bCs w:val="0"/>
          <w:color w:val="auto"/>
          <w:sz w:val="24"/>
          <w:szCs w:val="24"/>
          <w:lang w:val="en-US" w:eastAsia="zh-CN"/>
        </w:rPr>
        <w:t>3</w:t>
      </w:r>
      <w:r>
        <w:rPr>
          <w:rFonts w:hint="eastAsia" w:ascii="宋体" w:hAnsi="宋体"/>
          <w:b w:val="0"/>
          <w:bCs w:val="0"/>
          <w:color w:val="auto"/>
          <w:sz w:val="24"/>
          <w:szCs w:val="24"/>
        </w:rPr>
        <w:t>：应急信件交接记录表</w:t>
      </w:r>
      <w:r>
        <w:rPr>
          <w:rFonts w:hint="eastAsia" w:ascii="宋体" w:hAnsi="宋体"/>
          <w:b w:val="0"/>
          <w:bCs w:val="0"/>
          <w:color w:val="auto"/>
          <w:sz w:val="24"/>
          <w:szCs w:val="24"/>
          <w:lang w:eastAsia="zh-CN"/>
        </w:rPr>
        <w:t>；</w:t>
      </w:r>
    </w:p>
    <w:p>
      <w:pPr>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附</w:t>
      </w:r>
      <w:r>
        <w:rPr>
          <w:rFonts w:hint="eastAsia" w:ascii="宋体" w:hAnsi="宋体" w:eastAsia="宋体" w:cs="宋体"/>
          <w:color w:val="auto"/>
          <w:sz w:val="24"/>
          <w:szCs w:val="24"/>
        </w:rPr>
        <w:t>件</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临床试验用药物盘点表</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附件</w:t>
      </w: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药物临床试验专用处方</w:t>
      </w:r>
      <w:r>
        <w:rPr>
          <w:rFonts w:hint="eastAsia" w:ascii="宋体" w:hAnsi="宋体" w:eastAsia="宋体" w:cs="宋体"/>
          <w:bCs/>
          <w:color w:val="auto"/>
          <w:sz w:val="24"/>
          <w:szCs w:val="24"/>
          <w:lang w:eastAsia="zh-CN"/>
        </w:rPr>
        <w:t>；</w:t>
      </w:r>
    </w:p>
    <w:p>
      <w:pPr>
        <w:spacing w:line="360" w:lineRule="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附件</w:t>
      </w:r>
      <w:r>
        <w:rPr>
          <w:rFonts w:hint="eastAsia" w:ascii="宋体" w:hAnsi="宋体" w:eastAsia="宋体" w:cs="宋体"/>
          <w:b w:val="0"/>
          <w:bCs w:val="0"/>
          <w:color w:val="auto"/>
          <w:sz w:val="24"/>
          <w:szCs w:val="24"/>
          <w:lang w:val="en-US" w:eastAsia="zh-CN"/>
        </w:rPr>
        <w:t>6：</w:t>
      </w:r>
      <w:r>
        <w:rPr>
          <w:rFonts w:hint="eastAsia" w:ascii="宋体" w:hAnsi="宋体" w:eastAsia="宋体" w:cs="宋体"/>
          <w:b w:val="0"/>
          <w:bCs w:val="0"/>
          <w:color w:val="auto"/>
          <w:sz w:val="24"/>
          <w:szCs w:val="24"/>
        </w:rPr>
        <w:t>试验用药物请领单</w:t>
      </w:r>
      <w:r>
        <w:rPr>
          <w:rFonts w:hint="eastAsia" w:ascii="宋体" w:hAnsi="宋体" w:eastAsia="宋体" w:cs="宋体"/>
          <w:b w:val="0"/>
          <w:bCs w:val="0"/>
          <w:color w:val="auto"/>
          <w:sz w:val="24"/>
          <w:szCs w:val="24"/>
          <w:lang w:eastAsia="zh-CN"/>
        </w:rPr>
        <w:t>；</w:t>
      </w:r>
    </w:p>
    <w:p>
      <w:pPr>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附件7：</w:t>
      </w:r>
      <w:r>
        <w:rPr>
          <w:rFonts w:hint="eastAsia" w:ascii="宋体" w:hAnsi="宋体" w:eastAsia="宋体" w:cs="宋体"/>
          <w:color w:val="auto"/>
          <w:sz w:val="24"/>
          <w:szCs w:val="24"/>
        </w:rPr>
        <w:t>试验药物发放回收记录表</w:t>
      </w:r>
      <w:r>
        <w:rPr>
          <w:rFonts w:hint="eastAsia" w:ascii="宋体" w:hAnsi="宋体" w:eastAsia="宋体" w:cs="宋体"/>
          <w:color w:val="auto"/>
          <w:sz w:val="24"/>
          <w:szCs w:val="24"/>
          <w:lang w:eastAsia="zh-CN"/>
        </w:rPr>
        <w:t>；</w:t>
      </w:r>
    </w:p>
    <w:p>
      <w:pPr>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附件</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临床试验用药退还表</w:t>
      </w:r>
      <w:r>
        <w:rPr>
          <w:rFonts w:hint="eastAsia" w:ascii="宋体" w:hAnsi="宋体" w:eastAsia="宋体" w:cs="宋体"/>
          <w:color w:val="auto"/>
          <w:sz w:val="24"/>
          <w:szCs w:val="24"/>
          <w:lang w:eastAsia="zh-CN"/>
        </w:rPr>
        <w:t>；</w:t>
      </w:r>
    </w:p>
    <w:p>
      <w:pPr>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附件</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：临床试验用药销毁授权书</w:t>
      </w:r>
      <w:r>
        <w:rPr>
          <w:rFonts w:hint="eastAsia" w:ascii="宋体" w:hAnsi="宋体" w:eastAsia="宋体" w:cs="宋体"/>
          <w:color w:val="auto"/>
          <w:sz w:val="24"/>
          <w:szCs w:val="24"/>
          <w:lang w:eastAsia="zh-CN"/>
        </w:rPr>
        <w:t>；</w:t>
      </w:r>
    </w:p>
    <w:p>
      <w:pPr>
        <w:spacing w:line="360" w:lineRule="auto"/>
        <w:jc w:val="left"/>
        <w:rPr>
          <w:rFonts w:hint="default" w:ascii="宋体" w:hAnsi="宋体"/>
          <w:color w:val="auto"/>
          <w:sz w:val="24"/>
          <w:szCs w:val="24"/>
          <w:lang w:val="en-US" w:eastAsia="zh-CN"/>
        </w:rPr>
      </w:pPr>
      <w:r>
        <w:rPr>
          <w:rFonts w:hint="eastAsia" w:ascii="宋体" w:hAnsi="宋体" w:eastAsia="宋体" w:cs="宋体"/>
          <w:color w:val="auto"/>
          <w:sz w:val="24"/>
          <w:szCs w:val="24"/>
        </w:rPr>
        <w:t>附件1</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临床试验用药物/包装物销毁记录表</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olor w:val="auto"/>
          <w:sz w:val="24"/>
          <w:szCs w:val="24"/>
        </w:rPr>
      </w:pPr>
      <w:r>
        <w:rPr>
          <w:rFonts w:hint="eastAsia" w:ascii="宋体" w:hAnsi="宋体"/>
          <w:color w:val="auto"/>
          <w:sz w:val="24"/>
          <w:szCs w:val="24"/>
          <w:lang w:val="en-US" w:eastAsia="zh-CN"/>
        </w:rPr>
        <w:t>五</w:t>
      </w:r>
      <w:r>
        <w:rPr>
          <w:rFonts w:hint="eastAsia" w:ascii="宋体" w:hAnsi="宋体"/>
          <w:color w:val="auto"/>
          <w:sz w:val="24"/>
          <w:szCs w:val="24"/>
          <w:lang w:eastAsia="zh-CN"/>
        </w:rPr>
        <w:t>、</w:t>
      </w:r>
      <w:r>
        <w:rPr>
          <w:rFonts w:hint="eastAsia" w:ascii="宋体" w:hAnsi="宋体"/>
          <w:color w:val="auto"/>
          <w:sz w:val="24"/>
          <w:szCs w:val="24"/>
        </w:rPr>
        <w:t>参考文献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  第九届全国人民代表大会常务委员会.《中华人民共和国药品管理法》，2019。</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[2]  国家药典委员会.《中华人民共和国药典》，2015。</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[3]  国家食品药品监督管理局《药物临床试验管理规范》，2020。</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[4]  国家卫生计生委，国家食品药品监督管理总局，国家中医药局《医疗卫生机构开展临床研究项目管理办法》，2014。</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[5]  国家食品药品监督管理局. 《药品注册管理办法》，2020。</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黑体" w:hAnsi="黑体" w:eastAsia="黑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黑体" w:hAnsi="黑体" w:eastAsia="黑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黑体" w:hAnsi="黑体" w:eastAsia="黑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黑体" w:hAnsi="黑体" w:eastAsia="黑体" w:cs="宋体"/>
          <w:color w:val="auto"/>
          <w:sz w:val="24"/>
          <w:szCs w:val="24"/>
        </w:rPr>
        <w:sectPr>
          <w:headerReference r:id="rId88" w:type="default"/>
          <w:footerReference r:id="rId89" w:type="default"/>
          <w:pgSz w:w="11907" w:h="16840"/>
          <w:pgMar w:top="851" w:right="1134" w:bottom="851" w:left="1418" w:header="0" w:footer="992" w:gutter="0"/>
          <w:pgNumType w:fmt="decimal" w:start="1"/>
          <w:cols w:space="720" w:num="1"/>
          <w:docGrid w:linePitch="286" w:charSpace="0"/>
        </w:sectPr>
      </w:pPr>
      <w:bookmarkStart w:id="1" w:name="_Toc379061948"/>
    </w:p>
    <w:p>
      <w:pPr>
        <w:spacing w:line="360" w:lineRule="auto"/>
        <w:rPr>
          <w:rFonts w:hint="eastAsia" w:ascii="黑体" w:hAnsi="黑体" w:eastAsia="黑体" w:cs="宋体"/>
          <w:b w:val="0"/>
          <w:bCs/>
          <w:color w:val="auto"/>
          <w:sz w:val="24"/>
          <w:szCs w:val="24"/>
        </w:rPr>
      </w:pPr>
      <w:r>
        <w:rPr>
          <w:rFonts w:hint="eastAsia"/>
          <w:b w:val="0"/>
          <w:bCs/>
          <w:color w:val="auto"/>
          <w:sz w:val="24"/>
          <w:szCs w:val="24"/>
        </w:rPr>
        <w:t>附件1：</w:t>
      </w:r>
      <w:r>
        <w:rPr>
          <w:b w:val="0"/>
          <w:bCs/>
          <w:color w:val="auto"/>
          <w:sz w:val="24"/>
          <w:szCs w:val="24"/>
        </w:rPr>
        <w:t xml:space="preserve"> </w:t>
      </w:r>
      <w:r>
        <w:rPr>
          <w:rFonts w:hint="eastAsia"/>
          <w:b w:val="0"/>
          <w:bCs/>
          <w:color w:val="auto"/>
          <w:sz w:val="24"/>
          <w:szCs w:val="24"/>
        </w:rPr>
        <w:t>临床试验用药物接收登记表</w:t>
      </w:r>
    </w:p>
    <w:bookmarkEnd w:id="1"/>
    <w:p>
      <w:pPr>
        <w:widowControl/>
        <w:shd w:val="clear" w:color="auto" w:fill="FFFFFF"/>
        <w:spacing w:line="360" w:lineRule="auto"/>
        <w:rPr>
          <w:rFonts w:hint="eastAsia" w:ascii="宋体" w:hAnsi="宋体"/>
          <w:color w:val="auto"/>
          <w:kern w:val="0"/>
          <w:sz w:val="21"/>
          <w:szCs w:val="21"/>
          <w:u w:val="single"/>
        </w:rPr>
      </w:pPr>
      <w:r>
        <w:rPr>
          <w:rFonts w:hint="eastAsia" w:ascii="宋体" w:hAnsi="宋体"/>
          <w:b/>
          <w:color w:val="auto"/>
          <w:kern w:val="0"/>
          <w:sz w:val="21"/>
          <w:szCs w:val="21"/>
        </w:rPr>
        <w:t>试验名称/方案编号</w:t>
      </w:r>
      <w:r>
        <w:rPr>
          <w:rFonts w:hint="eastAsia" w:ascii="宋体" w:hAnsi="宋体"/>
          <w:color w:val="auto"/>
          <w:kern w:val="0"/>
          <w:sz w:val="21"/>
          <w:szCs w:val="21"/>
        </w:rPr>
        <w:t>：</w:t>
      </w:r>
      <w:r>
        <w:rPr>
          <w:rFonts w:hint="eastAsia" w:ascii="宋体" w:hAnsi="宋体"/>
          <w:color w:val="auto"/>
          <w:kern w:val="0"/>
          <w:sz w:val="21"/>
          <w:szCs w:val="21"/>
          <w:u w:val="single"/>
        </w:rPr>
        <w:t xml:space="preserve">                                                                                                            </w:t>
      </w:r>
    </w:p>
    <w:p>
      <w:pPr>
        <w:widowControl/>
        <w:shd w:val="clear" w:color="auto" w:fill="FFFFFF"/>
        <w:spacing w:line="360" w:lineRule="auto"/>
        <w:rPr>
          <w:rFonts w:hint="eastAsia" w:ascii="宋体" w:hAnsi="宋体"/>
          <w:color w:val="auto"/>
          <w:kern w:val="0"/>
          <w:sz w:val="21"/>
          <w:szCs w:val="21"/>
          <w:u w:val="single"/>
        </w:rPr>
      </w:pPr>
      <w:r>
        <w:rPr>
          <w:rFonts w:hint="eastAsia" w:ascii="宋体" w:hAnsi="宋体"/>
          <w:b/>
          <w:color w:val="auto"/>
          <w:kern w:val="0"/>
          <w:sz w:val="21"/>
          <w:szCs w:val="21"/>
        </w:rPr>
        <w:t>机构名称</w:t>
      </w:r>
      <w:r>
        <w:rPr>
          <w:rFonts w:hint="eastAsia" w:ascii="宋体" w:hAnsi="宋体"/>
          <w:color w:val="auto"/>
          <w:kern w:val="0"/>
          <w:sz w:val="21"/>
          <w:szCs w:val="21"/>
        </w:rPr>
        <w:t>：</w:t>
      </w:r>
      <w:r>
        <w:rPr>
          <w:rFonts w:hint="eastAsia"/>
          <w:b/>
          <w:color w:val="auto"/>
          <w:sz w:val="21"/>
          <w:szCs w:val="21"/>
        </w:rPr>
        <w:t>沂源县人民医院药物</w:t>
      </w:r>
      <w:r>
        <w:rPr>
          <w:rFonts w:hint="eastAsia"/>
          <w:b/>
          <w:color w:val="auto"/>
          <w:sz w:val="21"/>
          <w:szCs w:val="21"/>
          <w:lang w:val="en-US" w:eastAsia="zh-CN"/>
        </w:rPr>
        <w:t>/医疗器械</w:t>
      </w:r>
      <w:r>
        <w:rPr>
          <w:rFonts w:hint="eastAsia"/>
          <w:b/>
          <w:color w:val="auto"/>
          <w:sz w:val="21"/>
          <w:szCs w:val="21"/>
        </w:rPr>
        <w:t>临床试验机构</w:t>
      </w:r>
      <w:r>
        <w:rPr>
          <w:rFonts w:hint="eastAsia" w:ascii="宋体" w:hAnsi="宋体"/>
          <w:color w:val="auto"/>
          <w:kern w:val="0"/>
          <w:sz w:val="21"/>
          <w:szCs w:val="21"/>
        </w:rPr>
        <w:t xml:space="preserve">               </w:t>
      </w:r>
      <w:r>
        <w:rPr>
          <w:rFonts w:hint="eastAsia" w:ascii="宋体" w:hAnsi="宋体"/>
          <w:b/>
          <w:color w:val="auto"/>
          <w:kern w:val="0"/>
          <w:sz w:val="21"/>
          <w:szCs w:val="21"/>
        </w:rPr>
        <w:t xml:space="preserve">  主要研究者</w:t>
      </w:r>
      <w:r>
        <w:rPr>
          <w:rFonts w:hint="eastAsia" w:ascii="宋体" w:hAnsi="宋体"/>
          <w:color w:val="auto"/>
          <w:kern w:val="0"/>
          <w:sz w:val="21"/>
          <w:szCs w:val="21"/>
        </w:rPr>
        <w:t>：</w:t>
      </w:r>
      <w:r>
        <w:rPr>
          <w:rFonts w:hint="eastAsia" w:ascii="宋体" w:hAnsi="宋体"/>
          <w:color w:val="auto"/>
          <w:kern w:val="0"/>
          <w:sz w:val="21"/>
          <w:szCs w:val="21"/>
          <w:u w:val="single"/>
        </w:rPr>
        <w:t xml:space="preserve">             </w:t>
      </w:r>
      <w:r>
        <w:rPr>
          <w:rFonts w:hint="eastAsia" w:ascii="宋体" w:hAnsi="宋体"/>
          <w:color w:val="auto"/>
          <w:kern w:val="0"/>
          <w:sz w:val="21"/>
          <w:szCs w:val="21"/>
        </w:rPr>
        <w:t xml:space="preserve">  </w:t>
      </w:r>
      <w:r>
        <w:rPr>
          <w:rFonts w:hint="eastAsia" w:ascii="宋体" w:hAnsi="宋体"/>
          <w:b/>
          <w:color w:val="auto"/>
          <w:kern w:val="0"/>
          <w:sz w:val="21"/>
          <w:szCs w:val="21"/>
        </w:rPr>
        <w:t>申办者</w:t>
      </w:r>
      <w:r>
        <w:rPr>
          <w:rFonts w:hint="eastAsia" w:ascii="宋体" w:hAnsi="宋体"/>
          <w:color w:val="auto"/>
          <w:kern w:val="0"/>
          <w:sz w:val="21"/>
          <w:szCs w:val="21"/>
        </w:rPr>
        <w:t>：</w:t>
      </w:r>
      <w:r>
        <w:rPr>
          <w:rFonts w:hint="eastAsia" w:ascii="宋体" w:hAnsi="宋体"/>
          <w:color w:val="auto"/>
          <w:kern w:val="0"/>
          <w:sz w:val="21"/>
          <w:szCs w:val="21"/>
          <w:u w:val="single"/>
        </w:rPr>
        <w:t xml:space="preserve">                              </w:t>
      </w:r>
    </w:p>
    <w:tbl>
      <w:tblPr>
        <w:tblStyle w:val="27"/>
        <w:tblpPr w:leftFromText="180" w:rightFromText="180" w:vertAnchor="text" w:horzAnchor="margin" w:tblpXSpec="center" w:tblpY="158"/>
        <w:tblW w:w="14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8"/>
        <w:gridCol w:w="1364"/>
        <w:gridCol w:w="1052"/>
        <w:gridCol w:w="944"/>
        <w:gridCol w:w="1049"/>
        <w:gridCol w:w="1574"/>
        <w:gridCol w:w="1577"/>
        <w:gridCol w:w="1784"/>
        <w:gridCol w:w="2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220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b/>
                <w:bCs/>
                <w:color w:val="auto"/>
                <w:kern w:val="0"/>
                <w:sz w:val="21"/>
                <w:szCs w:val="21"/>
              </w:rPr>
            </w:pPr>
            <w:r>
              <w:rPr>
                <w:rFonts w:hint="eastAsia" w:ascii="宋体" w:hAnsi="宋体"/>
                <w:b/>
                <w:bCs/>
                <w:color w:val="auto"/>
                <w:kern w:val="0"/>
                <w:sz w:val="21"/>
                <w:szCs w:val="21"/>
              </w:rPr>
              <w:t>药物</w:t>
            </w:r>
            <w:r>
              <w:rPr>
                <w:rFonts w:ascii="宋体" w:hAnsi="宋体"/>
                <w:b/>
                <w:bCs/>
                <w:color w:val="auto"/>
                <w:kern w:val="0"/>
                <w:sz w:val="21"/>
                <w:szCs w:val="21"/>
              </w:rPr>
              <w:t>名称</w:t>
            </w:r>
          </w:p>
        </w:tc>
        <w:tc>
          <w:tcPr>
            <w:tcW w:w="136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b/>
                <w:bCs/>
                <w:color w:val="auto"/>
                <w:kern w:val="0"/>
                <w:sz w:val="21"/>
                <w:szCs w:val="21"/>
              </w:rPr>
            </w:pPr>
            <w:r>
              <w:rPr>
                <w:rFonts w:hint="eastAsia" w:ascii="宋体" w:hAnsi="宋体"/>
                <w:b/>
                <w:bCs/>
                <w:color w:val="auto"/>
                <w:kern w:val="0"/>
                <w:sz w:val="21"/>
                <w:szCs w:val="21"/>
              </w:rPr>
              <w:t>药物编号</w:t>
            </w:r>
          </w:p>
        </w:tc>
        <w:tc>
          <w:tcPr>
            <w:tcW w:w="1052"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b/>
                <w:bCs/>
                <w:color w:val="auto"/>
                <w:kern w:val="0"/>
                <w:sz w:val="21"/>
                <w:szCs w:val="21"/>
              </w:rPr>
            </w:pPr>
            <w:r>
              <w:rPr>
                <w:rFonts w:hint="eastAsia" w:ascii="宋体" w:hAnsi="宋体"/>
                <w:b/>
                <w:bCs/>
                <w:color w:val="auto"/>
                <w:kern w:val="0"/>
                <w:sz w:val="21"/>
                <w:szCs w:val="21"/>
              </w:rPr>
              <w:t>规格</w:t>
            </w:r>
          </w:p>
        </w:tc>
        <w:tc>
          <w:tcPr>
            <w:tcW w:w="94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b/>
                <w:bCs/>
                <w:color w:val="auto"/>
                <w:kern w:val="0"/>
                <w:sz w:val="21"/>
                <w:szCs w:val="21"/>
              </w:rPr>
            </w:pPr>
            <w:r>
              <w:rPr>
                <w:rFonts w:hint="eastAsia" w:ascii="宋体" w:hAnsi="宋体"/>
                <w:b/>
                <w:bCs/>
                <w:color w:val="auto"/>
                <w:kern w:val="0"/>
                <w:sz w:val="21"/>
                <w:szCs w:val="21"/>
              </w:rPr>
              <w:t>单位</w:t>
            </w:r>
          </w:p>
        </w:tc>
        <w:tc>
          <w:tcPr>
            <w:tcW w:w="104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b/>
                <w:bCs/>
                <w:color w:val="auto"/>
                <w:kern w:val="0"/>
                <w:sz w:val="21"/>
                <w:szCs w:val="21"/>
              </w:rPr>
            </w:pPr>
            <w:r>
              <w:rPr>
                <w:rFonts w:hint="eastAsia" w:ascii="宋体" w:hAnsi="宋体"/>
                <w:b/>
                <w:bCs/>
                <w:color w:val="auto"/>
                <w:kern w:val="0"/>
                <w:sz w:val="21"/>
                <w:szCs w:val="21"/>
              </w:rPr>
              <w:t>数量</w:t>
            </w:r>
          </w:p>
        </w:tc>
        <w:tc>
          <w:tcPr>
            <w:tcW w:w="157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b/>
                <w:bCs/>
                <w:color w:val="auto"/>
                <w:kern w:val="0"/>
                <w:sz w:val="21"/>
                <w:szCs w:val="21"/>
              </w:rPr>
            </w:pPr>
            <w:r>
              <w:rPr>
                <w:rFonts w:hint="eastAsia" w:ascii="宋体" w:hAnsi="宋体"/>
                <w:b/>
                <w:bCs/>
                <w:color w:val="auto"/>
                <w:kern w:val="0"/>
                <w:sz w:val="21"/>
                <w:szCs w:val="21"/>
              </w:rPr>
              <w:t>批号</w:t>
            </w:r>
          </w:p>
        </w:tc>
        <w:tc>
          <w:tcPr>
            <w:tcW w:w="157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b/>
                <w:bCs/>
                <w:color w:val="auto"/>
                <w:kern w:val="0"/>
                <w:sz w:val="21"/>
                <w:szCs w:val="21"/>
              </w:rPr>
            </w:pPr>
            <w:r>
              <w:rPr>
                <w:rFonts w:hint="eastAsia" w:ascii="宋体" w:hAnsi="宋体"/>
                <w:b/>
                <w:bCs/>
                <w:color w:val="auto"/>
                <w:kern w:val="0"/>
                <w:sz w:val="21"/>
                <w:szCs w:val="21"/>
              </w:rPr>
              <w:t>生产日期</w:t>
            </w:r>
          </w:p>
        </w:tc>
        <w:tc>
          <w:tcPr>
            <w:tcW w:w="178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b/>
                <w:bCs/>
                <w:color w:val="auto"/>
                <w:kern w:val="0"/>
                <w:sz w:val="21"/>
                <w:szCs w:val="21"/>
              </w:rPr>
            </w:pPr>
            <w:r>
              <w:rPr>
                <w:rFonts w:hint="eastAsia" w:ascii="宋体" w:hAnsi="宋体"/>
                <w:b/>
                <w:bCs/>
                <w:color w:val="auto"/>
                <w:kern w:val="0"/>
                <w:sz w:val="21"/>
                <w:szCs w:val="21"/>
              </w:rPr>
              <w:t>有效期</w:t>
            </w:r>
          </w:p>
        </w:tc>
        <w:tc>
          <w:tcPr>
            <w:tcW w:w="262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b/>
                <w:bCs/>
                <w:color w:val="auto"/>
                <w:kern w:val="0"/>
                <w:sz w:val="21"/>
                <w:szCs w:val="21"/>
              </w:rPr>
            </w:pPr>
            <w:r>
              <w:rPr>
                <w:rFonts w:hint="eastAsia" w:ascii="宋体" w:hAnsi="宋体"/>
                <w:b/>
                <w:bCs/>
                <w:color w:val="auto"/>
                <w:kern w:val="0"/>
                <w:sz w:val="21"/>
                <w:szCs w:val="21"/>
              </w:rPr>
              <w:t>储藏条件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208" w:type="dxa"/>
            <w:vAlign w:val="top"/>
          </w:tcPr>
          <w:p>
            <w:pPr>
              <w:widowControl/>
              <w:spacing w:line="360" w:lineRule="auto"/>
              <w:jc w:val="center"/>
              <w:rPr>
                <w:rFonts w:hint="eastAsia" w:ascii="宋体" w:hAnsi="宋体"/>
                <w:bCs/>
                <w:color w:val="auto"/>
                <w:kern w:val="0"/>
                <w:sz w:val="21"/>
                <w:szCs w:val="21"/>
              </w:rPr>
            </w:pPr>
          </w:p>
        </w:tc>
        <w:tc>
          <w:tcPr>
            <w:tcW w:w="1364" w:type="dxa"/>
            <w:vAlign w:val="top"/>
          </w:tcPr>
          <w:p>
            <w:pPr>
              <w:widowControl/>
              <w:spacing w:line="360" w:lineRule="auto"/>
              <w:jc w:val="center"/>
              <w:rPr>
                <w:rFonts w:hint="eastAsia" w:ascii="宋体" w:hAnsi="宋体"/>
                <w:bCs/>
                <w:color w:val="auto"/>
                <w:kern w:val="0"/>
                <w:sz w:val="21"/>
                <w:szCs w:val="21"/>
              </w:rPr>
            </w:pPr>
          </w:p>
        </w:tc>
        <w:tc>
          <w:tcPr>
            <w:tcW w:w="1052" w:type="dxa"/>
            <w:vAlign w:val="top"/>
          </w:tcPr>
          <w:p>
            <w:pPr>
              <w:widowControl/>
              <w:spacing w:line="360" w:lineRule="auto"/>
              <w:jc w:val="center"/>
              <w:rPr>
                <w:rFonts w:hint="eastAsia" w:ascii="宋体" w:hAnsi="宋体"/>
                <w:bCs/>
                <w:color w:val="auto"/>
                <w:kern w:val="0"/>
                <w:sz w:val="21"/>
                <w:szCs w:val="21"/>
              </w:rPr>
            </w:pPr>
          </w:p>
        </w:tc>
        <w:tc>
          <w:tcPr>
            <w:tcW w:w="944" w:type="dxa"/>
            <w:vAlign w:val="top"/>
          </w:tcPr>
          <w:p>
            <w:pPr>
              <w:widowControl/>
              <w:spacing w:line="360" w:lineRule="auto"/>
              <w:jc w:val="center"/>
              <w:rPr>
                <w:rFonts w:hint="eastAsia" w:ascii="宋体" w:hAnsi="宋体"/>
                <w:bCs/>
                <w:color w:val="auto"/>
                <w:kern w:val="0"/>
                <w:sz w:val="21"/>
                <w:szCs w:val="21"/>
              </w:rPr>
            </w:pPr>
          </w:p>
        </w:tc>
        <w:tc>
          <w:tcPr>
            <w:tcW w:w="1049" w:type="dxa"/>
            <w:vAlign w:val="top"/>
          </w:tcPr>
          <w:p>
            <w:pPr>
              <w:widowControl/>
              <w:spacing w:line="360" w:lineRule="auto"/>
              <w:jc w:val="center"/>
              <w:rPr>
                <w:rFonts w:hint="eastAsia" w:ascii="宋体" w:hAnsi="宋体"/>
                <w:bCs/>
                <w:color w:val="auto"/>
                <w:kern w:val="0"/>
                <w:sz w:val="21"/>
                <w:szCs w:val="21"/>
              </w:rPr>
            </w:pPr>
          </w:p>
        </w:tc>
        <w:tc>
          <w:tcPr>
            <w:tcW w:w="1574" w:type="dxa"/>
            <w:vAlign w:val="top"/>
          </w:tcPr>
          <w:p>
            <w:pPr>
              <w:widowControl/>
              <w:spacing w:line="360" w:lineRule="auto"/>
              <w:jc w:val="center"/>
              <w:rPr>
                <w:rFonts w:hint="eastAsia" w:ascii="宋体" w:hAnsi="宋体"/>
                <w:bCs/>
                <w:color w:val="auto"/>
                <w:kern w:val="0"/>
                <w:sz w:val="21"/>
                <w:szCs w:val="21"/>
              </w:rPr>
            </w:pPr>
          </w:p>
        </w:tc>
        <w:tc>
          <w:tcPr>
            <w:tcW w:w="1577" w:type="dxa"/>
            <w:vAlign w:val="top"/>
          </w:tcPr>
          <w:p>
            <w:pPr>
              <w:widowControl/>
              <w:spacing w:line="360" w:lineRule="auto"/>
              <w:jc w:val="center"/>
              <w:rPr>
                <w:rFonts w:hint="eastAsia" w:ascii="宋体" w:hAnsi="宋体"/>
                <w:bCs/>
                <w:color w:val="auto"/>
                <w:kern w:val="0"/>
                <w:sz w:val="21"/>
                <w:szCs w:val="21"/>
              </w:rPr>
            </w:pPr>
          </w:p>
        </w:tc>
        <w:tc>
          <w:tcPr>
            <w:tcW w:w="1784" w:type="dxa"/>
            <w:vAlign w:val="top"/>
          </w:tcPr>
          <w:p>
            <w:pPr>
              <w:widowControl/>
              <w:spacing w:line="360" w:lineRule="auto"/>
              <w:jc w:val="center"/>
              <w:rPr>
                <w:rFonts w:hint="eastAsia" w:ascii="宋体" w:hAnsi="宋体"/>
                <w:bCs/>
                <w:color w:val="auto"/>
                <w:kern w:val="0"/>
                <w:sz w:val="21"/>
                <w:szCs w:val="21"/>
              </w:rPr>
            </w:pPr>
          </w:p>
        </w:tc>
        <w:tc>
          <w:tcPr>
            <w:tcW w:w="2626" w:type="dxa"/>
            <w:vAlign w:val="center"/>
          </w:tcPr>
          <w:p>
            <w:pPr>
              <w:widowControl/>
              <w:spacing w:line="360" w:lineRule="auto"/>
              <w:jc w:val="center"/>
              <w:rPr>
                <w:rFonts w:hint="eastAsia" w:ascii="宋体" w:hAnsi="宋体"/>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208" w:type="dxa"/>
            <w:vAlign w:val="top"/>
          </w:tcPr>
          <w:p>
            <w:pPr>
              <w:widowControl/>
              <w:spacing w:line="360" w:lineRule="auto"/>
              <w:jc w:val="center"/>
              <w:rPr>
                <w:rFonts w:hint="eastAsia" w:ascii="宋体" w:hAnsi="宋体"/>
                <w:bCs/>
                <w:color w:val="auto"/>
                <w:sz w:val="21"/>
                <w:szCs w:val="21"/>
              </w:rPr>
            </w:pPr>
          </w:p>
        </w:tc>
        <w:tc>
          <w:tcPr>
            <w:tcW w:w="1364" w:type="dxa"/>
            <w:vAlign w:val="top"/>
          </w:tcPr>
          <w:p>
            <w:pPr>
              <w:widowControl/>
              <w:spacing w:line="360" w:lineRule="auto"/>
              <w:jc w:val="center"/>
              <w:rPr>
                <w:rFonts w:hint="eastAsia" w:ascii="宋体" w:hAnsi="宋体"/>
                <w:bCs/>
                <w:color w:val="auto"/>
                <w:kern w:val="0"/>
                <w:sz w:val="21"/>
                <w:szCs w:val="21"/>
              </w:rPr>
            </w:pPr>
          </w:p>
        </w:tc>
        <w:tc>
          <w:tcPr>
            <w:tcW w:w="1052" w:type="dxa"/>
            <w:vAlign w:val="top"/>
          </w:tcPr>
          <w:p>
            <w:pPr>
              <w:widowControl/>
              <w:spacing w:line="360" w:lineRule="auto"/>
              <w:jc w:val="center"/>
              <w:rPr>
                <w:rFonts w:hint="eastAsia" w:ascii="宋体" w:hAnsi="宋体"/>
                <w:bCs/>
                <w:color w:val="auto"/>
                <w:kern w:val="0"/>
                <w:sz w:val="21"/>
                <w:szCs w:val="21"/>
              </w:rPr>
            </w:pPr>
          </w:p>
        </w:tc>
        <w:tc>
          <w:tcPr>
            <w:tcW w:w="944" w:type="dxa"/>
            <w:vAlign w:val="top"/>
          </w:tcPr>
          <w:p>
            <w:pPr>
              <w:widowControl/>
              <w:spacing w:line="360" w:lineRule="auto"/>
              <w:jc w:val="center"/>
              <w:rPr>
                <w:rFonts w:hint="eastAsia" w:ascii="宋体" w:hAnsi="宋体"/>
                <w:bCs/>
                <w:color w:val="auto"/>
                <w:kern w:val="0"/>
                <w:sz w:val="21"/>
                <w:szCs w:val="21"/>
              </w:rPr>
            </w:pPr>
          </w:p>
        </w:tc>
        <w:tc>
          <w:tcPr>
            <w:tcW w:w="1049" w:type="dxa"/>
            <w:vAlign w:val="top"/>
          </w:tcPr>
          <w:p>
            <w:pPr>
              <w:widowControl/>
              <w:spacing w:line="360" w:lineRule="auto"/>
              <w:jc w:val="center"/>
              <w:rPr>
                <w:rFonts w:hint="eastAsia" w:ascii="宋体" w:hAnsi="宋体"/>
                <w:bCs/>
                <w:color w:val="auto"/>
                <w:kern w:val="0"/>
                <w:sz w:val="21"/>
                <w:szCs w:val="21"/>
              </w:rPr>
            </w:pPr>
          </w:p>
        </w:tc>
        <w:tc>
          <w:tcPr>
            <w:tcW w:w="1574" w:type="dxa"/>
            <w:vAlign w:val="top"/>
          </w:tcPr>
          <w:p>
            <w:pPr>
              <w:widowControl/>
              <w:spacing w:line="360" w:lineRule="auto"/>
              <w:jc w:val="center"/>
              <w:rPr>
                <w:rFonts w:hint="eastAsia" w:ascii="宋体" w:hAnsi="宋体"/>
                <w:bCs/>
                <w:color w:val="auto"/>
                <w:kern w:val="0"/>
                <w:sz w:val="21"/>
                <w:szCs w:val="21"/>
              </w:rPr>
            </w:pPr>
          </w:p>
        </w:tc>
        <w:tc>
          <w:tcPr>
            <w:tcW w:w="1577" w:type="dxa"/>
            <w:vAlign w:val="top"/>
          </w:tcPr>
          <w:p>
            <w:pPr>
              <w:widowControl/>
              <w:spacing w:line="360" w:lineRule="auto"/>
              <w:jc w:val="center"/>
              <w:rPr>
                <w:rFonts w:hint="eastAsia" w:ascii="宋体" w:hAnsi="宋体"/>
                <w:bCs/>
                <w:color w:val="auto"/>
                <w:kern w:val="0"/>
                <w:sz w:val="21"/>
                <w:szCs w:val="21"/>
              </w:rPr>
            </w:pPr>
          </w:p>
        </w:tc>
        <w:tc>
          <w:tcPr>
            <w:tcW w:w="1784" w:type="dxa"/>
            <w:vAlign w:val="top"/>
          </w:tcPr>
          <w:p>
            <w:pPr>
              <w:widowControl/>
              <w:spacing w:line="360" w:lineRule="auto"/>
              <w:jc w:val="center"/>
              <w:rPr>
                <w:rFonts w:hint="eastAsia" w:ascii="宋体" w:hAnsi="宋体"/>
                <w:bCs/>
                <w:color w:val="auto"/>
                <w:kern w:val="0"/>
                <w:sz w:val="21"/>
                <w:szCs w:val="21"/>
              </w:rPr>
            </w:pPr>
          </w:p>
        </w:tc>
        <w:tc>
          <w:tcPr>
            <w:tcW w:w="2626" w:type="dxa"/>
            <w:vAlign w:val="top"/>
          </w:tcPr>
          <w:p>
            <w:pPr>
              <w:widowControl/>
              <w:spacing w:line="360" w:lineRule="auto"/>
              <w:jc w:val="center"/>
              <w:rPr>
                <w:rFonts w:hint="eastAsia" w:ascii="宋体" w:hAnsi="宋体"/>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208" w:type="dxa"/>
            <w:vAlign w:val="top"/>
          </w:tcPr>
          <w:p>
            <w:pPr>
              <w:widowControl/>
              <w:spacing w:line="360" w:lineRule="auto"/>
              <w:rPr>
                <w:rFonts w:hint="eastAsia" w:ascii="宋体" w:hAnsi="宋体"/>
                <w:bCs/>
                <w:color w:val="auto"/>
                <w:sz w:val="21"/>
                <w:szCs w:val="21"/>
              </w:rPr>
            </w:pPr>
          </w:p>
        </w:tc>
        <w:tc>
          <w:tcPr>
            <w:tcW w:w="1364" w:type="dxa"/>
            <w:vAlign w:val="top"/>
          </w:tcPr>
          <w:p>
            <w:pPr>
              <w:widowControl/>
              <w:spacing w:line="360" w:lineRule="auto"/>
              <w:jc w:val="center"/>
              <w:rPr>
                <w:rFonts w:hint="eastAsia" w:ascii="宋体" w:hAnsi="宋体"/>
                <w:bCs/>
                <w:color w:val="auto"/>
                <w:kern w:val="0"/>
                <w:sz w:val="21"/>
                <w:szCs w:val="21"/>
              </w:rPr>
            </w:pPr>
          </w:p>
        </w:tc>
        <w:tc>
          <w:tcPr>
            <w:tcW w:w="1052" w:type="dxa"/>
            <w:vAlign w:val="top"/>
          </w:tcPr>
          <w:p>
            <w:pPr>
              <w:widowControl/>
              <w:spacing w:line="360" w:lineRule="auto"/>
              <w:jc w:val="center"/>
              <w:rPr>
                <w:rFonts w:hint="eastAsia" w:ascii="宋体" w:hAnsi="宋体"/>
                <w:bCs/>
                <w:color w:val="auto"/>
                <w:kern w:val="0"/>
                <w:sz w:val="21"/>
                <w:szCs w:val="21"/>
              </w:rPr>
            </w:pPr>
          </w:p>
        </w:tc>
        <w:tc>
          <w:tcPr>
            <w:tcW w:w="944" w:type="dxa"/>
            <w:vAlign w:val="top"/>
          </w:tcPr>
          <w:p>
            <w:pPr>
              <w:widowControl/>
              <w:spacing w:line="360" w:lineRule="auto"/>
              <w:jc w:val="center"/>
              <w:rPr>
                <w:rFonts w:hint="eastAsia" w:ascii="宋体" w:hAnsi="宋体"/>
                <w:bCs/>
                <w:color w:val="auto"/>
                <w:kern w:val="0"/>
                <w:sz w:val="21"/>
                <w:szCs w:val="21"/>
              </w:rPr>
            </w:pPr>
          </w:p>
        </w:tc>
        <w:tc>
          <w:tcPr>
            <w:tcW w:w="1049" w:type="dxa"/>
            <w:vAlign w:val="top"/>
          </w:tcPr>
          <w:p>
            <w:pPr>
              <w:widowControl/>
              <w:spacing w:line="360" w:lineRule="auto"/>
              <w:jc w:val="center"/>
              <w:rPr>
                <w:rFonts w:hint="eastAsia" w:ascii="宋体" w:hAnsi="宋体"/>
                <w:bCs/>
                <w:color w:val="auto"/>
                <w:kern w:val="0"/>
                <w:sz w:val="21"/>
                <w:szCs w:val="21"/>
              </w:rPr>
            </w:pPr>
          </w:p>
        </w:tc>
        <w:tc>
          <w:tcPr>
            <w:tcW w:w="1574" w:type="dxa"/>
            <w:vAlign w:val="top"/>
          </w:tcPr>
          <w:p>
            <w:pPr>
              <w:widowControl/>
              <w:spacing w:line="360" w:lineRule="auto"/>
              <w:jc w:val="center"/>
              <w:rPr>
                <w:rFonts w:hint="eastAsia" w:ascii="宋体" w:hAnsi="宋体"/>
                <w:bCs/>
                <w:color w:val="auto"/>
                <w:kern w:val="0"/>
                <w:sz w:val="21"/>
                <w:szCs w:val="21"/>
              </w:rPr>
            </w:pPr>
          </w:p>
        </w:tc>
        <w:tc>
          <w:tcPr>
            <w:tcW w:w="1577" w:type="dxa"/>
            <w:vAlign w:val="top"/>
          </w:tcPr>
          <w:p>
            <w:pPr>
              <w:widowControl/>
              <w:spacing w:line="360" w:lineRule="auto"/>
              <w:jc w:val="center"/>
              <w:rPr>
                <w:rFonts w:hint="eastAsia" w:ascii="宋体" w:hAnsi="宋体"/>
                <w:bCs/>
                <w:color w:val="auto"/>
                <w:kern w:val="0"/>
                <w:sz w:val="21"/>
                <w:szCs w:val="21"/>
              </w:rPr>
            </w:pPr>
          </w:p>
        </w:tc>
        <w:tc>
          <w:tcPr>
            <w:tcW w:w="1784" w:type="dxa"/>
            <w:vAlign w:val="top"/>
          </w:tcPr>
          <w:p>
            <w:pPr>
              <w:widowControl/>
              <w:spacing w:line="360" w:lineRule="auto"/>
              <w:jc w:val="center"/>
              <w:rPr>
                <w:rFonts w:hint="eastAsia" w:ascii="宋体" w:hAnsi="宋体"/>
                <w:bCs/>
                <w:color w:val="auto"/>
                <w:kern w:val="0"/>
                <w:sz w:val="21"/>
                <w:szCs w:val="21"/>
              </w:rPr>
            </w:pPr>
          </w:p>
        </w:tc>
        <w:tc>
          <w:tcPr>
            <w:tcW w:w="2626" w:type="dxa"/>
            <w:vAlign w:val="top"/>
          </w:tcPr>
          <w:p>
            <w:pPr>
              <w:widowControl/>
              <w:spacing w:line="360" w:lineRule="auto"/>
              <w:jc w:val="center"/>
              <w:rPr>
                <w:rFonts w:hint="eastAsia" w:ascii="宋体" w:hAnsi="宋体"/>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208" w:type="dxa"/>
            <w:vAlign w:val="top"/>
          </w:tcPr>
          <w:p>
            <w:pPr>
              <w:widowControl/>
              <w:spacing w:line="360" w:lineRule="auto"/>
              <w:rPr>
                <w:rFonts w:hint="eastAsia" w:ascii="宋体" w:hAnsi="宋体"/>
                <w:bCs/>
                <w:color w:val="auto"/>
                <w:sz w:val="21"/>
                <w:szCs w:val="21"/>
              </w:rPr>
            </w:pPr>
          </w:p>
        </w:tc>
        <w:tc>
          <w:tcPr>
            <w:tcW w:w="1364" w:type="dxa"/>
            <w:vAlign w:val="top"/>
          </w:tcPr>
          <w:p>
            <w:pPr>
              <w:widowControl/>
              <w:spacing w:line="360" w:lineRule="auto"/>
              <w:jc w:val="center"/>
              <w:rPr>
                <w:rFonts w:hint="eastAsia" w:ascii="宋体" w:hAnsi="宋体"/>
                <w:bCs/>
                <w:color w:val="auto"/>
                <w:kern w:val="0"/>
                <w:sz w:val="21"/>
                <w:szCs w:val="21"/>
              </w:rPr>
            </w:pPr>
          </w:p>
        </w:tc>
        <w:tc>
          <w:tcPr>
            <w:tcW w:w="1052" w:type="dxa"/>
            <w:vAlign w:val="top"/>
          </w:tcPr>
          <w:p>
            <w:pPr>
              <w:widowControl/>
              <w:spacing w:line="360" w:lineRule="auto"/>
              <w:jc w:val="center"/>
              <w:rPr>
                <w:rFonts w:hint="eastAsia" w:ascii="宋体" w:hAnsi="宋体"/>
                <w:bCs/>
                <w:color w:val="auto"/>
                <w:kern w:val="0"/>
                <w:sz w:val="21"/>
                <w:szCs w:val="21"/>
              </w:rPr>
            </w:pPr>
          </w:p>
        </w:tc>
        <w:tc>
          <w:tcPr>
            <w:tcW w:w="944" w:type="dxa"/>
            <w:vAlign w:val="top"/>
          </w:tcPr>
          <w:p>
            <w:pPr>
              <w:widowControl/>
              <w:spacing w:line="360" w:lineRule="auto"/>
              <w:jc w:val="center"/>
              <w:rPr>
                <w:rFonts w:hint="eastAsia" w:ascii="宋体" w:hAnsi="宋体"/>
                <w:bCs/>
                <w:color w:val="auto"/>
                <w:kern w:val="0"/>
                <w:sz w:val="21"/>
                <w:szCs w:val="21"/>
              </w:rPr>
            </w:pPr>
          </w:p>
        </w:tc>
        <w:tc>
          <w:tcPr>
            <w:tcW w:w="1049" w:type="dxa"/>
            <w:vAlign w:val="top"/>
          </w:tcPr>
          <w:p>
            <w:pPr>
              <w:widowControl/>
              <w:spacing w:line="360" w:lineRule="auto"/>
              <w:jc w:val="center"/>
              <w:rPr>
                <w:rFonts w:hint="eastAsia" w:ascii="宋体" w:hAnsi="宋体"/>
                <w:bCs/>
                <w:color w:val="auto"/>
                <w:kern w:val="0"/>
                <w:sz w:val="21"/>
                <w:szCs w:val="21"/>
              </w:rPr>
            </w:pPr>
          </w:p>
        </w:tc>
        <w:tc>
          <w:tcPr>
            <w:tcW w:w="1574" w:type="dxa"/>
            <w:vAlign w:val="top"/>
          </w:tcPr>
          <w:p>
            <w:pPr>
              <w:widowControl/>
              <w:spacing w:line="360" w:lineRule="auto"/>
              <w:jc w:val="center"/>
              <w:rPr>
                <w:rFonts w:hint="eastAsia" w:ascii="宋体" w:hAnsi="宋体"/>
                <w:bCs/>
                <w:color w:val="auto"/>
                <w:kern w:val="0"/>
                <w:sz w:val="21"/>
                <w:szCs w:val="21"/>
              </w:rPr>
            </w:pPr>
          </w:p>
        </w:tc>
        <w:tc>
          <w:tcPr>
            <w:tcW w:w="1577" w:type="dxa"/>
            <w:vAlign w:val="top"/>
          </w:tcPr>
          <w:p>
            <w:pPr>
              <w:widowControl/>
              <w:spacing w:line="360" w:lineRule="auto"/>
              <w:jc w:val="center"/>
              <w:rPr>
                <w:rFonts w:hint="eastAsia" w:ascii="宋体" w:hAnsi="宋体"/>
                <w:bCs/>
                <w:color w:val="auto"/>
                <w:kern w:val="0"/>
                <w:sz w:val="21"/>
                <w:szCs w:val="21"/>
              </w:rPr>
            </w:pPr>
          </w:p>
        </w:tc>
        <w:tc>
          <w:tcPr>
            <w:tcW w:w="1784" w:type="dxa"/>
            <w:vAlign w:val="top"/>
          </w:tcPr>
          <w:p>
            <w:pPr>
              <w:widowControl/>
              <w:spacing w:line="360" w:lineRule="auto"/>
              <w:jc w:val="center"/>
              <w:rPr>
                <w:rFonts w:hint="eastAsia" w:ascii="宋体" w:hAnsi="宋体"/>
                <w:bCs/>
                <w:color w:val="auto"/>
                <w:kern w:val="0"/>
                <w:sz w:val="21"/>
                <w:szCs w:val="21"/>
              </w:rPr>
            </w:pPr>
          </w:p>
        </w:tc>
        <w:tc>
          <w:tcPr>
            <w:tcW w:w="2626" w:type="dxa"/>
            <w:vAlign w:val="top"/>
          </w:tcPr>
          <w:p>
            <w:pPr>
              <w:widowControl/>
              <w:spacing w:line="360" w:lineRule="auto"/>
              <w:jc w:val="center"/>
              <w:rPr>
                <w:rFonts w:hint="eastAsia" w:ascii="宋体" w:hAnsi="宋体"/>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4178" w:type="dxa"/>
            <w:gridSpan w:val="9"/>
            <w:vAlign w:val="top"/>
          </w:tcPr>
          <w:p>
            <w:pPr>
              <w:widowControl/>
              <w:spacing w:line="360" w:lineRule="auto"/>
              <w:rPr>
                <w:rFonts w:hint="eastAsia" w:ascii="宋体" w:hAnsi="宋体"/>
                <w:bCs/>
                <w:color w:val="auto"/>
                <w:sz w:val="21"/>
                <w:szCs w:val="21"/>
              </w:rPr>
            </w:pPr>
            <w:r>
              <w:rPr>
                <w:rFonts w:hint="eastAsia" w:ascii="宋体" w:hAnsi="宋体"/>
                <w:bCs/>
                <w:color w:val="auto"/>
                <w:sz w:val="21"/>
                <w:szCs w:val="21"/>
              </w:rPr>
              <w:t>运输过程中的温度监控记录：</w:t>
            </w:r>
          </w:p>
          <w:p>
            <w:pPr>
              <w:widowControl/>
              <w:spacing w:line="360" w:lineRule="auto"/>
              <w:rPr>
                <w:rFonts w:hint="eastAsia" w:ascii="宋体" w:hAnsi="宋体"/>
                <w:bCs/>
                <w:color w:val="auto"/>
                <w:sz w:val="21"/>
                <w:szCs w:val="21"/>
              </w:rPr>
            </w:pPr>
            <w:r>
              <w:rPr>
                <w:rFonts w:hint="eastAsia" w:ascii="宋体" w:hAnsi="宋体"/>
                <w:bCs/>
                <w:color w:val="auto"/>
                <w:sz w:val="21"/>
                <w:szCs w:val="21"/>
              </w:rPr>
              <w:t>最高温度：</w:t>
            </w:r>
            <w:r>
              <w:rPr>
                <w:rFonts w:hint="eastAsia" w:ascii="宋体" w:hAnsi="宋体"/>
                <w:bCs/>
                <w:color w:val="auto"/>
                <w:sz w:val="21"/>
                <w:szCs w:val="21"/>
                <w:u w:val="single"/>
              </w:rPr>
              <w:t xml:space="preserve">        </w:t>
            </w:r>
            <w:r>
              <w:rPr>
                <w:rFonts w:hint="eastAsia" w:ascii="宋体" w:hAnsi="宋体"/>
                <w:bCs/>
                <w:color w:val="auto"/>
                <w:sz w:val="21"/>
                <w:szCs w:val="21"/>
              </w:rPr>
              <w:t xml:space="preserve"> ；最低温度：</w:t>
            </w:r>
            <w:r>
              <w:rPr>
                <w:rFonts w:hint="eastAsia" w:ascii="宋体" w:hAnsi="宋体"/>
                <w:bCs/>
                <w:color w:val="auto"/>
                <w:sz w:val="21"/>
                <w:szCs w:val="21"/>
                <w:u w:val="single"/>
              </w:rPr>
              <w:t xml:space="preserve">        </w:t>
            </w:r>
            <w:r>
              <w:rPr>
                <w:rFonts w:hint="eastAsia" w:ascii="宋体" w:hAnsi="宋体"/>
                <w:bCs/>
                <w:color w:val="auto"/>
                <w:sz w:val="21"/>
                <w:szCs w:val="21"/>
              </w:rPr>
              <w:t xml:space="preserve"> ；当前温度：</w:t>
            </w:r>
            <w:r>
              <w:rPr>
                <w:rFonts w:hint="eastAsia" w:ascii="宋体" w:hAnsi="宋体"/>
                <w:bCs/>
                <w:color w:val="auto"/>
                <w:sz w:val="21"/>
                <w:szCs w:val="21"/>
                <w:u w:val="single"/>
              </w:rPr>
              <w:t xml:space="preserve">        </w:t>
            </w:r>
            <w:r>
              <w:rPr>
                <w:rFonts w:hint="eastAsia" w:ascii="宋体" w:hAnsi="宋体"/>
                <w:bCs/>
                <w:color w:val="auto"/>
                <w:sz w:val="21"/>
                <w:szCs w:val="21"/>
              </w:rPr>
              <w:t xml:space="preserve"> </w:t>
            </w:r>
            <w:r>
              <w:rPr>
                <w:rFonts w:hint="eastAsia" w:ascii="宋体" w:hAnsi="宋体"/>
                <w:bCs/>
                <w:color w:val="auto"/>
                <w:sz w:val="21"/>
                <w:szCs w:val="21"/>
                <w:lang w:eastAsia="zh-CN"/>
              </w:rPr>
              <w:t>；</w:t>
            </w:r>
            <w:r>
              <w:rPr>
                <w:rFonts w:hint="eastAsia" w:ascii="宋体" w:hAnsi="宋体"/>
                <w:bCs/>
                <w:color w:val="auto"/>
                <w:sz w:val="21"/>
                <w:szCs w:val="21"/>
              </w:rPr>
              <w:t>应急信件是否符合要求</w:t>
            </w:r>
            <w:r>
              <w:rPr>
                <w:rFonts w:hint="eastAsia" w:ascii="宋体" w:hAnsi="宋体"/>
                <w:bCs/>
                <w:color w:val="auto"/>
                <w:sz w:val="21"/>
                <w:szCs w:val="21"/>
                <w:u w:val="single"/>
              </w:rPr>
              <w:t xml:space="preserve">        </w:t>
            </w:r>
            <w:r>
              <w:rPr>
                <w:rFonts w:hint="eastAsia" w:ascii="宋体" w:hAnsi="宋体"/>
                <w:bCs/>
                <w:color w:val="auto"/>
                <w:sz w:val="21"/>
                <w:szCs w:val="21"/>
                <w:u w:val="none"/>
                <w:lang w:eastAsia="zh-CN"/>
              </w:rPr>
              <w:t>（</w:t>
            </w:r>
            <w:r>
              <w:rPr>
                <w:rFonts w:hint="eastAsia" w:ascii="宋体" w:hAnsi="宋体"/>
                <w:bCs/>
                <w:color w:val="auto"/>
                <w:sz w:val="21"/>
                <w:szCs w:val="21"/>
              </w:rPr>
              <w:t>此项根据试验方案要求需要填写）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4178" w:type="dxa"/>
            <w:gridSpan w:val="9"/>
            <w:vAlign w:val="top"/>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bCs/>
                <w:color w:val="auto"/>
                <w:sz w:val="21"/>
                <w:szCs w:val="21"/>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bCs/>
                <w:color w:val="auto"/>
                <w:sz w:val="21"/>
                <w:szCs w:val="21"/>
              </w:rPr>
            </w:pPr>
            <w:r>
              <w:rPr>
                <w:rFonts w:hint="eastAsia" w:ascii="宋体" w:hAnsi="宋体"/>
                <w:bCs/>
                <w:color w:val="auto"/>
                <w:sz w:val="21"/>
                <w:szCs w:val="21"/>
              </w:rPr>
              <w:t>药物接收时的状态是否符合要求：□是 □否 （备注：</w:t>
            </w:r>
            <w:r>
              <w:rPr>
                <w:rFonts w:hint="eastAsia" w:ascii="宋体" w:hAnsi="宋体"/>
                <w:bCs/>
                <w:color w:val="auto"/>
                <w:sz w:val="21"/>
                <w:szCs w:val="21"/>
                <w:u w:val="single"/>
              </w:rPr>
              <w:t xml:space="preserve">                                               </w:t>
            </w:r>
            <w:r>
              <w:rPr>
                <w:rFonts w:hint="eastAsia" w:ascii="宋体" w:hAnsi="宋体"/>
                <w:bCs/>
                <w:color w:val="auto"/>
                <w:sz w:val="21"/>
                <w:szCs w:val="21"/>
                <w:u w:val="single"/>
                <w:lang w:val="en-US" w:eastAsia="zh-CN"/>
              </w:rPr>
              <w:t xml:space="preserve">   </w:t>
            </w:r>
            <w:r>
              <w:rPr>
                <w:rFonts w:hint="eastAsia" w:ascii="宋体" w:hAnsi="宋体"/>
                <w:bCs/>
                <w:color w:val="auto"/>
                <w:sz w:val="21"/>
                <w:szCs w:val="21"/>
                <w:u w:val="single"/>
              </w:rPr>
              <w:t xml:space="preserve">                </w:t>
            </w:r>
            <w:r>
              <w:rPr>
                <w:rFonts w:hint="eastAsia" w:ascii="宋体" w:hAnsi="宋体"/>
                <w:bCs/>
                <w:color w:val="auto"/>
                <w:sz w:val="21"/>
                <w:szCs w:val="21"/>
                <w:u w:val="single"/>
                <w:lang w:val="en-US" w:eastAsia="zh-CN"/>
              </w:rPr>
              <w:t xml:space="preserve"> </w:t>
            </w:r>
            <w:r>
              <w:rPr>
                <w:rFonts w:hint="eastAsia" w:ascii="宋体" w:hAnsi="宋体"/>
                <w:bCs/>
                <w:color w:val="auto"/>
                <w:sz w:val="21"/>
                <w:szCs w:val="21"/>
                <w:u w:val="single"/>
              </w:rPr>
              <w:t xml:space="preserve">      </w:t>
            </w:r>
            <w:r>
              <w:rPr>
                <w:rFonts w:hint="eastAsia" w:ascii="宋体" w:hAnsi="宋体"/>
                <w:bCs/>
                <w:color w:val="auto"/>
                <w:sz w:val="21"/>
                <w:szCs w:val="21"/>
              </w:rPr>
              <w:t>）</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bCs/>
                <w:color w:val="auto"/>
                <w:sz w:val="21"/>
                <w:szCs w:val="21"/>
              </w:rPr>
            </w:pPr>
            <w:r>
              <w:rPr>
                <w:rFonts w:hint="eastAsia" w:ascii="宋体" w:hAnsi="宋体"/>
                <w:bCs/>
                <w:color w:val="auto"/>
                <w:sz w:val="21"/>
                <w:szCs w:val="21"/>
              </w:rPr>
              <w:t>（如：外包装/药物有无损坏、标签信息是否完整、应急信件是否符合要求）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4178" w:type="dxa"/>
            <w:gridSpan w:val="9"/>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bCs/>
                <w:color w:val="auto"/>
                <w:sz w:val="21"/>
                <w:szCs w:val="21"/>
              </w:rPr>
            </w:pPr>
            <w:r>
              <w:rPr>
                <w:rFonts w:hint="eastAsia" w:ascii="宋体" w:hAnsi="宋体"/>
                <w:bCs/>
                <w:color w:val="auto"/>
                <w:sz w:val="21"/>
                <w:szCs w:val="21"/>
              </w:rPr>
              <w:t>接收药物信息是否与药检报告信息一致：□是 □否（备注：</w:t>
            </w:r>
            <w:r>
              <w:rPr>
                <w:rFonts w:hint="eastAsia" w:ascii="宋体" w:hAnsi="宋体"/>
                <w:bCs/>
                <w:color w:val="auto"/>
                <w:sz w:val="21"/>
                <w:szCs w:val="21"/>
                <w:u w:val="single"/>
              </w:rPr>
              <w:t xml:space="preserve">                                             </w:t>
            </w:r>
            <w:r>
              <w:rPr>
                <w:rFonts w:hint="eastAsia" w:ascii="宋体" w:hAnsi="宋体"/>
                <w:bCs/>
                <w:color w:val="auto"/>
                <w:sz w:val="21"/>
                <w:szCs w:val="21"/>
                <w:u w:val="single"/>
                <w:lang w:val="en-US" w:eastAsia="zh-CN"/>
              </w:rPr>
              <w:t xml:space="preserve">  </w:t>
            </w:r>
            <w:r>
              <w:rPr>
                <w:rFonts w:hint="eastAsia" w:ascii="宋体" w:hAnsi="宋体"/>
                <w:bCs/>
                <w:color w:val="auto"/>
                <w:sz w:val="21"/>
                <w:szCs w:val="21"/>
                <w:u w:val="single"/>
              </w:rPr>
              <w:t xml:space="preserve">              </w:t>
            </w:r>
            <w:r>
              <w:rPr>
                <w:rFonts w:hint="eastAsia" w:ascii="宋体" w:hAnsi="宋体"/>
                <w:bCs/>
                <w:color w:val="auto"/>
                <w:sz w:val="21"/>
                <w:szCs w:val="21"/>
                <w:u w:val="single"/>
                <w:lang w:val="en-US" w:eastAsia="zh-CN"/>
              </w:rPr>
              <w:t xml:space="preserve"> </w:t>
            </w:r>
            <w:r>
              <w:rPr>
                <w:rFonts w:hint="eastAsia" w:ascii="宋体" w:hAnsi="宋体"/>
                <w:bCs/>
                <w:color w:val="auto"/>
                <w:sz w:val="21"/>
                <w:szCs w:val="21"/>
                <w:u w:val="single"/>
              </w:rPr>
              <w:t xml:space="preserve">      </w:t>
            </w:r>
            <w:r>
              <w:rPr>
                <w:rFonts w:hint="eastAsia" w:ascii="宋体" w:hAnsi="宋体"/>
                <w:bCs/>
                <w:color w:val="auto"/>
                <w:sz w:val="21"/>
                <w:szCs w:val="21"/>
              </w:rPr>
              <w:t>）</w:t>
            </w:r>
          </w:p>
        </w:tc>
      </w:tr>
    </w:tbl>
    <w:p>
      <w:pPr>
        <w:keepNext w:val="0"/>
        <w:keepLines w:val="0"/>
        <w:pageBreakBefore w:val="0"/>
        <w:widowControl/>
        <w:shd w:val="clear" w:color="auto" w:fill="FFFFFF"/>
        <w:kinsoku/>
        <w:wordWrap/>
        <w:overflowPunct/>
        <w:topLinePunct w:val="0"/>
        <w:autoSpaceDE/>
        <w:autoSpaceDN/>
        <w:bidi w:val="0"/>
        <w:adjustRightInd/>
        <w:snapToGrid/>
        <w:spacing w:before="144" w:beforeLines="50" w:line="360" w:lineRule="auto"/>
        <w:ind w:firstLine="315" w:firstLineChars="150"/>
        <w:textAlignment w:val="auto"/>
        <w:rPr>
          <w:rFonts w:hint="eastAsia" w:ascii="宋体" w:hAnsi="宋体"/>
          <w:color w:val="auto"/>
          <w:kern w:val="0"/>
          <w:sz w:val="21"/>
          <w:szCs w:val="21"/>
          <w:u w:val="single"/>
        </w:rPr>
      </w:pPr>
      <w:r>
        <w:rPr>
          <w:rFonts w:hint="eastAsia" w:ascii="宋体" w:hAnsi="宋体"/>
          <w:color w:val="auto"/>
          <w:kern w:val="0"/>
          <w:sz w:val="21"/>
          <w:szCs w:val="21"/>
        </w:rPr>
        <w:t>送药人：</w:t>
      </w:r>
      <w:r>
        <w:rPr>
          <w:rFonts w:hint="eastAsia" w:ascii="宋体" w:hAnsi="宋体"/>
          <w:color w:val="auto"/>
          <w:kern w:val="0"/>
          <w:sz w:val="21"/>
          <w:szCs w:val="21"/>
          <w:u w:val="single"/>
        </w:rPr>
        <w:t xml:space="preserve">               </w:t>
      </w:r>
      <w:r>
        <w:rPr>
          <w:rFonts w:hint="eastAsia" w:ascii="宋体" w:hAnsi="宋体"/>
          <w:color w:val="auto"/>
          <w:kern w:val="0"/>
          <w:sz w:val="21"/>
          <w:szCs w:val="21"/>
        </w:rPr>
        <w:t>日期：</w:t>
      </w:r>
      <w:r>
        <w:rPr>
          <w:rFonts w:hint="eastAsia" w:ascii="宋体" w:hAnsi="宋体"/>
          <w:color w:val="auto"/>
          <w:kern w:val="0"/>
          <w:sz w:val="21"/>
          <w:szCs w:val="21"/>
          <w:u w:val="single"/>
        </w:rPr>
        <w:t xml:space="preserve">                 </w:t>
      </w:r>
      <w:r>
        <w:rPr>
          <w:rFonts w:hint="eastAsia" w:ascii="宋体" w:hAnsi="宋体"/>
          <w:color w:val="auto"/>
          <w:kern w:val="0"/>
          <w:sz w:val="21"/>
          <w:szCs w:val="21"/>
        </w:rPr>
        <w:t xml:space="preserve"> 接收人：</w:t>
      </w:r>
      <w:r>
        <w:rPr>
          <w:rFonts w:hint="eastAsia" w:ascii="宋体" w:hAnsi="宋体"/>
          <w:color w:val="auto"/>
          <w:kern w:val="0"/>
          <w:sz w:val="21"/>
          <w:szCs w:val="21"/>
          <w:u w:val="single"/>
        </w:rPr>
        <w:t xml:space="preserve">            </w:t>
      </w:r>
      <w:r>
        <w:rPr>
          <w:rFonts w:hint="eastAsia" w:ascii="宋体" w:hAnsi="宋体"/>
          <w:color w:val="auto"/>
          <w:kern w:val="0"/>
          <w:sz w:val="21"/>
          <w:szCs w:val="21"/>
        </w:rPr>
        <w:t xml:space="preserve"> 日期：</w:t>
      </w:r>
      <w:r>
        <w:rPr>
          <w:rFonts w:hint="eastAsia" w:ascii="宋体" w:hAnsi="宋体"/>
          <w:color w:val="auto"/>
          <w:kern w:val="0"/>
          <w:sz w:val="21"/>
          <w:szCs w:val="21"/>
          <w:u w:val="single"/>
        </w:rPr>
        <w:t xml:space="preserve">             </w:t>
      </w:r>
      <w:r>
        <w:rPr>
          <w:rFonts w:hint="eastAsia" w:ascii="宋体" w:hAnsi="宋体"/>
          <w:b/>
          <w:bCs/>
          <w:color w:val="auto"/>
          <w:sz w:val="21"/>
          <w:szCs w:val="21"/>
        </w:rPr>
        <w:t xml:space="preserve"> </w:t>
      </w:r>
    </w:p>
    <w:p>
      <w:pPr>
        <w:spacing w:line="360" w:lineRule="auto"/>
        <w:rPr>
          <w:rFonts w:hint="eastAsia" w:ascii="黑体" w:hAnsi="黑体" w:eastAsia="黑体" w:cs="宋体"/>
          <w:color w:val="auto"/>
          <w:sz w:val="21"/>
          <w:szCs w:val="21"/>
        </w:rPr>
        <w:sectPr>
          <w:headerReference r:id="rId90" w:type="default"/>
          <w:footerReference r:id="rId91" w:type="default"/>
          <w:pgSz w:w="16840" w:h="11907" w:orient="landscape"/>
          <w:pgMar w:top="1418" w:right="1021" w:bottom="1021" w:left="1418" w:header="0" w:footer="992" w:gutter="0"/>
          <w:pgNumType w:fmt="decimal"/>
          <w:cols w:space="720" w:num="1"/>
          <w:docGrid w:linePitch="286" w:charSpace="0"/>
        </w:sectPr>
      </w:pPr>
    </w:p>
    <w:p>
      <w:pPr>
        <w:spacing w:line="36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附件2 临床试验用药物出入库记录表</w:t>
      </w:r>
    </w:p>
    <w:p>
      <w:pPr>
        <w:spacing w:line="360" w:lineRule="auto"/>
        <w:jc w:val="center"/>
        <w:rPr>
          <w:b/>
          <w:color w:val="auto"/>
          <w:sz w:val="24"/>
          <w:szCs w:val="24"/>
        </w:rPr>
      </w:pPr>
      <w:r>
        <w:rPr>
          <w:rFonts w:hint="eastAsia"/>
          <w:b/>
          <w:color w:val="auto"/>
          <w:sz w:val="24"/>
          <w:szCs w:val="24"/>
        </w:rPr>
        <w:t>临床试验用药物出入库记录表</w:t>
      </w:r>
    </w:p>
    <w:p>
      <w:pPr>
        <w:spacing w:line="400" w:lineRule="exact"/>
        <w:rPr>
          <w:rFonts w:hint="eastAsia"/>
          <w:b/>
          <w:color w:val="auto"/>
          <w:sz w:val="21"/>
          <w:szCs w:val="21"/>
        </w:rPr>
      </w:pPr>
      <w:r>
        <w:rPr>
          <w:rFonts w:hint="eastAsia"/>
          <w:b/>
          <w:color w:val="auto"/>
          <w:sz w:val="21"/>
          <w:szCs w:val="21"/>
        </w:rPr>
        <w:t xml:space="preserve">试验名称： </w:t>
      </w:r>
      <w:r>
        <w:rPr>
          <w:rFonts w:hint="eastAsia"/>
          <w:b/>
          <w:color w:val="auto"/>
          <w:sz w:val="21"/>
          <w:szCs w:val="21"/>
          <w:u w:val="single"/>
        </w:rPr>
        <w:t xml:space="preserve">                                                                                                                                </w:t>
      </w:r>
      <w:r>
        <w:rPr>
          <w:rFonts w:hint="eastAsia"/>
          <w:b/>
          <w:color w:val="auto"/>
          <w:sz w:val="21"/>
          <w:szCs w:val="21"/>
        </w:rPr>
        <w:t xml:space="preserve"> </w:t>
      </w:r>
    </w:p>
    <w:p>
      <w:pPr>
        <w:spacing w:line="400" w:lineRule="exact"/>
        <w:rPr>
          <w:rFonts w:hint="eastAsia" w:eastAsiaTheme="minorEastAsia"/>
          <w:b/>
          <w:color w:val="auto"/>
          <w:sz w:val="21"/>
          <w:szCs w:val="21"/>
          <w:u w:val="single"/>
          <w:lang w:val="en-US" w:eastAsia="zh-CN"/>
        </w:rPr>
      </w:pPr>
      <w:r>
        <w:rPr>
          <w:rFonts w:hint="eastAsia"/>
          <w:b/>
          <w:color w:val="auto"/>
          <w:sz w:val="21"/>
          <w:szCs w:val="21"/>
        </w:rPr>
        <w:t>方案编号：</w:t>
      </w:r>
      <w:r>
        <w:rPr>
          <w:rFonts w:hint="eastAsia" w:ascii="微软雅黑" w:hAnsi="微软雅黑" w:eastAsia="微软雅黑"/>
          <w:color w:val="auto"/>
          <w:sz w:val="21"/>
          <w:szCs w:val="21"/>
          <w:u w:val="single"/>
        </w:rPr>
        <w:t xml:space="preserve">                           </w:t>
      </w:r>
      <w:r>
        <w:rPr>
          <w:rFonts w:hint="eastAsia" w:ascii="微软雅黑" w:hAnsi="微软雅黑" w:eastAsia="微软雅黑"/>
          <w:color w:val="auto"/>
          <w:sz w:val="21"/>
          <w:szCs w:val="21"/>
        </w:rPr>
        <w:t xml:space="preserve">                                                     </w:t>
      </w:r>
      <w:r>
        <w:rPr>
          <w:rFonts w:hint="eastAsia"/>
          <w:b/>
          <w:color w:val="auto"/>
          <w:sz w:val="21"/>
          <w:szCs w:val="21"/>
        </w:rPr>
        <w:t>申办方：</w:t>
      </w:r>
      <w:r>
        <w:rPr>
          <w:rFonts w:hint="eastAsia" w:ascii="宋体" w:hAnsi="宋体"/>
          <w:color w:val="auto"/>
          <w:spacing w:val="20"/>
          <w:sz w:val="21"/>
          <w:szCs w:val="21"/>
          <w:u w:val="single"/>
        </w:rPr>
        <w:t xml:space="preserve">                     </w:t>
      </w:r>
      <w:r>
        <w:rPr>
          <w:rFonts w:hint="eastAsia" w:ascii="宋体" w:hAnsi="宋体"/>
          <w:color w:val="auto"/>
          <w:spacing w:val="20"/>
          <w:sz w:val="21"/>
          <w:szCs w:val="21"/>
          <w:u w:val="single"/>
          <w:lang w:val="en-US" w:eastAsia="zh-CN"/>
        </w:rPr>
        <w:t xml:space="preserve"> </w:t>
      </w:r>
    </w:p>
    <w:p>
      <w:pPr>
        <w:spacing w:line="400" w:lineRule="exact"/>
        <w:rPr>
          <w:rFonts w:hint="eastAsia" w:ascii="宋体" w:hAnsi="宋体"/>
          <w:b/>
          <w:color w:val="auto"/>
          <w:spacing w:val="20"/>
          <w:sz w:val="21"/>
          <w:szCs w:val="21"/>
        </w:rPr>
      </w:pPr>
      <w:r>
        <w:rPr>
          <w:rFonts w:hint="eastAsia" w:ascii="宋体" w:hAnsi="宋体"/>
          <w:b/>
          <w:color w:val="auto"/>
          <w:sz w:val="21"/>
          <w:szCs w:val="21"/>
        </w:rPr>
        <w:t>机构名称：沂源县人民医院药物</w:t>
      </w:r>
      <w:r>
        <w:rPr>
          <w:rFonts w:hint="eastAsia" w:ascii="宋体" w:hAnsi="宋体"/>
          <w:b/>
          <w:color w:val="auto"/>
          <w:sz w:val="21"/>
          <w:szCs w:val="21"/>
          <w:lang w:val="en-US" w:eastAsia="zh-CN"/>
        </w:rPr>
        <w:t>/医疗器械</w:t>
      </w:r>
      <w:r>
        <w:rPr>
          <w:rFonts w:hint="eastAsia" w:ascii="宋体" w:hAnsi="宋体"/>
          <w:b/>
          <w:color w:val="auto"/>
          <w:sz w:val="21"/>
          <w:szCs w:val="21"/>
        </w:rPr>
        <w:t>临床试验机构                                                主要研究者：</w:t>
      </w:r>
      <w:r>
        <w:rPr>
          <w:rFonts w:hint="eastAsia" w:ascii="宋体" w:hAnsi="宋体"/>
          <w:b/>
          <w:color w:val="auto"/>
          <w:sz w:val="21"/>
          <w:szCs w:val="21"/>
          <w:u w:val="single"/>
        </w:rPr>
        <w:t xml:space="preserve">                            </w:t>
      </w:r>
      <w:r>
        <w:rPr>
          <w:rFonts w:hint="eastAsia" w:ascii="宋体" w:hAnsi="宋体"/>
          <w:b/>
          <w:color w:val="auto"/>
          <w:sz w:val="21"/>
          <w:szCs w:val="21"/>
        </w:rPr>
        <w:t xml:space="preserve">               </w:t>
      </w:r>
    </w:p>
    <w:tbl>
      <w:tblPr>
        <w:tblStyle w:val="27"/>
        <w:tblW w:w="1543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1187"/>
        <w:gridCol w:w="1575"/>
        <w:gridCol w:w="1080"/>
        <w:gridCol w:w="900"/>
        <w:gridCol w:w="900"/>
        <w:gridCol w:w="1620"/>
        <w:gridCol w:w="1376"/>
        <w:gridCol w:w="780"/>
        <w:gridCol w:w="1203"/>
        <w:gridCol w:w="1500"/>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23" w:type="dxa"/>
            <w:vAlign w:val="center"/>
          </w:tcPr>
          <w:p>
            <w:pPr>
              <w:jc w:val="center"/>
              <w:rPr>
                <w:rFonts w:hint="eastAsia"/>
                <w:b/>
                <w:color w:val="auto"/>
                <w:sz w:val="21"/>
                <w:szCs w:val="21"/>
              </w:rPr>
            </w:pPr>
            <w:r>
              <w:rPr>
                <w:rFonts w:hint="eastAsia"/>
                <w:b/>
                <w:color w:val="auto"/>
                <w:sz w:val="21"/>
                <w:szCs w:val="21"/>
              </w:rPr>
              <w:t>出入</w:t>
            </w:r>
            <w:r>
              <w:rPr>
                <w:b/>
                <w:color w:val="auto"/>
                <w:sz w:val="21"/>
                <w:szCs w:val="21"/>
              </w:rPr>
              <w:t>库类型</w:t>
            </w:r>
          </w:p>
        </w:tc>
        <w:tc>
          <w:tcPr>
            <w:tcW w:w="1187" w:type="dxa"/>
            <w:vAlign w:val="center"/>
          </w:tcPr>
          <w:p>
            <w:pPr>
              <w:jc w:val="center"/>
              <w:rPr>
                <w:rFonts w:hint="eastAsia"/>
                <w:b/>
                <w:color w:val="auto"/>
                <w:sz w:val="21"/>
                <w:szCs w:val="21"/>
              </w:rPr>
            </w:pPr>
            <w:r>
              <w:rPr>
                <w:rFonts w:hint="eastAsia"/>
                <w:b/>
                <w:color w:val="auto"/>
                <w:sz w:val="21"/>
                <w:szCs w:val="21"/>
              </w:rPr>
              <w:t>日期</w:t>
            </w:r>
          </w:p>
        </w:tc>
        <w:tc>
          <w:tcPr>
            <w:tcW w:w="1575" w:type="dxa"/>
            <w:vAlign w:val="center"/>
          </w:tcPr>
          <w:p>
            <w:pPr>
              <w:jc w:val="center"/>
              <w:rPr>
                <w:rFonts w:hint="eastAsia"/>
                <w:b/>
                <w:color w:val="auto"/>
                <w:sz w:val="21"/>
                <w:szCs w:val="21"/>
              </w:rPr>
            </w:pPr>
            <w:r>
              <w:rPr>
                <w:rFonts w:hint="eastAsia"/>
                <w:b/>
                <w:color w:val="auto"/>
                <w:sz w:val="21"/>
                <w:szCs w:val="21"/>
              </w:rPr>
              <w:t>药物名称</w:t>
            </w:r>
          </w:p>
        </w:tc>
        <w:tc>
          <w:tcPr>
            <w:tcW w:w="1080" w:type="dxa"/>
            <w:vAlign w:val="center"/>
          </w:tcPr>
          <w:p>
            <w:pPr>
              <w:jc w:val="center"/>
              <w:rPr>
                <w:rFonts w:hint="eastAsia"/>
                <w:b/>
                <w:color w:val="auto"/>
                <w:sz w:val="21"/>
                <w:szCs w:val="21"/>
              </w:rPr>
            </w:pPr>
            <w:r>
              <w:rPr>
                <w:rFonts w:hint="eastAsia"/>
                <w:b/>
                <w:color w:val="auto"/>
                <w:sz w:val="21"/>
                <w:szCs w:val="21"/>
              </w:rPr>
              <w:t>药物编号</w:t>
            </w:r>
          </w:p>
        </w:tc>
        <w:tc>
          <w:tcPr>
            <w:tcW w:w="900" w:type="dxa"/>
            <w:vAlign w:val="center"/>
          </w:tcPr>
          <w:p>
            <w:pPr>
              <w:jc w:val="center"/>
              <w:rPr>
                <w:rFonts w:hint="eastAsia"/>
                <w:b/>
                <w:color w:val="auto"/>
                <w:sz w:val="21"/>
                <w:szCs w:val="21"/>
              </w:rPr>
            </w:pPr>
            <w:r>
              <w:rPr>
                <w:rFonts w:hint="eastAsia"/>
                <w:b/>
                <w:color w:val="auto"/>
                <w:sz w:val="21"/>
                <w:szCs w:val="21"/>
              </w:rPr>
              <w:t>规格</w:t>
            </w:r>
          </w:p>
        </w:tc>
        <w:tc>
          <w:tcPr>
            <w:tcW w:w="900" w:type="dxa"/>
            <w:vAlign w:val="center"/>
          </w:tcPr>
          <w:p>
            <w:pPr>
              <w:jc w:val="center"/>
              <w:rPr>
                <w:rFonts w:hint="eastAsia"/>
                <w:b/>
                <w:color w:val="auto"/>
                <w:sz w:val="21"/>
                <w:szCs w:val="21"/>
              </w:rPr>
            </w:pPr>
            <w:r>
              <w:rPr>
                <w:rFonts w:hint="eastAsia"/>
                <w:b/>
                <w:color w:val="auto"/>
                <w:sz w:val="21"/>
                <w:szCs w:val="21"/>
              </w:rPr>
              <w:t>数量</w:t>
            </w:r>
          </w:p>
        </w:tc>
        <w:tc>
          <w:tcPr>
            <w:tcW w:w="1620" w:type="dxa"/>
            <w:vAlign w:val="center"/>
          </w:tcPr>
          <w:p>
            <w:pPr>
              <w:jc w:val="center"/>
              <w:rPr>
                <w:rFonts w:hint="eastAsia"/>
                <w:b/>
                <w:color w:val="auto"/>
                <w:sz w:val="21"/>
                <w:szCs w:val="21"/>
              </w:rPr>
            </w:pPr>
            <w:r>
              <w:rPr>
                <w:rFonts w:hint="eastAsia"/>
                <w:b/>
                <w:color w:val="auto"/>
                <w:sz w:val="21"/>
                <w:szCs w:val="21"/>
              </w:rPr>
              <w:t>批号</w:t>
            </w:r>
          </w:p>
        </w:tc>
        <w:tc>
          <w:tcPr>
            <w:tcW w:w="1376" w:type="dxa"/>
            <w:vAlign w:val="center"/>
          </w:tcPr>
          <w:p>
            <w:pPr>
              <w:jc w:val="center"/>
              <w:rPr>
                <w:rFonts w:hint="eastAsia"/>
                <w:b/>
                <w:color w:val="auto"/>
                <w:sz w:val="21"/>
                <w:szCs w:val="21"/>
              </w:rPr>
            </w:pPr>
            <w:r>
              <w:rPr>
                <w:rFonts w:hint="eastAsia"/>
                <w:b/>
                <w:color w:val="auto"/>
                <w:sz w:val="21"/>
                <w:szCs w:val="21"/>
              </w:rPr>
              <w:t>有效期</w:t>
            </w:r>
          </w:p>
        </w:tc>
        <w:tc>
          <w:tcPr>
            <w:tcW w:w="780" w:type="dxa"/>
            <w:vAlign w:val="center"/>
          </w:tcPr>
          <w:p>
            <w:pPr>
              <w:jc w:val="center"/>
              <w:rPr>
                <w:rFonts w:hint="eastAsia"/>
                <w:b/>
                <w:color w:val="auto"/>
                <w:sz w:val="21"/>
                <w:szCs w:val="21"/>
              </w:rPr>
            </w:pPr>
            <w:r>
              <w:rPr>
                <w:rFonts w:hint="eastAsia"/>
                <w:b/>
                <w:color w:val="auto"/>
                <w:sz w:val="21"/>
                <w:szCs w:val="21"/>
              </w:rPr>
              <w:t>剩余数量</w:t>
            </w:r>
          </w:p>
        </w:tc>
        <w:tc>
          <w:tcPr>
            <w:tcW w:w="1203" w:type="dxa"/>
            <w:vAlign w:val="center"/>
          </w:tcPr>
          <w:p>
            <w:pPr>
              <w:jc w:val="center"/>
              <w:rPr>
                <w:rFonts w:hint="eastAsia"/>
                <w:b/>
                <w:color w:val="auto"/>
                <w:sz w:val="21"/>
                <w:szCs w:val="21"/>
              </w:rPr>
            </w:pPr>
            <w:r>
              <w:rPr>
                <w:rFonts w:hint="eastAsia"/>
                <w:b/>
                <w:color w:val="auto"/>
                <w:sz w:val="21"/>
                <w:szCs w:val="21"/>
              </w:rPr>
              <w:t>药品管</w:t>
            </w:r>
          </w:p>
          <w:p>
            <w:pPr>
              <w:jc w:val="center"/>
              <w:rPr>
                <w:rFonts w:hint="eastAsia"/>
                <w:b/>
                <w:color w:val="auto"/>
                <w:sz w:val="21"/>
                <w:szCs w:val="21"/>
              </w:rPr>
            </w:pPr>
            <w:r>
              <w:rPr>
                <w:rFonts w:hint="eastAsia"/>
                <w:b/>
                <w:color w:val="auto"/>
                <w:sz w:val="21"/>
                <w:szCs w:val="21"/>
              </w:rPr>
              <w:t>理员</w:t>
            </w:r>
          </w:p>
        </w:tc>
        <w:tc>
          <w:tcPr>
            <w:tcW w:w="1500" w:type="dxa"/>
            <w:vAlign w:val="center"/>
          </w:tcPr>
          <w:p>
            <w:pPr>
              <w:jc w:val="center"/>
              <w:rPr>
                <w:rFonts w:hint="eastAsia"/>
                <w:b/>
                <w:color w:val="auto"/>
                <w:sz w:val="21"/>
                <w:szCs w:val="21"/>
              </w:rPr>
            </w:pPr>
            <w:r>
              <w:rPr>
                <w:rFonts w:hint="eastAsia"/>
                <w:b/>
                <w:color w:val="auto"/>
                <w:sz w:val="21"/>
                <w:szCs w:val="21"/>
              </w:rPr>
              <w:t>储存条件</w:t>
            </w:r>
          </w:p>
        </w:tc>
        <w:tc>
          <w:tcPr>
            <w:tcW w:w="1591" w:type="dxa"/>
            <w:vAlign w:val="center"/>
          </w:tcPr>
          <w:p>
            <w:pPr>
              <w:jc w:val="center"/>
              <w:rPr>
                <w:rFonts w:hint="eastAsia"/>
                <w:b/>
                <w:color w:val="auto"/>
                <w:sz w:val="21"/>
                <w:szCs w:val="21"/>
              </w:rPr>
            </w:pPr>
            <w:r>
              <w:rPr>
                <w:rFonts w:hint="eastAsia"/>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23" w:type="dxa"/>
            <w:vAlign w:val="center"/>
          </w:tcPr>
          <w:p>
            <w:pPr>
              <w:jc w:val="center"/>
              <w:rPr>
                <w:color w:val="auto"/>
                <w:sz w:val="21"/>
                <w:szCs w:val="21"/>
              </w:rPr>
            </w:pPr>
            <w:r>
              <w:rPr>
                <w:rFonts w:hint="eastAsia"/>
                <w:color w:val="auto"/>
                <w:sz w:val="21"/>
                <w:szCs w:val="21"/>
              </w:rPr>
              <w:t>□入库</w:t>
            </w:r>
          </w:p>
          <w:p>
            <w:pPr>
              <w:jc w:val="center"/>
              <w:rPr>
                <w:rFonts w:hint="eastAsia"/>
                <w:color w:val="auto"/>
                <w:sz w:val="21"/>
                <w:szCs w:val="21"/>
              </w:rPr>
            </w:pPr>
            <w:r>
              <w:rPr>
                <w:rFonts w:hint="eastAsia"/>
                <w:color w:val="auto"/>
                <w:sz w:val="21"/>
                <w:szCs w:val="21"/>
              </w:rPr>
              <w:t>□出库</w:t>
            </w:r>
          </w:p>
        </w:tc>
        <w:tc>
          <w:tcPr>
            <w:tcW w:w="1187" w:type="dxa"/>
            <w:vAlign w:val="top"/>
          </w:tcPr>
          <w:p>
            <w:pPr>
              <w:rPr>
                <w:rFonts w:hint="eastAsia"/>
                <w:color w:val="auto"/>
                <w:sz w:val="21"/>
                <w:szCs w:val="21"/>
              </w:rPr>
            </w:pPr>
          </w:p>
        </w:tc>
        <w:tc>
          <w:tcPr>
            <w:tcW w:w="1575" w:type="dxa"/>
            <w:vAlign w:val="center"/>
          </w:tcPr>
          <w:p>
            <w:pPr>
              <w:rPr>
                <w:rFonts w:hint="eastAsia"/>
                <w:color w:val="auto"/>
                <w:sz w:val="21"/>
                <w:szCs w:val="21"/>
              </w:rPr>
            </w:pPr>
          </w:p>
        </w:tc>
        <w:tc>
          <w:tcPr>
            <w:tcW w:w="108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1620" w:type="dxa"/>
            <w:vAlign w:val="top"/>
          </w:tcPr>
          <w:p>
            <w:pPr>
              <w:rPr>
                <w:rFonts w:hint="eastAsia"/>
                <w:color w:val="auto"/>
                <w:sz w:val="21"/>
                <w:szCs w:val="21"/>
              </w:rPr>
            </w:pPr>
          </w:p>
        </w:tc>
        <w:tc>
          <w:tcPr>
            <w:tcW w:w="1376" w:type="dxa"/>
            <w:vAlign w:val="center"/>
          </w:tcPr>
          <w:p>
            <w:pPr>
              <w:rPr>
                <w:rFonts w:hint="eastAsia"/>
                <w:color w:val="auto"/>
                <w:sz w:val="21"/>
                <w:szCs w:val="21"/>
              </w:rPr>
            </w:pPr>
          </w:p>
        </w:tc>
        <w:tc>
          <w:tcPr>
            <w:tcW w:w="780" w:type="dxa"/>
            <w:vAlign w:val="top"/>
          </w:tcPr>
          <w:p>
            <w:pPr>
              <w:rPr>
                <w:rFonts w:hint="eastAsia"/>
                <w:color w:val="auto"/>
                <w:sz w:val="21"/>
                <w:szCs w:val="21"/>
              </w:rPr>
            </w:pPr>
          </w:p>
        </w:tc>
        <w:tc>
          <w:tcPr>
            <w:tcW w:w="1203" w:type="dxa"/>
            <w:vAlign w:val="top"/>
          </w:tcPr>
          <w:p>
            <w:pPr>
              <w:rPr>
                <w:rFonts w:hint="eastAsia"/>
                <w:color w:val="auto"/>
                <w:sz w:val="21"/>
                <w:szCs w:val="21"/>
              </w:rPr>
            </w:pPr>
          </w:p>
        </w:tc>
        <w:tc>
          <w:tcPr>
            <w:tcW w:w="1500" w:type="dxa"/>
            <w:vAlign w:val="top"/>
          </w:tcPr>
          <w:p>
            <w:pPr>
              <w:rPr>
                <w:rFonts w:hint="eastAsia"/>
                <w:color w:val="auto"/>
                <w:sz w:val="21"/>
                <w:szCs w:val="21"/>
              </w:rPr>
            </w:pPr>
          </w:p>
        </w:tc>
        <w:tc>
          <w:tcPr>
            <w:tcW w:w="1591" w:type="dxa"/>
            <w:vAlign w:val="top"/>
          </w:tcPr>
          <w:p>
            <w:pP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23" w:type="dxa"/>
            <w:vAlign w:val="center"/>
          </w:tcPr>
          <w:p>
            <w:pPr>
              <w:jc w:val="center"/>
              <w:rPr>
                <w:color w:val="auto"/>
                <w:sz w:val="21"/>
                <w:szCs w:val="21"/>
              </w:rPr>
            </w:pPr>
            <w:r>
              <w:rPr>
                <w:rFonts w:hint="eastAsia"/>
                <w:color w:val="auto"/>
                <w:sz w:val="21"/>
                <w:szCs w:val="21"/>
              </w:rPr>
              <w:t>□入库</w:t>
            </w:r>
          </w:p>
          <w:p>
            <w:pPr>
              <w:jc w:val="center"/>
              <w:rPr>
                <w:rFonts w:hint="eastAsia"/>
                <w:color w:val="auto"/>
                <w:sz w:val="21"/>
                <w:szCs w:val="21"/>
              </w:rPr>
            </w:pPr>
            <w:r>
              <w:rPr>
                <w:rFonts w:hint="eastAsia"/>
                <w:color w:val="auto"/>
                <w:sz w:val="21"/>
                <w:szCs w:val="21"/>
              </w:rPr>
              <w:t>□出库</w:t>
            </w:r>
          </w:p>
        </w:tc>
        <w:tc>
          <w:tcPr>
            <w:tcW w:w="1187" w:type="dxa"/>
            <w:vAlign w:val="top"/>
          </w:tcPr>
          <w:p>
            <w:pPr>
              <w:rPr>
                <w:rFonts w:hint="eastAsia"/>
                <w:color w:val="auto"/>
                <w:sz w:val="21"/>
                <w:szCs w:val="21"/>
              </w:rPr>
            </w:pPr>
          </w:p>
        </w:tc>
        <w:tc>
          <w:tcPr>
            <w:tcW w:w="1575" w:type="dxa"/>
            <w:vAlign w:val="center"/>
          </w:tcPr>
          <w:p>
            <w:pPr>
              <w:rPr>
                <w:rFonts w:hint="eastAsia"/>
                <w:color w:val="auto"/>
                <w:sz w:val="21"/>
                <w:szCs w:val="21"/>
              </w:rPr>
            </w:pPr>
          </w:p>
        </w:tc>
        <w:tc>
          <w:tcPr>
            <w:tcW w:w="108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1620" w:type="dxa"/>
            <w:vAlign w:val="top"/>
          </w:tcPr>
          <w:p>
            <w:pPr>
              <w:rPr>
                <w:rFonts w:hint="eastAsia"/>
                <w:color w:val="auto"/>
                <w:sz w:val="21"/>
                <w:szCs w:val="21"/>
              </w:rPr>
            </w:pPr>
          </w:p>
        </w:tc>
        <w:tc>
          <w:tcPr>
            <w:tcW w:w="1376" w:type="dxa"/>
            <w:vAlign w:val="center"/>
          </w:tcPr>
          <w:p>
            <w:pPr>
              <w:rPr>
                <w:rFonts w:hint="eastAsia"/>
                <w:color w:val="auto"/>
                <w:sz w:val="21"/>
                <w:szCs w:val="21"/>
              </w:rPr>
            </w:pPr>
          </w:p>
        </w:tc>
        <w:tc>
          <w:tcPr>
            <w:tcW w:w="780" w:type="dxa"/>
            <w:vAlign w:val="top"/>
          </w:tcPr>
          <w:p>
            <w:pPr>
              <w:rPr>
                <w:rFonts w:hint="eastAsia"/>
                <w:color w:val="auto"/>
                <w:sz w:val="21"/>
                <w:szCs w:val="21"/>
              </w:rPr>
            </w:pPr>
          </w:p>
        </w:tc>
        <w:tc>
          <w:tcPr>
            <w:tcW w:w="1203" w:type="dxa"/>
            <w:vAlign w:val="top"/>
          </w:tcPr>
          <w:p>
            <w:pPr>
              <w:rPr>
                <w:rFonts w:hint="eastAsia"/>
                <w:color w:val="auto"/>
                <w:sz w:val="21"/>
                <w:szCs w:val="21"/>
              </w:rPr>
            </w:pPr>
          </w:p>
        </w:tc>
        <w:tc>
          <w:tcPr>
            <w:tcW w:w="1500" w:type="dxa"/>
            <w:vAlign w:val="top"/>
          </w:tcPr>
          <w:p>
            <w:pPr>
              <w:rPr>
                <w:rFonts w:hint="eastAsia"/>
                <w:color w:val="auto"/>
                <w:sz w:val="21"/>
                <w:szCs w:val="21"/>
              </w:rPr>
            </w:pPr>
          </w:p>
        </w:tc>
        <w:tc>
          <w:tcPr>
            <w:tcW w:w="1591" w:type="dxa"/>
            <w:vAlign w:val="top"/>
          </w:tcPr>
          <w:p>
            <w:pP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23" w:type="dxa"/>
            <w:vAlign w:val="center"/>
          </w:tcPr>
          <w:p>
            <w:pPr>
              <w:jc w:val="center"/>
              <w:rPr>
                <w:color w:val="auto"/>
                <w:sz w:val="21"/>
                <w:szCs w:val="21"/>
              </w:rPr>
            </w:pPr>
            <w:r>
              <w:rPr>
                <w:rFonts w:hint="eastAsia"/>
                <w:color w:val="auto"/>
                <w:sz w:val="21"/>
                <w:szCs w:val="21"/>
              </w:rPr>
              <w:t>□入库</w:t>
            </w:r>
          </w:p>
          <w:p>
            <w:pPr>
              <w:jc w:val="center"/>
              <w:rPr>
                <w:color w:val="auto"/>
                <w:sz w:val="21"/>
                <w:szCs w:val="21"/>
              </w:rPr>
            </w:pPr>
            <w:r>
              <w:rPr>
                <w:rFonts w:hint="eastAsia"/>
                <w:color w:val="auto"/>
                <w:sz w:val="21"/>
                <w:szCs w:val="21"/>
              </w:rPr>
              <w:t>□出库</w:t>
            </w:r>
          </w:p>
        </w:tc>
        <w:tc>
          <w:tcPr>
            <w:tcW w:w="1187" w:type="dxa"/>
            <w:vAlign w:val="top"/>
          </w:tcPr>
          <w:p>
            <w:pPr>
              <w:rPr>
                <w:rFonts w:hint="eastAsia"/>
                <w:color w:val="auto"/>
                <w:sz w:val="21"/>
                <w:szCs w:val="21"/>
              </w:rPr>
            </w:pPr>
          </w:p>
        </w:tc>
        <w:tc>
          <w:tcPr>
            <w:tcW w:w="1575" w:type="dxa"/>
            <w:vAlign w:val="center"/>
          </w:tcPr>
          <w:p>
            <w:pPr>
              <w:rPr>
                <w:rFonts w:hint="eastAsia"/>
                <w:color w:val="auto"/>
                <w:sz w:val="21"/>
                <w:szCs w:val="21"/>
              </w:rPr>
            </w:pPr>
          </w:p>
        </w:tc>
        <w:tc>
          <w:tcPr>
            <w:tcW w:w="108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1620" w:type="dxa"/>
            <w:vAlign w:val="top"/>
          </w:tcPr>
          <w:p>
            <w:pPr>
              <w:rPr>
                <w:rFonts w:hint="eastAsia"/>
                <w:color w:val="auto"/>
                <w:sz w:val="21"/>
                <w:szCs w:val="21"/>
              </w:rPr>
            </w:pPr>
          </w:p>
        </w:tc>
        <w:tc>
          <w:tcPr>
            <w:tcW w:w="1376" w:type="dxa"/>
            <w:vAlign w:val="center"/>
          </w:tcPr>
          <w:p>
            <w:pPr>
              <w:rPr>
                <w:rFonts w:hint="eastAsia"/>
                <w:color w:val="auto"/>
                <w:sz w:val="21"/>
                <w:szCs w:val="21"/>
              </w:rPr>
            </w:pPr>
          </w:p>
        </w:tc>
        <w:tc>
          <w:tcPr>
            <w:tcW w:w="780" w:type="dxa"/>
            <w:vAlign w:val="top"/>
          </w:tcPr>
          <w:p>
            <w:pPr>
              <w:rPr>
                <w:rFonts w:hint="eastAsia"/>
                <w:color w:val="auto"/>
                <w:sz w:val="21"/>
                <w:szCs w:val="21"/>
              </w:rPr>
            </w:pPr>
          </w:p>
        </w:tc>
        <w:tc>
          <w:tcPr>
            <w:tcW w:w="1203" w:type="dxa"/>
            <w:vAlign w:val="top"/>
          </w:tcPr>
          <w:p>
            <w:pPr>
              <w:rPr>
                <w:rFonts w:hint="eastAsia"/>
                <w:color w:val="auto"/>
                <w:sz w:val="21"/>
                <w:szCs w:val="21"/>
              </w:rPr>
            </w:pPr>
          </w:p>
        </w:tc>
        <w:tc>
          <w:tcPr>
            <w:tcW w:w="1500" w:type="dxa"/>
            <w:vAlign w:val="top"/>
          </w:tcPr>
          <w:p>
            <w:pPr>
              <w:rPr>
                <w:rFonts w:hint="eastAsia"/>
                <w:color w:val="auto"/>
                <w:sz w:val="21"/>
                <w:szCs w:val="21"/>
              </w:rPr>
            </w:pPr>
          </w:p>
        </w:tc>
        <w:tc>
          <w:tcPr>
            <w:tcW w:w="1591" w:type="dxa"/>
            <w:vAlign w:val="top"/>
          </w:tcPr>
          <w:p>
            <w:pP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23" w:type="dxa"/>
            <w:vAlign w:val="center"/>
          </w:tcPr>
          <w:p>
            <w:pPr>
              <w:jc w:val="center"/>
              <w:rPr>
                <w:color w:val="auto"/>
                <w:sz w:val="21"/>
                <w:szCs w:val="21"/>
              </w:rPr>
            </w:pPr>
            <w:r>
              <w:rPr>
                <w:rFonts w:hint="eastAsia"/>
                <w:color w:val="auto"/>
                <w:sz w:val="21"/>
                <w:szCs w:val="21"/>
              </w:rPr>
              <w:t>□入库</w:t>
            </w:r>
          </w:p>
          <w:p>
            <w:pPr>
              <w:jc w:val="center"/>
              <w:rPr>
                <w:rFonts w:hint="eastAsia"/>
                <w:color w:val="auto"/>
                <w:sz w:val="21"/>
                <w:szCs w:val="21"/>
              </w:rPr>
            </w:pPr>
            <w:r>
              <w:rPr>
                <w:rFonts w:hint="eastAsia"/>
                <w:color w:val="auto"/>
                <w:sz w:val="21"/>
                <w:szCs w:val="21"/>
              </w:rPr>
              <w:t>□出库</w:t>
            </w:r>
          </w:p>
        </w:tc>
        <w:tc>
          <w:tcPr>
            <w:tcW w:w="1187" w:type="dxa"/>
            <w:vAlign w:val="top"/>
          </w:tcPr>
          <w:p>
            <w:pPr>
              <w:rPr>
                <w:rFonts w:hint="eastAsia"/>
                <w:color w:val="auto"/>
                <w:sz w:val="21"/>
                <w:szCs w:val="21"/>
              </w:rPr>
            </w:pPr>
          </w:p>
        </w:tc>
        <w:tc>
          <w:tcPr>
            <w:tcW w:w="1575" w:type="dxa"/>
            <w:vAlign w:val="center"/>
          </w:tcPr>
          <w:p>
            <w:pPr>
              <w:rPr>
                <w:rFonts w:hint="eastAsia"/>
                <w:color w:val="auto"/>
                <w:sz w:val="21"/>
                <w:szCs w:val="21"/>
              </w:rPr>
            </w:pPr>
          </w:p>
        </w:tc>
        <w:tc>
          <w:tcPr>
            <w:tcW w:w="108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1620" w:type="dxa"/>
            <w:vAlign w:val="top"/>
          </w:tcPr>
          <w:p>
            <w:pPr>
              <w:rPr>
                <w:rFonts w:hint="eastAsia"/>
                <w:color w:val="auto"/>
                <w:sz w:val="21"/>
                <w:szCs w:val="21"/>
              </w:rPr>
            </w:pPr>
          </w:p>
        </w:tc>
        <w:tc>
          <w:tcPr>
            <w:tcW w:w="1376" w:type="dxa"/>
            <w:vAlign w:val="center"/>
          </w:tcPr>
          <w:p>
            <w:pPr>
              <w:rPr>
                <w:rFonts w:hint="eastAsia"/>
                <w:color w:val="auto"/>
                <w:sz w:val="21"/>
                <w:szCs w:val="21"/>
              </w:rPr>
            </w:pPr>
          </w:p>
        </w:tc>
        <w:tc>
          <w:tcPr>
            <w:tcW w:w="780" w:type="dxa"/>
            <w:vAlign w:val="top"/>
          </w:tcPr>
          <w:p>
            <w:pPr>
              <w:rPr>
                <w:rFonts w:hint="eastAsia"/>
                <w:color w:val="auto"/>
                <w:sz w:val="21"/>
                <w:szCs w:val="21"/>
              </w:rPr>
            </w:pPr>
          </w:p>
        </w:tc>
        <w:tc>
          <w:tcPr>
            <w:tcW w:w="1203" w:type="dxa"/>
            <w:vAlign w:val="top"/>
          </w:tcPr>
          <w:p>
            <w:pPr>
              <w:rPr>
                <w:rFonts w:hint="eastAsia"/>
                <w:color w:val="auto"/>
                <w:sz w:val="21"/>
                <w:szCs w:val="21"/>
              </w:rPr>
            </w:pPr>
          </w:p>
        </w:tc>
        <w:tc>
          <w:tcPr>
            <w:tcW w:w="1500" w:type="dxa"/>
            <w:vAlign w:val="top"/>
          </w:tcPr>
          <w:p>
            <w:pPr>
              <w:rPr>
                <w:rFonts w:hint="eastAsia"/>
                <w:color w:val="auto"/>
                <w:sz w:val="21"/>
                <w:szCs w:val="21"/>
              </w:rPr>
            </w:pPr>
          </w:p>
        </w:tc>
        <w:tc>
          <w:tcPr>
            <w:tcW w:w="1591" w:type="dxa"/>
            <w:vAlign w:val="top"/>
          </w:tcPr>
          <w:p>
            <w:pP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23" w:type="dxa"/>
            <w:vAlign w:val="center"/>
          </w:tcPr>
          <w:p>
            <w:pPr>
              <w:jc w:val="center"/>
              <w:rPr>
                <w:color w:val="auto"/>
                <w:sz w:val="21"/>
                <w:szCs w:val="21"/>
              </w:rPr>
            </w:pPr>
            <w:r>
              <w:rPr>
                <w:rFonts w:hint="eastAsia"/>
                <w:color w:val="auto"/>
                <w:sz w:val="21"/>
                <w:szCs w:val="21"/>
              </w:rPr>
              <w:t>□入库</w:t>
            </w:r>
          </w:p>
          <w:p>
            <w:pPr>
              <w:jc w:val="center"/>
              <w:rPr>
                <w:color w:val="auto"/>
                <w:sz w:val="21"/>
                <w:szCs w:val="21"/>
              </w:rPr>
            </w:pPr>
            <w:r>
              <w:rPr>
                <w:rFonts w:hint="eastAsia"/>
                <w:color w:val="auto"/>
                <w:sz w:val="21"/>
                <w:szCs w:val="21"/>
              </w:rPr>
              <w:t>□出库</w:t>
            </w:r>
          </w:p>
        </w:tc>
        <w:tc>
          <w:tcPr>
            <w:tcW w:w="1187" w:type="dxa"/>
            <w:vAlign w:val="top"/>
          </w:tcPr>
          <w:p>
            <w:pPr>
              <w:rPr>
                <w:rFonts w:hint="eastAsia"/>
                <w:color w:val="auto"/>
                <w:sz w:val="21"/>
                <w:szCs w:val="21"/>
              </w:rPr>
            </w:pPr>
          </w:p>
        </w:tc>
        <w:tc>
          <w:tcPr>
            <w:tcW w:w="1575" w:type="dxa"/>
            <w:vAlign w:val="center"/>
          </w:tcPr>
          <w:p>
            <w:pPr>
              <w:rPr>
                <w:rFonts w:hint="eastAsia"/>
                <w:color w:val="auto"/>
                <w:sz w:val="21"/>
                <w:szCs w:val="21"/>
              </w:rPr>
            </w:pPr>
          </w:p>
        </w:tc>
        <w:tc>
          <w:tcPr>
            <w:tcW w:w="108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1620" w:type="dxa"/>
            <w:vAlign w:val="top"/>
          </w:tcPr>
          <w:p>
            <w:pPr>
              <w:rPr>
                <w:rFonts w:hint="eastAsia"/>
                <w:color w:val="auto"/>
                <w:sz w:val="21"/>
                <w:szCs w:val="21"/>
              </w:rPr>
            </w:pPr>
          </w:p>
        </w:tc>
        <w:tc>
          <w:tcPr>
            <w:tcW w:w="1376" w:type="dxa"/>
            <w:vAlign w:val="center"/>
          </w:tcPr>
          <w:p>
            <w:pPr>
              <w:rPr>
                <w:rFonts w:hint="eastAsia"/>
                <w:color w:val="auto"/>
                <w:sz w:val="21"/>
                <w:szCs w:val="21"/>
              </w:rPr>
            </w:pPr>
          </w:p>
        </w:tc>
        <w:tc>
          <w:tcPr>
            <w:tcW w:w="780" w:type="dxa"/>
            <w:vAlign w:val="top"/>
          </w:tcPr>
          <w:p>
            <w:pPr>
              <w:rPr>
                <w:rFonts w:hint="eastAsia"/>
                <w:color w:val="auto"/>
                <w:sz w:val="21"/>
                <w:szCs w:val="21"/>
              </w:rPr>
            </w:pPr>
          </w:p>
        </w:tc>
        <w:tc>
          <w:tcPr>
            <w:tcW w:w="1203" w:type="dxa"/>
            <w:vAlign w:val="top"/>
          </w:tcPr>
          <w:p>
            <w:pPr>
              <w:rPr>
                <w:rFonts w:hint="eastAsia"/>
                <w:color w:val="auto"/>
                <w:sz w:val="21"/>
                <w:szCs w:val="21"/>
              </w:rPr>
            </w:pPr>
          </w:p>
        </w:tc>
        <w:tc>
          <w:tcPr>
            <w:tcW w:w="1500" w:type="dxa"/>
            <w:vAlign w:val="top"/>
          </w:tcPr>
          <w:p>
            <w:pPr>
              <w:rPr>
                <w:rFonts w:hint="eastAsia"/>
                <w:color w:val="auto"/>
                <w:sz w:val="21"/>
                <w:szCs w:val="21"/>
              </w:rPr>
            </w:pPr>
          </w:p>
        </w:tc>
        <w:tc>
          <w:tcPr>
            <w:tcW w:w="1591" w:type="dxa"/>
            <w:vAlign w:val="top"/>
          </w:tcPr>
          <w:p>
            <w:pP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23" w:type="dxa"/>
            <w:vAlign w:val="center"/>
          </w:tcPr>
          <w:p>
            <w:pPr>
              <w:jc w:val="center"/>
              <w:rPr>
                <w:color w:val="auto"/>
                <w:sz w:val="21"/>
                <w:szCs w:val="21"/>
              </w:rPr>
            </w:pPr>
            <w:r>
              <w:rPr>
                <w:rFonts w:hint="eastAsia"/>
                <w:color w:val="auto"/>
                <w:sz w:val="21"/>
                <w:szCs w:val="21"/>
              </w:rPr>
              <w:t>□入库</w:t>
            </w:r>
          </w:p>
          <w:p>
            <w:pPr>
              <w:jc w:val="center"/>
              <w:rPr>
                <w:rFonts w:hint="eastAsia"/>
                <w:color w:val="auto"/>
                <w:sz w:val="21"/>
                <w:szCs w:val="21"/>
              </w:rPr>
            </w:pPr>
            <w:r>
              <w:rPr>
                <w:rFonts w:hint="eastAsia"/>
                <w:color w:val="auto"/>
                <w:sz w:val="21"/>
                <w:szCs w:val="21"/>
              </w:rPr>
              <w:t>□出库</w:t>
            </w:r>
          </w:p>
        </w:tc>
        <w:tc>
          <w:tcPr>
            <w:tcW w:w="1187" w:type="dxa"/>
            <w:vAlign w:val="top"/>
          </w:tcPr>
          <w:p>
            <w:pPr>
              <w:rPr>
                <w:rFonts w:hint="eastAsia"/>
                <w:color w:val="auto"/>
                <w:sz w:val="21"/>
                <w:szCs w:val="21"/>
              </w:rPr>
            </w:pPr>
          </w:p>
        </w:tc>
        <w:tc>
          <w:tcPr>
            <w:tcW w:w="1575" w:type="dxa"/>
            <w:vAlign w:val="center"/>
          </w:tcPr>
          <w:p>
            <w:pPr>
              <w:rPr>
                <w:rFonts w:hint="eastAsia"/>
                <w:color w:val="auto"/>
                <w:sz w:val="21"/>
                <w:szCs w:val="21"/>
              </w:rPr>
            </w:pPr>
          </w:p>
        </w:tc>
        <w:tc>
          <w:tcPr>
            <w:tcW w:w="108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1620" w:type="dxa"/>
            <w:vAlign w:val="top"/>
          </w:tcPr>
          <w:p>
            <w:pPr>
              <w:rPr>
                <w:rFonts w:hint="eastAsia"/>
                <w:color w:val="auto"/>
                <w:sz w:val="21"/>
                <w:szCs w:val="21"/>
              </w:rPr>
            </w:pPr>
          </w:p>
        </w:tc>
        <w:tc>
          <w:tcPr>
            <w:tcW w:w="1376" w:type="dxa"/>
            <w:vAlign w:val="center"/>
          </w:tcPr>
          <w:p>
            <w:pPr>
              <w:rPr>
                <w:rFonts w:hint="eastAsia"/>
                <w:color w:val="auto"/>
                <w:sz w:val="21"/>
                <w:szCs w:val="21"/>
              </w:rPr>
            </w:pPr>
          </w:p>
        </w:tc>
        <w:tc>
          <w:tcPr>
            <w:tcW w:w="780" w:type="dxa"/>
            <w:vAlign w:val="top"/>
          </w:tcPr>
          <w:p>
            <w:pPr>
              <w:rPr>
                <w:rFonts w:hint="eastAsia"/>
                <w:color w:val="auto"/>
                <w:sz w:val="21"/>
                <w:szCs w:val="21"/>
              </w:rPr>
            </w:pPr>
          </w:p>
        </w:tc>
        <w:tc>
          <w:tcPr>
            <w:tcW w:w="1203" w:type="dxa"/>
            <w:vAlign w:val="top"/>
          </w:tcPr>
          <w:p>
            <w:pPr>
              <w:rPr>
                <w:rFonts w:hint="eastAsia"/>
                <w:color w:val="auto"/>
                <w:sz w:val="21"/>
                <w:szCs w:val="21"/>
              </w:rPr>
            </w:pPr>
          </w:p>
        </w:tc>
        <w:tc>
          <w:tcPr>
            <w:tcW w:w="1500" w:type="dxa"/>
            <w:vAlign w:val="top"/>
          </w:tcPr>
          <w:p>
            <w:pPr>
              <w:rPr>
                <w:rFonts w:hint="eastAsia"/>
                <w:color w:val="auto"/>
                <w:sz w:val="21"/>
                <w:szCs w:val="21"/>
              </w:rPr>
            </w:pPr>
          </w:p>
        </w:tc>
        <w:tc>
          <w:tcPr>
            <w:tcW w:w="1591" w:type="dxa"/>
            <w:vAlign w:val="top"/>
          </w:tcPr>
          <w:p>
            <w:pP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23" w:type="dxa"/>
            <w:vAlign w:val="center"/>
          </w:tcPr>
          <w:p>
            <w:pPr>
              <w:jc w:val="center"/>
              <w:rPr>
                <w:color w:val="auto"/>
                <w:sz w:val="21"/>
                <w:szCs w:val="21"/>
              </w:rPr>
            </w:pPr>
            <w:r>
              <w:rPr>
                <w:rFonts w:hint="eastAsia"/>
                <w:color w:val="auto"/>
                <w:sz w:val="21"/>
                <w:szCs w:val="21"/>
              </w:rPr>
              <w:t>□入库</w:t>
            </w:r>
          </w:p>
          <w:p>
            <w:pPr>
              <w:jc w:val="center"/>
              <w:rPr>
                <w:color w:val="auto"/>
                <w:sz w:val="21"/>
                <w:szCs w:val="21"/>
              </w:rPr>
            </w:pPr>
            <w:r>
              <w:rPr>
                <w:rFonts w:hint="eastAsia"/>
                <w:color w:val="auto"/>
                <w:sz w:val="21"/>
                <w:szCs w:val="21"/>
              </w:rPr>
              <w:t>□出库</w:t>
            </w:r>
          </w:p>
        </w:tc>
        <w:tc>
          <w:tcPr>
            <w:tcW w:w="1187" w:type="dxa"/>
            <w:vAlign w:val="top"/>
          </w:tcPr>
          <w:p>
            <w:pPr>
              <w:rPr>
                <w:rFonts w:hint="eastAsia"/>
                <w:color w:val="auto"/>
                <w:sz w:val="21"/>
                <w:szCs w:val="21"/>
              </w:rPr>
            </w:pPr>
          </w:p>
        </w:tc>
        <w:tc>
          <w:tcPr>
            <w:tcW w:w="1575" w:type="dxa"/>
            <w:vAlign w:val="center"/>
          </w:tcPr>
          <w:p>
            <w:pPr>
              <w:rPr>
                <w:rFonts w:hint="eastAsia"/>
                <w:color w:val="auto"/>
                <w:sz w:val="21"/>
                <w:szCs w:val="21"/>
              </w:rPr>
            </w:pPr>
          </w:p>
        </w:tc>
        <w:tc>
          <w:tcPr>
            <w:tcW w:w="108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1620" w:type="dxa"/>
            <w:vAlign w:val="top"/>
          </w:tcPr>
          <w:p>
            <w:pPr>
              <w:rPr>
                <w:rFonts w:hint="eastAsia"/>
                <w:color w:val="auto"/>
                <w:sz w:val="21"/>
                <w:szCs w:val="21"/>
              </w:rPr>
            </w:pPr>
          </w:p>
        </w:tc>
        <w:tc>
          <w:tcPr>
            <w:tcW w:w="1376" w:type="dxa"/>
            <w:vAlign w:val="center"/>
          </w:tcPr>
          <w:p>
            <w:pPr>
              <w:rPr>
                <w:rFonts w:hint="eastAsia"/>
                <w:color w:val="auto"/>
                <w:sz w:val="21"/>
                <w:szCs w:val="21"/>
              </w:rPr>
            </w:pPr>
          </w:p>
        </w:tc>
        <w:tc>
          <w:tcPr>
            <w:tcW w:w="780" w:type="dxa"/>
            <w:vAlign w:val="top"/>
          </w:tcPr>
          <w:p>
            <w:pPr>
              <w:rPr>
                <w:rFonts w:hint="eastAsia"/>
                <w:color w:val="auto"/>
                <w:sz w:val="21"/>
                <w:szCs w:val="21"/>
              </w:rPr>
            </w:pPr>
          </w:p>
        </w:tc>
        <w:tc>
          <w:tcPr>
            <w:tcW w:w="1203" w:type="dxa"/>
            <w:vAlign w:val="top"/>
          </w:tcPr>
          <w:p>
            <w:pPr>
              <w:rPr>
                <w:rFonts w:hint="eastAsia"/>
                <w:color w:val="auto"/>
                <w:sz w:val="21"/>
                <w:szCs w:val="21"/>
              </w:rPr>
            </w:pPr>
          </w:p>
        </w:tc>
        <w:tc>
          <w:tcPr>
            <w:tcW w:w="1500" w:type="dxa"/>
            <w:vAlign w:val="top"/>
          </w:tcPr>
          <w:p>
            <w:pPr>
              <w:rPr>
                <w:rFonts w:hint="eastAsia"/>
                <w:color w:val="auto"/>
                <w:sz w:val="21"/>
                <w:szCs w:val="21"/>
              </w:rPr>
            </w:pPr>
          </w:p>
        </w:tc>
        <w:tc>
          <w:tcPr>
            <w:tcW w:w="1591" w:type="dxa"/>
            <w:vAlign w:val="top"/>
          </w:tcPr>
          <w:p>
            <w:pP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23" w:type="dxa"/>
            <w:vAlign w:val="center"/>
          </w:tcPr>
          <w:p>
            <w:pPr>
              <w:jc w:val="center"/>
              <w:rPr>
                <w:color w:val="auto"/>
                <w:sz w:val="21"/>
                <w:szCs w:val="21"/>
              </w:rPr>
            </w:pPr>
            <w:r>
              <w:rPr>
                <w:rFonts w:hint="eastAsia"/>
                <w:color w:val="auto"/>
                <w:sz w:val="21"/>
                <w:szCs w:val="21"/>
              </w:rPr>
              <w:t>□入库</w:t>
            </w:r>
          </w:p>
          <w:p>
            <w:pPr>
              <w:jc w:val="center"/>
              <w:rPr>
                <w:rFonts w:hint="eastAsia"/>
                <w:color w:val="auto"/>
                <w:sz w:val="21"/>
                <w:szCs w:val="21"/>
              </w:rPr>
            </w:pPr>
            <w:r>
              <w:rPr>
                <w:rFonts w:hint="eastAsia"/>
                <w:color w:val="auto"/>
                <w:sz w:val="21"/>
                <w:szCs w:val="21"/>
              </w:rPr>
              <w:t>□出库</w:t>
            </w:r>
          </w:p>
        </w:tc>
        <w:tc>
          <w:tcPr>
            <w:tcW w:w="1187" w:type="dxa"/>
            <w:vAlign w:val="top"/>
          </w:tcPr>
          <w:p>
            <w:pPr>
              <w:rPr>
                <w:rFonts w:hint="eastAsia"/>
                <w:color w:val="auto"/>
                <w:sz w:val="21"/>
                <w:szCs w:val="21"/>
              </w:rPr>
            </w:pPr>
          </w:p>
        </w:tc>
        <w:tc>
          <w:tcPr>
            <w:tcW w:w="1575" w:type="dxa"/>
            <w:vAlign w:val="center"/>
          </w:tcPr>
          <w:p>
            <w:pPr>
              <w:rPr>
                <w:rFonts w:hint="eastAsia"/>
                <w:color w:val="auto"/>
                <w:sz w:val="21"/>
                <w:szCs w:val="21"/>
              </w:rPr>
            </w:pPr>
          </w:p>
        </w:tc>
        <w:tc>
          <w:tcPr>
            <w:tcW w:w="108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1620" w:type="dxa"/>
            <w:vAlign w:val="top"/>
          </w:tcPr>
          <w:p>
            <w:pPr>
              <w:rPr>
                <w:rFonts w:hint="eastAsia"/>
                <w:color w:val="auto"/>
                <w:sz w:val="21"/>
                <w:szCs w:val="21"/>
              </w:rPr>
            </w:pPr>
          </w:p>
        </w:tc>
        <w:tc>
          <w:tcPr>
            <w:tcW w:w="1376" w:type="dxa"/>
            <w:vAlign w:val="center"/>
          </w:tcPr>
          <w:p>
            <w:pPr>
              <w:rPr>
                <w:rFonts w:hint="eastAsia"/>
                <w:color w:val="auto"/>
                <w:sz w:val="21"/>
                <w:szCs w:val="21"/>
              </w:rPr>
            </w:pPr>
          </w:p>
        </w:tc>
        <w:tc>
          <w:tcPr>
            <w:tcW w:w="780" w:type="dxa"/>
            <w:vAlign w:val="top"/>
          </w:tcPr>
          <w:p>
            <w:pPr>
              <w:rPr>
                <w:rFonts w:hint="eastAsia"/>
                <w:color w:val="auto"/>
                <w:sz w:val="21"/>
                <w:szCs w:val="21"/>
              </w:rPr>
            </w:pPr>
          </w:p>
        </w:tc>
        <w:tc>
          <w:tcPr>
            <w:tcW w:w="1203" w:type="dxa"/>
            <w:vAlign w:val="top"/>
          </w:tcPr>
          <w:p>
            <w:pPr>
              <w:rPr>
                <w:rFonts w:hint="eastAsia"/>
                <w:color w:val="auto"/>
                <w:sz w:val="21"/>
                <w:szCs w:val="21"/>
              </w:rPr>
            </w:pPr>
          </w:p>
        </w:tc>
        <w:tc>
          <w:tcPr>
            <w:tcW w:w="1500" w:type="dxa"/>
            <w:vAlign w:val="top"/>
          </w:tcPr>
          <w:p>
            <w:pPr>
              <w:rPr>
                <w:rFonts w:hint="eastAsia"/>
                <w:color w:val="auto"/>
                <w:sz w:val="21"/>
                <w:szCs w:val="21"/>
              </w:rPr>
            </w:pPr>
          </w:p>
        </w:tc>
        <w:tc>
          <w:tcPr>
            <w:tcW w:w="1591" w:type="dxa"/>
            <w:vAlign w:val="top"/>
          </w:tcPr>
          <w:p>
            <w:pP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723" w:type="dxa"/>
            <w:vAlign w:val="center"/>
          </w:tcPr>
          <w:p>
            <w:pPr>
              <w:jc w:val="center"/>
              <w:rPr>
                <w:color w:val="auto"/>
                <w:sz w:val="21"/>
                <w:szCs w:val="21"/>
              </w:rPr>
            </w:pPr>
            <w:r>
              <w:rPr>
                <w:rFonts w:hint="eastAsia"/>
                <w:color w:val="auto"/>
                <w:sz w:val="21"/>
                <w:szCs w:val="21"/>
              </w:rPr>
              <w:t>□入库</w:t>
            </w:r>
          </w:p>
          <w:p>
            <w:pPr>
              <w:jc w:val="center"/>
              <w:rPr>
                <w:rFonts w:hint="eastAsia"/>
                <w:color w:val="auto"/>
                <w:sz w:val="21"/>
                <w:szCs w:val="21"/>
              </w:rPr>
            </w:pPr>
            <w:r>
              <w:rPr>
                <w:rFonts w:hint="eastAsia"/>
                <w:color w:val="auto"/>
                <w:sz w:val="21"/>
                <w:szCs w:val="21"/>
              </w:rPr>
              <w:t>□出库</w:t>
            </w:r>
          </w:p>
        </w:tc>
        <w:tc>
          <w:tcPr>
            <w:tcW w:w="1187" w:type="dxa"/>
            <w:vAlign w:val="top"/>
          </w:tcPr>
          <w:p>
            <w:pPr>
              <w:rPr>
                <w:rFonts w:hint="eastAsia"/>
                <w:color w:val="auto"/>
                <w:sz w:val="21"/>
                <w:szCs w:val="21"/>
              </w:rPr>
            </w:pPr>
          </w:p>
        </w:tc>
        <w:tc>
          <w:tcPr>
            <w:tcW w:w="1575" w:type="dxa"/>
            <w:vAlign w:val="center"/>
          </w:tcPr>
          <w:p>
            <w:pPr>
              <w:rPr>
                <w:rFonts w:hint="eastAsia"/>
                <w:color w:val="auto"/>
                <w:sz w:val="21"/>
                <w:szCs w:val="21"/>
              </w:rPr>
            </w:pPr>
          </w:p>
        </w:tc>
        <w:tc>
          <w:tcPr>
            <w:tcW w:w="108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900" w:type="dxa"/>
            <w:vAlign w:val="top"/>
          </w:tcPr>
          <w:p>
            <w:pPr>
              <w:rPr>
                <w:rFonts w:hint="eastAsia"/>
                <w:color w:val="auto"/>
                <w:sz w:val="21"/>
                <w:szCs w:val="21"/>
              </w:rPr>
            </w:pPr>
          </w:p>
        </w:tc>
        <w:tc>
          <w:tcPr>
            <w:tcW w:w="1620" w:type="dxa"/>
            <w:vAlign w:val="top"/>
          </w:tcPr>
          <w:p>
            <w:pPr>
              <w:rPr>
                <w:rFonts w:hint="eastAsia"/>
                <w:color w:val="auto"/>
                <w:sz w:val="21"/>
                <w:szCs w:val="21"/>
              </w:rPr>
            </w:pPr>
          </w:p>
        </w:tc>
        <w:tc>
          <w:tcPr>
            <w:tcW w:w="1376" w:type="dxa"/>
            <w:vAlign w:val="center"/>
          </w:tcPr>
          <w:p>
            <w:pPr>
              <w:rPr>
                <w:rFonts w:hint="eastAsia"/>
                <w:color w:val="auto"/>
                <w:sz w:val="21"/>
                <w:szCs w:val="21"/>
              </w:rPr>
            </w:pPr>
          </w:p>
        </w:tc>
        <w:tc>
          <w:tcPr>
            <w:tcW w:w="780" w:type="dxa"/>
            <w:vAlign w:val="top"/>
          </w:tcPr>
          <w:p>
            <w:pPr>
              <w:rPr>
                <w:rFonts w:hint="eastAsia"/>
                <w:color w:val="auto"/>
                <w:sz w:val="21"/>
                <w:szCs w:val="21"/>
              </w:rPr>
            </w:pPr>
          </w:p>
        </w:tc>
        <w:tc>
          <w:tcPr>
            <w:tcW w:w="1203" w:type="dxa"/>
            <w:vAlign w:val="top"/>
          </w:tcPr>
          <w:p>
            <w:pPr>
              <w:rPr>
                <w:rFonts w:hint="eastAsia"/>
                <w:color w:val="auto"/>
                <w:sz w:val="21"/>
                <w:szCs w:val="21"/>
              </w:rPr>
            </w:pPr>
          </w:p>
        </w:tc>
        <w:tc>
          <w:tcPr>
            <w:tcW w:w="1500" w:type="dxa"/>
            <w:vAlign w:val="top"/>
          </w:tcPr>
          <w:p>
            <w:pPr>
              <w:rPr>
                <w:rFonts w:hint="eastAsia"/>
                <w:color w:val="auto"/>
                <w:sz w:val="21"/>
                <w:szCs w:val="21"/>
              </w:rPr>
            </w:pPr>
          </w:p>
        </w:tc>
        <w:tc>
          <w:tcPr>
            <w:tcW w:w="1591" w:type="dxa"/>
            <w:vAlign w:val="top"/>
          </w:tcPr>
          <w:p>
            <w:pPr>
              <w:rPr>
                <w:rFonts w:hint="eastAsia"/>
                <w:color w:val="auto"/>
                <w:sz w:val="21"/>
                <w:szCs w:val="21"/>
              </w:rPr>
            </w:pPr>
          </w:p>
        </w:tc>
      </w:tr>
    </w:tbl>
    <w:p>
      <w:pPr>
        <w:spacing w:line="360" w:lineRule="auto"/>
        <w:jc w:val="left"/>
        <w:rPr>
          <w:rFonts w:ascii="黑体" w:hAnsi="黑体" w:eastAsia="黑体" w:cs="宋体"/>
          <w:color w:val="auto"/>
          <w:sz w:val="24"/>
          <w:szCs w:val="24"/>
        </w:rPr>
        <w:sectPr>
          <w:headerReference r:id="rId92" w:type="default"/>
          <w:footerReference r:id="rId93" w:type="default"/>
          <w:pgSz w:w="16840" w:h="11907" w:orient="landscape"/>
          <w:pgMar w:top="737" w:right="851" w:bottom="737" w:left="1418" w:header="0" w:footer="992" w:gutter="0"/>
          <w:pgNumType w:fmt="decimal"/>
          <w:cols w:space="720" w:num="1"/>
          <w:docGrid w:linePitch="286" w:charSpace="0"/>
        </w:sectPr>
      </w:pPr>
    </w:p>
    <w:p>
      <w:pPr>
        <w:tabs>
          <w:tab w:val="left" w:pos="3060"/>
        </w:tabs>
        <w:spacing w:line="500" w:lineRule="exact"/>
        <w:rPr>
          <w:rFonts w:hint="eastAsia" w:ascii="宋体" w:hAnsi="宋体"/>
          <w:b w:val="0"/>
          <w:bCs w:val="0"/>
          <w:color w:val="auto"/>
          <w:sz w:val="24"/>
          <w:szCs w:val="24"/>
        </w:rPr>
      </w:pPr>
      <w:r>
        <w:rPr>
          <w:rFonts w:hint="eastAsia" w:ascii="宋体" w:hAnsi="宋体"/>
          <w:b w:val="0"/>
          <w:bCs w:val="0"/>
          <w:color w:val="auto"/>
          <w:sz w:val="24"/>
          <w:szCs w:val="24"/>
        </w:rPr>
        <w:t>附件</w:t>
      </w:r>
      <w:r>
        <w:rPr>
          <w:rFonts w:hint="eastAsia" w:ascii="宋体" w:hAnsi="宋体"/>
          <w:b w:val="0"/>
          <w:bCs w:val="0"/>
          <w:color w:val="auto"/>
          <w:sz w:val="24"/>
          <w:szCs w:val="24"/>
          <w:lang w:val="en-US" w:eastAsia="zh-CN"/>
        </w:rPr>
        <w:t>3</w:t>
      </w:r>
      <w:r>
        <w:rPr>
          <w:rFonts w:hint="eastAsia" w:ascii="宋体" w:hAnsi="宋体"/>
          <w:b w:val="0"/>
          <w:bCs w:val="0"/>
          <w:color w:val="auto"/>
          <w:sz w:val="24"/>
          <w:szCs w:val="24"/>
        </w:rPr>
        <w:t>：应急信件交接记录表</w:t>
      </w:r>
    </w:p>
    <w:p>
      <w:pPr>
        <w:tabs>
          <w:tab w:val="left" w:pos="3060"/>
        </w:tabs>
        <w:spacing w:line="500" w:lineRule="exact"/>
        <w:jc w:val="center"/>
        <w:rPr>
          <w:rFonts w:ascii="宋体" w:hAnsi="宋体"/>
          <w:b/>
          <w:bCs/>
          <w:color w:val="auto"/>
          <w:sz w:val="24"/>
          <w:szCs w:val="24"/>
        </w:rPr>
      </w:pPr>
      <w:r>
        <w:rPr>
          <w:rFonts w:hint="eastAsia" w:ascii="宋体" w:hAnsi="宋体"/>
          <w:b/>
          <w:bCs/>
          <w:color w:val="auto"/>
          <w:sz w:val="24"/>
          <w:szCs w:val="24"/>
        </w:rPr>
        <w:t>应急信件交接记录表</w:t>
      </w:r>
    </w:p>
    <w:tbl>
      <w:tblPr>
        <w:tblStyle w:val="27"/>
        <w:tblW w:w="1478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15"/>
        <w:gridCol w:w="473"/>
        <w:gridCol w:w="888"/>
        <w:gridCol w:w="1092"/>
        <w:gridCol w:w="534"/>
        <w:gridCol w:w="906"/>
        <w:gridCol w:w="1551"/>
        <w:gridCol w:w="1788"/>
        <w:gridCol w:w="1620"/>
        <w:gridCol w:w="1980"/>
        <w:gridCol w:w="23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208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color w:val="auto"/>
                <w:sz w:val="21"/>
                <w:szCs w:val="21"/>
              </w:rPr>
            </w:pPr>
            <w:r>
              <w:rPr>
                <w:rFonts w:hint="eastAsia" w:ascii="宋体" w:hAnsi="宋体"/>
                <w:b/>
                <w:color w:val="auto"/>
                <w:sz w:val="21"/>
                <w:szCs w:val="21"/>
              </w:rPr>
              <w:t>试验名称</w:t>
            </w:r>
          </w:p>
        </w:tc>
        <w:tc>
          <w:tcPr>
            <w:tcW w:w="4971"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1"/>
                <w:szCs w:val="21"/>
              </w:rPr>
            </w:pPr>
          </w:p>
        </w:tc>
        <w:tc>
          <w:tcPr>
            <w:tcW w:w="340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color w:val="auto"/>
                <w:sz w:val="21"/>
                <w:szCs w:val="21"/>
              </w:rPr>
            </w:pPr>
            <w:r>
              <w:rPr>
                <w:rFonts w:hint="eastAsia" w:ascii="宋体" w:hAnsi="宋体"/>
                <w:b/>
                <w:color w:val="auto"/>
                <w:sz w:val="21"/>
                <w:szCs w:val="21"/>
              </w:rPr>
              <w:t>申办方/方案编号</w:t>
            </w:r>
          </w:p>
        </w:tc>
        <w:tc>
          <w:tcPr>
            <w:tcW w:w="43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208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color w:val="auto"/>
                <w:sz w:val="21"/>
                <w:szCs w:val="21"/>
              </w:rPr>
            </w:pPr>
            <w:r>
              <w:rPr>
                <w:rFonts w:hint="eastAsia"/>
                <w:b/>
                <w:color w:val="auto"/>
                <w:sz w:val="21"/>
                <w:szCs w:val="21"/>
              </w:rPr>
              <w:t>机构名称：</w:t>
            </w:r>
          </w:p>
        </w:tc>
        <w:tc>
          <w:tcPr>
            <w:tcW w:w="4971"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1"/>
                <w:szCs w:val="21"/>
              </w:rPr>
            </w:pPr>
            <w:r>
              <w:rPr>
                <w:rFonts w:hint="eastAsia"/>
                <w:b/>
                <w:color w:val="auto"/>
                <w:sz w:val="21"/>
                <w:szCs w:val="21"/>
              </w:rPr>
              <w:t>沂源县人民医院药物</w:t>
            </w:r>
            <w:r>
              <w:rPr>
                <w:rFonts w:hint="eastAsia"/>
                <w:b/>
                <w:color w:val="auto"/>
                <w:sz w:val="21"/>
                <w:szCs w:val="21"/>
                <w:lang w:val="en-US" w:eastAsia="zh-CN"/>
              </w:rPr>
              <w:t>/医疗器械</w:t>
            </w:r>
            <w:r>
              <w:rPr>
                <w:rFonts w:hint="eastAsia"/>
                <w:b/>
                <w:color w:val="auto"/>
                <w:sz w:val="21"/>
                <w:szCs w:val="21"/>
              </w:rPr>
              <w:t>临床试验机构</w:t>
            </w:r>
          </w:p>
        </w:tc>
        <w:tc>
          <w:tcPr>
            <w:tcW w:w="340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color w:val="auto"/>
                <w:sz w:val="21"/>
                <w:szCs w:val="21"/>
              </w:rPr>
            </w:pPr>
            <w:r>
              <w:rPr>
                <w:rFonts w:hint="eastAsia" w:ascii="宋体" w:hAnsi="宋体"/>
                <w:b/>
                <w:color w:val="auto"/>
                <w:sz w:val="21"/>
                <w:szCs w:val="21"/>
              </w:rPr>
              <w:t>专业科室名称</w:t>
            </w:r>
          </w:p>
        </w:tc>
        <w:tc>
          <w:tcPr>
            <w:tcW w:w="43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208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color w:val="auto"/>
                <w:sz w:val="21"/>
                <w:szCs w:val="21"/>
              </w:rPr>
            </w:pPr>
            <w:r>
              <w:rPr>
                <w:rFonts w:hint="eastAsia" w:ascii="宋体" w:hAnsi="宋体"/>
                <w:b/>
                <w:color w:val="auto"/>
                <w:sz w:val="21"/>
                <w:szCs w:val="21"/>
              </w:rPr>
              <w:t>试验用药物名称</w:t>
            </w:r>
          </w:p>
        </w:tc>
        <w:tc>
          <w:tcPr>
            <w:tcW w:w="251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1"/>
                <w:szCs w:val="21"/>
              </w:rPr>
            </w:pPr>
          </w:p>
        </w:tc>
        <w:tc>
          <w:tcPr>
            <w:tcW w:w="245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color w:val="auto"/>
                <w:sz w:val="21"/>
                <w:szCs w:val="21"/>
              </w:rPr>
            </w:pPr>
            <w:r>
              <w:rPr>
                <w:rFonts w:hint="eastAsia" w:ascii="宋体" w:hAnsi="宋体"/>
                <w:b/>
                <w:color w:val="auto"/>
                <w:sz w:val="21"/>
                <w:szCs w:val="21"/>
              </w:rPr>
              <w:t>规格</w:t>
            </w:r>
          </w:p>
        </w:tc>
        <w:tc>
          <w:tcPr>
            <w:tcW w:w="340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color w:val="auto"/>
                <w:sz w:val="21"/>
                <w:szCs w:val="21"/>
              </w:rPr>
            </w:pP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color w:val="auto"/>
                <w:sz w:val="21"/>
                <w:szCs w:val="21"/>
              </w:rPr>
            </w:pPr>
            <w:r>
              <w:rPr>
                <w:rFonts w:hint="eastAsia" w:ascii="宋体" w:hAnsi="宋体"/>
                <w:b/>
                <w:color w:val="auto"/>
                <w:sz w:val="21"/>
                <w:szCs w:val="21"/>
              </w:rPr>
              <w:t>主要研究者</w:t>
            </w:r>
          </w:p>
        </w:tc>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208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1"/>
                <w:szCs w:val="21"/>
              </w:rPr>
            </w:pPr>
            <w:r>
              <w:rPr>
                <w:rFonts w:hint="eastAsia" w:ascii="宋体" w:hAnsi="宋体"/>
                <w:b/>
                <w:color w:val="auto"/>
                <w:sz w:val="21"/>
                <w:szCs w:val="21"/>
              </w:rPr>
              <w:t>批号</w:t>
            </w:r>
          </w:p>
        </w:tc>
        <w:tc>
          <w:tcPr>
            <w:tcW w:w="251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1"/>
                <w:szCs w:val="21"/>
              </w:rPr>
            </w:pPr>
          </w:p>
        </w:tc>
        <w:tc>
          <w:tcPr>
            <w:tcW w:w="24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1"/>
                <w:szCs w:val="21"/>
              </w:rPr>
            </w:pPr>
            <w:r>
              <w:rPr>
                <w:rFonts w:hint="eastAsia" w:ascii="宋体" w:hAnsi="宋体"/>
                <w:b/>
                <w:color w:val="auto"/>
                <w:sz w:val="21"/>
                <w:szCs w:val="21"/>
              </w:rPr>
              <w:t>有</w:t>
            </w:r>
            <w:r>
              <w:rPr>
                <w:rFonts w:ascii="宋体" w:hAnsi="宋体"/>
                <w:b/>
                <w:color w:val="auto"/>
                <w:sz w:val="21"/>
                <w:szCs w:val="21"/>
              </w:rPr>
              <w:t>效期</w:t>
            </w:r>
          </w:p>
        </w:tc>
        <w:tc>
          <w:tcPr>
            <w:tcW w:w="340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1"/>
                <w:szCs w:val="21"/>
              </w:rPr>
            </w:pP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1"/>
                <w:szCs w:val="21"/>
              </w:rPr>
            </w:pPr>
            <w:r>
              <w:rPr>
                <w:rFonts w:hint="eastAsia" w:ascii="宋体" w:hAnsi="宋体"/>
                <w:b/>
                <w:color w:val="auto"/>
                <w:sz w:val="21"/>
                <w:szCs w:val="21"/>
              </w:rPr>
              <w:t>储存条件</w:t>
            </w:r>
          </w:p>
        </w:tc>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2" w:hRule="atLeast"/>
          <w:jc w:val="center"/>
        </w:trPr>
        <w:tc>
          <w:tcPr>
            <w:tcW w:w="16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r>
              <w:rPr>
                <w:rFonts w:hint="eastAsia" w:ascii="宋体" w:hAnsi="宋体"/>
                <w:color w:val="auto"/>
                <w:sz w:val="21"/>
                <w:szCs w:val="21"/>
              </w:rPr>
              <w:t>应急信件编号</w:t>
            </w:r>
          </w:p>
        </w:tc>
        <w:tc>
          <w:tcPr>
            <w:tcW w:w="136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1"/>
                <w:szCs w:val="21"/>
              </w:rPr>
            </w:pPr>
            <w:r>
              <w:rPr>
                <w:rFonts w:hint="eastAsia" w:ascii="宋体" w:hAnsi="宋体"/>
                <w:color w:val="auto"/>
                <w:sz w:val="21"/>
                <w:szCs w:val="21"/>
              </w:rPr>
              <w:t>与试验药物编号是否一致</w:t>
            </w:r>
          </w:p>
        </w:tc>
        <w:tc>
          <w:tcPr>
            <w:tcW w:w="10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r>
              <w:rPr>
                <w:rFonts w:hint="eastAsia" w:ascii="宋体" w:hAnsi="宋体"/>
                <w:color w:val="auto"/>
                <w:sz w:val="21"/>
                <w:szCs w:val="21"/>
              </w:rPr>
              <w:t>是否密封</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1"/>
                <w:szCs w:val="21"/>
              </w:rPr>
            </w:pPr>
            <w:r>
              <w:rPr>
                <w:rFonts w:hint="eastAsia" w:ascii="宋体" w:hAnsi="宋体"/>
                <w:color w:val="auto"/>
                <w:sz w:val="21"/>
                <w:szCs w:val="21"/>
              </w:rPr>
              <w:t>有无破损</w:t>
            </w:r>
          </w:p>
        </w:tc>
        <w:tc>
          <w:tcPr>
            <w:tcW w:w="155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r>
              <w:rPr>
                <w:rFonts w:hint="eastAsia" w:ascii="宋体" w:hAnsi="宋体"/>
                <w:color w:val="auto"/>
                <w:sz w:val="21"/>
                <w:szCs w:val="21"/>
              </w:rPr>
              <w:t>接收人/日期</w:t>
            </w:r>
          </w:p>
          <w:p>
            <w:pPr>
              <w:jc w:val="center"/>
              <w:rPr>
                <w:rFonts w:hint="eastAsia" w:ascii="宋体" w:hAnsi="宋体"/>
                <w:color w:val="auto"/>
                <w:sz w:val="21"/>
                <w:szCs w:val="21"/>
              </w:rPr>
            </w:pPr>
            <w:r>
              <w:rPr>
                <w:rFonts w:hint="eastAsia" w:ascii="宋体" w:hAnsi="宋体"/>
                <w:color w:val="auto"/>
                <w:sz w:val="21"/>
                <w:szCs w:val="21"/>
              </w:rPr>
              <w:t>（PI</w:t>
            </w:r>
            <w:r>
              <w:rPr>
                <w:rFonts w:ascii="宋体" w:hAnsi="宋体"/>
                <w:color w:val="auto"/>
                <w:sz w:val="21"/>
                <w:szCs w:val="21"/>
              </w:rPr>
              <w:t>）</w:t>
            </w:r>
          </w:p>
        </w:tc>
        <w:tc>
          <w:tcPr>
            <w:tcW w:w="17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r>
              <w:rPr>
                <w:rFonts w:hint="eastAsia" w:ascii="宋体" w:hAnsi="宋体"/>
                <w:color w:val="auto"/>
                <w:sz w:val="21"/>
                <w:szCs w:val="21"/>
              </w:rPr>
              <w:t>交付人/日期</w:t>
            </w:r>
          </w:p>
          <w:p>
            <w:pPr>
              <w:jc w:val="center"/>
              <w:rPr>
                <w:rFonts w:ascii="宋体" w:hAnsi="宋体"/>
                <w:color w:val="auto"/>
                <w:sz w:val="21"/>
                <w:szCs w:val="21"/>
              </w:rPr>
            </w:pPr>
            <w:r>
              <w:rPr>
                <w:rFonts w:hint="eastAsia" w:ascii="宋体" w:hAnsi="宋体"/>
                <w:color w:val="auto"/>
                <w:sz w:val="21"/>
                <w:szCs w:val="21"/>
              </w:rPr>
              <w:t>(药物管理员)</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r>
              <w:rPr>
                <w:rFonts w:hint="eastAsia" w:ascii="宋体" w:hAnsi="宋体"/>
                <w:color w:val="auto"/>
                <w:sz w:val="21"/>
                <w:szCs w:val="21"/>
              </w:rPr>
              <w:t>退还人/日期</w:t>
            </w:r>
          </w:p>
          <w:p>
            <w:pPr>
              <w:jc w:val="center"/>
              <w:rPr>
                <w:rFonts w:hint="eastAsia" w:ascii="宋体" w:hAnsi="宋体"/>
                <w:color w:val="auto"/>
                <w:sz w:val="21"/>
                <w:szCs w:val="21"/>
              </w:rPr>
            </w:pPr>
            <w:r>
              <w:rPr>
                <w:rFonts w:hint="eastAsia" w:ascii="宋体" w:hAnsi="宋体"/>
                <w:color w:val="auto"/>
                <w:sz w:val="21"/>
                <w:szCs w:val="21"/>
              </w:rPr>
              <w:t>（PI</w:t>
            </w:r>
            <w:r>
              <w:rPr>
                <w:rFonts w:ascii="宋体" w:hAnsi="宋体"/>
                <w:color w:val="auto"/>
                <w:sz w:val="21"/>
                <w:szCs w:val="21"/>
              </w:rPr>
              <w:t>）</w:t>
            </w: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r>
              <w:rPr>
                <w:rFonts w:hint="eastAsia" w:ascii="宋体" w:hAnsi="宋体"/>
                <w:color w:val="auto"/>
                <w:sz w:val="21"/>
                <w:szCs w:val="21"/>
              </w:rPr>
              <w:t>接收人/日期</w:t>
            </w:r>
          </w:p>
          <w:p>
            <w:pPr>
              <w:jc w:val="center"/>
              <w:rPr>
                <w:rFonts w:hint="eastAsia" w:ascii="宋体" w:hAnsi="宋体"/>
                <w:color w:val="auto"/>
                <w:sz w:val="21"/>
                <w:szCs w:val="21"/>
              </w:rPr>
            </w:pPr>
            <w:r>
              <w:rPr>
                <w:rFonts w:hint="eastAsia" w:ascii="宋体" w:hAnsi="宋体"/>
                <w:color w:val="auto"/>
                <w:sz w:val="21"/>
                <w:szCs w:val="21"/>
              </w:rPr>
              <w:t>(药物管理员)</w:t>
            </w:r>
          </w:p>
        </w:tc>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r>
              <w:rPr>
                <w:rFonts w:hint="eastAsia" w:ascii="宋体" w:hAnsi="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6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36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55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7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6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36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55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7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6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36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55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7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6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36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55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7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6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36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55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7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6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36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55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7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6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36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55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7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 w:val="21"/>
                <w:szCs w:val="21"/>
              </w:rPr>
            </w:pPr>
          </w:p>
        </w:tc>
      </w:tr>
    </w:tbl>
    <w:p>
      <w:pPr>
        <w:spacing w:line="500" w:lineRule="exact"/>
        <w:rPr>
          <w:rFonts w:hint="eastAsia" w:ascii="宋体" w:hAnsi="宋体" w:cs="宋体"/>
          <w:color w:val="auto"/>
          <w:sz w:val="21"/>
          <w:szCs w:val="21"/>
        </w:rPr>
      </w:pPr>
      <w:r>
        <w:rPr>
          <w:rFonts w:hint="eastAsia" w:ascii="宋体" w:hAnsi="宋体" w:cs="宋体"/>
          <w:color w:val="auto"/>
          <w:sz w:val="21"/>
          <w:szCs w:val="21"/>
        </w:rPr>
        <w:t>本表一式两份（PI、药物管理员各一份存档）</w:t>
      </w:r>
    </w:p>
    <w:p>
      <w:pPr>
        <w:spacing w:line="360" w:lineRule="auto"/>
        <w:rPr>
          <w:rFonts w:hint="eastAsia" w:ascii="宋体" w:hAnsi="宋体" w:cs="黑体"/>
          <w:bCs/>
          <w:color w:val="auto"/>
          <w:sz w:val="24"/>
          <w:szCs w:val="24"/>
        </w:rPr>
      </w:pP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附</w:t>
      </w:r>
      <w:r>
        <w:rPr>
          <w:rFonts w:hint="eastAsia" w:ascii="宋体" w:hAnsi="宋体" w:eastAsia="宋体" w:cs="宋体"/>
          <w:color w:val="auto"/>
          <w:sz w:val="24"/>
          <w:szCs w:val="24"/>
        </w:rPr>
        <w:t>件</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临床试验用药物盘点表</w:t>
      </w:r>
    </w:p>
    <w:p>
      <w:pPr>
        <w:spacing w:line="360" w:lineRule="auto"/>
        <w:jc w:val="center"/>
        <w:rPr>
          <w:rFonts w:hint="eastAsia"/>
          <w:b/>
          <w:color w:val="auto"/>
          <w:sz w:val="24"/>
          <w:szCs w:val="24"/>
        </w:rPr>
      </w:pPr>
      <w:r>
        <w:rPr>
          <w:rFonts w:hint="eastAsia"/>
          <w:b/>
          <w:color w:val="auto"/>
          <w:sz w:val="24"/>
          <w:szCs w:val="24"/>
        </w:rPr>
        <w:t>临床试验用药物盘点表</w:t>
      </w:r>
    </w:p>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sz w:val="21"/>
          <w:szCs w:val="21"/>
        </w:rPr>
      </w:pPr>
      <w:r>
        <w:rPr>
          <w:rFonts w:hint="eastAsia"/>
          <w:b/>
          <w:color w:val="auto"/>
          <w:sz w:val="28"/>
          <w:szCs w:val="28"/>
        </w:rPr>
        <w:t xml:space="preserve">                                                                          </w:t>
      </w:r>
      <w:r>
        <w:rPr>
          <w:rFonts w:hint="eastAsia"/>
          <w:b/>
          <w:color w:val="auto"/>
          <w:sz w:val="28"/>
          <w:szCs w:val="28"/>
          <w:lang w:val="en-US" w:eastAsia="zh-CN"/>
        </w:rPr>
        <w:t xml:space="preserve">    </w:t>
      </w:r>
      <w:r>
        <w:rPr>
          <w:rFonts w:hint="eastAsia"/>
          <w:b/>
          <w:color w:val="auto"/>
          <w:sz w:val="28"/>
          <w:szCs w:val="28"/>
        </w:rPr>
        <w:t xml:space="preserve">    </w:t>
      </w:r>
      <w:r>
        <w:rPr>
          <w:rFonts w:hint="eastAsia"/>
          <w:b/>
          <w:color w:val="auto"/>
          <w:sz w:val="21"/>
          <w:szCs w:val="21"/>
        </w:rPr>
        <w:t xml:space="preserve"> 日期：</w:t>
      </w:r>
    </w:p>
    <w:tbl>
      <w:tblPr>
        <w:tblStyle w:val="27"/>
        <w:tblW w:w="14176"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89"/>
        <w:gridCol w:w="1481"/>
        <w:gridCol w:w="1276"/>
        <w:gridCol w:w="1559"/>
        <w:gridCol w:w="1559"/>
        <w:gridCol w:w="1276"/>
        <w:gridCol w:w="1276"/>
        <w:gridCol w:w="1842"/>
        <w:gridCol w:w="1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rPr>
        <w:tc>
          <w:tcPr>
            <w:tcW w:w="248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b/>
                <w:color w:val="auto"/>
                <w:sz w:val="21"/>
                <w:szCs w:val="21"/>
              </w:rPr>
              <w:t>试验名称/编号</w:t>
            </w:r>
          </w:p>
        </w:tc>
        <w:tc>
          <w:tcPr>
            <w:tcW w:w="148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rFonts w:hint="eastAsia"/>
                <w:b/>
                <w:bCs/>
                <w:color w:val="auto"/>
                <w:sz w:val="21"/>
                <w:szCs w:val="21"/>
                <w:lang w:eastAsia="zh-CN"/>
              </w:rPr>
              <w:t>试验</w:t>
            </w:r>
            <w:r>
              <w:rPr>
                <w:rFonts w:hint="eastAsia"/>
                <w:b/>
                <w:bCs/>
                <w:color w:val="auto"/>
                <w:sz w:val="21"/>
                <w:szCs w:val="21"/>
              </w:rPr>
              <w:t>药物名称</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rFonts w:hint="eastAsia"/>
                <w:b/>
                <w:bCs/>
                <w:color w:val="auto"/>
                <w:sz w:val="21"/>
                <w:szCs w:val="21"/>
              </w:rPr>
              <w:t>规格</w:t>
            </w:r>
          </w:p>
        </w:tc>
        <w:tc>
          <w:tcPr>
            <w:tcW w:w="15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rFonts w:hint="eastAsia"/>
                <w:b/>
                <w:bCs/>
                <w:color w:val="auto"/>
                <w:sz w:val="21"/>
                <w:szCs w:val="21"/>
              </w:rPr>
              <w:t>批号</w:t>
            </w:r>
          </w:p>
        </w:tc>
        <w:tc>
          <w:tcPr>
            <w:tcW w:w="15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rFonts w:hint="eastAsia"/>
                <w:b/>
                <w:bCs/>
                <w:color w:val="auto"/>
                <w:sz w:val="21"/>
                <w:szCs w:val="21"/>
              </w:rPr>
              <w:t>有效期</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rFonts w:hint="eastAsia"/>
                <w:b/>
                <w:bCs/>
                <w:color w:val="auto"/>
                <w:sz w:val="21"/>
                <w:szCs w:val="21"/>
              </w:rPr>
              <w:t>数量</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rFonts w:hint="eastAsia"/>
                <w:b/>
                <w:bCs/>
                <w:color w:val="auto"/>
                <w:sz w:val="21"/>
                <w:szCs w:val="21"/>
              </w:rPr>
              <w:t>质量检查</w:t>
            </w:r>
          </w:p>
        </w:tc>
        <w:tc>
          <w:tcPr>
            <w:tcW w:w="18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rFonts w:hint="eastAsia"/>
                <w:b/>
                <w:bCs/>
                <w:color w:val="auto"/>
                <w:sz w:val="21"/>
                <w:szCs w:val="21"/>
              </w:rPr>
              <w:t>盘点人/日期</w:t>
            </w:r>
          </w:p>
        </w:tc>
        <w:tc>
          <w:tcPr>
            <w:tcW w:w="14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rFonts w:hint="eastAsia"/>
                <w:b/>
                <w:bCs/>
                <w:color w:val="auto"/>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trPr>
        <w:tc>
          <w:tcPr>
            <w:tcW w:w="2489" w:type="dxa"/>
            <w:vAlign w:val="top"/>
          </w:tcPr>
          <w:p>
            <w:pPr>
              <w:spacing w:line="360" w:lineRule="auto"/>
              <w:jc w:val="left"/>
              <w:rPr>
                <w:color w:val="auto"/>
                <w:sz w:val="21"/>
                <w:szCs w:val="21"/>
              </w:rPr>
            </w:pPr>
          </w:p>
        </w:tc>
        <w:tc>
          <w:tcPr>
            <w:tcW w:w="1481"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842" w:type="dxa"/>
            <w:vAlign w:val="top"/>
          </w:tcPr>
          <w:p>
            <w:pPr>
              <w:spacing w:line="360" w:lineRule="auto"/>
              <w:jc w:val="left"/>
              <w:rPr>
                <w:color w:val="auto"/>
                <w:sz w:val="21"/>
                <w:szCs w:val="21"/>
              </w:rPr>
            </w:pPr>
          </w:p>
        </w:tc>
        <w:tc>
          <w:tcPr>
            <w:tcW w:w="1418"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trPr>
        <w:tc>
          <w:tcPr>
            <w:tcW w:w="2489" w:type="dxa"/>
            <w:vAlign w:val="top"/>
          </w:tcPr>
          <w:p>
            <w:pPr>
              <w:spacing w:line="360" w:lineRule="auto"/>
              <w:jc w:val="left"/>
              <w:rPr>
                <w:color w:val="auto"/>
                <w:sz w:val="21"/>
                <w:szCs w:val="21"/>
              </w:rPr>
            </w:pPr>
          </w:p>
        </w:tc>
        <w:tc>
          <w:tcPr>
            <w:tcW w:w="1481"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842" w:type="dxa"/>
            <w:vAlign w:val="top"/>
          </w:tcPr>
          <w:p>
            <w:pPr>
              <w:spacing w:line="360" w:lineRule="auto"/>
              <w:jc w:val="left"/>
              <w:rPr>
                <w:color w:val="auto"/>
                <w:sz w:val="21"/>
                <w:szCs w:val="21"/>
              </w:rPr>
            </w:pPr>
          </w:p>
        </w:tc>
        <w:tc>
          <w:tcPr>
            <w:tcW w:w="1418"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trPr>
        <w:tc>
          <w:tcPr>
            <w:tcW w:w="2489" w:type="dxa"/>
            <w:vAlign w:val="top"/>
          </w:tcPr>
          <w:p>
            <w:pPr>
              <w:spacing w:line="360" w:lineRule="auto"/>
              <w:jc w:val="left"/>
              <w:rPr>
                <w:color w:val="auto"/>
                <w:sz w:val="21"/>
                <w:szCs w:val="21"/>
              </w:rPr>
            </w:pPr>
          </w:p>
        </w:tc>
        <w:tc>
          <w:tcPr>
            <w:tcW w:w="1481"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842" w:type="dxa"/>
            <w:vAlign w:val="top"/>
          </w:tcPr>
          <w:p>
            <w:pPr>
              <w:spacing w:line="360" w:lineRule="auto"/>
              <w:jc w:val="left"/>
              <w:rPr>
                <w:color w:val="auto"/>
                <w:sz w:val="21"/>
                <w:szCs w:val="21"/>
              </w:rPr>
            </w:pPr>
          </w:p>
        </w:tc>
        <w:tc>
          <w:tcPr>
            <w:tcW w:w="1418"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2489" w:type="dxa"/>
            <w:vAlign w:val="top"/>
          </w:tcPr>
          <w:p>
            <w:pPr>
              <w:spacing w:line="360" w:lineRule="auto"/>
              <w:jc w:val="left"/>
              <w:rPr>
                <w:color w:val="auto"/>
                <w:sz w:val="21"/>
                <w:szCs w:val="21"/>
              </w:rPr>
            </w:pPr>
          </w:p>
        </w:tc>
        <w:tc>
          <w:tcPr>
            <w:tcW w:w="1481"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842" w:type="dxa"/>
            <w:vAlign w:val="top"/>
          </w:tcPr>
          <w:p>
            <w:pPr>
              <w:spacing w:line="360" w:lineRule="auto"/>
              <w:jc w:val="left"/>
              <w:rPr>
                <w:color w:val="auto"/>
                <w:sz w:val="21"/>
                <w:szCs w:val="21"/>
              </w:rPr>
            </w:pPr>
          </w:p>
        </w:tc>
        <w:tc>
          <w:tcPr>
            <w:tcW w:w="1418"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2489" w:type="dxa"/>
            <w:vAlign w:val="top"/>
          </w:tcPr>
          <w:p>
            <w:pPr>
              <w:spacing w:line="360" w:lineRule="auto"/>
              <w:jc w:val="left"/>
              <w:rPr>
                <w:color w:val="auto"/>
                <w:sz w:val="21"/>
                <w:szCs w:val="21"/>
              </w:rPr>
            </w:pPr>
          </w:p>
        </w:tc>
        <w:tc>
          <w:tcPr>
            <w:tcW w:w="1481"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842" w:type="dxa"/>
            <w:vAlign w:val="top"/>
          </w:tcPr>
          <w:p>
            <w:pPr>
              <w:spacing w:line="360" w:lineRule="auto"/>
              <w:jc w:val="left"/>
              <w:rPr>
                <w:color w:val="auto"/>
                <w:sz w:val="21"/>
                <w:szCs w:val="21"/>
              </w:rPr>
            </w:pPr>
          </w:p>
        </w:tc>
        <w:tc>
          <w:tcPr>
            <w:tcW w:w="1418"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2489" w:type="dxa"/>
            <w:vAlign w:val="top"/>
          </w:tcPr>
          <w:p>
            <w:pPr>
              <w:spacing w:line="360" w:lineRule="auto"/>
              <w:jc w:val="left"/>
              <w:rPr>
                <w:color w:val="auto"/>
                <w:sz w:val="21"/>
                <w:szCs w:val="21"/>
              </w:rPr>
            </w:pPr>
          </w:p>
        </w:tc>
        <w:tc>
          <w:tcPr>
            <w:tcW w:w="1481"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842" w:type="dxa"/>
            <w:vAlign w:val="top"/>
          </w:tcPr>
          <w:p>
            <w:pPr>
              <w:spacing w:line="360" w:lineRule="auto"/>
              <w:jc w:val="left"/>
              <w:rPr>
                <w:color w:val="auto"/>
                <w:sz w:val="21"/>
                <w:szCs w:val="21"/>
              </w:rPr>
            </w:pPr>
          </w:p>
        </w:tc>
        <w:tc>
          <w:tcPr>
            <w:tcW w:w="1418"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2489" w:type="dxa"/>
            <w:vAlign w:val="top"/>
          </w:tcPr>
          <w:p>
            <w:pPr>
              <w:spacing w:line="360" w:lineRule="auto"/>
              <w:jc w:val="left"/>
              <w:rPr>
                <w:color w:val="auto"/>
                <w:sz w:val="21"/>
                <w:szCs w:val="21"/>
              </w:rPr>
            </w:pPr>
          </w:p>
        </w:tc>
        <w:tc>
          <w:tcPr>
            <w:tcW w:w="1481"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842" w:type="dxa"/>
            <w:vAlign w:val="top"/>
          </w:tcPr>
          <w:p>
            <w:pPr>
              <w:spacing w:line="360" w:lineRule="auto"/>
              <w:jc w:val="left"/>
              <w:rPr>
                <w:color w:val="auto"/>
                <w:sz w:val="21"/>
                <w:szCs w:val="21"/>
              </w:rPr>
            </w:pPr>
          </w:p>
        </w:tc>
        <w:tc>
          <w:tcPr>
            <w:tcW w:w="1418"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2489" w:type="dxa"/>
            <w:vAlign w:val="top"/>
          </w:tcPr>
          <w:p>
            <w:pPr>
              <w:spacing w:line="360" w:lineRule="auto"/>
              <w:jc w:val="left"/>
              <w:rPr>
                <w:color w:val="auto"/>
                <w:sz w:val="21"/>
                <w:szCs w:val="21"/>
              </w:rPr>
            </w:pPr>
          </w:p>
        </w:tc>
        <w:tc>
          <w:tcPr>
            <w:tcW w:w="1481"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842" w:type="dxa"/>
            <w:vAlign w:val="top"/>
          </w:tcPr>
          <w:p>
            <w:pPr>
              <w:spacing w:line="360" w:lineRule="auto"/>
              <w:jc w:val="left"/>
              <w:rPr>
                <w:color w:val="auto"/>
                <w:sz w:val="21"/>
                <w:szCs w:val="21"/>
              </w:rPr>
            </w:pPr>
          </w:p>
        </w:tc>
        <w:tc>
          <w:tcPr>
            <w:tcW w:w="1418"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trPr>
        <w:tc>
          <w:tcPr>
            <w:tcW w:w="2489" w:type="dxa"/>
            <w:vAlign w:val="top"/>
          </w:tcPr>
          <w:p>
            <w:pPr>
              <w:spacing w:line="360" w:lineRule="auto"/>
              <w:jc w:val="left"/>
              <w:rPr>
                <w:color w:val="auto"/>
                <w:sz w:val="21"/>
                <w:szCs w:val="21"/>
              </w:rPr>
            </w:pPr>
          </w:p>
        </w:tc>
        <w:tc>
          <w:tcPr>
            <w:tcW w:w="1481"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842" w:type="dxa"/>
            <w:vAlign w:val="top"/>
          </w:tcPr>
          <w:p>
            <w:pPr>
              <w:spacing w:line="360" w:lineRule="auto"/>
              <w:jc w:val="left"/>
              <w:rPr>
                <w:color w:val="auto"/>
                <w:sz w:val="21"/>
                <w:szCs w:val="21"/>
              </w:rPr>
            </w:pPr>
          </w:p>
        </w:tc>
        <w:tc>
          <w:tcPr>
            <w:tcW w:w="1418"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trPr>
        <w:tc>
          <w:tcPr>
            <w:tcW w:w="2489" w:type="dxa"/>
            <w:vAlign w:val="top"/>
          </w:tcPr>
          <w:p>
            <w:pPr>
              <w:spacing w:line="360" w:lineRule="auto"/>
              <w:jc w:val="left"/>
              <w:rPr>
                <w:color w:val="auto"/>
                <w:sz w:val="21"/>
                <w:szCs w:val="21"/>
              </w:rPr>
            </w:pPr>
          </w:p>
        </w:tc>
        <w:tc>
          <w:tcPr>
            <w:tcW w:w="1481"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842" w:type="dxa"/>
            <w:vAlign w:val="top"/>
          </w:tcPr>
          <w:p>
            <w:pPr>
              <w:spacing w:line="360" w:lineRule="auto"/>
              <w:jc w:val="left"/>
              <w:rPr>
                <w:color w:val="auto"/>
                <w:sz w:val="21"/>
                <w:szCs w:val="21"/>
              </w:rPr>
            </w:pPr>
          </w:p>
        </w:tc>
        <w:tc>
          <w:tcPr>
            <w:tcW w:w="1418"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trPr>
        <w:tc>
          <w:tcPr>
            <w:tcW w:w="2489" w:type="dxa"/>
            <w:vAlign w:val="top"/>
          </w:tcPr>
          <w:p>
            <w:pPr>
              <w:spacing w:line="360" w:lineRule="auto"/>
              <w:jc w:val="left"/>
              <w:rPr>
                <w:color w:val="auto"/>
                <w:sz w:val="21"/>
                <w:szCs w:val="21"/>
              </w:rPr>
            </w:pPr>
          </w:p>
        </w:tc>
        <w:tc>
          <w:tcPr>
            <w:tcW w:w="1481"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842" w:type="dxa"/>
            <w:vAlign w:val="top"/>
          </w:tcPr>
          <w:p>
            <w:pPr>
              <w:spacing w:line="360" w:lineRule="auto"/>
              <w:jc w:val="left"/>
              <w:rPr>
                <w:color w:val="auto"/>
                <w:sz w:val="21"/>
                <w:szCs w:val="21"/>
              </w:rPr>
            </w:pPr>
          </w:p>
        </w:tc>
        <w:tc>
          <w:tcPr>
            <w:tcW w:w="1418"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trPr>
        <w:tc>
          <w:tcPr>
            <w:tcW w:w="2489" w:type="dxa"/>
            <w:vAlign w:val="top"/>
          </w:tcPr>
          <w:p>
            <w:pPr>
              <w:spacing w:line="360" w:lineRule="auto"/>
              <w:jc w:val="left"/>
              <w:rPr>
                <w:color w:val="auto"/>
                <w:sz w:val="21"/>
                <w:szCs w:val="21"/>
              </w:rPr>
            </w:pPr>
          </w:p>
        </w:tc>
        <w:tc>
          <w:tcPr>
            <w:tcW w:w="1481"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842" w:type="dxa"/>
            <w:vAlign w:val="top"/>
          </w:tcPr>
          <w:p>
            <w:pPr>
              <w:spacing w:line="360" w:lineRule="auto"/>
              <w:jc w:val="left"/>
              <w:rPr>
                <w:color w:val="auto"/>
                <w:sz w:val="21"/>
                <w:szCs w:val="21"/>
              </w:rPr>
            </w:pPr>
          </w:p>
        </w:tc>
        <w:tc>
          <w:tcPr>
            <w:tcW w:w="1418"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trPr>
        <w:tc>
          <w:tcPr>
            <w:tcW w:w="2489" w:type="dxa"/>
            <w:vAlign w:val="top"/>
          </w:tcPr>
          <w:p>
            <w:pPr>
              <w:spacing w:line="360" w:lineRule="auto"/>
              <w:jc w:val="left"/>
              <w:rPr>
                <w:color w:val="auto"/>
                <w:sz w:val="21"/>
                <w:szCs w:val="21"/>
              </w:rPr>
            </w:pPr>
          </w:p>
        </w:tc>
        <w:tc>
          <w:tcPr>
            <w:tcW w:w="1481"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842" w:type="dxa"/>
            <w:vAlign w:val="top"/>
          </w:tcPr>
          <w:p>
            <w:pPr>
              <w:spacing w:line="360" w:lineRule="auto"/>
              <w:jc w:val="left"/>
              <w:rPr>
                <w:color w:val="auto"/>
                <w:sz w:val="21"/>
                <w:szCs w:val="21"/>
              </w:rPr>
            </w:pPr>
          </w:p>
        </w:tc>
        <w:tc>
          <w:tcPr>
            <w:tcW w:w="1418"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trPr>
        <w:tc>
          <w:tcPr>
            <w:tcW w:w="2489" w:type="dxa"/>
            <w:vAlign w:val="top"/>
          </w:tcPr>
          <w:p>
            <w:pPr>
              <w:spacing w:line="360" w:lineRule="auto"/>
              <w:jc w:val="left"/>
              <w:rPr>
                <w:color w:val="auto"/>
                <w:sz w:val="21"/>
                <w:szCs w:val="21"/>
              </w:rPr>
            </w:pPr>
          </w:p>
        </w:tc>
        <w:tc>
          <w:tcPr>
            <w:tcW w:w="1481"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559"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276" w:type="dxa"/>
            <w:vAlign w:val="top"/>
          </w:tcPr>
          <w:p>
            <w:pPr>
              <w:spacing w:line="360" w:lineRule="auto"/>
              <w:jc w:val="left"/>
              <w:rPr>
                <w:color w:val="auto"/>
                <w:sz w:val="21"/>
                <w:szCs w:val="21"/>
              </w:rPr>
            </w:pPr>
          </w:p>
        </w:tc>
        <w:tc>
          <w:tcPr>
            <w:tcW w:w="1842" w:type="dxa"/>
            <w:vAlign w:val="top"/>
          </w:tcPr>
          <w:p>
            <w:pPr>
              <w:spacing w:line="360" w:lineRule="auto"/>
              <w:jc w:val="left"/>
              <w:rPr>
                <w:color w:val="auto"/>
                <w:sz w:val="21"/>
                <w:szCs w:val="21"/>
              </w:rPr>
            </w:pPr>
          </w:p>
        </w:tc>
        <w:tc>
          <w:tcPr>
            <w:tcW w:w="1418" w:type="dxa"/>
            <w:vAlign w:val="top"/>
          </w:tcPr>
          <w:p>
            <w:pPr>
              <w:spacing w:line="360" w:lineRule="auto"/>
              <w:jc w:val="left"/>
              <w:rPr>
                <w:color w:val="auto"/>
                <w:sz w:val="21"/>
                <w:szCs w:val="21"/>
              </w:rPr>
            </w:pPr>
          </w:p>
        </w:tc>
      </w:tr>
    </w:tbl>
    <w:p>
      <w:pPr>
        <w:spacing w:line="360" w:lineRule="auto"/>
        <w:jc w:val="left"/>
        <w:rPr>
          <w:rFonts w:ascii="宋体" w:cs="宋体"/>
          <w:b/>
          <w:bCs/>
          <w:color w:val="auto"/>
          <w:sz w:val="24"/>
          <w:szCs w:val="24"/>
        </w:rPr>
        <w:sectPr>
          <w:headerReference r:id="rId94" w:type="default"/>
          <w:footerReference r:id="rId95" w:type="default"/>
          <w:pgSz w:w="16840" w:h="11907" w:orient="landscape"/>
          <w:pgMar w:top="1418" w:right="1134" w:bottom="1134" w:left="1418" w:header="0" w:footer="992" w:gutter="0"/>
          <w:pgNumType w:fmt="decimal"/>
          <w:cols w:space="720" w:num="1"/>
          <w:docGrid w:linePitch="286" w:charSpace="0"/>
        </w:sectPr>
      </w:pPr>
      <w:r>
        <w:rPr>
          <w:rFonts w:hint="eastAsia" w:ascii="宋体" w:cs="宋体"/>
          <w:b/>
          <w:bCs/>
          <w:color w:val="auto"/>
          <w:sz w:val="24"/>
          <w:szCs w:val="24"/>
        </w:rPr>
        <w:t xml:space="preserve">           </w:t>
      </w:r>
    </w:p>
    <w:p>
      <w:pPr>
        <w:spacing w:line="360" w:lineRule="auto"/>
        <w:rPr>
          <w:rFonts w:hint="eastAsia" w:ascii="宋体" w:hAnsi="宋体" w:eastAsia="宋体" w:cs="宋体"/>
          <w:bCs/>
          <w:color w:val="auto"/>
          <w:sz w:val="24"/>
          <w:szCs w:val="24"/>
        </w:rPr>
      </w:pPr>
      <w:r>
        <w:rPr>
          <w:rFonts w:hint="eastAsia" w:ascii="宋体" w:hAnsi="宋体" w:eastAsia="宋体" w:cs="宋体"/>
          <w:bCs/>
          <w:color w:val="auto"/>
          <w:sz w:val="24"/>
          <w:szCs w:val="24"/>
        </w:rPr>
        <w:t>附件</w:t>
      </w: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药物临床试验专用处方</w:t>
      </w:r>
    </w:p>
    <w:p>
      <w:pPr>
        <w:spacing w:line="360" w:lineRule="auto"/>
        <w:jc w:val="center"/>
        <w:rPr>
          <w:rFonts w:ascii="宋体" w:hAnsi="宋体" w:cs="宋体"/>
          <w:b/>
          <w:bCs/>
          <w:color w:val="auto"/>
          <w:sz w:val="24"/>
          <w:szCs w:val="24"/>
        </w:rPr>
      </w:pPr>
      <w:r>
        <w:rPr>
          <w:rFonts w:hint="eastAsia" w:ascii="宋体" w:hAnsi="宋体" w:cs="宋体"/>
          <w:b/>
          <w:bCs/>
          <w:color w:val="auto"/>
          <w:sz w:val="24"/>
          <w:szCs w:val="24"/>
        </w:rPr>
        <w:t>沂源县人民医院药物临床试验专用处方</w:t>
      </w:r>
    </w:p>
    <w:p>
      <w:pPr>
        <w:tabs>
          <w:tab w:val="left" w:pos="1890"/>
        </w:tabs>
        <w:spacing w:line="360" w:lineRule="auto"/>
        <w:rPr>
          <w:rFonts w:hint="eastAsia" w:ascii="宋体" w:hAnsi="宋体" w:cs="宋体"/>
          <w:b w:val="0"/>
          <w:bCs w:val="0"/>
          <w:color w:val="auto"/>
          <w:sz w:val="21"/>
          <w:szCs w:val="21"/>
        </w:rPr>
      </w:pPr>
      <w:r>
        <w:rPr>
          <w:rFonts w:hint="eastAsia" w:ascii="宋体" w:hAnsi="宋体" w:cs="宋体"/>
          <w:b w:val="0"/>
          <w:bCs w:val="0"/>
          <w:color w:val="auto"/>
          <w:sz w:val="21"/>
          <w:szCs w:val="21"/>
        </w:rPr>
        <w:t>试验名称：</w:t>
      </w:r>
      <w:r>
        <w:rPr>
          <w:rFonts w:ascii="宋体" w:hAnsi="宋体" w:cs="宋体"/>
          <w:b w:val="0"/>
          <w:bCs w:val="0"/>
          <w:color w:val="auto"/>
          <w:sz w:val="21"/>
          <w:szCs w:val="21"/>
        </w:rPr>
        <w:tab/>
      </w:r>
    </w:p>
    <w:p>
      <w:pPr>
        <w:spacing w:line="360" w:lineRule="auto"/>
        <w:rPr>
          <w:rFonts w:hint="eastAsia" w:ascii="宋体" w:hAnsi="宋体" w:cs="宋体"/>
          <w:b w:val="0"/>
          <w:bCs w:val="0"/>
          <w:color w:val="auto"/>
          <w:sz w:val="21"/>
          <w:szCs w:val="21"/>
          <w:u w:val="single"/>
        </w:rPr>
      </w:pPr>
    </w:p>
    <w:p>
      <w:pPr>
        <w:spacing w:line="360" w:lineRule="auto"/>
        <w:rPr>
          <w:rFonts w:hint="eastAsia" w:ascii="宋体" w:hAnsi="宋体" w:cs="宋体"/>
          <w:b w:val="0"/>
          <w:bCs w:val="0"/>
          <w:color w:val="auto"/>
          <w:sz w:val="21"/>
          <w:szCs w:val="21"/>
          <w:u w:val="single"/>
        </w:rPr>
      </w:pPr>
      <w:r>
        <w:rPr>
          <w:rFonts w:hint="eastAsia" w:ascii="宋体" w:hAnsi="宋体" w:cs="宋体"/>
          <w:b w:val="0"/>
          <w:bCs w:val="0"/>
          <w:color w:val="auto"/>
          <w:sz w:val="21"/>
          <w:szCs w:val="21"/>
          <w:u w:val="single"/>
        </w:rPr>
        <w:t xml:space="preserve">申办方/方案编号：                   药物编号：                    日期：           </w:t>
      </w:r>
    </w:p>
    <w:p>
      <w:pPr>
        <w:spacing w:line="360" w:lineRule="auto"/>
        <w:rPr>
          <w:rFonts w:ascii="宋体" w:hAnsi="宋体" w:cs="宋体"/>
          <w:b w:val="0"/>
          <w:bCs w:val="0"/>
          <w:color w:val="auto"/>
          <w:sz w:val="21"/>
          <w:szCs w:val="21"/>
        </w:rPr>
      </w:pPr>
      <w:r>
        <w:rPr>
          <w:rFonts w:hint="eastAsia" w:ascii="宋体" w:hAnsi="宋体" w:cs="宋体"/>
          <w:b w:val="0"/>
          <w:bCs w:val="0"/>
          <w:color w:val="auto"/>
          <w:sz w:val="21"/>
          <w:szCs w:val="21"/>
        </w:rPr>
        <w:t xml:space="preserve">受试者姓名：           性别：      年龄：                              </w:t>
      </w:r>
    </w:p>
    <w:p>
      <w:pPr>
        <w:spacing w:line="360" w:lineRule="auto"/>
        <w:rPr>
          <w:rFonts w:hint="eastAsia" w:ascii="宋体" w:hAnsi="宋体" w:cs="宋体"/>
          <w:b w:val="0"/>
          <w:bCs w:val="0"/>
          <w:color w:val="auto"/>
          <w:sz w:val="21"/>
          <w:szCs w:val="21"/>
        </w:rPr>
      </w:pPr>
      <w:r>
        <w:rPr>
          <w:rFonts w:hint="eastAsia" w:ascii="宋体" w:hAnsi="宋体" w:cs="宋体"/>
          <w:b w:val="0"/>
          <w:bCs w:val="0"/>
          <w:color w:val="auto"/>
          <w:sz w:val="21"/>
          <w:szCs w:val="21"/>
        </w:rPr>
        <w:t>科室：</w:t>
      </w:r>
    </w:p>
    <w:p>
      <w:pPr>
        <w:spacing w:line="360" w:lineRule="auto"/>
        <w:rPr>
          <w:rFonts w:ascii="宋体" w:hAnsi="宋体" w:cs="宋体"/>
          <w:b w:val="0"/>
          <w:bCs w:val="0"/>
          <w:color w:val="auto"/>
          <w:sz w:val="21"/>
          <w:szCs w:val="21"/>
          <w:u w:val="single"/>
        </w:rPr>
      </w:pPr>
      <w:r>
        <w:rPr>
          <w:rFonts w:hint="eastAsia" w:ascii="宋体" w:hAnsi="宋体" w:cs="宋体"/>
          <w:b w:val="0"/>
          <w:bCs w:val="0"/>
          <w:color w:val="auto"/>
          <w:sz w:val="21"/>
          <w:szCs w:val="21"/>
        </w:rPr>
        <w:t>受试者编号：                                       门诊/住院号</w:t>
      </w:r>
      <w:r>
        <w:rPr>
          <w:rFonts w:hint="eastAsia" w:ascii="宋体" w:hAnsi="宋体" w:cs="宋体"/>
          <w:b w:val="0"/>
          <w:bCs w:val="0"/>
          <w:color w:val="auto"/>
          <w:sz w:val="21"/>
          <w:szCs w:val="21"/>
          <w:lang w:eastAsia="zh-CN"/>
        </w:rPr>
        <w:t>：</w:t>
      </w:r>
      <w:r>
        <w:rPr>
          <w:rFonts w:hint="eastAsia" w:ascii="宋体" w:hAnsi="宋体" w:cs="宋体"/>
          <w:b w:val="0"/>
          <w:bCs w:val="0"/>
          <w:color w:val="auto"/>
          <w:sz w:val="21"/>
          <w:szCs w:val="21"/>
        </w:rPr>
        <w:t xml:space="preserve">      </w:t>
      </w:r>
    </w:p>
    <w:p>
      <w:pPr>
        <w:spacing w:line="360" w:lineRule="auto"/>
        <w:rPr>
          <w:rFonts w:ascii="宋体" w:hAnsi="宋体" w:cs="宋体"/>
          <w:b w:val="0"/>
          <w:bCs w:val="0"/>
          <w:color w:val="auto"/>
          <w:sz w:val="21"/>
          <w:szCs w:val="21"/>
          <w:u w:val="single"/>
        </w:rPr>
      </w:pPr>
      <w:r>
        <w:rPr>
          <w:rFonts w:hint="eastAsia" w:ascii="宋体" w:hAnsi="宋体" w:cs="宋体"/>
          <w:b w:val="0"/>
          <w:bCs w:val="0"/>
          <w:color w:val="auto"/>
          <w:sz w:val="21"/>
          <w:szCs w:val="21"/>
          <w:u w:val="single"/>
        </w:rPr>
        <w:t xml:space="preserve">                                                                          </w:t>
      </w:r>
      <w:r>
        <w:rPr>
          <w:rFonts w:hint="eastAsia" w:ascii="宋体" w:hAnsi="宋体" w:cs="宋体"/>
          <w:b w:val="0"/>
          <w:bCs w:val="0"/>
          <w:color w:val="auto"/>
          <w:sz w:val="21"/>
          <w:szCs w:val="21"/>
          <w:u w:val="single"/>
          <w:lang w:val="en-US" w:eastAsia="zh-CN"/>
        </w:rPr>
        <w:t xml:space="preserve">      </w:t>
      </w:r>
      <w:r>
        <w:rPr>
          <w:rFonts w:hint="eastAsia" w:ascii="宋体" w:hAnsi="宋体" w:cs="宋体"/>
          <w:b w:val="0"/>
          <w:bCs w:val="0"/>
          <w:color w:val="auto"/>
          <w:sz w:val="21"/>
          <w:szCs w:val="21"/>
          <w:u w:val="single"/>
        </w:rPr>
        <w:t xml:space="preserve">   </w:t>
      </w:r>
    </w:p>
    <w:p>
      <w:pPr>
        <w:spacing w:line="360" w:lineRule="auto"/>
        <w:ind w:firstLine="308" w:firstLineChars="147"/>
        <w:rPr>
          <w:rFonts w:ascii="宋体" w:hAnsi="宋体" w:cs="宋体"/>
          <w:b w:val="0"/>
          <w:bCs w:val="0"/>
          <w:color w:val="auto"/>
          <w:sz w:val="21"/>
          <w:szCs w:val="21"/>
        </w:rPr>
      </w:pPr>
      <w:r>
        <w:rPr>
          <w:rFonts w:hint="eastAsia" w:ascii="宋体" w:hAnsi="宋体" w:cs="宋体"/>
          <w:b w:val="0"/>
          <w:bCs w:val="0"/>
          <w:color w:val="auto"/>
          <w:sz w:val="21"/>
          <w:szCs w:val="21"/>
        </w:rPr>
        <w:t>Rp</w:t>
      </w:r>
    </w:p>
    <w:p>
      <w:pPr>
        <w:spacing w:line="360" w:lineRule="auto"/>
        <w:rPr>
          <w:rFonts w:ascii="宋体" w:hAnsi="宋体" w:cs="宋体"/>
          <w:b/>
          <w:color w:val="auto"/>
          <w:sz w:val="21"/>
          <w:szCs w:val="21"/>
        </w:rPr>
      </w:pPr>
    </w:p>
    <w:p>
      <w:pPr>
        <w:spacing w:line="360" w:lineRule="auto"/>
        <w:rPr>
          <w:rFonts w:ascii="宋体" w:hAnsi="宋体" w:cs="宋体"/>
          <w:b/>
          <w:color w:val="auto"/>
          <w:sz w:val="72"/>
          <w:szCs w:val="72"/>
        </w:rPr>
      </w:pPr>
    </w:p>
    <w:p>
      <w:pPr>
        <w:spacing w:line="360" w:lineRule="auto"/>
        <w:rPr>
          <w:rFonts w:ascii="宋体" w:hAnsi="宋体" w:cs="宋体"/>
          <w:b/>
          <w:color w:val="auto"/>
          <w:sz w:val="72"/>
          <w:szCs w:val="72"/>
        </w:rPr>
      </w:pPr>
    </w:p>
    <w:p>
      <w:pPr>
        <w:spacing w:line="360" w:lineRule="auto"/>
        <w:rPr>
          <w:rFonts w:ascii="宋体" w:hAnsi="宋体" w:cs="宋体"/>
          <w:b/>
          <w:color w:val="auto"/>
          <w:sz w:val="72"/>
          <w:szCs w:val="72"/>
        </w:rPr>
      </w:pPr>
    </w:p>
    <w:p>
      <w:pPr>
        <w:spacing w:line="360" w:lineRule="auto"/>
        <w:rPr>
          <w:rFonts w:ascii="宋体" w:hAnsi="宋体" w:cs="宋体"/>
          <w:b/>
          <w:color w:val="auto"/>
          <w:sz w:val="72"/>
          <w:szCs w:val="72"/>
        </w:rPr>
      </w:pPr>
    </w:p>
    <w:p>
      <w:pPr>
        <w:spacing w:line="360" w:lineRule="auto"/>
        <w:rPr>
          <w:rFonts w:ascii="宋体" w:hAnsi="宋体" w:cs="宋体"/>
          <w:b/>
          <w:color w:val="auto"/>
          <w:sz w:val="21"/>
          <w:szCs w:val="21"/>
          <w:u w:val="single"/>
        </w:rPr>
      </w:pPr>
      <w:r>
        <w:rPr>
          <w:rFonts w:hint="eastAsia" w:ascii="宋体" w:hAnsi="宋体" w:cs="宋体"/>
          <w:b/>
          <w:color w:val="auto"/>
          <w:sz w:val="21"/>
          <w:szCs w:val="21"/>
          <w:u w:val="single"/>
        </w:rPr>
        <w:t xml:space="preserve">                                                                  </w:t>
      </w:r>
      <w:r>
        <w:rPr>
          <w:rFonts w:hint="eastAsia" w:ascii="宋体" w:hAnsi="宋体" w:cs="宋体"/>
          <w:b/>
          <w:color w:val="auto"/>
          <w:sz w:val="21"/>
          <w:szCs w:val="21"/>
          <w:u w:val="single"/>
          <w:lang w:val="en-US" w:eastAsia="zh-CN"/>
        </w:rPr>
        <w:t xml:space="preserve">       </w:t>
      </w:r>
      <w:r>
        <w:rPr>
          <w:rFonts w:hint="eastAsia" w:ascii="宋体" w:hAnsi="宋体" w:cs="宋体"/>
          <w:b/>
          <w:color w:val="auto"/>
          <w:sz w:val="21"/>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bCs/>
          <w:color w:val="auto"/>
          <w:sz w:val="21"/>
          <w:szCs w:val="21"/>
        </w:rPr>
      </w:pPr>
      <w:r>
        <w:rPr>
          <w:rFonts w:hint="eastAsia" w:ascii="宋体" w:hAnsi="宋体" w:cs="宋体"/>
          <w:bCs/>
          <w:color w:val="auto"/>
          <w:sz w:val="21"/>
          <w:szCs w:val="21"/>
        </w:rPr>
        <w:t xml:space="preserve">研究者：              取药人：                药物管理员：        </w:t>
      </w:r>
    </w:p>
    <w:p>
      <w:pPr>
        <w:spacing w:line="360" w:lineRule="auto"/>
        <w:rPr>
          <w:rFonts w:ascii="宋体" w:hAnsi="宋体" w:cs="宋体"/>
          <w:bCs/>
          <w:color w:val="auto"/>
          <w:sz w:val="24"/>
          <w:szCs w:val="24"/>
          <w:u w:val="single"/>
        </w:rPr>
      </w:pPr>
    </w:p>
    <w:p>
      <w:pPr>
        <w:spacing w:line="360" w:lineRule="auto"/>
        <w:rPr>
          <w:rFonts w:ascii="宋体" w:hAnsi="宋体" w:cs="宋体"/>
          <w:bCs/>
          <w:color w:val="auto"/>
          <w:sz w:val="24"/>
          <w:szCs w:val="24"/>
          <w:u w:val="single"/>
        </w:rPr>
      </w:pPr>
    </w:p>
    <w:p>
      <w:pPr>
        <w:spacing w:line="360" w:lineRule="auto"/>
        <w:rPr>
          <w:rFonts w:hint="eastAsia" w:ascii="黑体" w:hAnsi="黑体" w:eastAsia="黑体" w:cs="黑体"/>
          <w:bCs/>
          <w:color w:val="auto"/>
          <w:sz w:val="24"/>
          <w:szCs w:val="24"/>
        </w:rPr>
      </w:pPr>
    </w:p>
    <w:p>
      <w:pPr>
        <w:tabs>
          <w:tab w:val="left" w:pos="3060"/>
        </w:tabs>
        <w:spacing w:line="500" w:lineRule="exact"/>
        <w:rPr>
          <w:rFonts w:ascii="宋体" w:hAnsi="宋体"/>
          <w:b/>
          <w:bCs/>
          <w:color w:val="auto"/>
          <w:sz w:val="24"/>
          <w:szCs w:val="24"/>
        </w:rPr>
        <w:sectPr>
          <w:headerReference r:id="rId96" w:type="default"/>
          <w:footerReference r:id="rId97" w:type="default"/>
          <w:pgSz w:w="11907" w:h="16840"/>
          <w:pgMar w:top="1134" w:right="1134" w:bottom="1418" w:left="1418" w:header="0" w:footer="992" w:gutter="0"/>
          <w:pgNumType w:fmt="decimal"/>
          <w:cols w:space="720" w:num="1"/>
          <w:docGrid w:linePitch="286" w:charSpace="0"/>
        </w:sectPr>
      </w:pPr>
    </w:p>
    <w:p>
      <w:pPr>
        <w:tabs>
          <w:tab w:val="left" w:pos="3060"/>
        </w:tabs>
        <w:spacing w:line="500" w:lineRule="exact"/>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附件</w:t>
      </w:r>
      <w:r>
        <w:rPr>
          <w:rFonts w:hint="eastAsia" w:ascii="宋体" w:hAnsi="宋体" w:eastAsia="宋体" w:cs="宋体"/>
          <w:b w:val="0"/>
          <w:bCs w:val="0"/>
          <w:color w:val="auto"/>
          <w:sz w:val="24"/>
          <w:szCs w:val="24"/>
          <w:lang w:val="en-US" w:eastAsia="zh-CN"/>
        </w:rPr>
        <w:t>6：</w:t>
      </w:r>
      <w:r>
        <w:rPr>
          <w:rFonts w:hint="eastAsia" w:ascii="宋体" w:hAnsi="宋体" w:eastAsia="宋体" w:cs="宋体"/>
          <w:b w:val="0"/>
          <w:bCs w:val="0"/>
          <w:color w:val="auto"/>
          <w:sz w:val="24"/>
          <w:szCs w:val="24"/>
        </w:rPr>
        <w:t>试验用药物请领单</w:t>
      </w:r>
    </w:p>
    <w:p>
      <w:pPr>
        <w:tabs>
          <w:tab w:val="left" w:pos="3060"/>
        </w:tabs>
        <w:spacing w:line="500" w:lineRule="exact"/>
        <w:jc w:val="center"/>
        <w:rPr>
          <w:rFonts w:ascii="宋体" w:hAnsi="宋体"/>
          <w:b/>
          <w:bCs/>
          <w:color w:val="auto"/>
          <w:sz w:val="24"/>
          <w:szCs w:val="24"/>
        </w:rPr>
      </w:pPr>
      <w:r>
        <w:rPr>
          <w:rFonts w:hint="eastAsia" w:ascii="宋体" w:hAnsi="宋体"/>
          <w:b/>
          <w:bCs/>
          <w:color w:val="auto"/>
          <w:sz w:val="24"/>
          <w:szCs w:val="24"/>
        </w:rPr>
        <w:t>试验用药物请领单</w:t>
      </w:r>
    </w:p>
    <w:tbl>
      <w:tblPr>
        <w:tblStyle w:val="27"/>
        <w:tblW w:w="13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2"/>
        <w:gridCol w:w="1515"/>
        <w:gridCol w:w="1515"/>
        <w:gridCol w:w="1515"/>
        <w:gridCol w:w="1515"/>
        <w:gridCol w:w="1940"/>
        <w:gridCol w:w="1931"/>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exact"/>
          <w:jc w:val="center"/>
        </w:trPr>
        <w:tc>
          <w:tcPr>
            <w:tcW w:w="1942" w:type="dxa"/>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试验名称</w:t>
            </w:r>
          </w:p>
        </w:tc>
        <w:tc>
          <w:tcPr>
            <w:tcW w:w="6060" w:type="dxa"/>
            <w:gridSpan w:val="4"/>
            <w:vAlign w:val="center"/>
          </w:tcPr>
          <w:p>
            <w:pPr>
              <w:jc w:val="center"/>
              <w:rPr>
                <w:rFonts w:ascii="宋体" w:hAnsi="宋体"/>
                <w:b w:val="0"/>
                <w:bCs/>
                <w:color w:val="auto"/>
                <w:sz w:val="21"/>
                <w:szCs w:val="21"/>
              </w:rPr>
            </w:pPr>
          </w:p>
        </w:tc>
        <w:tc>
          <w:tcPr>
            <w:tcW w:w="1940" w:type="dxa"/>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申办方/方案编号</w:t>
            </w:r>
          </w:p>
        </w:tc>
        <w:tc>
          <w:tcPr>
            <w:tcW w:w="3819" w:type="dxa"/>
            <w:gridSpan w:val="2"/>
            <w:vAlign w:val="center"/>
          </w:tcPr>
          <w:p>
            <w:pPr>
              <w:jc w:val="center"/>
              <w:rPr>
                <w:rFonts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42" w:type="dxa"/>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科室名称</w:t>
            </w:r>
          </w:p>
        </w:tc>
        <w:tc>
          <w:tcPr>
            <w:tcW w:w="6060" w:type="dxa"/>
            <w:gridSpan w:val="4"/>
            <w:vAlign w:val="center"/>
          </w:tcPr>
          <w:p>
            <w:pPr>
              <w:ind w:firstLine="210" w:firstLineChars="100"/>
              <w:rPr>
                <w:rFonts w:ascii="宋体" w:hAnsi="宋体"/>
                <w:b w:val="0"/>
                <w:bCs/>
                <w:color w:val="auto"/>
                <w:sz w:val="21"/>
                <w:szCs w:val="21"/>
              </w:rPr>
            </w:pPr>
          </w:p>
        </w:tc>
        <w:tc>
          <w:tcPr>
            <w:tcW w:w="1940" w:type="dxa"/>
            <w:vAlign w:val="center"/>
          </w:tcPr>
          <w:p>
            <w:pPr>
              <w:jc w:val="center"/>
              <w:rPr>
                <w:rFonts w:ascii="宋体" w:hAnsi="宋体"/>
                <w:b w:val="0"/>
                <w:bCs/>
                <w:color w:val="auto"/>
                <w:sz w:val="21"/>
                <w:szCs w:val="21"/>
              </w:rPr>
            </w:pPr>
            <w:r>
              <w:rPr>
                <w:rFonts w:hint="eastAsia" w:ascii="宋体" w:hAnsi="宋体"/>
                <w:b w:val="0"/>
                <w:bCs/>
                <w:color w:val="auto"/>
                <w:sz w:val="21"/>
                <w:szCs w:val="21"/>
              </w:rPr>
              <w:t>研究者</w:t>
            </w:r>
          </w:p>
        </w:tc>
        <w:tc>
          <w:tcPr>
            <w:tcW w:w="3819" w:type="dxa"/>
            <w:gridSpan w:val="2"/>
            <w:vAlign w:val="center"/>
          </w:tcPr>
          <w:p>
            <w:pPr>
              <w:rPr>
                <w:rFonts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942" w:type="dxa"/>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药物名称</w:t>
            </w:r>
          </w:p>
        </w:tc>
        <w:tc>
          <w:tcPr>
            <w:tcW w:w="1515" w:type="dxa"/>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药物编号</w:t>
            </w:r>
          </w:p>
        </w:tc>
        <w:tc>
          <w:tcPr>
            <w:tcW w:w="1515" w:type="dxa"/>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规格</w:t>
            </w:r>
          </w:p>
        </w:tc>
        <w:tc>
          <w:tcPr>
            <w:tcW w:w="1515" w:type="dxa"/>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批号</w:t>
            </w:r>
          </w:p>
        </w:tc>
        <w:tc>
          <w:tcPr>
            <w:tcW w:w="1515" w:type="dxa"/>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有效期</w:t>
            </w:r>
          </w:p>
        </w:tc>
        <w:tc>
          <w:tcPr>
            <w:tcW w:w="1940" w:type="dxa"/>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领药数量</w:t>
            </w:r>
          </w:p>
        </w:tc>
        <w:tc>
          <w:tcPr>
            <w:tcW w:w="1931" w:type="dxa"/>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领药人/日期</w:t>
            </w:r>
          </w:p>
        </w:tc>
        <w:tc>
          <w:tcPr>
            <w:tcW w:w="1888" w:type="dxa"/>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发药人/日期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942" w:type="dxa"/>
            <w:vAlign w:val="center"/>
          </w:tcPr>
          <w:p>
            <w:pPr>
              <w:jc w:val="center"/>
              <w:rPr>
                <w:rFonts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ascii="宋体" w:hAnsi="宋体"/>
                <w:b w:val="0"/>
                <w:bCs/>
                <w:color w:val="auto"/>
                <w:sz w:val="21"/>
                <w:szCs w:val="21"/>
              </w:rPr>
            </w:pPr>
          </w:p>
        </w:tc>
        <w:tc>
          <w:tcPr>
            <w:tcW w:w="1515" w:type="dxa"/>
            <w:vAlign w:val="center"/>
          </w:tcPr>
          <w:p>
            <w:pPr>
              <w:jc w:val="center"/>
              <w:rPr>
                <w:rFonts w:ascii="宋体" w:hAnsi="宋体"/>
                <w:b w:val="0"/>
                <w:bCs/>
                <w:color w:val="auto"/>
                <w:sz w:val="21"/>
                <w:szCs w:val="21"/>
              </w:rPr>
            </w:pPr>
          </w:p>
        </w:tc>
        <w:tc>
          <w:tcPr>
            <w:tcW w:w="1515" w:type="dxa"/>
            <w:vAlign w:val="center"/>
          </w:tcPr>
          <w:p>
            <w:pPr>
              <w:jc w:val="center"/>
              <w:rPr>
                <w:rFonts w:ascii="宋体" w:hAnsi="宋体"/>
                <w:b w:val="0"/>
                <w:bCs/>
                <w:color w:val="auto"/>
                <w:sz w:val="21"/>
                <w:szCs w:val="21"/>
              </w:rPr>
            </w:pPr>
          </w:p>
        </w:tc>
        <w:tc>
          <w:tcPr>
            <w:tcW w:w="1940" w:type="dxa"/>
            <w:vAlign w:val="center"/>
          </w:tcPr>
          <w:p>
            <w:pPr>
              <w:jc w:val="center"/>
              <w:rPr>
                <w:rFonts w:hint="eastAsia" w:ascii="宋体" w:hAnsi="宋体"/>
                <w:b w:val="0"/>
                <w:bCs/>
                <w:color w:val="auto"/>
                <w:sz w:val="21"/>
                <w:szCs w:val="21"/>
              </w:rPr>
            </w:pPr>
          </w:p>
        </w:tc>
        <w:tc>
          <w:tcPr>
            <w:tcW w:w="1931" w:type="dxa"/>
            <w:vAlign w:val="center"/>
          </w:tcPr>
          <w:p>
            <w:pPr>
              <w:jc w:val="center"/>
              <w:rPr>
                <w:rFonts w:ascii="宋体" w:hAnsi="宋体"/>
                <w:b w:val="0"/>
                <w:bCs/>
                <w:color w:val="auto"/>
                <w:sz w:val="21"/>
                <w:szCs w:val="21"/>
              </w:rPr>
            </w:pPr>
          </w:p>
        </w:tc>
        <w:tc>
          <w:tcPr>
            <w:tcW w:w="1888" w:type="dxa"/>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942" w:type="dxa"/>
            <w:vAlign w:val="center"/>
          </w:tcPr>
          <w:p>
            <w:pPr>
              <w:jc w:val="center"/>
              <w:rPr>
                <w:rFonts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ascii="宋体" w:hAnsi="宋体"/>
                <w:b w:val="0"/>
                <w:bCs/>
                <w:color w:val="auto"/>
                <w:sz w:val="21"/>
                <w:szCs w:val="21"/>
              </w:rPr>
            </w:pPr>
          </w:p>
        </w:tc>
        <w:tc>
          <w:tcPr>
            <w:tcW w:w="1515" w:type="dxa"/>
            <w:vAlign w:val="center"/>
          </w:tcPr>
          <w:p>
            <w:pPr>
              <w:jc w:val="center"/>
              <w:rPr>
                <w:rFonts w:ascii="宋体" w:hAnsi="宋体"/>
                <w:b w:val="0"/>
                <w:bCs/>
                <w:color w:val="auto"/>
                <w:sz w:val="21"/>
                <w:szCs w:val="21"/>
              </w:rPr>
            </w:pPr>
          </w:p>
        </w:tc>
        <w:tc>
          <w:tcPr>
            <w:tcW w:w="1515" w:type="dxa"/>
            <w:vAlign w:val="center"/>
          </w:tcPr>
          <w:p>
            <w:pPr>
              <w:jc w:val="center"/>
              <w:rPr>
                <w:rFonts w:ascii="宋体" w:hAnsi="宋体"/>
                <w:b w:val="0"/>
                <w:bCs/>
                <w:color w:val="auto"/>
                <w:sz w:val="21"/>
                <w:szCs w:val="21"/>
              </w:rPr>
            </w:pPr>
          </w:p>
        </w:tc>
        <w:tc>
          <w:tcPr>
            <w:tcW w:w="1940" w:type="dxa"/>
            <w:vAlign w:val="center"/>
          </w:tcPr>
          <w:p>
            <w:pPr>
              <w:jc w:val="center"/>
              <w:rPr>
                <w:rFonts w:hint="eastAsia" w:ascii="宋体" w:hAnsi="宋体"/>
                <w:b w:val="0"/>
                <w:bCs/>
                <w:color w:val="auto"/>
                <w:sz w:val="21"/>
                <w:szCs w:val="21"/>
              </w:rPr>
            </w:pPr>
          </w:p>
        </w:tc>
        <w:tc>
          <w:tcPr>
            <w:tcW w:w="1931" w:type="dxa"/>
            <w:vAlign w:val="center"/>
          </w:tcPr>
          <w:p>
            <w:pPr>
              <w:jc w:val="center"/>
              <w:rPr>
                <w:rFonts w:hint="eastAsia" w:ascii="宋体" w:hAnsi="宋体"/>
                <w:b w:val="0"/>
                <w:bCs/>
                <w:color w:val="auto"/>
                <w:sz w:val="21"/>
                <w:szCs w:val="21"/>
              </w:rPr>
            </w:pPr>
          </w:p>
        </w:tc>
        <w:tc>
          <w:tcPr>
            <w:tcW w:w="1888" w:type="dxa"/>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942"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940" w:type="dxa"/>
            <w:vAlign w:val="center"/>
          </w:tcPr>
          <w:p>
            <w:pPr>
              <w:jc w:val="center"/>
              <w:rPr>
                <w:rFonts w:hint="eastAsia" w:ascii="宋体" w:hAnsi="宋体"/>
                <w:b w:val="0"/>
                <w:bCs/>
                <w:color w:val="auto"/>
                <w:sz w:val="21"/>
                <w:szCs w:val="21"/>
              </w:rPr>
            </w:pPr>
          </w:p>
        </w:tc>
        <w:tc>
          <w:tcPr>
            <w:tcW w:w="1931" w:type="dxa"/>
            <w:vAlign w:val="center"/>
          </w:tcPr>
          <w:p>
            <w:pPr>
              <w:jc w:val="center"/>
              <w:rPr>
                <w:rFonts w:hint="eastAsia" w:ascii="宋体" w:hAnsi="宋体"/>
                <w:b w:val="0"/>
                <w:bCs/>
                <w:color w:val="auto"/>
                <w:sz w:val="21"/>
                <w:szCs w:val="21"/>
              </w:rPr>
            </w:pPr>
          </w:p>
        </w:tc>
        <w:tc>
          <w:tcPr>
            <w:tcW w:w="1888" w:type="dxa"/>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942"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940" w:type="dxa"/>
            <w:vAlign w:val="center"/>
          </w:tcPr>
          <w:p>
            <w:pPr>
              <w:jc w:val="center"/>
              <w:rPr>
                <w:rFonts w:hint="eastAsia" w:ascii="宋体" w:hAnsi="宋体"/>
                <w:b w:val="0"/>
                <w:bCs/>
                <w:color w:val="auto"/>
                <w:sz w:val="21"/>
                <w:szCs w:val="21"/>
              </w:rPr>
            </w:pPr>
          </w:p>
        </w:tc>
        <w:tc>
          <w:tcPr>
            <w:tcW w:w="1931" w:type="dxa"/>
            <w:vAlign w:val="center"/>
          </w:tcPr>
          <w:p>
            <w:pPr>
              <w:jc w:val="center"/>
              <w:rPr>
                <w:rFonts w:hint="eastAsia" w:ascii="宋体" w:hAnsi="宋体"/>
                <w:b w:val="0"/>
                <w:bCs/>
                <w:color w:val="auto"/>
                <w:sz w:val="21"/>
                <w:szCs w:val="21"/>
              </w:rPr>
            </w:pPr>
          </w:p>
        </w:tc>
        <w:tc>
          <w:tcPr>
            <w:tcW w:w="1888" w:type="dxa"/>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942"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940" w:type="dxa"/>
            <w:vAlign w:val="center"/>
          </w:tcPr>
          <w:p>
            <w:pPr>
              <w:jc w:val="center"/>
              <w:rPr>
                <w:rFonts w:hint="eastAsia" w:ascii="宋体" w:hAnsi="宋体"/>
                <w:b w:val="0"/>
                <w:bCs/>
                <w:color w:val="auto"/>
                <w:sz w:val="21"/>
                <w:szCs w:val="21"/>
              </w:rPr>
            </w:pPr>
          </w:p>
        </w:tc>
        <w:tc>
          <w:tcPr>
            <w:tcW w:w="1931" w:type="dxa"/>
            <w:vAlign w:val="center"/>
          </w:tcPr>
          <w:p>
            <w:pPr>
              <w:jc w:val="center"/>
              <w:rPr>
                <w:rFonts w:hint="eastAsia" w:ascii="宋体" w:hAnsi="宋体"/>
                <w:b w:val="0"/>
                <w:bCs/>
                <w:color w:val="auto"/>
                <w:sz w:val="21"/>
                <w:szCs w:val="21"/>
              </w:rPr>
            </w:pPr>
          </w:p>
        </w:tc>
        <w:tc>
          <w:tcPr>
            <w:tcW w:w="1888" w:type="dxa"/>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942"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940" w:type="dxa"/>
            <w:vAlign w:val="center"/>
          </w:tcPr>
          <w:p>
            <w:pPr>
              <w:jc w:val="center"/>
              <w:rPr>
                <w:rFonts w:hint="eastAsia" w:ascii="宋体" w:hAnsi="宋体"/>
                <w:b w:val="0"/>
                <w:bCs/>
                <w:color w:val="auto"/>
                <w:sz w:val="21"/>
                <w:szCs w:val="21"/>
              </w:rPr>
            </w:pPr>
          </w:p>
        </w:tc>
        <w:tc>
          <w:tcPr>
            <w:tcW w:w="1931" w:type="dxa"/>
            <w:vAlign w:val="center"/>
          </w:tcPr>
          <w:p>
            <w:pPr>
              <w:jc w:val="center"/>
              <w:rPr>
                <w:rFonts w:hint="eastAsia" w:ascii="宋体" w:hAnsi="宋体"/>
                <w:b w:val="0"/>
                <w:bCs/>
                <w:color w:val="auto"/>
                <w:sz w:val="21"/>
                <w:szCs w:val="21"/>
              </w:rPr>
            </w:pPr>
          </w:p>
        </w:tc>
        <w:tc>
          <w:tcPr>
            <w:tcW w:w="1888" w:type="dxa"/>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942"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940" w:type="dxa"/>
            <w:vAlign w:val="center"/>
          </w:tcPr>
          <w:p>
            <w:pPr>
              <w:jc w:val="center"/>
              <w:rPr>
                <w:rFonts w:hint="eastAsia" w:ascii="宋体" w:hAnsi="宋体"/>
                <w:b w:val="0"/>
                <w:bCs/>
                <w:color w:val="auto"/>
                <w:sz w:val="21"/>
                <w:szCs w:val="21"/>
              </w:rPr>
            </w:pPr>
          </w:p>
        </w:tc>
        <w:tc>
          <w:tcPr>
            <w:tcW w:w="1931" w:type="dxa"/>
            <w:vAlign w:val="center"/>
          </w:tcPr>
          <w:p>
            <w:pPr>
              <w:jc w:val="center"/>
              <w:rPr>
                <w:rFonts w:hint="eastAsia" w:ascii="宋体" w:hAnsi="宋体"/>
                <w:b w:val="0"/>
                <w:bCs/>
                <w:color w:val="auto"/>
                <w:sz w:val="21"/>
                <w:szCs w:val="21"/>
              </w:rPr>
            </w:pPr>
          </w:p>
        </w:tc>
        <w:tc>
          <w:tcPr>
            <w:tcW w:w="1888" w:type="dxa"/>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942"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940" w:type="dxa"/>
            <w:vAlign w:val="center"/>
          </w:tcPr>
          <w:p>
            <w:pPr>
              <w:jc w:val="center"/>
              <w:rPr>
                <w:rFonts w:hint="eastAsia" w:ascii="宋体" w:hAnsi="宋体"/>
                <w:b w:val="0"/>
                <w:bCs/>
                <w:color w:val="auto"/>
                <w:sz w:val="21"/>
                <w:szCs w:val="21"/>
              </w:rPr>
            </w:pPr>
          </w:p>
        </w:tc>
        <w:tc>
          <w:tcPr>
            <w:tcW w:w="1931" w:type="dxa"/>
            <w:vAlign w:val="center"/>
          </w:tcPr>
          <w:p>
            <w:pPr>
              <w:jc w:val="center"/>
              <w:rPr>
                <w:rFonts w:hint="eastAsia" w:ascii="宋体" w:hAnsi="宋体"/>
                <w:b w:val="0"/>
                <w:bCs/>
                <w:color w:val="auto"/>
                <w:sz w:val="21"/>
                <w:szCs w:val="21"/>
              </w:rPr>
            </w:pPr>
          </w:p>
        </w:tc>
        <w:tc>
          <w:tcPr>
            <w:tcW w:w="1888" w:type="dxa"/>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942"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515" w:type="dxa"/>
            <w:vAlign w:val="center"/>
          </w:tcPr>
          <w:p>
            <w:pPr>
              <w:jc w:val="center"/>
              <w:rPr>
                <w:rFonts w:hint="eastAsia" w:ascii="宋体" w:hAnsi="宋体"/>
                <w:b w:val="0"/>
                <w:bCs/>
                <w:color w:val="auto"/>
                <w:sz w:val="21"/>
                <w:szCs w:val="21"/>
              </w:rPr>
            </w:pPr>
          </w:p>
        </w:tc>
        <w:tc>
          <w:tcPr>
            <w:tcW w:w="1940" w:type="dxa"/>
            <w:vAlign w:val="center"/>
          </w:tcPr>
          <w:p>
            <w:pPr>
              <w:jc w:val="center"/>
              <w:rPr>
                <w:rFonts w:hint="eastAsia" w:ascii="宋体" w:hAnsi="宋体"/>
                <w:b w:val="0"/>
                <w:bCs/>
                <w:color w:val="auto"/>
                <w:sz w:val="21"/>
                <w:szCs w:val="21"/>
              </w:rPr>
            </w:pPr>
          </w:p>
        </w:tc>
        <w:tc>
          <w:tcPr>
            <w:tcW w:w="1931" w:type="dxa"/>
            <w:vAlign w:val="center"/>
          </w:tcPr>
          <w:p>
            <w:pPr>
              <w:jc w:val="center"/>
              <w:rPr>
                <w:rFonts w:hint="eastAsia" w:ascii="宋体" w:hAnsi="宋体"/>
                <w:b w:val="0"/>
                <w:bCs/>
                <w:color w:val="auto"/>
                <w:sz w:val="21"/>
                <w:szCs w:val="21"/>
              </w:rPr>
            </w:pPr>
          </w:p>
        </w:tc>
        <w:tc>
          <w:tcPr>
            <w:tcW w:w="1888" w:type="dxa"/>
            <w:vAlign w:val="center"/>
          </w:tcPr>
          <w:p>
            <w:pPr>
              <w:jc w:val="center"/>
              <w:rPr>
                <w:rFonts w:hint="eastAsia" w:ascii="宋体" w:hAnsi="宋体"/>
                <w:b w:val="0"/>
                <w:bCs/>
                <w:color w:val="auto"/>
                <w:sz w:val="21"/>
                <w:szCs w:val="21"/>
              </w:rPr>
            </w:pPr>
          </w:p>
        </w:tc>
      </w:tr>
    </w:tbl>
    <w:p>
      <w:pPr>
        <w:rPr>
          <w:color w:val="auto"/>
        </w:rPr>
      </w:pPr>
    </w:p>
    <w:p>
      <w:pPr>
        <w:spacing w:line="360" w:lineRule="auto"/>
        <w:rPr>
          <w:rFonts w:hint="eastAsia" w:ascii="黑体" w:hAnsi="黑体" w:eastAsia="黑体" w:cs="黑体"/>
          <w:bCs/>
          <w:color w:val="auto"/>
          <w:sz w:val="24"/>
          <w:szCs w:val="24"/>
        </w:rPr>
        <w:sectPr>
          <w:headerReference r:id="rId98" w:type="default"/>
          <w:footerReference r:id="rId99" w:type="default"/>
          <w:pgSz w:w="16840" w:h="11907" w:orient="landscape"/>
          <w:pgMar w:top="1418" w:right="1134" w:bottom="1134" w:left="1418" w:header="0" w:footer="992" w:gutter="0"/>
          <w:pgNumType w:fmt="decimal"/>
          <w:cols w:space="720" w:num="1"/>
          <w:docGrid w:linePitch="286" w:charSpace="0"/>
        </w:sectPr>
      </w:pP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附件7 </w:t>
      </w:r>
      <w:r>
        <w:rPr>
          <w:rFonts w:hint="eastAsia" w:ascii="宋体" w:hAnsi="宋体" w:eastAsia="宋体" w:cs="宋体"/>
          <w:color w:val="auto"/>
          <w:sz w:val="24"/>
          <w:szCs w:val="24"/>
        </w:rPr>
        <w:t>试验药物发放回收记录表</w:t>
      </w:r>
    </w:p>
    <w:p>
      <w:pPr>
        <w:spacing w:line="360" w:lineRule="auto"/>
        <w:jc w:val="center"/>
        <w:rPr>
          <w:rFonts w:hint="eastAsia" w:ascii="宋体" w:hAnsi="宋体" w:cs="宋体"/>
          <w:b/>
          <w:color w:val="auto"/>
          <w:sz w:val="24"/>
          <w:szCs w:val="24"/>
        </w:rPr>
      </w:pPr>
      <w:r>
        <w:rPr>
          <w:rFonts w:hint="eastAsia" w:ascii="宋体" w:hAnsi="宋体" w:cs="宋体"/>
          <w:b/>
          <w:color w:val="auto"/>
          <w:sz w:val="24"/>
          <w:szCs w:val="24"/>
        </w:rPr>
        <w:t>试验药物发放回收记录表</w:t>
      </w:r>
    </w:p>
    <w:p>
      <w:pPr>
        <w:spacing w:line="360" w:lineRule="auto"/>
        <w:rPr>
          <w:rFonts w:hint="eastAsia" w:ascii="宋体" w:hAnsi="宋体"/>
          <w:b w:val="0"/>
          <w:bCs/>
          <w:color w:val="auto"/>
          <w:kern w:val="0"/>
          <w:sz w:val="21"/>
          <w:szCs w:val="21"/>
          <w:u w:val="single"/>
        </w:rPr>
      </w:pPr>
      <w:r>
        <w:rPr>
          <w:rFonts w:hint="eastAsia" w:ascii="宋体" w:hAnsi="宋体" w:cs="宋体"/>
          <w:b w:val="0"/>
          <w:bCs/>
          <w:color w:val="auto"/>
          <w:sz w:val="21"/>
          <w:szCs w:val="21"/>
        </w:rPr>
        <w:t>试验名称：</w:t>
      </w:r>
      <w:r>
        <w:rPr>
          <w:rFonts w:hint="eastAsia" w:ascii="宋体" w:hAnsi="宋体"/>
          <w:b w:val="0"/>
          <w:bCs/>
          <w:color w:val="auto"/>
          <w:kern w:val="0"/>
          <w:sz w:val="21"/>
          <w:szCs w:val="21"/>
          <w:u w:val="single"/>
        </w:rPr>
        <w:t xml:space="preserve">                                                                                                                 </w:t>
      </w:r>
    </w:p>
    <w:p>
      <w:pPr>
        <w:spacing w:line="360" w:lineRule="auto"/>
        <w:rPr>
          <w:rFonts w:hint="eastAsia" w:ascii="宋体" w:hAnsi="宋体" w:cs="宋体"/>
          <w:b w:val="0"/>
          <w:bCs/>
          <w:color w:val="auto"/>
          <w:sz w:val="21"/>
          <w:szCs w:val="21"/>
          <w:u w:val="single"/>
        </w:rPr>
      </w:pPr>
      <w:r>
        <w:rPr>
          <w:rFonts w:hint="eastAsia"/>
          <w:b w:val="0"/>
          <w:bCs/>
          <w:color w:val="auto"/>
          <w:sz w:val="21"/>
          <w:szCs w:val="21"/>
        </w:rPr>
        <w:t>方案编号：</w:t>
      </w:r>
      <w:r>
        <w:rPr>
          <w:rFonts w:hint="eastAsia"/>
          <w:b w:val="0"/>
          <w:bCs/>
          <w:color w:val="auto"/>
          <w:sz w:val="21"/>
          <w:szCs w:val="21"/>
          <w:u w:val="single"/>
        </w:rPr>
        <w:t xml:space="preserve">                             </w:t>
      </w:r>
      <w:r>
        <w:rPr>
          <w:rFonts w:hint="eastAsia"/>
          <w:b w:val="0"/>
          <w:bCs/>
          <w:color w:val="auto"/>
          <w:sz w:val="21"/>
          <w:szCs w:val="21"/>
        </w:rPr>
        <w:t xml:space="preserve">      </w:t>
      </w:r>
      <w:r>
        <w:rPr>
          <w:rFonts w:hint="eastAsia"/>
          <w:b w:val="0"/>
          <w:bCs/>
          <w:color w:val="auto"/>
          <w:sz w:val="21"/>
          <w:szCs w:val="21"/>
          <w:lang w:val="en-US" w:eastAsia="zh-CN"/>
        </w:rPr>
        <w:t xml:space="preserve">                              </w:t>
      </w:r>
      <w:r>
        <w:rPr>
          <w:rFonts w:hint="eastAsia"/>
          <w:b w:val="0"/>
          <w:bCs/>
          <w:color w:val="auto"/>
          <w:sz w:val="21"/>
          <w:szCs w:val="21"/>
        </w:rPr>
        <w:t xml:space="preserve">   </w:t>
      </w:r>
      <w:r>
        <w:rPr>
          <w:rFonts w:hint="eastAsia" w:ascii="宋体" w:hAnsi="宋体" w:cs="宋体"/>
          <w:b w:val="0"/>
          <w:bCs/>
          <w:color w:val="auto"/>
          <w:sz w:val="21"/>
          <w:szCs w:val="21"/>
        </w:rPr>
        <w:t>申办方：</w:t>
      </w:r>
      <w:r>
        <w:rPr>
          <w:rFonts w:hint="eastAsia" w:ascii="宋体" w:hAnsi="宋体"/>
          <w:b w:val="0"/>
          <w:bCs/>
          <w:color w:val="auto"/>
          <w:kern w:val="0"/>
          <w:sz w:val="21"/>
          <w:szCs w:val="21"/>
          <w:u w:val="single"/>
        </w:rPr>
        <w:t xml:space="preserve">                               </w:t>
      </w:r>
      <w:r>
        <w:rPr>
          <w:rFonts w:hint="eastAsia" w:ascii="宋体" w:hAnsi="宋体" w:cs="宋体"/>
          <w:b w:val="0"/>
          <w:bCs/>
          <w:color w:val="auto"/>
          <w:sz w:val="21"/>
          <w:szCs w:val="21"/>
          <w:u w:val="single"/>
        </w:rPr>
        <w:t xml:space="preserve"> </w:t>
      </w:r>
    </w:p>
    <w:p>
      <w:pPr>
        <w:spacing w:line="360" w:lineRule="auto"/>
        <w:rPr>
          <w:rFonts w:hint="eastAsia" w:ascii="宋体" w:hAnsi="宋体" w:cs="宋体"/>
          <w:b w:val="0"/>
          <w:bCs/>
          <w:color w:val="auto"/>
          <w:sz w:val="21"/>
          <w:szCs w:val="21"/>
          <w:u w:val="single"/>
        </w:rPr>
      </w:pPr>
      <w:r>
        <w:rPr>
          <w:rFonts w:hint="eastAsia" w:ascii="宋体" w:hAnsi="宋体" w:cs="宋体"/>
          <w:b w:val="0"/>
          <w:bCs/>
          <w:color w:val="auto"/>
          <w:sz w:val="21"/>
          <w:szCs w:val="21"/>
        </w:rPr>
        <w:t>机构名称：</w:t>
      </w:r>
      <w:r>
        <w:rPr>
          <w:rFonts w:hint="eastAsia"/>
          <w:b w:val="0"/>
          <w:bCs/>
          <w:color w:val="auto"/>
          <w:sz w:val="21"/>
          <w:szCs w:val="21"/>
        </w:rPr>
        <w:t>沂源县人民医院药物</w:t>
      </w:r>
      <w:r>
        <w:rPr>
          <w:rFonts w:hint="eastAsia"/>
          <w:b w:val="0"/>
          <w:bCs/>
          <w:color w:val="auto"/>
          <w:sz w:val="21"/>
          <w:szCs w:val="21"/>
          <w:lang w:val="en-US" w:eastAsia="zh-CN"/>
        </w:rPr>
        <w:t>/医疗器械</w:t>
      </w:r>
      <w:r>
        <w:rPr>
          <w:rFonts w:hint="eastAsia"/>
          <w:b w:val="0"/>
          <w:bCs/>
          <w:color w:val="auto"/>
          <w:sz w:val="21"/>
          <w:szCs w:val="21"/>
        </w:rPr>
        <w:t>临床试验机构</w:t>
      </w:r>
      <w:r>
        <w:rPr>
          <w:rFonts w:hint="eastAsia" w:ascii="宋体" w:hAnsi="宋体" w:cs="宋体"/>
          <w:b w:val="0"/>
          <w:bCs/>
          <w:color w:val="auto"/>
          <w:sz w:val="21"/>
          <w:szCs w:val="21"/>
        </w:rPr>
        <w:t xml:space="preserve">                      </w:t>
      </w:r>
      <w:r>
        <w:rPr>
          <w:rFonts w:hint="eastAsia" w:ascii="宋体" w:hAnsi="宋体" w:cs="宋体"/>
          <w:b w:val="0"/>
          <w:bCs/>
          <w:color w:val="auto"/>
          <w:sz w:val="21"/>
          <w:szCs w:val="21"/>
          <w:lang w:val="en-US" w:eastAsia="zh-CN"/>
        </w:rPr>
        <w:t xml:space="preserve">    </w:t>
      </w:r>
      <w:r>
        <w:rPr>
          <w:rFonts w:hint="eastAsia" w:ascii="宋体" w:hAnsi="宋体" w:cs="宋体"/>
          <w:b w:val="0"/>
          <w:bCs/>
          <w:color w:val="auto"/>
          <w:sz w:val="21"/>
          <w:szCs w:val="21"/>
        </w:rPr>
        <w:t xml:space="preserve">   主要研究者：</w:t>
      </w:r>
      <w:r>
        <w:rPr>
          <w:rFonts w:hint="eastAsia" w:ascii="宋体" w:hAnsi="宋体" w:cs="宋体"/>
          <w:b w:val="0"/>
          <w:bCs/>
          <w:color w:val="auto"/>
          <w:sz w:val="21"/>
          <w:szCs w:val="21"/>
          <w:u w:val="single"/>
        </w:rPr>
        <w:t xml:space="preserve">               </w:t>
      </w:r>
    </w:p>
    <w:tbl>
      <w:tblPr>
        <w:tblStyle w:val="27"/>
        <w:tblpPr w:leftFromText="180" w:rightFromText="180" w:vertAnchor="text" w:horzAnchor="margin" w:tblpXSpec="center" w:tblpY="548"/>
        <w:tblW w:w="156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47"/>
        <w:gridCol w:w="1079"/>
        <w:gridCol w:w="781"/>
        <w:gridCol w:w="841"/>
        <w:gridCol w:w="1395"/>
        <w:gridCol w:w="1395"/>
        <w:gridCol w:w="1395"/>
        <w:gridCol w:w="1395"/>
        <w:gridCol w:w="1125"/>
        <w:gridCol w:w="1125"/>
        <w:gridCol w:w="1125"/>
        <w:gridCol w:w="1125"/>
        <w:gridCol w:w="13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9828" w:type="dxa"/>
            <w:gridSpan w:val="8"/>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发放</w:t>
            </w:r>
          </w:p>
        </w:tc>
        <w:tc>
          <w:tcPr>
            <w:tcW w:w="4500" w:type="dxa"/>
            <w:gridSpan w:val="4"/>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1950" w:firstLineChars="929"/>
              <w:textAlignment w:val="auto"/>
              <w:rPr>
                <w:rFonts w:hint="eastAsia"/>
                <w:b w:val="0"/>
                <w:bCs/>
                <w:color w:val="auto"/>
                <w:sz w:val="21"/>
                <w:szCs w:val="21"/>
              </w:rPr>
            </w:pPr>
            <w:r>
              <w:rPr>
                <w:rFonts w:hint="eastAsia"/>
                <w:b w:val="0"/>
                <w:bCs/>
                <w:color w:val="auto"/>
                <w:sz w:val="21"/>
                <w:szCs w:val="21"/>
              </w:rPr>
              <w:t>退还</w:t>
            </w:r>
          </w:p>
        </w:tc>
        <w:tc>
          <w:tcPr>
            <w:tcW w:w="1332" w:type="dxa"/>
            <w:vMerge w:val="restart"/>
            <w:tcBorders>
              <w:left w:val="single" w:color="auto" w:sz="4" w:space="0"/>
            </w:tcBorders>
            <w:vAlign w:val="center"/>
          </w:tcPr>
          <w:p>
            <w:pPr>
              <w:spacing w:line="360" w:lineRule="auto"/>
              <w:jc w:val="center"/>
              <w:rPr>
                <w:b w:val="0"/>
                <w:bCs/>
                <w:color w:val="auto"/>
                <w:sz w:val="21"/>
                <w:szCs w:val="21"/>
              </w:rPr>
            </w:pPr>
            <w:r>
              <w:rPr>
                <w:rFonts w:hint="eastAsia"/>
                <w:b w:val="0"/>
                <w:bCs/>
                <w:color w:val="auto"/>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5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color w:val="auto"/>
                <w:sz w:val="21"/>
                <w:szCs w:val="21"/>
              </w:rPr>
            </w:pPr>
            <w:r>
              <w:rPr>
                <w:rFonts w:hint="eastAsia" w:ascii="宋体" w:hAnsi="宋体" w:cs="宋体"/>
                <w:b w:val="0"/>
                <w:bCs/>
                <w:color w:val="auto"/>
                <w:sz w:val="21"/>
                <w:szCs w:val="21"/>
              </w:rPr>
              <w:t>试验药物名称</w:t>
            </w:r>
          </w:p>
        </w:tc>
        <w:tc>
          <w:tcPr>
            <w:tcW w:w="1079"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color w:val="auto"/>
                <w:sz w:val="21"/>
                <w:szCs w:val="21"/>
              </w:rPr>
            </w:pPr>
            <w:r>
              <w:rPr>
                <w:rFonts w:hint="eastAsia"/>
                <w:b w:val="0"/>
                <w:bCs/>
                <w:color w:val="auto"/>
                <w:sz w:val="21"/>
                <w:szCs w:val="21"/>
              </w:rPr>
              <w:t>药物编号</w:t>
            </w:r>
          </w:p>
        </w:tc>
        <w:tc>
          <w:tcPr>
            <w:tcW w:w="781"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规格</w:t>
            </w:r>
          </w:p>
        </w:tc>
        <w:tc>
          <w:tcPr>
            <w:tcW w:w="84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数量</w:t>
            </w:r>
          </w:p>
        </w:tc>
        <w:tc>
          <w:tcPr>
            <w:tcW w:w="139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color w:val="auto"/>
                <w:sz w:val="21"/>
                <w:szCs w:val="21"/>
              </w:rPr>
            </w:pPr>
            <w:r>
              <w:rPr>
                <w:rFonts w:hint="eastAsia"/>
                <w:b w:val="0"/>
                <w:bCs/>
                <w:color w:val="auto"/>
                <w:sz w:val="21"/>
                <w:szCs w:val="21"/>
              </w:rPr>
              <w:t>批号</w:t>
            </w:r>
          </w:p>
        </w:tc>
        <w:tc>
          <w:tcPr>
            <w:tcW w:w="1395"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有效期</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color w:val="auto"/>
                <w:sz w:val="21"/>
                <w:szCs w:val="21"/>
              </w:rPr>
            </w:pPr>
            <w:r>
              <w:rPr>
                <w:rFonts w:hint="eastAsia"/>
                <w:b w:val="0"/>
                <w:bCs/>
                <w:color w:val="auto"/>
                <w:sz w:val="21"/>
                <w:szCs w:val="21"/>
              </w:rPr>
              <w:t>领药人/时间</w:t>
            </w:r>
          </w:p>
        </w:tc>
        <w:tc>
          <w:tcPr>
            <w:tcW w:w="13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发药人/时间</w:t>
            </w:r>
          </w:p>
        </w:tc>
        <w:tc>
          <w:tcPr>
            <w:tcW w:w="112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日期</w:t>
            </w:r>
          </w:p>
        </w:tc>
        <w:tc>
          <w:tcPr>
            <w:tcW w:w="1125"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回收数量</w:t>
            </w:r>
          </w:p>
        </w:tc>
        <w:tc>
          <w:tcPr>
            <w:tcW w:w="11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color w:val="auto"/>
                <w:sz w:val="21"/>
                <w:szCs w:val="21"/>
              </w:rPr>
            </w:pPr>
            <w:r>
              <w:rPr>
                <w:rFonts w:hint="eastAsia"/>
                <w:b w:val="0"/>
                <w:bCs/>
                <w:color w:val="auto"/>
                <w:sz w:val="21"/>
                <w:szCs w:val="21"/>
              </w:rPr>
              <w:t>退回人</w:t>
            </w:r>
          </w:p>
        </w:tc>
        <w:tc>
          <w:tcPr>
            <w:tcW w:w="112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接收人</w:t>
            </w:r>
          </w:p>
        </w:tc>
        <w:tc>
          <w:tcPr>
            <w:tcW w:w="1332" w:type="dxa"/>
            <w:vMerge w:val="continue"/>
            <w:tcBorders>
              <w:left w:val="single" w:color="auto" w:sz="4" w:space="0"/>
            </w:tcBorders>
            <w:vAlign w:val="center"/>
          </w:tcPr>
          <w:p>
            <w:pPr>
              <w:spacing w:line="360" w:lineRule="auto"/>
              <w:jc w:val="center"/>
              <w:rPr>
                <w:b/>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547" w:type="dxa"/>
            <w:vAlign w:val="top"/>
          </w:tcPr>
          <w:p>
            <w:pPr>
              <w:spacing w:line="360" w:lineRule="auto"/>
              <w:jc w:val="left"/>
              <w:rPr>
                <w:b w:val="0"/>
                <w:bCs/>
                <w:color w:val="auto"/>
                <w:sz w:val="21"/>
                <w:szCs w:val="21"/>
              </w:rPr>
            </w:pPr>
          </w:p>
        </w:tc>
        <w:tc>
          <w:tcPr>
            <w:tcW w:w="1079" w:type="dxa"/>
            <w:tcBorders>
              <w:right w:val="single" w:color="auto" w:sz="4" w:space="0"/>
            </w:tcBorders>
            <w:vAlign w:val="top"/>
          </w:tcPr>
          <w:p>
            <w:pPr>
              <w:spacing w:line="360" w:lineRule="auto"/>
              <w:jc w:val="left"/>
              <w:rPr>
                <w:b w:val="0"/>
                <w:bCs/>
                <w:color w:val="auto"/>
                <w:sz w:val="21"/>
                <w:szCs w:val="21"/>
              </w:rPr>
            </w:pPr>
          </w:p>
        </w:tc>
        <w:tc>
          <w:tcPr>
            <w:tcW w:w="781" w:type="dxa"/>
            <w:tcBorders>
              <w:left w:val="single" w:color="auto" w:sz="4" w:space="0"/>
              <w:right w:val="single" w:color="auto" w:sz="4" w:space="0"/>
            </w:tcBorders>
            <w:vAlign w:val="top"/>
          </w:tcPr>
          <w:p>
            <w:pPr>
              <w:spacing w:line="360" w:lineRule="auto"/>
              <w:jc w:val="left"/>
              <w:rPr>
                <w:b w:val="0"/>
                <w:bCs/>
                <w:color w:val="auto"/>
                <w:sz w:val="21"/>
                <w:szCs w:val="21"/>
              </w:rPr>
            </w:pPr>
          </w:p>
        </w:tc>
        <w:tc>
          <w:tcPr>
            <w:tcW w:w="841" w:type="dxa"/>
            <w:tcBorders>
              <w:left w:val="single" w:color="auto" w:sz="4" w:space="0"/>
            </w:tcBorders>
            <w:vAlign w:val="top"/>
          </w:tcPr>
          <w:p>
            <w:pPr>
              <w:spacing w:line="360" w:lineRule="auto"/>
              <w:jc w:val="left"/>
              <w:rPr>
                <w:b w:val="0"/>
                <w:bCs/>
                <w:color w:val="auto"/>
                <w:sz w:val="21"/>
                <w:szCs w:val="21"/>
              </w:rPr>
            </w:pPr>
          </w:p>
        </w:tc>
        <w:tc>
          <w:tcPr>
            <w:tcW w:w="1395" w:type="dxa"/>
            <w:tcBorders>
              <w:right w:val="single" w:color="auto" w:sz="4" w:space="0"/>
            </w:tcBorders>
            <w:vAlign w:val="top"/>
          </w:tcPr>
          <w:p>
            <w:pPr>
              <w:spacing w:line="360" w:lineRule="auto"/>
              <w:jc w:val="left"/>
              <w:rPr>
                <w:b w:val="0"/>
                <w:bCs/>
                <w:color w:val="auto"/>
                <w:sz w:val="21"/>
                <w:szCs w:val="21"/>
              </w:rPr>
            </w:pPr>
          </w:p>
        </w:tc>
        <w:tc>
          <w:tcPr>
            <w:tcW w:w="1395" w:type="dxa"/>
            <w:tcBorders>
              <w:left w:val="single" w:color="auto" w:sz="4" w:space="0"/>
            </w:tcBorders>
            <w:vAlign w:val="top"/>
          </w:tcPr>
          <w:p>
            <w:pPr>
              <w:spacing w:line="360" w:lineRule="auto"/>
              <w:jc w:val="left"/>
              <w:rPr>
                <w:b w:val="0"/>
                <w:bCs/>
                <w:color w:val="auto"/>
                <w:sz w:val="21"/>
                <w:szCs w:val="21"/>
              </w:rPr>
            </w:pPr>
          </w:p>
        </w:tc>
        <w:tc>
          <w:tcPr>
            <w:tcW w:w="1395" w:type="dxa"/>
            <w:vAlign w:val="top"/>
          </w:tcPr>
          <w:p>
            <w:pPr>
              <w:spacing w:line="360" w:lineRule="auto"/>
              <w:jc w:val="left"/>
              <w:rPr>
                <w:b w:val="0"/>
                <w:bCs/>
                <w:color w:val="auto"/>
                <w:sz w:val="21"/>
                <w:szCs w:val="21"/>
              </w:rPr>
            </w:pPr>
          </w:p>
        </w:tc>
        <w:tc>
          <w:tcPr>
            <w:tcW w:w="1395" w:type="dxa"/>
            <w:vAlign w:val="top"/>
          </w:tcPr>
          <w:p>
            <w:pPr>
              <w:spacing w:line="360" w:lineRule="auto"/>
              <w:jc w:val="left"/>
              <w:rPr>
                <w:b w:val="0"/>
                <w:bCs/>
                <w:color w:val="auto"/>
                <w:sz w:val="21"/>
                <w:szCs w:val="21"/>
              </w:rPr>
            </w:pPr>
          </w:p>
        </w:tc>
        <w:tc>
          <w:tcPr>
            <w:tcW w:w="1125" w:type="dxa"/>
            <w:tcBorders>
              <w:right w:val="single" w:color="auto" w:sz="4" w:space="0"/>
            </w:tcBorders>
            <w:vAlign w:val="top"/>
          </w:tcPr>
          <w:p>
            <w:pPr>
              <w:spacing w:line="360" w:lineRule="auto"/>
              <w:jc w:val="left"/>
              <w:rPr>
                <w:b w:val="0"/>
                <w:bCs/>
                <w:color w:val="auto"/>
                <w:sz w:val="21"/>
                <w:szCs w:val="21"/>
              </w:rPr>
            </w:pPr>
          </w:p>
        </w:tc>
        <w:tc>
          <w:tcPr>
            <w:tcW w:w="1125" w:type="dxa"/>
            <w:tcBorders>
              <w:left w:val="single" w:color="auto" w:sz="4" w:space="0"/>
            </w:tcBorders>
            <w:vAlign w:val="top"/>
          </w:tcPr>
          <w:p>
            <w:pPr>
              <w:spacing w:line="360" w:lineRule="auto"/>
              <w:jc w:val="left"/>
              <w:rPr>
                <w:b w:val="0"/>
                <w:bCs/>
                <w:color w:val="auto"/>
                <w:sz w:val="21"/>
                <w:szCs w:val="21"/>
              </w:rPr>
            </w:pPr>
          </w:p>
        </w:tc>
        <w:tc>
          <w:tcPr>
            <w:tcW w:w="1125" w:type="dxa"/>
            <w:vAlign w:val="top"/>
          </w:tcPr>
          <w:p>
            <w:pPr>
              <w:spacing w:line="360" w:lineRule="auto"/>
              <w:jc w:val="left"/>
              <w:rPr>
                <w:b w:val="0"/>
                <w:bCs/>
                <w:color w:val="auto"/>
                <w:sz w:val="21"/>
                <w:szCs w:val="21"/>
              </w:rPr>
            </w:pPr>
          </w:p>
        </w:tc>
        <w:tc>
          <w:tcPr>
            <w:tcW w:w="1125" w:type="dxa"/>
            <w:vAlign w:val="top"/>
          </w:tcPr>
          <w:p>
            <w:pPr>
              <w:spacing w:line="360" w:lineRule="auto"/>
              <w:jc w:val="left"/>
              <w:rPr>
                <w:b w:val="0"/>
                <w:bCs/>
                <w:color w:val="auto"/>
                <w:sz w:val="21"/>
                <w:szCs w:val="21"/>
              </w:rPr>
            </w:pPr>
          </w:p>
        </w:tc>
        <w:tc>
          <w:tcPr>
            <w:tcW w:w="1332"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547" w:type="dxa"/>
            <w:vAlign w:val="top"/>
          </w:tcPr>
          <w:p>
            <w:pPr>
              <w:spacing w:line="360" w:lineRule="auto"/>
              <w:jc w:val="left"/>
              <w:rPr>
                <w:color w:val="auto"/>
                <w:sz w:val="21"/>
                <w:szCs w:val="21"/>
              </w:rPr>
            </w:pPr>
          </w:p>
        </w:tc>
        <w:tc>
          <w:tcPr>
            <w:tcW w:w="1079" w:type="dxa"/>
            <w:tcBorders>
              <w:right w:val="single" w:color="auto" w:sz="4" w:space="0"/>
            </w:tcBorders>
            <w:vAlign w:val="top"/>
          </w:tcPr>
          <w:p>
            <w:pPr>
              <w:spacing w:line="360" w:lineRule="auto"/>
              <w:jc w:val="left"/>
              <w:rPr>
                <w:color w:val="auto"/>
                <w:sz w:val="21"/>
                <w:szCs w:val="21"/>
              </w:rPr>
            </w:pPr>
          </w:p>
        </w:tc>
        <w:tc>
          <w:tcPr>
            <w:tcW w:w="781" w:type="dxa"/>
            <w:tcBorders>
              <w:left w:val="single" w:color="auto" w:sz="4" w:space="0"/>
              <w:right w:val="single" w:color="auto" w:sz="4" w:space="0"/>
            </w:tcBorders>
            <w:vAlign w:val="top"/>
          </w:tcPr>
          <w:p>
            <w:pPr>
              <w:spacing w:line="360" w:lineRule="auto"/>
              <w:jc w:val="left"/>
              <w:rPr>
                <w:color w:val="auto"/>
                <w:sz w:val="21"/>
                <w:szCs w:val="21"/>
              </w:rPr>
            </w:pPr>
          </w:p>
        </w:tc>
        <w:tc>
          <w:tcPr>
            <w:tcW w:w="841" w:type="dxa"/>
            <w:tcBorders>
              <w:left w:val="single" w:color="auto" w:sz="4" w:space="0"/>
            </w:tcBorders>
            <w:vAlign w:val="top"/>
          </w:tcPr>
          <w:p>
            <w:pPr>
              <w:spacing w:line="360" w:lineRule="auto"/>
              <w:jc w:val="left"/>
              <w:rPr>
                <w:color w:val="auto"/>
                <w:sz w:val="21"/>
                <w:szCs w:val="21"/>
              </w:rPr>
            </w:pPr>
          </w:p>
        </w:tc>
        <w:tc>
          <w:tcPr>
            <w:tcW w:w="1395" w:type="dxa"/>
            <w:tcBorders>
              <w:right w:val="single" w:color="auto" w:sz="4" w:space="0"/>
            </w:tcBorders>
            <w:vAlign w:val="top"/>
          </w:tcPr>
          <w:p>
            <w:pPr>
              <w:spacing w:line="360" w:lineRule="auto"/>
              <w:jc w:val="left"/>
              <w:rPr>
                <w:color w:val="auto"/>
                <w:sz w:val="21"/>
                <w:szCs w:val="21"/>
              </w:rPr>
            </w:pPr>
          </w:p>
        </w:tc>
        <w:tc>
          <w:tcPr>
            <w:tcW w:w="1395" w:type="dxa"/>
            <w:tcBorders>
              <w:left w:val="single" w:color="auto" w:sz="4" w:space="0"/>
            </w:tcBorders>
            <w:vAlign w:val="top"/>
          </w:tcPr>
          <w:p>
            <w:pPr>
              <w:spacing w:line="360" w:lineRule="auto"/>
              <w:jc w:val="left"/>
              <w:rPr>
                <w:color w:val="auto"/>
                <w:sz w:val="21"/>
                <w:szCs w:val="21"/>
              </w:rPr>
            </w:pPr>
          </w:p>
        </w:tc>
        <w:tc>
          <w:tcPr>
            <w:tcW w:w="1395" w:type="dxa"/>
            <w:vAlign w:val="top"/>
          </w:tcPr>
          <w:p>
            <w:pPr>
              <w:spacing w:line="360" w:lineRule="auto"/>
              <w:jc w:val="left"/>
              <w:rPr>
                <w:color w:val="auto"/>
                <w:sz w:val="21"/>
                <w:szCs w:val="21"/>
              </w:rPr>
            </w:pPr>
          </w:p>
        </w:tc>
        <w:tc>
          <w:tcPr>
            <w:tcW w:w="1395" w:type="dxa"/>
            <w:vAlign w:val="top"/>
          </w:tcPr>
          <w:p>
            <w:pPr>
              <w:spacing w:line="360" w:lineRule="auto"/>
              <w:jc w:val="left"/>
              <w:rPr>
                <w:color w:val="auto"/>
                <w:sz w:val="21"/>
                <w:szCs w:val="21"/>
              </w:rPr>
            </w:pPr>
          </w:p>
        </w:tc>
        <w:tc>
          <w:tcPr>
            <w:tcW w:w="1125" w:type="dxa"/>
            <w:tcBorders>
              <w:right w:val="single" w:color="auto" w:sz="4" w:space="0"/>
            </w:tcBorders>
            <w:vAlign w:val="top"/>
          </w:tcPr>
          <w:p>
            <w:pPr>
              <w:spacing w:line="360" w:lineRule="auto"/>
              <w:jc w:val="left"/>
              <w:rPr>
                <w:color w:val="auto"/>
                <w:sz w:val="21"/>
                <w:szCs w:val="21"/>
              </w:rPr>
            </w:pPr>
          </w:p>
        </w:tc>
        <w:tc>
          <w:tcPr>
            <w:tcW w:w="1125" w:type="dxa"/>
            <w:tcBorders>
              <w:left w:val="single" w:color="auto" w:sz="4" w:space="0"/>
            </w:tcBorders>
            <w:vAlign w:val="top"/>
          </w:tcPr>
          <w:p>
            <w:pPr>
              <w:spacing w:line="360" w:lineRule="auto"/>
              <w:jc w:val="left"/>
              <w:rPr>
                <w:color w:val="auto"/>
                <w:sz w:val="21"/>
                <w:szCs w:val="21"/>
              </w:rPr>
            </w:pPr>
          </w:p>
        </w:tc>
        <w:tc>
          <w:tcPr>
            <w:tcW w:w="1125" w:type="dxa"/>
            <w:vAlign w:val="top"/>
          </w:tcPr>
          <w:p>
            <w:pPr>
              <w:spacing w:line="360" w:lineRule="auto"/>
              <w:jc w:val="left"/>
              <w:rPr>
                <w:color w:val="auto"/>
                <w:sz w:val="21"/>
                <w:szCs w:val="21"/>
              </w:rPr>
            </w:pPr>
          </w:p>
        </w:tc>
        <w:tc>
          <w:tcPr>
            <w:tcW w:w="1125" w:type="dxa"/>
            <w:vAlign w:val="top"/>
          </w:tcPr>
          <w:p>
            <w:pPr>
              <w:spacing w:line="360" w:lineRule="auto"/>
              <w:jc w:val="left"/>
              <w:rPr>
                <w:color w:val="auto"/>
                <w:sz w:val="21"/>
                <w:szCs w:val="21"/>
              </w:rPr>
            </w:pPr>
          </w:p>
        </w:tc>
        <w:tc>
          <w:tcPr>
            <w:tcW w:w="1332"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7" w:hRule="atLeast"/>
        </w:trPr>
        <w:tc>
          <w:tcPr>
            <w:tcW w:w="1547" w:type="dxa"/>
            <w:vAlign w:val="top"/>
          </w:tcPr>
          <w:p>
            <w:pPr>
              <w:spacing w:line="360" w:lineRule="auto"/>
              <w:jc w:val="left"/>
              <w:rPr>
                <w:color w:val="auto"/>
                <w:sz w:val="21"/>
                <w:szCs w:val="21"/>
              </w:rPr>
            </w:pPr>
          </w:p>
        </w:tc>
        <w:tc>
          <w:tcPr>
            <w:tcW w:w="1079" w:type="dxa"/>
            <w:tcBorders>
              <w:right w:val="single" w:color="auto" w:sz="4" w:space="0"/>
            </w:tcBorders>
            <w:vAlign w:val="top"/>
          </w:tcPr>
          <w:p>
            <w:pPr>
              <w:spacing w:line="360" w:lineRule="auto"/>
              <w:jc w:val="left"/>
              <w:rPr>
                <w:color w:val="auto"/>
                <w:sz w:val="21"/>
                <w:szCs w:val="21"/>
              </w:rPr>
            </w:pPr>
          </w:p>
        </w:tc>
        <w:tc>
          <w:tcPr>
            <w:tcW w:w="781" w:type="dxa"/>
            <w:tcBorders>
              <w:left w:val="single" w:color="auto" w:sz="4" w:space="0"/>
              <w:right w:val="single" w:color="auto" w:sz="4" w:space="0"/>
            </w:tcBorders>
            <w:vAlign w:val="top"/>
          </w:tcPr>
          <w:p>
            <w:pPr>
              <w:spacing w:line="360" w:lineRule="auto"/>
              <w:jc w:val="left"/>
              <w:rPr>
                <w:color w:val="auto"/>
                <w:sz w:val="21"/>
                <w:szCs w:val="21"/>
              </w:rPr>
            </w:pPr>
          </w:p>
        </w:tc>
        <w:tc>
          <w:tcPr>
            <w:tcW w:w="841" w:type="dxa"/>
            <w:tcBorders>
              <w:left w:val="single" w:color="auto" w:sz="4" w:space="0"/>
            </w:tcBorders>
            <w:vAlign w:val="top"/>
          </w:tcPr>
          <w:p>
            <w:pPr>
              <w:spacing w:line="360" w:lineRule="auto"/>
              <w:jc w:val="left"/>
              <w:rPr>
                <w:color w:val="auto"/>
                <w:sz w:val="21"/>
                <w:szCs w:val="21"/>
              </w:rPr>
            </w:pPr>
          </w:p>
        </w:tc>
        <w:tc>
          <w:tcPr>
            <w:tcW w:w="1395" w:type="dxa"/>
            <w:tcBorders>
              <w:right w:val="single" w:color="auto" w:sz="4" w:space="0"/>
            </w:tcBorders>
            <w:vAlign w:val="top"/>
          </w:tcPr>
          <w:p>
            <w:pPr>
              <w:spacing w:line="360" w:lineRule="auto"/>
              <w:jc w:val="left"/>
              <w:rPr>
                <w:color w:val="auto"/>
                <w:sz w:val="21"/>
                <w:szCs w:val="21"/>
              </w:rPr>
            </w:pPr>
          </w:p>
        </w:tc>
        <w:tc>
          <w:tcPr>
            <w:tcW w:w="1395" w:type="dxa"/>
            <w:tcBorders>
              <w:left w:val="single" w:color="auto" w:sz="4" w:space="0"/>
            </w:tcBorders>
            <w:vAlign w:val="top"/>
          </w:tcPr>
          <w:p>
            <w:pPr>
              <w:spacing w:line="360" w:lineRule="auto"/>
              <w:jc w:val="left"/>
              <w:rPr>
                <w:color w:val="auto"/>
                <w:sz w:val="21"/>
                <w:szCs w:val="21"/>
              </w:rPr>
            </w:pPr>
          </w:p>
        </w:tc>
        <w:tc>
          <w:tcPr>
            <w:tcW w:w="1395" w:type="dxa"/>
            <w:vAlign w:val="top"/>
          </w:tcPr>
          <w:p>
            <w:pPr>
              <w:spacing w:line="360" w:lineRule="auto"/>
              <w:jc w:val="left"/>
              <w:rPr>
                <w:color w:val="auto"/>
                <w:sz w:val="21"/>
                <w:szCs w:val="21"/>
              </w:rPr>
            </w:pPr>
          </w:p>
        </w:tc>
        <w:tc>
          <w:tcPr>
            <w:tcW w:w="1395" w:type="dxa"/>
            <w:vAlign w:val="top"/>
          </w:tcPr>
          <w:p>
            <w:pPr>
              <w:spacing w:line="360" w:lineRule="auto"/>
              <w:jc w:val="left"/>
              <w:rPr>
                <w:color w:val="auto"/>
                <w:sz w:val="21"/>
                <w:szCs w:val="21"/>
              </w:rPr>
            </w:pPr>
          </w:p>
        </w:tc>
        <w:tc>
          <w:tcPr>
            <w:tcW w:w="1125" w:type="dxa"/>
            <w:tcBorders>
              <w:right w:val="single" w:color="auto" w:sz="4" w:space="0"/>
            </w:tcBorders>
            <w:vAlign w:val="top"/>
          </w:tcPr>
          <w:p>
            <w:pPr>
              <w:spacing w:line="360" w:lineRule="auto"/>
              <w:jc w:val="left"/>
              <w:rPr>
                <w:color w:val="auto"/>
                <w:sz w:val="21"/>
                <w:szCs w:val="21"/>
              </w:rPr>
            </w:pPr>
          </w:p>
        </w:tc>
        <w:tc>
          <w:tcPr>
            <w:tcW w:w="1125" w:type="dxa"/>
            <w:tcBorders>
              <w:left w:val="single" w:color="auto" w:sz="4" w:space="0"/>
            </w:tcBorders>
            <w:vAlign w:val="top"/>
          </w:tcPr>
          <w:p>
            <w:pPr>
              <w:spacing w:line="360" w:lineRule="auto"/>
              <w:jc w:val="left"/>
              <w:rPr>
                <w:color w:val="auto"/>
                <w:sz w:val="21"/>
                <w:szCs w:val="21"/>
              </w:rPr>
            </w:pPr>
          </w:p>
        </w:tc>
        <w:tc>
          <w:tcPr>
            <w:tcW w:w="1125" w:type="dxa"/>
            <w:vAlign w:val="top"/>
          </w:tcPr>
          <w:p>
            <w:pPr>
              <w:spacing w:line="360" w:lineRule="auto"/>
              <w:jc w:val="left"/>
              <w:rPr>
                <w:color w:val="auto"/>
                <w:sz w:val="21"/>
                <w:szCs w:val="21"/>
              </w:rPr>
            </w:pPr>
          </w:p>
        </w:tc>
        <w:tc>
          <w:tcPr>
            <w:tcW w:w="1125" w:type="dxa"/>
            <w:vAlign w:val="top"/>
          </w:tcPr>
          <w:p>
            <w:pPr>
              <w:spacing w:line="360" w:lineRule="auto"/>
              <w:jc w:val="left"/>
              <w:rPr>
                <w:color w:val="auto"/>
                <w:sz w:val="21"/>
                <w:szCs w:val="21"/>
              </w:rPr>
            </w:pPr>
          </w:p>
        </w:tc>
        <w:tc>
          <w:tcPr>
            <w:tcW w:w="1332"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547" w:type="dxa"/>
            <w:vAlign w:val="top"/>
          </w:tcPr>
          <w:p>
            <w:pPr>
              <w:spacing w:line="360" w:lineRule="auto"/>
              <w:jc w:val="left"/>
              <w:rPr>
                <w:color w:val="auto"/>
                <w:sz w:val="21"/>
                <w:szCs w:val="21"/>
              </w:rPr>
            </w:pPr>
          </w:p>
        </w:tc>
        <w:tc>
          <w:tcPr>
            <w:tcW w:w="1079" w:type="dxa"/>
            <w:tcBorders>
              <w:right w:val="single" w:color="auto" w:sz="4" w:space="0"/>
            </w:tcBorders>
            <w:vAlign w:val="top"/>
          </w:tcPr>
          <w:p>
            <w:pPr>
              <w:spacing w:line="360" w:lineRule="auto"/>
              <w:jc w:val="left"/>
              <w:rPr>
                <w:color w:val="auto"/>
                <w:sz w:val="21"/>
                <w:szCs w:val="21"/>
              </w:rPr>
            </w:pPr>
          </w:p>
        </w:tc>
        <w:tc>
          <w:tcPr>
            <w:tcW w:w="781" w:type="dxa"/>
            <w:tcBorders>
              <w:left w:val="single" w:color="auto" w:sz="4" w:space="0"/>
              <w:right w:val="single" w:color="auto" w:sz="4" w:space="0"/>
            </w:tcBorders>
            <w:vAlign w:val="top"/>
          </w:tcPr>
          <w:p>
            <w:pPr>
              <w:spacing w:line="360" w:lineRule="auto"/>
              <w:jc w:val="left"/>
              <w:rPr>
                <w:color w:val="auto"/>
                <w:sz w:val="21"/>
                <w:szCs w:val="21"/>
              </w:rPr>
            </w:pPr>
          </w:p>
        </w:tc>
        <w:tc>
          <w:tcPr>
            <w:tcW w:w="841" w:type="dxa"/>
            <w:tcBorders>
              <w:left w:val="single" w:color="auto" w:sz="4" w:space="0"/>
            </w:tcBorders>
            <w:vAlign w:val="top"/>
          </w:tcPr>
          <w:p>
            <w:pPr>
              <w:spacing w:line="360" w:lineRule="auto"/>
              <w:jc w:val="left"/>
              <w:rPr>
                <w:color w:val="auto"/>
                <w:sz w:val="21"/>
                <w:szCs w:val="21"/>
              </w:rPr>
            </w:pPr>
          </w:p>
        </w:tc>
        <w:tc>
          <w:tcPr>
            <w:tcW w:w="1395" w:type="dxa"/>
            <w:tcBorders>
              <w:right w:val="single" w:color="auto" w:sz="4" w:space="0"/>
            </w:tcBorders>
            <w:vAlign w:val="top"/>
          </w:tcPr>
          <w:p>
            <w:pPr>
              <w:spacing w:line="360" w:lineRule="auto"/>
              <w:jc w:val="left"/>
              <w:rPr>
                <w:color w:val="auto"/>
                <w:sz w:val="21"/>
                <w:szCs w:val="21"/>
              </w:rPr>
            </w:pPr>
          </w:p>
        </w:tc>
        <w:tc>
          <w:tcPr>
            <w:tcW w:w="1395" w:type="dxa"/>
            <w:tcBorders>
              <w:left w:val="single" w:color="auto" w:sz="4" w:space="0"/>
            </w:tcBorders>
            <w:vAlign w:val="top"/>
          </w:tcPr>
          <w:p>
            <w:pPr>
              <w:spacing w:line="360" w:lineRule="auto"/>
              <w:jc w:val="left"/>
              <w:rPr>
                <w:color w:val="auto"/>
                <w:sz w:val="21"/>
                <w:szCs w:val="21"/>
              </w:rPr>
            </w:pPr>
          </w:p>
        </w:tc>
        <w:tc>
          <w:tcPr>
            <w:tcW w:w="1395" w:type="dxa"/>
            <w:vAlign w:val="top"/>
          </w:tcPr>
          <w:p>
            <w:pPr>
              <w:spacing w:line="360" w:lineRule="auto"/>
              <w:jc w:val="left"/>
              <w:rPr>
                <w:color w:val="auto"/>
                <w:sz w:val="21"/>
                <w:szCs w:val="21"/>
              </w:rPr>
            </w:pPr>
          </w:p>
        </w:tc>
        <w:tc>
          <w:tcPr>
            <w:tcW w:w="1395" w:type="dxa"/>
            <w:vAlign w:val="top"/>
          </w:tcPr>
          <w:p>
            <w:pPr>
              <w:spacing w:line="360" w:lineRule="auto"/>
              <w:jc w:val="left"/>
              <w:rPr>
                <w:color w:val="auto"/>
                <w:sz w:val="21"/>
                <w:szCs w:val="21"/>
              </w:rPr>
            </w:pPr>
          </w:p>
        </w:tc>
        <w:tc>
          <w:tcPr>
            <w:tcW w:w="1125" w:type="dxa"/>
            <w:tcBorders>
              <w:right w:val="single" w:color="auto" w:sz="4" w:space="0"/>
            </w:tcBorders>
            <w:vAlign w:val="top"/>
          </w:tcPr>
          <w:p>
            <w:pPr>
              <w:spacing w:line="360" w:lineRule="auto"/>
              <w:jc w:val="left"/>
              <w:rPr>
                <w:color w:val="auto"/>
                <w:sz w:val="21"/>
                <w:szCs w:val="21"/>
              </w:rPr>
            </w:pPr>
          </w:p>
        </w:tc>
        <w:tc>
          <w:tcPr>
            <w:tcW w:w="1125" w:type="dxa"/>
            <w:tcBorders>
              <w:left w:val="single" w:color="auto" w:sz="4" w:space="0"/>
            </w:tcBorders>
            <w:vAlign w:val="top"/>
          </w:tcPr>
          <w:p>
            <w:pPr>
              <w:spacing w:line="360" w:lineRule="auto"/>
              <w:jc w:val="left"/>
              <w:rPr>
                <w:color w:val="auto"/>
                <w:sz w:val="21"/>
                <w:szCs w:val="21"/>
              </w:rPr>
            </w:pPr>
          </w:p>
        </w:tc>
        <w:tc>
          <w:tcPr>
            <w:tcW w:w="1125" w:type="dxa"/>
            <w:vAlign w:val="top"/>
          </w:tcPr>
          <w:p>
            <w:pPr>
              <w:spacing w:line="360" w:lineRule="auto"/>
              <w:jc w:val="left"/>
              <w:rPr>
                <w:color w:val="auto"/>
                <w:sz w:val="21"/>
                <w:szCs w:val="21"/>
              </w:rPr>
            </w:pPr>
          </w:p>
        </w:tc>
        <w:tc>
          <w:tcPr>
            <w:tcW w:w="1125" w:type="dxa"/>
            <w:vAlign w:val="top"/>
          </w:tcPr>
          <w:p>
            <w:pPr>
              <w:spacing w:line="360" w:lineRule="auto"/>
              <w:jc w:val="left"/>
              <w:rPr>
                <w:color w:val="auto"/>
                <w:sz w:val="21"/>
                <w:szCs w:val="21"/>
              </w:rPr>
            </w:pPr>
          </w:p>
        </w:tc>
        <w:tc>
          <w:tcPr>
            <w:tcW w:w="1332"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7" w:hRule="atLeast"/>
        </w:trPr>
        <w:tc>
          <w:tcPr>
            <w:tcW w:w="1547" w:type="dxa"/>
            <w:vAlign w:val="top"/>
          </w:tcPr>
          <w:p>
            <w:pPr>
              <w:spacing w:line="360" w:lineRule="auto"/>
              <w:jc w:val="left"/>
              <w:rPr>
                <w:color w:val="auto"/>
                <w:sz w:val="21"/>
                <w:szCs w:val="21"/>
              </w:rPr>
            </w:pPr>
          </w:p>
        </w:tc>
        <w:tc>
          <w:tcPr>
            <w:tcW w:w="1079" w:type="dxa"/>
            <w:tcBorders>
              <w:right w:val="single" w:color="auto" w:sz="4" w:space="0"/>
            </w:tcBorders>
            <w:vAlign w:val="top"/>
          </w:tcPr>
          <w:p>
            <w:pPr>
              <w:spacing w:line="360" w:lineRule="auto"/>
              <w:jc w:val="left"/>
              <w:rPr>
                <w:color w:val="auto"/>
                <w:sz w:val="21"/>
                <w:szCs w:val="21"/>
              </w:rPr>
            </w:pPr>
          </w:p>
        </w:tc>
        <w:tc>
          <w:tcPr>
            <w:tcW w:w="781" w:type="dxa"/>
            <w:tcBorders>
              <w:left w:val="single" w:color="auto" w:sz="4" w:space="0"/>
              <w:right w:val="single" w:color="auto" w:sz="4" w:space="0"/>
            </w:tcBorders>
            <w:vAlign w:val="top"/>
          </w:tcPr>
          <w:p>
            <w:pPr>
              <w:spacing w:line="360" w:lineRule="auto"/>
              <w:jc w:val="left"/>
              <w:rPr>
                <w:color w:val="auto"/>
                <w:sz w:val="21"/>
                <w:szCs w:val="21"/>
              </w:rPr>
            </w:pPr>
          </w:p>
        </w:tc>
        <w:tc>
          <w:tcPr>
            <w:tcW w:w="841" w:type="dxa"/>
            <w:tcBorders>
              <w:left w:val="single" w:color="auto" w:sz="4" w:space="0"/>
            </w:tcBorders>
            <w:vAlign w:val="top"/>
          </w:tcPr>
          <w:p>
            <w:pPr>
              <w:spacing w:line="360" w:lineRule="auto"/>
              <w:jc w:val="left"/>
              <w:rPr>
                <w:color w:val="auto"/>
                <w:sz w:val="21"/>
                <w:szCs w:val="21"/>
              </w:rPr>
            </w:pPr>
          </w:p>
        </w:tc>
        <w:tc>
          <w:tcPr>
            <w:tcW w:w="1395" w:type="dxa"/>
            <w:tcBorders>
              <w:right w:val="single" w:color="auto" w:sz="4" w:space="0"/>
            </w:tcBorders>
            <w:vAlign w:val="top"/>
          </w:tcPr>
          <w:p>
            <w:pPr>
              <w:spacing w:line="360" w:lineRule="auto"/>
              <w:jc w:val="left"/>
              <w:rPr>
                <w:color w:val="auto"/>
                <w:sz w:val="21"/>
                <w:szCs w:val="21"/>
              </w:rPr>
            </w:pPr>
          </w:p>
        </w:tc>
        <w:tc>
          <w:tcPr>
            <w:tcW w:w="1395" w:type="dxa"/>
            <w:tcBorders>
              <w:left w:val="single" w:color="auto" w:sz="4" w:space="0"/>
            </w:tcBorders>
            <w:vAlign w:val="top"/>
          </w:tcPr>
          <w:p>
            <w:pPr>
              <w:spacing w:line="360" w:lineRule="auto"/>
              <w:jc w:val="left"/>
              <w:rPr>
                <w:color w:val="auto"/>
                <w:sz w:val="21"/>
                <w:szCs w:val="21"/>
              </w:rPr>
            </w:pPr>
          </w:p>
        </w:tc>
        <w:tc>
          <w:tcPr>
            <w:tcW w:w="1395" w:type="dxa"/>
            <w:vAlign w:val="top"/>
          </w:tcPr>
          <w:p>
            <w:pPr>
              <w:spacing w:line="360" w:lineRule="auto"/>
              <w:jc w:val="left"/>
              <w:rPr>
                <w:color w:val="auto"/>
                <w:sz w:val="21"/>
                <w:szCs w:val="21"/>
              </w:rPr>
            </w:pPr>
          </w:p>
        </w:tc>
        <w:tc>
          <w:tcPr>
            <w:tcW w:w="1395" w:type="dxa"/>
            <w:vAlign w:val="top"/>
          </w:tcPr>
          <w:p>
            <w:pPr>
              <w:spacing w:line="360" w:lineRule="auto"/>
              <w:jc w:val="left"/>
              <w:rPr>
                <w:color w:val="auto"/>
                <w:sz w:val="21"/>
                <w:szCs w:val="21"/>
              </w:rPr>
            </w:pPr>
          </w:p>
        </w:tc>
        <w:tc>
          <w:tcPr>
            <w:tcW w:w="1125" w:type="dxa"/>
            <w:tcBorders>
              <w:right w:val="single" w:color="auto" w:sz="4" w:space="0"/>
            </w:tcBorders>
            <w:vAlign w:val="top"/>
          </w:tcPr>
          <w:p>
            <w:pPr>
              <w:spacing w:line="360" w:lineRule="auto"/>
              <w:jc w:val="left"/>
              <w:rPr>
                <w:color w:val="auto"/>
                <w:sz w:val="21"/>
                <w:szCs w:val="21"/>
              </w:rPr>
            </w:pPr>
          </w:p>
        </w:tc>
        <w:tc>
          <w:tcPr>
            <w:tcW w:w="1125" w:type="dxa"/>
            <w:tcBorders>
              <w:left w:val="single" w:color="auto" w:sz="4" w:space="0"/>
            </w:tcBorders>
            <w:vAlign w:val="top"/>
          </w:tcPr>
          <w:p>
            <w:pPr>
              <w:spacing w:line="360" w:lineRule="auto"/>
              <w:jc w:val="left"/>
              <w:rPr>
                <w:color w:val="auto"/>
                <w:sz w:val="21"/>
                <w:szCs w:val="21"/>
              </w:rPr>
            </w:pPr>
          </w:p>
        </w:tc>
        <w:tc>
          <w:tcPr>
            <w:tcW w:w="1125" w:type="dxa"/>
            <w:vAlign w:val="top"/>
          </w:tcPr>
          <w:p>
            <w:pPr>
              <w:spacing w:line="360" w:lineRule="auto"/>
              <w:jc w:val="left"/>
              <w:rPr>
                <w:color w:val="auto"/>
                <w:sz w:val="21"/>
                <w:szCs w:val="21"/>
              </w:rPr>
            </w:pPr>
          </w:p>
        </w:tc>
        <w:tc>
          <w:tcPr>
            <w:tcW w:w="1125" w:type="dxa"/>
            <w:vAlign w:val="top"/>
          </w:tcPr>
          <w:p>
            <w:pPr>
              <w:spacing w:line="360" w:lineRule="auto"/>
              <w:jc w:val="left"/>
              <w:rPr>
                <w:color w:val="auto"/>
                <w:sz w:val="21"/>
                <w:szCs w:val="21"/>
              </w:rPr>
            </w:pPr>
          </w:p>
        </w:tc>
        <w:tc>
          <w:tcPr>
            <w:tcW w:w="1332"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547" w:type="dxa"/>
            <w:vAlign w:val="top"/>
          </w:tcPr>
          <w:p>
            <w:pPr>
              <w:spacing w:line="360" w:lineRule="auto"/>
              <w:jc w:val="left"/>
              <w:rPr>
                <w:color w:val="auto"/>
                <w:sz w:val="21"/>
                <w:szCs w:val="21"/>
              </w:rPr>
            </w:pPr>
          </w:p>
        </w:tc>
        <w:tc>
          <w:tcPr>
            <w:tcW w:w="1079" w:type="dxa"/>
            <w:tcBorders>
              <w:right w:val="single" w:color="auto" w:sz="4" w:space="0"/>
            </w:tcBorders>
            <w:vAlign w:val="top"/>
          </w:tcPr>
          <w:p>
            <w:pPr>
              <w:spacing w:line="360" w:lineRule="auto"/>
              <w:jc w:val="left"/>
              <w:rPr>
                <w:color w:val="auto"/>
                <w:sz w:val="21"/>
                <w:szCs w:val="21"/>
              </w:rPr>
            </w:pPr>
          </w:p>
        </w:tc>
        <w:tc>
          <w:tcPr>
            <w:tcW w:w="781" w:type="dxa"/>
            <w:tcBorders>
              <w:left w:val="single" w:color="auto" w:sz="4" w:space="0"/>
              <w:right w:val="single" w:color="auto" w:sz="4" w:space="0"/>
            </w:tcBorders>
            <w:vAlign w:val="top"/>
          </w:tcPr>
          <w:p>
            <w:pPr>
              <w:spacing w:line="360" w:lineRule="auto"/>
              <w:jc w:val="left"/>
              <w:rPr>
                <w:color w:val="auto"/>
                <w:sz w:val="21"/>
                <w:szCs w:val="21"/>
              </w:rPr>
            </w:pPr>
          </w:p>
        </w:tc>
        <w:tc>
          <w:tcPr>
            <w:tcW w:w="841" w:type="dxa"/>
            <w:tcBorders>
              <w:left w:val="single" w:color="auto" w:sz="4" w:space="0"/>
            </w:tcBorders>
            <w:vAlign w:val="top"/>
          </w:tcPr>
          <w:p>
            <w:pPr>
              <w:spacing w:line="360" w:lineRule="auto"/>
              <w:jc w:val="left"/>
              <w:rPr>
                <w:color w:val="auto"/>
                <w:sz w:val="21"/>
                <w:szCs w:val="21"/>
              </w:rPr>
            </w:pPr>
          </w:p>
        </w:tc>
        <w:tc>
          <w:tcPr>
            <w:tcW w:w="1395" w:type="dxa"/>
            <w:tcBorders>
              <w:right w:val="single" w:color="auto" w:sz="4" w:space="0"/>
            </w:tcBorders>
            <w:vAlign w:val="top"/>
          </w:tcPr>
          <w:p>
            <w:pPr>
              <w:spacing w:line="360" w:lineRule="auto"/>
              <w:jc w:val="left"/>
              <w:rPr>
                <w:color w:val="auto"/>
                <w:sz w:val="21"/>
                <w:szCs w:val="21"/>
              </w:rPr>
            </w:pPr>
          </w:p>
        </w:tc>
        <w:tc>
          <w:tcPr>
            <w:tcW w:w="1395" w:type="dxa"/>
            <w:tcBorders>
              <w:left w:val="single" w:color="auto" w:sz="4" w:space="0"/>
            </w:tcBorders>
            <w:vAlign w:val="top"/>
          </w:tcPr>
          <w:p>
            <w:pPr>
              <w:spacing w:line="360" w:lineRule="auto"/>
              <w:jc w:val="left"/>
              <w:rPr>
                <w:color w:val="auto"/>
                <w:sz w:val="21"/>
                <w:szCs w:val="21"/>
              </w:rPr>
            </w:pPr>
          </w:p>
        </w:tc>
        <w:tc>
          <w:tcPr>
            <w:tcW w:w="1395" w:type="dxa"/>
            <w:vAlign w:val="top"/>
          </w:tcPr>
          <w:p>
            <w:pPr>
              <w:spacing w:line="360" w:lineRule="auto"/>
              <w:jc w:val="left"/>
              <w:rPr>
                <w:color w:val="auto"/>
                <w:sz w:val="21"/>
                <w:szCs w:val="21"/>
              </w:rPr>
            </w:pPr>
          </w:p>
        </w:tc>
        <w:tc>
          <w:tcPr>
            <w:tcW w:w="1395" w:type="dxa"/>
            <w:vAlign w:val="top"/>
          </w:tcPr>
          <w:p>
            <w:pPr>
              <w:spacing w:line="360" w:lineRule="auto"/>
              <w:jc w:val="left"/>
              <w:rPr>
                <w:color w:val="auto"/>
                <w:sz w:val="21"/>
                <w:szCs w:val="21"/>
              </w:rPr>
            </w:pPr>
          </w:p>
        </w:tc>
        <w:tc>
          <w:tcPr>
            <w:tcW w:w="1125" w:type="dxa"/>
            <w:tcBorders>
              <w:right w:val="single" w:color="auto" w:sz="4" w:space="0"/>
            </w:tcBorders>
            <w:vAlign w:val="top"/>
          </w:tcPr>
          <w:p>
            <w:pPr>
              <w:spacing w:line="360" w:lineRule="auto"/>
              <w:jc w:val="left"/>
              <w:rPr>
                <w:color w:val="auto"/>
                <w:sz w:val="21"/>
                <w:szCs w:val="21"/>
              </w:rPr>
            </w:pPr>
          </w:p>
        </w:tc>
        <w:tc>
          <w:tcPr>
            <w:tcW w:w="1125" w:type="dxa"/>
            <w:tcBorders>
              <w:left w:val="single" w:color="auto" w:sz="4" w:space="0"/>
            </w:tcBorders>
            <w:vAlign w:val="top"/>
          </w:tcPr>
          <w:p>
            <w:pPr>
              <w:spacing w:line="360" w:lineRule="auto"/>
              <w:jc w:val="left"/>
              <w:rPr>
                <w:color w:val="auto"/>
                <w:sz w:val="21"/>
                <w:szCs w:val="21"/>
              </w:rPr>
            </w:pPr>
          </w:p>
        </w:tc>
        <w:tc>
          <w:tcPr>
            <w:tcW w:w="1125" w:type="dxa"/>
            <w:vAlign w:val="top"/>
          </w:tcPr>
          <w:p>
            <w:pPr>
              <w:spacing w:line="360" w:lineRule="auto"/>
              <w:jc w:val="left"/>
              <w:rPr>
                <w:color w:val="auto"/>
                <w:sz w:val="21"/>
                <w:szCs w:val="21"/>
              </w:rPr>
            </w:pPr>
          </w:p>
        </w:tc>
        <w:tc>
          <w:tcPr>
            <w:tcW w:w="1125" w:type="dxa"/>
            <w:vAlign w:val="top"/>
          </w:tcPr>
          <w:p>
            <w:pPr>
              <w:spacing w:line="360" w:lineRule="auto"/>
              <w:jc w:val="left"/>
              <w:rPr>
                <w:color w:val="auto"/>
                <w:sz w:val="21"/>
                <w:szCs w:val="21"/>
              </w:rPr>
            </w:pPr>
          </w:p>
        </w:tc>
        <w:tc>
          <w:tcPr>
            <w:tcW w:w="1332"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547" w:type="dxa"/>
            <w:vAlign w:val="top"/>
          </w:tcPr>
          <w:p>
            <w:pPr>
              <w:spacing w:line="360" w:lineRule="auto"/>
              <w:jc w:val="left"/>
              <w:rPr>
                <w:color w:val="auto"/>
                <w:sz w:val="21"/>
                <w:szCs w:val="21"/>
              </w:rPr>
            </w:pPr>
          </w:p>
        </w:tc>
        <w:tc>
          <w:tcPr>
            <w:tcW w:w="1079" w:type="dxa"/>
            <w:tcBorders>
              <w:right w:val="single" w:color="auto" w:sz="4" w:space="0"/>
            </w:tcBorders>
            <w:vAlign w:val="top"/>
          </w:tcPr>
          <w:p>
            <w:pPr>
              <w:spacing w:line="360" w:lineRule="auto"/>
              <w:jc w:val="left"/>
              <w:rPr>
                <w:color w:val="auto"/>
                <w:sz w:val="21"/>
                <w:szCs w:val="21"/>
              </w:rPr>
            </w:pPr>
          </w:p>
        </w:tc>
        <w:tc>
          <w:tcPr>
            <w:tcW w:w="781" w:type="dxa"/>
            <w:tcBorders>
              <w:left w:val="single" w:color="auto" w:sz="4" w:space="0"/>
              <w:right w:val="single" w:color="auto" w:sz="4" w:space="0"/>
            </w:tcBorders>
            <w:vAlign w:val="top"/>
          </w:tcPr>
          <w:p>
            <w:pPr>
              <w:spacing w:line="360" w:lineRule="auto"/>
              <w:jc w:val="left"/>
              <w:rPr>
                <w:color w:val="auto"/>
                <w:sz w:val="21"/>
                <w:szCs w:val="21"/>
              </w:rPr>
            </w:pPr>
          </w:p>
        </w:tc>
        <w:tc>
          <w:tcPr>
            <w:tcW w:w="841" w:type="dxa"/>
            <w:tcBorders>
              <w:left w:val="single" w:color="auto" w:sz="4" w:space="0"/>
            </w:tcBorders>
            <w:vAlign w:val="top"/>
          </w:tcPr>
          <w:p>
            <w:pPr>
              <w:spacing w:line="360" w:lineRule="auto"/>
              <w:jc w:val="left"/>
              <w:rPr>
                <w:color w:val="auto"/>
                <w:sz w:val="21"/>
                <w:szCs w:val="21"/>
              </w:rPr>
            </w:pPr>
          </w:p>
        </w:tc>
        <w:tc>
          <w:tcPr>
            <w:tcW w:w="1395" w:type="dxa"/>
            <w:tcBorders>
              <w:right w:val="single" w:color="auto" w:sz="4" w:space="0"/>
            </w:tcBorders>
            <w:vAlign w:val="top"/>
          </w:tcPr>
          <w:p>
            <w:pPr>
              <w:spacing w:line="360" w:lineRule="auto"/>
              <w:jc w:val="left"/>
              <w:rPr>
                <w:color w:val="auto"/>
                <w:sz w:val="21"/>
                <w:szCs w:val="21"/>
              </w:rPr>
            </w:pPr>
          </w:p>
        </w:tc>
        <w:tc>
          <w:tcPr>
            <w:tcW w:w="1395" w:type="dxa"/>
            <w:tcBorders>
              <w:left w:val="single" w:color="auto" w:sz="4" w:space="0"/>
            </w:tcBorders>
            <w:vAlign w:val="top"/>
          </w:tcPr>
          <w:p>
            <w:pPr>
              <w:spacing w:line="360" w:lineRule="auto"/>
              <w:jc w:val="left"/>
              <w:rPr>
                <w:color w:val="auto"/>
                <w:sz w:val="21"/>
                <w:szCs w:val="21"/>
              </w:rPr>
            </w:pPr>
          </w:p>
        </w:tc>
        <w:tc>
          <w:tcPr>
            <w:tcW w:w="1395" w:type="dxa"/>
            <w:vAlign w:val="top"/>
          </w:tcPr>
          <w:p>
            <w:pPr>
              <w:spacing w:line="360" w:lineRule="auto"/>
              <w:jc w:val="left"/>
              <w:rPr>
                <w:color w:val="auto"/>
                <w:sz w:val="21"/>
                <w:szCs w:val="21"/>
              </w:rPr>
            </w:pPr>
          </w:p>
        </w:tc>
        <w:tc>
          <w:tcPr>
            <w:tcW w:w="1395" w:type="dxa"/>
            <w:vAlign w:val="top"/>
          </w:tcPr>
          <w:p>
            <w:pPr>
              <w:spacing w:line="360" w:lineRule="auto"/>
              <w:jc w:val="left"/>
              <w:rPr>
                <w:color w:val="auto"/>
                <w:sz w:val="21"/>
                <w:szCs w:val="21"/>
              </w:rPr>
            </w:pPr>
          </w:p>
        </w:tc>
        <w:tc>
          <w:tcPr>
            <w:tcW w:w="1125" w:type="dxa"/>
            <w:tcBorders>
              <w:right w:val="single" w:color="auto" w:sz="4" w:space="0"/>
            </w:tcBorders>
            <w:vAlign w:val="top"/>
          </w:tcPr>
          <w:p>
            <w:pPr>
              <w:spacing w:line="360" w:lineRule="auto"/>
              <w:jc w:val="left"/>
              <w:rPr>
                <w:color w:val="auto"/>
                <w:sz w:val="21"/>
                <w:szCs w:val="21"/>
              </w:rPr>
            </w:pPr>
          </w:p>
        </w:tc>
        <w:tc>
          <w:tcPr>
            <w:tcW w:w="1125" w:type="dxa"/>
            <w:tcBorders>
              <w:left w:val="single" w:color="auto" w:sz="4" w:space="0"/>
            </w:tcBorders>
            <w:vAlign w:val="top"/>
          </w:tcPr>
          <w:p>
            <w:pPr>
              <w:spacing w:line="360" w:lineRule="auto"/>
              <w:jc w:val="left"/>
              <w:rPr>
                <w:color w:val="auto"/>
                <w:sz w:val="21"/>
                <w:szCs w:val="21"/>
              </w:rPr>
            </w:pPr>
          </w:p>
        </w:tc>
        <w:tc>
          <w:tcPr>
            <w:tcW w:w="1125" w:type="dxa"/>
            <w:vAlign w:val="top"/>
          </w:tcPr>
          <w:p>
            <w:pPr>
              <w:spacing w:line="360" w:lineRule="auto"/>
              <w:jc w:val="left"/>
              <w:rPr>
                <w:color w:val="auto"/>
                <w:sz w:val="21"/>
                <w:szCs w:val="21"/>
              </w:rPr>
            </w:pPr>
          </w:p>
        </w:tc>
        <w:tc>
          <w:tcPr>
            <w:tcW w:w="1125" w:type="dxa"/>
            <w:vAlign w:val="top"/>
          </w:tcPr>
          <w:p>
            <w:pPr>
              <w:spacing w:line="360" w:lineRule="auto"/>
              <w:jc w:val="left"/>
              <w:rPr>
                <w:color w:val="auto"/>
                <w:sz w:val="21"/>
                <w:szCs w:val="21"/>
              </w:rPr>
            </w:pPr>
          </w:p>
        </w:tc>
        <w:tc>
          <w:tcPr>
            <w:tcW w:w="1332" w:type="dxa"/>
            <w:vAlign w:val="top"/>
          </w:tcPr>
          <w:p>
            <w:pPr>
              <w:spacing w:line="360" w:lineRule="auto"/>
              <w:jc w:val="left"/>
              <w:rPr>
                <w:color w:val="auto"/>
                <w:sz w:val="21"/>
                <w:szCs w:val="21"/>
              </w:rPr>
            </w:pPr>
          </w:p>
        </w:tc>
      </w:tr>
    </w:tbl>
    <w:p>
      <w:pPr>
        <w:spacing w:line="360" w:lineRule="auto"/>
        <w:rPr>
          <w:rFonts w:ascii="宋体" w:hAnsi="宋体" w:cs="宋体"/>
          <w:color w:val="auto"/>
          <w:szCs w:val="21"/>
        </w:rPr>
        <w:sectPr>
          <w:footerReference r:id="rId100" w:type="default"/>
          <w:pgSz w:w="16840" w:h="11907" w:orient="landscape"/>
          <w:pgMar w:top="1418" w:right="1134" w:bottom="1134" w:left="1418" w:header="0" w:footer="992" w:gutter="0"/>
          <w:pgNumType w:fmt="decimal"/>
          <w:cols w:space="720" w:num="1"/>
          <w:docGrid w:linePitch="312" w:charSpace="0"/>
        </w:sectPr>
      </w:pP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附件</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临床试验用药退还表</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临床试验用药物退还表</w:t>
      </w:r>
    </w:p>
    <w:p>
      <w:pPr>
        <w:spacing w:line="360" w:lineRule="auto"/>
        <w:rPr>
          <w:rFonts w:hint="eastAsia" w:ascii="黑体" w:eastAsia="黑体"/>
          <w:b w:val="0"/>
          <w:bCs/>
          <w:i w:val="0"/>
          <w:iCs w:val="0"/>
          <w:color w:val="auto"/>
          <w:sz w:val="28"/>
          <w:szCs w:val="28"/>
          <w:u w:val="single"/>
        </w:rPr>
      </w:pPr>
      <w:r>
        <w:rPr>
          <w:rFonts w:hint="eastAsia" w:ascii="宋体" w:hAnsi="宋体"/>
          <w:b w:val="0"/>
          <w:bCs/>
          <w:i w:val="0"/>
          <w:iCs w:val="0"/>
          <w:color w:val="auto"/>
          <w:szCs w:val="21"/>
        </w:rPr>
        <w:t>试验名称</w:t>
      </w:r>
      <w:r>
        <w:rPr>
          <w:rFonts w:hint="eastAsia" w:ascii="黑体" w:eastAsia="黑体"/>
          <w:b w:val="0"/>
          <w:bCs/>
          <w:i w:val="0"/>
          <w:iCs w:val="0"/>
          <w:color w:val="auto"/>
          <w:sz w:val="28"/>
          <w:szCs w:val="28"/>
        </w:rPr>
        <w:t>：</w:t>
      </w:r>
      <w:r>
        <w:rPr>
          <w:rFonts w:hint="eastAsia" w:ascii="黑体" w:eastAsia="黑体"/>
          <w:b w:val="0"/>
          <w:bCs/>
          <w:i w:val="0"/>
          <w:iCs w:val="0"/>
          <w:color w:val="auto"/>
          <w:sz w:val="28"/>
          <w:szCs w:val="28"/>
          <w:u w:val="single"/>
        </w:rPr>
        <w:t xml:space="preserve">                                                  </w:t>
      </w:r>
      <w:r>
        <w:rPr>
          <w:rFonts w:hint="eastAsia" w:ascii="黑体" w:eastAsia="黑体"/>
          <w:b w:val="0"/>
          <w:bCs/>
          <w:i w:val="0"/>
          <w:iCs w:val="0"/>
          <w:color w:val="auto"/>
          <w:sz w:val="28"/>
          <w:szCs w:val="28"/>
          <w:u w:val="single"/>
          <w:lang w:val="en-US" w:eastAsia="zh-CN"/>
        </w:rPr>
        <w:t xml:space="preserve">  </w:t>
      </w:r>
      <w:r>
        <w:rPr>
          <w:rFonts w:hint="eastAsia" w:ascii="宋体" w:hAnsi="宋体"/>
          <w:b w:val="0"/>
          <w:bCs/>
          <w:i w:val="0"/>
          <w:iCs w:val="0"/>
          <w:color w:val="auto"/>
          <w:szCs w:val="21"/>
        </w:rPr>
        <w:t xml:space="preserve"> 方案编号：</w:t>
      </w:r>
      <w:r>
        <w:rPr>
          <w:rFonts w:hint="eastAsia" w:ascii="宋体" w:hAnsi="宋体"/>
          <w:b w:val="0"/>
          <w:bCs/>
          <w:i w:val="0"/>
          <w:iCs w:val="0"/>
          <w:color w:val="auto"/>
          <w:szCs w:val="21"/>
          <w:u w:val="single"/>
        </w:rPr>
        <w:t xml:space="preserve">                                  </w:t>
      </w:r>
    </w:p>
    <w:p>
      <w:pPr>
        <w:spacing w:line="360" w:lineRule="auto"/>
        <w:rPr>
          <w:rFonts w:hint="eastAsia" w:ascii="宋体" w:hAnsi="宋体"/>
          <w:b w:val="0"/>
          <w:bCs/>
          <w:i w:val="0"/>
          <w:iCs w:val="0"/>
          <w:color w:val="auto"/>
          <w:sz w:val="24"/>
          <w:szCs w:val="24"/>
        </w:rPr>
      </w:pPr>
      <w:r>
        <w:rPr>
          <w:rFonts w:hint="eastAsia" w:ascii="宋体" w:hAnsi="宋体"/>
          <w:b w:val="0"/>
          <w:bCs/>
          <w:i w:val="0"/>
          <w:iCs w:val="0"/>
          <w:color w:val="auto"/>
          <w:szCs w:val="21"/>
        </w:rPr>
        <w:t>机构名称：</w:t>
      </w:r>
      <w:r>
        <w:rPr>
          <w:rFonts w:hint="eastAsia"/>
          <w:b w:val="0"/>
          <w:bCs/>
          <w:i w:val="0"/>
          <w:iCs w:val="0"/>
          <w:color w:val="auto"/>
        </w:rPr>
        <w:t>沂源县人民医院药物</w:t>
      </w:r>
      <w:r>
        <w:rPr>
          <w:rFonts w:hint="eastAsia"/>
          <w:b w:val="0"/>
          <w:bCs/>
          <w:i w:val="0"/>
          <w:iCs w:val="0"/>
          <w:color w:val="auto"/>
          <w:lang w:val="en-US" w:eastAsia="zh-CN"/>
        </w:rPr>
        <w:t>/医疗器械</w:t>
      </w:r>
      <w:r>
        <w:rPr>
          <w:rFonts w:hint="eastAsia"/>
          <w:b w:val="0"/>
          <w:bCs/>
          <w:i w:val="0"/>
          <w:iCs w:val="0"/>
          <w:color w:val="auto"/>
        </w:rPr>
        <w:t>临床试验机构         主要研究者：</w:t>
      </w:r>
      <w:r>
        <w:rPr>
          <w:rFonts w:hint="eastAsia"/>
          <w:b w:val="0"/>
          <w:bCs/>
          <w:i w:val="0"/>
          <w:iCs w:val="0"/>
          <w:color w:val="auto"/>
          <w:u w:val="single"/>
        </w:rPr>
        <w:t xml:space="preserve">      </w:t>
      </w:r>
      <w:r>
        <w:rPr>
          <w:rFonts w:hint="eastAsia"/>
          <w:b w:val="0"/>
          <w:bCs/>
          <w:i w:val="0"/>
          <w:iCs w:val="0"/>
          <w:color w:val="auto"/>
          <w:u w:val="single"/>
          <w:lang w:val="en-US" w:eastAsia="zh-CN"/>
        </w:rPr>
        <w:t xml:space="preserve">  </w:t>
      </w:r>
      <w:r>
        <w:rPr>
          <w:rFonts w:hint="eastAsia"/>
          <w:b w:val="0"/>
          <w:bCs/>
          <w:i w:val="0"/>
          <w:iCs w:val="0"/>
          <w:color w:val="auto"/>
          <w:u w:val="single"/>
        </w:rPr>
        <w:t xml:space="preserve">           </w:t>
      </w:r>
      <w:r>
        <w:rPr>
          <w:rFonts w:hint="eastAsia"/>
          <w:b w:val="0"/>
          <w:bCs/>
          <w:i w:val="0"/>
          <w:iCs w:val="0"/>
          <w:color w:val="auto"/>
        </w:rPr>
        <w:t xml:space="preserve">  申办方：</w:t>
      </w:r>
      <w:r>
        <w:rPr>
          <w:rFonts w:hint="eastAsia"/>
          <w:b w:val="0"/>
          <w:bCs/>
          <w:i w:val="0"/>
          <w:iCs w:val="0"/>
          <w:color w:val="auto"/>
          <w:u w:val="single"/>
        </w:rPr>
        <w:t xml:space="preserve">                                 </w:t>
      </w:r>
      <w:r>
        <w:rPr>
          <w:rFonts w:hint="eastAsia"/>
          <w:b w:val="0"/>
          <w:bCs/>
          <w:i w:val="0"/>
          <w:iCs w:val="0"/>
          <w:color w:val="auto"/>
          <w:u w:val="single"/>
          <w:lang w:val="en-US" w:eastAsia="zh-CN"/>
        </w:rPr>
        <w:t xml:space="preserve"> </w:t>
      </w:r>
      <w:r>
        <w:rPr>
          <w:rFonts w:hint="eastAsia"/>
          <w:b w:val="0"/>
          <w:bCs/>
          <w:i w:val="0"/>
          <w:iCs w:val="0"/>
          <w:color w:val="auto"/>
          <w:u w:val="single"/>
        </w:rPr>
        <w:t xml:space="preserve"> </w:t>
      </w:r>
    </w:p>
    <w:tbl>
      <w:tblPr>
        <w:tblStyle w:val="27"/>
        <w:tblW w:w="14385"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5"/>
        <w:gridCol w:w="1575"/>
        <w:gridCol w:w="1470"/>
        <w:gridCol w:w="1680"/>
        <w:gridCol w:w="1995"/>
        <w:gridCol w:w="1680"/>
        <w:gridCol w:w="2205"/>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2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b w:val="0"/>
                <w:bCs/>
                <w:i w:val="0"/>
                <w:iCs w:val="0"/>
                <w:color w:val="auto"/>
              </w:rPr>
            </w:pPr>
            <w:r>
              <w:rPr>
                <w:rFonts w:hint="eastAsia"/>
                <w:b w:val="0"/>
                <w:bCs/>
                <w:i w:val="0"/>
                <w:iCs w:val="0"/>
                <w:color w:val="auto"/>
              </w:rPr>
              <w:t>药物名称及编号</w:t>
            </w:r>
          </w:p>
        </w:tc>
        <w:tc>
          <w:tcPr>
            <w:tcW w:w="15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i w:val="0"/>
                <w:iCs w:val="0"/>
                <w:color w:val="auto"/>
              </w:rPr>
            </w:pPr>
            <w:r>
              <w:rPr>
                <w:rFonts w:hint="eastAsia"/>
                <w:b w:val="0"/>
                <w:bCs/>
                <w:i w:val="0"/>
                <w:iCs w:val="0"/>
                <w:color w:val="auto"/>
              </w:rPr>
              <w:t>规格</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i w:val="0"/>
                <w:iCs w:val="0"/>
                <w:color w:val="auto"/>
              </w:rPr>
            </w:pPr>
            <w:r>
              <w:rPr>
                <w:rFonts w:hint="eastAsia"/>
                <w:b w:val="0"/>
                <w:bCs/>
                <w:i w:val="0"/>
                <w:iCs w:val="0"/>
                <w:color w:val="auto"/>
              </w:rPr>
              <w:t>单位</w:t>
            </w:r>
          </w:p>
        </w:tc>
        <w:tc>
          <w:tcPr>
            <w:tcW w:w="16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i w:val="0"/>
                <w:iCs w:val="0"/>
                <w:color w:val="auto"/>
              </w:rPr>
            </w:pPr>
            <w:r>
              <w:rPr>
                <w:rFonts w:hint="eastAsia"/>
                <w:b w:val="0"/>
                <w:bCs/>
                <w:i w:val="0"/>
                <w:iCs w:val="0"/>
                <w:color w:val="auto"/>
              </w:rPr>
              <w:t>数量</w:t>
            </w:r>
          </w:p>
        </w:tc>
        <w:tc>
          <w:tcPr>
            <w:tcW w:w="19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i w:val="0"/>
                <w:iCs w:val="0"/>
                <w:color w:val="auto"/>
              </w:rPr>
            </w:pPr>
            <w:r>
              <w:rPr>
                <w:rFonts w:hint="eastAsia"/>
                <w:b w:val="0"/>
                <w:bCs/>
                <w:i w:val="0"/>
                <w:iCs w:val="0"/>
                <w:color w:val="auto"/>
              </w:rPr>
              <w:t>批号</w:t>
            </w:r>
          </w:p>
        </w:tc>
        <w:tc>
          <w:tcPr>
            <w:tcW w:w="16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i w:val="0"/>
                <w:iCs w:val="0"/>
                <w:color w:val="auto"/>
              </w:rPr>
            </w:pPr>
            <w:r>
              <w:rPr>
                <w:rFonts w:hint="eastAsia"/>
                <w:b w:val="0"/>
                <w:bCs/>
                <w:i w:val="0"/>
                <w:iCs w:val="0"/>
                <w:color w:val="auto"/>
              </w:rPr>
              <w:t>有效期</w:t>
            </w:r>
          </w:p>
        </w:tc>
        <w:tc>
          <w:tcPr>
            <w:tcW w:w="22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i w:val="0"/>
                <w:iCs w:val="0"/>
                <w:color w:val="auto"/>
              </w:rPr>
            </w:pPr>
            <w:r>
              <w:rPr>
                <w:rFonts w:hint="eastAsia"/>
                <w:b w:val="0"/>
                <w:bCs/>
                <w:i w:val="0"/>
                <w:iCs w:val="0"/>
                <w:color w:val="auto"/>
              </w:rPr>
              <w:t>应急信件退还情况</w:t>
            </w:r>
          </w:p>
        </w:tc>
        <w:tc>
          <w:tcPr>
            <w:tcW w:w="15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i w:val="0"/>
                <w:iCs w:val="0"/>
                <w:color w:val="auto"/>
              </w:rPr>
            </w:pPr>
            <w:r>
              <w:rPr>
                <w:rFonts w:hint="eastAsia"/>
                <w:b w:val="0"/>
                <w:bCs/>
                <w:i w:val="0"/>
                <w:iCs w:val="0"/>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05" w:type="dxa"/>
            <w:vAlign w:val="top"/>
          </w:tcPr>
          <w:p>
            <w:pPr>
              <w:spacing w:line="360" w:lineRule="auto"/>
              <w:jc w:val="left"/>
              <w:rPr>
                <w:color w:val="auto"/>
              </w:rPr>
            </w:pPr>
          </w:p>
        </w:tc>
        <w:tc>
          <w:tcPr>
            <w:tcW w:w="1575" w:type="dxa"/>
            <w:vAlign w:val="top"/>
          </w:tcPr>
          <w:p>
            <w:pPr>
              <w:spacing w:line="360" w:lineRule="auto"/>
              <w:jc w:val="left"/>
              <w:rPr>
                <w:color w:val="auto"/>
              </w:rPr>
            </w:pPr>
          </w:p>
        </w:tc>
        <w:tc>
          <w:tcPr>
            <w:tcW w:w="1470" w:type="dxa"/>
            <w:vAlign w:val="top"/>
          </w:tcPr>
          <w:p>
            <w:pPr>
              <w:spacing w:line="360" w:lineRule="auto"/>
              <w:jc w:val="left"/>
              <w:rPr>
                <w:color w:val="auto"/>
              </w:rPr>
            </w:pPr>
          </w:p>
        </w:tc>
        <w:tc>
          <w:tcPr>
            <w:tcW w:w="1680" w:type="dxa"/>
            <w:vAlign w:val="top"/>
          </w:tcPr>
          <w:p>
            <w:pPr>
              <w:spacing w:line="360" w:lineRule="auto"/>
              <w:jc w:val="left"/>
              <w:rPr>
                <w:color w:val="auto"/>
              </w:rPr>
            </w:pPr>
          </w:p>
        </w:tc>
        <w:tc>
          <w:tcPr>
            <w:tcW w:w="1995" w:type="dxa"/>
            <w:vAlign w:val="top"/>
          </w:tcPr>
          <w:p>
            <w:pPr>
              <w:spacing w:line="360" w:lineRule="auto"/>
              <w:jc w:val="left"/>
              <w:rPr>
                <w:color w:val="auto"/>
              </w:rPr>
            </w:pPr>
          </w:p>
        </w:tc>
        <w:tc>
          <w:tcPr>
            <w:tcW w:w="1680" w:type="dxa"/>
            <w:vAlign w:val="top"/>
          </w:tcPr>
          <w:p>
            <w:pPr>
              <w:spacing w:line="360" w:lineRule="auto"/>
              <w:jc w:val="left"/>
              <w:rPr>
                <w:color w:val="auto"/>
              </w:rPr>
            </w:pPr>
          </w:p>
        </w:tc>
        <w:tc>
          <w:tcPr>
            <w:tcW w:w="2205" w:type="dxa"/>
            <w:vAlign w:val="top"/>
          </w:tcPr>
          <w:p>
            <w:pPr>
              <w:spacing w:line="360" w:lineRule="auto"/>
              <w:jc w:val="left"/>
              <w:rPr>
                <w:color w:val="auto"/>
              </w:rPr>
            </w:pPr>
          </w:p>
        </w:tc>
        <w:tc>
          <w:tcPr>
            <w:tcW w:w="1575" w:type="dxa"/>
            <w:vAlign w:val="top"/>
          </w:tcPr>
          <w:p>
            <w:pPr>
              <w:spacing w:line="360" w:lineRule="auto"/>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05" w:type="dxa"/>
            <w:vAlign w:val="top"/>
          </w:tcPr>
          <w:p>
            <w:pPr>
              <w:spacing w:line="360" w:lineRule="auto"/>
              <w:jc w:val="left"/>
              <w:rPr>
                <w:color w:val="auto"/>
              </w:rPr>
            </w:pPr>
          </w:p>
        </w:tc>
        <w:tc>
          <w:tcPr>
            <w:tcW w:w="1575" w:type="dxa"/>
            <w:vAlign w:val="top"/>
          </w:tcPr>
          <w:p>
            <w:pPr>
              <w:spacing w:line="360" w:lineRule="auto"/>
              <w:jc w:val="left"/>
              <w:rPr>
                <w:color w:val="auto"/>
              </w:rPr>
            </w:pPr>
          </w:p>
        </w:tc>
        <w:tc>
          <w:tcPr>
            <w:tcW w:w="1470" w:type="dxa"/>
            <w:vAlign w:val="top"/>
          </w:tcPr>
          <w:p>
            <w:pPr>
              <w:spacing w:line="360" w:lineRule="auto"/>
              <w:jc w:val="left"/>
              <w:rPr>
                <w:color w:val="auto"/>
              </w:rPr>
            </w:pPr>
          </w:p>
        </w:tc>
        <w:tc>
          <w:tcPr>
            <w:tcW w:w="1680" w:type="dxa"/>
            <w:vAlign w:val="top"/>
          </w:tcPr>
          <w:p>
            <w:pPr>
              <w:spacing w:line="360" w:lineRule="auto"/>
              <w:jc w:val="left"/>
              <w:rPr>
                <w:color w:val="auto"/>
              </w:rPr>
            </w:pPr>
          </w:p>
        </w:tc>
        <w:tc>
          <w:tcPr>
            <w:tcW w:w="1995" w:type="dxa"/>
            <w:vAlign w:val="top"/>
          </w:tcPr>
          <w:p>
            <w:pPr>
              <w:spacing w:line="360" w:lineRule="auto"/>
              <w:jc w:val="left"/>
              <w:rPr>
                <w:color w:val="auto"/>
              </w:rPr>
            </w:pPr>
          </w:p>
        </w:tc>
        <w:tc>
          <w:tcPr>
            <w:tcW w:w="1680" w:type="dxa"/>
            <w:vAlign w:val="top"/>
          </w:tcPr>
          <w:p>
            <w:pPr>
              <w:spacing w:line="360" w:lineRule="auto"/>
              <w:jc w:val="left"/>
              <w:rPr>
                <w:color w:val="auto"/>
              </w:rPr>
            </w:pPr>
          </w:p>
        </w:tc>
        <w:tc>
          <w:tcPr>
            <w:tcW w:w="2205" w:type="dxa"/>
            <w:vAlign w:val="top"/>
          </w:tcPr>
          <w:p>
            <w:pPr>
              <w:spacing w:line="360" w:lineRule="auto"/>
              <w:jc w:val="left"/>
              <w:rPr>
                <w:color w:val="auto"/>
              </w:rPr>
            </w:pPr>
          </w:p>
        </w:tc>
        <w:tc>
          <w:tcPr>
            <w:tcW w:w="1575" w:type="dxa"/>
            <w:vAlign w:val="top"/>
          </w:tcPr>
          <w:p>
            <w:pPr>
              <w:spacing w:line="360" w:lineRule="auto"/>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05" w:type="dxa"/>
            <w:vAlign w:val="top"/>
          </w:tcPr>
          <w:p>
            <w:pPr>
              <w:spacing w:line="360" w:lineRule="auto"/>
              <w:jc w:val="left"/>
              <w:rPr>
                <w:color w:val="auto"/>
              </w:rPr>
            </w:pPr>
          </w:p>
        </w:tc>
        <w:tc>
          <w:tcPr>
            <w:tcW w:w="1575" w:type="dxa"/>
            <w:vAlign w:val="top"/>
          </w:tcPr>
          <w:p>
            <w:pPr>
              <w:spacing w:line="360" w:lineRule="auto"/>
              <w:jc w:val="left"/>
              <w:rPr>
                <w:color w:val="auto"/>
              </w:rPr>
            </w:pPr>
          </w:p>
        </w:tc>
        <w:tc>
          <w:tcPr>
            <w:tcW w:w="1470" w:type="dxa"/>
            <w:vAlign w:val="top"/>
          </w:tcPr>
          <w:p>
            <w:pPr>
              <w:spacing w:line="360" w:lineRule="auto"/>
              <w:jc w:val="left"/>
              <w:rPr>
                <w:color w:val="auto"/>
              </w:rPr>
            </w:pPr>
          </w:p>
        </w:tc>
        <w:tc>
          <w:tcPr>
            <w:tcW w:w="1680" w:type="dxa"/>
            <w:vAlign w:val="top"/>
          </w:tcPr>
          <w:p>
            <w:pPr>
              <w:spacing w:line="360" w:lineRule="auto"/>
              <w:jc w:val="left"/>
              <w:rPr>
                <w:color w:val="auto"/>
              </w:rPr>
            </w:pPr>
          </w:p>
        </w:tc>
        <w:tc>
          <w:tcPr>
            <w:tcW w:w="1995" w:type="dxa"/>
            <w:vAlign w:val="top"/>
          </w:tcPr>
          <w:p>
            <w:pPr>
              <w:spacing w:line="360" w:lineRule="auto"/>
              <w:jc w:val="left"/>
              <w:rPr>
                <w:color w:val="auto"/>
              </w:rPr>
            </w:pPr>
          </w:p>
        </w:tc>
        <w:tc>
          <w:tcPr>
            <w:tcW w:w="1680" w:type="dxa"/>
            <w:vAlign w:val="top"/>
          </w:tcPr>
          <w:p>
            <w:pPr>
              <w:spacing w:line="360" w:lineRule="auto"/>
              <w:jc w:val="left"/>
              <w:rPr>
                <w:color w:val="auto"/>
              </w:rPr>
            </w:pPr>
          </w:p>
        </w:tc>
        <w:tc>
          <w:tcPr>
            <w:tcW w:w="2205" w:type="dxa"/>
            <w:vAlign w:val="top"/>
          </w:tcPr>
          <w:p>
            <w:pPr>
              <w:spacing w:line="360" w:lineRule="auto"/>
              <w:jc w:val="left"/>
              <w:rPr>
                <w:color w:val="auto"/>
              </w:rPr>
            </w:pPr>
          </w:p>
        </w:tc>
        <w:tc>
          <w:tcPr>
            <w:tcW w:w="1575" w:type="dxa"/>
            <w:vAlign w:val="top"/>
          </w:tcPr>
          <w:p>
            <w:pPr>
              <w:spacing w:line="360" w:lineRule="auto"/>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05" w:type="dxa"/>
            <w:vAlign w:val="top"/>
          </w:tcPr>
          <w:p>
            <w:pPr>
              <w:spacing w:line="360" w:lineRule="auto"/>
              <w:jc w:val="left"/>
              <w:rPr>
                <w:color w:val="auto"/>
              </w:rPr>
            </w:pPr>
          </w:p>
        </w:tc>
        <w:tc>
          <w:tcPr>
            <w:tcW w:w="1575" w:type="dxa"/>
            <w:vAlign w:val="top"/>
          </w:tcPr>
          <w:p>
            <w:pPr>
              <w:spacing w:line="360" w:lineRule="auto"/>
              <w:jc w:val="left"/>
              <w:rPr>
                <w:color w:val="auto"/>
              </w:rPr>
            </w:pPr>
          </w:p>
        </w:tc>
        <w:tc>
          <w:tcPr>
            <w:tcW w:w="1470" w:type="dxa"/>
            <w:vAlign w:val="top"/>
          </w:tcPr>
          <w:p>
            <w:pPr>
              <w:spacing w:line="360" w:lineRule="auto"/>
              <w:jc w:val="left"/>
              <w:rPr>
                <w:color w:val="auto"/>
              </w:rPr>
            </w:pPr>
          </w:p>
        </w:tc>
        <w:tc>
          <w:tcPr>
            <w:tcW w:w="1680" w:type="dxa"/>
            <w:vAlign w:val="top"/>
          </w:tcPr>
          <w:p>
            <w:pPr>
              <w:spacing w:line="360" w:lineRule="auto"/>
              <w:jc w:val="left"/>
              <w:rPr>
                <w:color w:val="auto"/>
              </w:rPr>
            </w:pPr>
          </w:p>
        </w:tc>
        <w:tc>
          <w:tcPr>
            <w:tcW w:w="1995" w:type="dxa"/>
            <w:vAlign w:val="top"/>
          </w:tcPr>
          <w:p>
            <w:pPr>
              <w:spacing w:line="360" w:lineRule="auto"/>
              <w:jc w:val="left"/>
              <w:rPr>
                <w:color w:val="auto"/>
              </w:rPr>
            </w:pPr>
          </w:p>
        </w:tc>
        <w:tc>
          <w:tcPr>
            <w:tcW w:w="1680" w:type="dxa"/>
            <w:vAlign w:val="top"/>
          </w:tcPr>
          <w:p>
            <w:pPr>
              <w:spacing w:line="360" w:lineRule="auto"/>
              <w:jc w:val="left"/>
              <w:rPr>
                <w:color w:val="auto"/>
              </w:rPr>
            </w:pPr>
          </w:p>
        </w:tc>
        <w:tc>
          <w:tcPr>
            <w:tcW w:w="2205" w:type="dxa"/>
            <w:vAlign w:val="top"/>
          </w:tcPr>
          <w:p>
            <w:pPr>
              <w:spacing w:line="360" w:lineRule="auto"/>
              <w:jc w:val="left"/>
              <w:rPr>
                <w:color w:val="auto"/>
              </w:rPr>
            </w:pPr>
          </w:p>
        </w:tc>
        <w:tc>
          <w:tcPr>
            <w:tcW w:w="1575" w:type="dxa"/>
            <w:vAlign w:val="top"/>
          </w:tcPr>
          <w:p>
            <w:pPr>
              <w:spacing w:line="360" w:lineRule="auto"/>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05" w:type="dxa"/>
            <w:vAlign w:val="top"/>
          </w:tcPr>
          <w:p>
            <w:pPr>
              <w:spacing w:line="360" w:lineRule="auto"/>
              <w:jc w:val="left"/>
              <w:rPr>
                <w:color w:val="auto"/>
              </w:rPr>
            </w:pPr>
          </w:p>
        </w:tc>
        <w:tc>
          <w:tcPr>
            <w:tcW w:w="1575" w:type="dxa"/>
            <w:vAlign w:val="top"/>
          </w:tcPr>
          <w:p>
            <w:pPr>
              <w:spacing w:line="360" w:lineRule="auto"/>
              <w:jc w:val="left"/>
              <w:rPr>
                <w:color w:val="auto"/>
              </w:rPr>
            </w:pPr>
          </w:p>
        </w:tc>
        <w:tc>
          <w:tcPr>
            <w:tcW w:w="1470" w:type="dxa"/>
            <w:vAlign w:val="top"/>
          </w:tcPr>
          <w:p>
            <w:pPr>
              <w:spacing w:line="360" w:lineRule="auto"/>
              <w:jc w:val="left"/>
              <w:rPr>
                <w:color w:val="auto"/>
              </w:rPr>
            </w:pPr>
          </w:p>
        </w:tc>
        <w:tc>
          <w:tcPr>
            <w:tcW w:w="1680" w:type="dxa"/>
            <w:vAlign w:val="top"/>
          </w:tcPr>
          <w:p>
            <w:pPr>
              <w:spacing w:line="360" w:lineRule="auto"/>
              <w:jc w:val="left"/>
              <w:rPr>
                <w:color w:val="auto"/>
              </w:rPr>
            </w:pPr>
          </w:p>
        </w:tc>
        <w:tc>
          <w:tcPr>
            <w:tcW w:w="1995" w:type="dxa"/>
            <w:vAlign w:val="top"/>
          </w:tcPr>
          <w:p>
            <w:pPr>
              <w:spacing w:line="360" w:lineRule="auto"/>
              <w:jc w:val="left"/>
              <w:rPr>
                <w:color w:val="auto"/>
              </w:rPr>
            </w:pPr>
          </w:p>
        </w:tc>
        <w:tc>
          <w:tcPr>
            <w:tcW w:w="1680" w:type="dxa"/>
            <w:vAlign w:val="top"/>
          </w:tcPr>
          <w:p>
            <w:pPr>
              <w:spacing w:line="360" w:lineRule="auto"/>
              <w:jc w:val="left"/>
              <w:rPr>
                <w:color w:val="auto"/>
              </w:rPr>
            </w:pPr>
          </w:p>
        </w:tc>
        <w:tc>
          <w:tcPr>
            <w:tcW w:w="2205" w:type="dxa"/>
            <w:vAlign w:val="top"/>
          </w:tcPr>
          <w:p>
            <w:pPr>
              <w:spacing w:line="360" w:lineRule="auto"/>
              <w:jc w:val="left"/>
              <w:rPr>
                <w:color w:val="auto"/>
              </w:rPr>
            </w:pPr>
          </w:p>
        </w:tc>
        <w:tc>
          <w:tcPr>
            <w:tcW w:w="1575" w:type="dxa"/>
            <w:vAlign w:val="top"/>
          </w:tcPr>
          <w:p>
            <w:pPr>
              <w:spacing w:line="360" w:lineRule="auto"/>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05" w:type="dxa"/>
            <w:vAlign w:val="top"/>
          </w:tcPr>
          <w:p>
            <w:pPr>
              <w:spacing w:line="360" w:lineRule="auto"/>
              <w:jc w:val="left"/>
              <w:rPr>
                <w:color w:val="auto"/>
              </w:rPr>
            </w:pPr>
          </w:p>
        </w:tc>
        <w:tc>
          <w:tcPr>
            <w:tcW w:w="1575" w:type="dxa"/>
            <w:vAlign w:val="top"/>
          </w:tcPr>
          <w:p>
            <w:pPr>
              <w:spacing w:line="360" w:lineRule="auto"/>
              <w:jc w:val="left"/>
              <w:rPr>
                <w:color w:val="auto"/>
              </w:rPr>
            </w:pPr>
          </w:p>
        </w:tc>
        <w:tc>
          <w:tcPr>
            <w:tcW w:w="1470" w:type="dxa"/>
            <w:vAlign w:val="top"/>
          </w:tcPr>
          <w:p>
            <w:pPr>
              <w:spacing w:line="360" w:lineRule="auto"/>
              <w:jc w:val="left"/>
              <w:rPr>
                <w:color w:val="auto"/>
              </w:rPr>
            </w:pPr>
          </w:p>
        </w:tc>
        <w:tc>
          <w:tcPr>
            <w:tcW w:w="1680" w:type="dxa"/>
            <w:vAlign w:val="top"/>
          </w:tcPr>
          <w:p>
            <w:pPr>
              <w:spacing w:line="360" w:lineRule="auto"/>
              <w:jc w:val="left"/>
              <w:rPr>
                <w:color w:val="auto"/>
              </w:rPr>
            </w:pPr>
          </w:p>
        </w:tc>
        <w:tc>
          <w:tcPr>
            <w:tcW w:w="1995" w:type="dxa"/>
            <w:vAlign w:val="top"/>
          </w:tcPr>
          <w:p>
            <w:pPr>
              <w:spacing w:line="360" w:lineRule="auto"/>
              <w:jc w:val="left"/>
              <w:rPr>
                <w:color w:val="auto"/>
              </w:rPr>
            </w:pPr>
          </w:p>
        </w:tc>
        <w:tc>
          <w:tcPr>
            <w:tcW w:w="1680" w:type="dxa"/>
            <w:vAlign w:val="top"/>
          </w:tcPr>
          <w:p>
            <w:pPr>
              <w:spacing w:line="360" w:lineRule="auto"/>
              <w:jc w:val="left"/>
              <w:rPr>
                <w:color w:val="auto"/>
              </w:rPr>
            </w:pPr>
          </w:p>
        </w:tc>
        <w:tc>
          <w:tcPr>
            <w:tcW w:w="2205" w:type="dxa"/>
            <w:vAlign w:val="top"/>
          </w:tcPr>
          <w:p>
            <w:pPr>
              <w:spacing w:line="360" w:lineRule="auto"/>
              <w:jc w:val="left"/>
              <w:rPr>
                <w:color w:val="auto"/>
              </w:rPr>
            </w:pPr>
          </w:p>
        </w:tc>
        <w:tc>
          <w:tcPr>
            <w:tcW w:w="1575" w:type="dxa"/>
            <w:vAlign w:val="top"/>
          </w:tcPr>
          <w:p>
            <w:pPr>
              <w:spacing w:line="360" w:lineRule="auto"/>
              <w:jc w:val="left"/>
              <w:rPr>
                <w:color w:val="auto"/>
              </w:rPr>
            </w:pPr>
          </w:p>
        </w:tc>
      </w:tr>
    </w:tbl>
    <w:p>
      <w:pPr>
        <w:spacing w:line="360" w:lineRule="auto"/>
        <w:rPr>
          <w:rFonts w:hint="eastAsia"/>
          <w:color w:val="auto"/>
          <w:sz w:val="21"/>
          <w:szCs w:val="21"/>
          <w:u w:val="single"/>
        </w:rPr>
      </w:pPr>
      <w:r>
        <w:rPr>
          <w:rFonts w:hint="eastAsia"/>
          <w:color w:val="auto"/>
          <w:sz w:val="21"/>
          <w:szCs w:val="21"/>
        </w:rPr>
        <w:t>药物管理员：</w:t>
      </w:r>
      <w:r>
        <w:rPr>
          <w:rFonts w:hint="eastAsia"/>
          <w:color w:val="auto"/>
          <w:sz w:val="21"/>
          <w:szCs w:val="21"/>
          <w:u w:val="single"/>
        </w:rPr>
        <w:t xml:space="preserve">              </w:t>
      </w:r>
      <w:r>
        <w:rPr>
          <w:rFonts w:hint="eastAsia"/>
          <w:color w:val="auto"/>
          <w:sz w:val="21"/>
          <w:szCs w:val="21"/>
        </w:rPr>
        <w:t xml:space="preserve">                    日期：</w:t>
      </w:r>
      <w:r>
        <w:rPr>
          <w:rFonts w:hint="eastAsia"/>
          <w:color w:val="auto"/>
          <w:sz w:val="21"/>
          <w:szCs w:val="21"/>
          <w:u w:val="single"/>
        </w:rPr>
        <w:t xml:space="preserve">                </w:t>
      </w:r>
    </w:p>
    <w:p>
      <w:pPr>
        <w:spacing w:line="360" w:lineRule="auto"/>
        <w:rPr>
          <w:rFonts w:hint="eastAsia" w:eastAsiaTheme="minorEastAsia"/>
          <w:color w:val="auto"/>
          <w:sz w:val="24"/>
          <w:szCs w:val="24"/>
          <w:u w:val="single"/>
          <w:lang w:eastAsia="zh-CN"/>
        </w:rPr>
        <w:sectPr>
          <w:footerReference r:id="rId101" w:type="default"/>
          <w:pgSz w:w="16840" w:h="11907" w:orient="landscape"/>
          <w:pgMar w:top="1418" w:right="1134" w:bottom="1134" w:left="1418" w:header="0" w:footer="992" w:gutter="0"/>
          <w:pgNumType w:fmt="decimal"/>
          <w:cols w:space="720" w:num="1"/>
          <w:docGrid w:linePitch="312" w:charSpace="0"/>
        </w:sectPr>
      </w:pPr>
      <w:r>
        <w:rPr>
          <w:rFonts w:hint="eastAsia"/>
          <w:color w:val="auto"/>
          <w:sz w:val="21"/>
          <w:szCs w:val="21"/>
        </w:rPr>
        <w:t>接收人：</w:t>
      </w:r>
      <w:r>
        <w:rPr>
          <w:rFonts w:hint="eastAsia"/>
          <w:color w:val="auto"/>
          <w:sz w:val="21"/>
          <w:szCs w:val="21"/>
          <w:u w:val="single"/>
        </w:rPr>
        <w:t xml:space="preserve">              </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日期：</w:t>
      </w:r>
      <w:r>
        <w:rPr>
          <w:rFonts w:hint="eastAsia"/>
          <w:color w:val="auto"/>
          <w:sz w:val="21"/>
          <w:szCs w:val="21"/>
          <w:u w:val="single"/>
        </w:rPr>
        <w:t xml:space="preserve">                </w:t>
      </w: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附件</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：临床试验用药销毁授权书</w:t>
      </w:r>
    </w:p>
    <w:p>
      <w:pPr>
        <w:spacing w:line="360" w:lineRule="auto"/>
        <w:jc w:val="center"/>
        <w:rPr>
          <w:rFonts w:hint="eastAsia" w:ascii="黑体" w:hAnsi="宋体" w:eastAsia="黑体" w:cs="宋体"/>
          <w:b/>
          <w:color w:val="auto"/>
          <w:sz w:val="28"/>
          <w:szCs w:val="28"/>
        </w:rPr>
      </w:pPr>
    </w:p>
    <w:p>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临床试验用药物销毁授权书</w:t>
      </w:r>
    </w:p>
    <w:p>
      <w:pPr>
        <w:spacing w:line="360" w:lineRule="auto"/>
        <w:jc w:val="both"/>
        <w:rPr>
          <w:rFonts w:hint="eastAsia" w:ascii="宋体" w:hAnsi="宋体" w:cs="宋体"/>
          <w:color w:val="auto"/>
          <w:sz w:val="24"/>
          <w:szCs w:val="24"/>
          <w:u w:val="single"/>
        </w:rPr>
      </w:pPr>
      <w:r>
        <w:rPr>
          <w:rFonts w:hint="eastAsia" w:ascii="宋体" w:hAnsi="宋体" w:cs="宋体"/>
          <w:color w:val="auto"/>
          <w:sz w:val="24"/>
          <w:szCs w:val="24"/>
        </w:rPr>
        <w:t>兹</w:t>
      </w:r>
      <w:r>
        <w:rPr>
          <w:rFonts w:hint="eastAsia" w:ascii="宋体" w:hAnsi="宋体" w:cs="宋体"/>
          <w:color w:val="auto"/>
          <w:sz w:val="24"/>
          <w:szCs w:val="24"/>
          <w:u w:val="single"/>
        </w:rPr>
        <w:t xml:space="preserve">                   </w:t>
      </w:r>
      <w:r>
        <w:rPr>
          <w:rFonts w:hint="eastAsia" w:ascii="宋体" w:hAnsi="宋体" w:cs="宋体"/>
          <w:color w:val="auto"/>
          <w:sz w:val="24"/>
          <w:szCs w:val="24"/>
        </w:rPr>
        <w:t>公司，授权沂源县人民医院药物</w:t>
      </w:r>
      <w:r>
        <w:rPr>
          <w:rFonts w:hint="eastAsia" w:ascii="宋体" w:hAnsi="宋体" w:cs="宋体"/>
          <w:color w:val="auto"/>
          <w:sz w:val="24"/>
          <w:szCs w:val="24"/>
          <w:lang w:val="en-US" w:eastAsia="zh-CN"/>
        </w:rPr>
        <w:t>/医疗器械</w:t>
      </w:r>
      <w:r>
        <w:rPr>
          <w:rFonts w:hint="eastAsia" w:ascii="宋体" w:hAnsi="宋体" w:cs="宋体"/>
          <w:color w:val="auto"/>
          <w:sz w:val="24"/>
          <w:szCs w:val="24"/>
        </w:rPr>
        <w:t>临床试验机构销毁</w:t>
      </w:r>
    </w:p>
    <w:p>
      <w:pPr>
        <w:spacing w:line="360" w:lineRule="auto"/>
        <w:rPr>
          <w:rFonts w:hint="eastAsia" w:ascii="宋体" w:cs="宋体"/>
          <w:color w:val="auto"/>
          <w:sz w:val="24"/>
          <w:szCs w:val="24"/>
        </w:rPr>
      </w:pP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临床试验项目的试验用药品一批，详细如下：</w:t>
      </w:r>
    </w:p>
    <w:tbl>
      <w:tblPr>
        <w:tblStyle w:val="27"/>
        <w:tblW w:w="963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6"/>
        <w:gridCol w:w="1926"/>
        <w:gridCol w:w="1926"/>
        <w:gridCol w:w="1927"/>
        <w:gridCol w:w="1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0" w:hRule="atLeast"/>
        </w:trPr>
        <w:tc>
          <w:tcPr>
            <w:tcW w:w="1926" w:type="dxa"/>
            <w:vAlign w:val="top"/>
          </w:tcPr>
          <w:p>
            <w:pPr>
              <w:keepNext w:val="0"/>
              <w:keepLines w:val="0"/>
              <w:pageBreakBefore w:val="0"/>
              <w:widowControl w:val="0"/>
              <w:kinsoku/>
              <w:wordWrap/>
              <w:overflowPunct/>
              <w:topLinePunct w:val="0"/>
              <w:autoSpaceDE/>
              <w:autoSpaceDN/>
              <w:bidi w:val="0"/>
              <w:adjustRightInd/>
              <w:snapToGrid w:val="0"/>
              <w:spacing w:before="219" w:beforeLines="70" w:line="240" w:lineRule="auto"/>
              <w:jc w:val="center"/>
              <w:textAlignment w:val="auto"/>
              <w:rPr>
                <w:color w:val="auto"/>
                <w:sz w:val="24"/>
                <w:szCs w:val="24"/>
              </w:rPr>
            </w:pPr>
            <w:r>
              <w:rPr>
                <w:rFonts w:hint="eastAsia"/>
                <w:color w:val="auto"/>
                <w:sz w:val="24"/>
                <w:szCs w:val="24"/>
              </w:rPr>
              <w:t>药物名称</w:t>
            </w:r>
          </w:p>
        </w:tc>
        <w:tc>
          <w:tcPr>
            <w:tcW w:w="1926" w:type="dxa"/>
            <w:vAlign w:val="top"/>
          </w:tcPr>
          <w:p>
            <w:pPr>
              <w:keepNext w:val="0"/>
              <w:keepLines w:val="0"/>
              <w:pageBreakBefore w:val="0"/>
              <w:widowControl w:val="0"/>
              <w:kinsoku/>
              <w:wordWrap/>
              <w:overflowPunct/>
              <w:topLinePunct w:val="0"/>
              <w:autoSpaceDE/>
              <w:autoSpaceDN/>
              <w:bidi w:val="0"/>
              <w:adjustRightInd/>
              <w:snapToGrid w:val="0"/>
              <w:spacing w:before="219" w:beforeLines="70" w:line="240" w:lineRule="auto"/>
              <w:jc w:val="center"/>
              <w:textAlignment w:val="auto"/>
              <w:rPr>
                <w:color w:val="auto"/>
                <w:sz w:val="24"/>
                <w:szCs w:val="24"/>
              </w:rPr>
            </w:pPr>
            <w:r>
              <w:rPr>
                <w:rFonts w:hint="eastAsia"/>
                <w:color w:val="auto"/>
                <w:sz w:val="24"/>
                <w:szCs w:val="24"/>
              </w:rPr>
              <w:t>药物编码</w:t>
            </w:r>
          </w:p>
        </w:tc>
        <w:tc>
          <w:tcPr>
            <w:tcW w:w="1926" w:type="dxa"/>
            <w:vAlign w:val="top"/>
          </w:tcPr>
          <w:p>
            <w:pPr>
              <w:keepNext w:val="0"/>
              <w:keepLines w:val="0"/>
              <w:pageBreakBefore w:val="0"/>
              <w:widowControl w:val="0"/>
              <w:kinsoku/>
              <w:wordWrap/>
              <w:overflowPunct/>
              <w:topLinePunct w:val="0"/>
              <w:autoSpaceDE/>
              <w:autoSpaceDN/>
              <w:bidi w:val="0"/>
              <w:adjustRightInd/>
              <w:snapToGrid w:val="0"/>
              <w:spacing w:before="219" w:beforeLines="70" w:line="240" w:lineRule="auto"/>
              <w:jc w:val="center"/>
              <w:textAlignment w:val="auto"/>
              <w:rPr>
                <w:color w:val="auto"/>
                <w:sz w:val="24"/>
                <w:szCs w:val="24"/>
              </w:rPr>
            </w:pPr>
            <w:r>
              <w:rPr>
                <w:rFonts w:hint="eastAsia"/>
                <w:color w:val="auto"/>
                <w:sz w:val="24"/>
                <w:szCs w:val="24"/>
              </w:rPr>
              <w:t>规格</w:t>
            </w:r>
          </w:p>
        </w:tc>
        <w:tc>
          <w:tcPr>
            <w:tcW w:w="1927" w:type="dxa"/>
            <w:vAlign w:val="top"/>
          </w:tcPr>
          <w:p>
            <w:pPr>
              <w:keepNext w:val="0"/>
              <w:keepLines w:val="0"/>
              <w:pageBreakBefore w:val="0"/>
              <w:widowControl w:val="0"/>
              <w:kinsoku/>
              <w:wordWrap/>
              <w:overflowPunct/>
              <w:topLinePunct w:val="0"/>
              <w:autoSpaceDE/>
              <w:autoSpaceDN/>
              <w:bidi w:val="0"/>
              <w:adjustRightInd/>
              <w:snapToGrid w:val="0"/>
              <w:spacing w:before="219" w:beforeLines="70" w:line="240" w:lineRule="auto"/>
              <w:jc w:val="center"/>
              <w:textAlignment w:val="auto"/>
              <w:rPr>
                <w:color w:val="auto"/>
                <w:sz w:val="24"/>
                <w:szCs w:val="24"/>
              </w:rPr>
            </w:pPr>
            <w:r>
              <w:rPr>
                <w:rFonts w:hint="eastAsia"/>
                <w:color w:val="auto"/>
                <w:sz w:val="24"/>
                <w:szCs w:val="24"/>
              </w:rPr>
              <w:t>批号</w:t>
            </w:r>
          </w:p>
        </w:tc>
        <w:tc>
          <w:tcPr>
            <w:tcW w:w="1927" w:type="dxa"/>
            <w:vAlign w:val="top"/>
          </w:tcPr>
          <w:p>
            <w:pPr>
              <w:keepNext w:val="0"/>
              <w:keepLines w:val="0"/>
              <w:pageBreakBefore w:val="0"/>
              <w:widowControl w:val="0"/>
              <w:kinsoku/>
              <w:wordWrap/>
              <w:overflowPunct/>
              <w:topLinePunct w:val="0"/>
              <w:autoSpaceDE/>
              <w:autoSpaceDN/>
              <w:bidi w:val="0"/>
              <w:adjustRightInd/>
              <w:snapToGrid w:val="0"/>
              <w:spacing w:before="219" w:beforeLines="70" w:line="240" w:lineRule="auto"/>
              <w:jc w:val="center"/>
              <w:textAlignment w:val="auto"/>
              <w:rPr>
                <w:color w:val="auto"/>
                <w:sz w:val="24"/>
                <w:szCs w:val="24"/>
              </w:rPr>
            </w:pPr>
            <w:r>
              <w:rPr>
                <w:rFonts w:hint="eastAsia"/>
                <w:color w:val="auto"/>
                <w:sz w:val="24"/>
                <w:szCs w:val="24"/>
              </w:rPr>
              <w:t>销毁数量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926" w:type="dxa"/>
            <w:vAlign w:val="top"/>
          </w:tcPr>
          <w:p>
            <w:pPr>
              <w:spacing w:line="360" w:lineRule="auto"/>
              <w:jc w:val="center"/>
              <w:rPr>
                <w:color w:val="auto"/>
                <w:sz w:val="24"/>
                <w:szCs w:val="24"/>
              </w:rPr>
            </w:pPr>
          </w:p>
        </w:tc>
        <w:tc>
          <w:tcPr>
            <w:tcW w:w="1926" w:type="dxa"/>
            <w:vAlign w:val="top"/>
          </w:tcPr>
          <w:p>
            <w:pPr>
              <w:spacing w:line="360" w:lineRule="auto"/>
              <w:jc w:val="center"/>
              <w:rPr>
                <w:color w:val="auto"/>
                <w:sz w:val="24"/>
                <w:szCs w:val="24"/>
              </w:rPr>
            </w:pPr>
          </w:p>
        </w:tc>
        <w:tc>
          <w:tcPr>
            <w:tcW w:w="1926" w:type="dxa"/>
            <w:vAlign w:val="top"/>
          </w:tcPr>
          <w:p>
            <w:pPr>
              <w:spacing w:line="360" w:lineRule="auto"/>
              <w:jc w:val="center"/>
              <w:rPr>
                <w:color w:val="auto"/>
                <w:sz w:val="24"/>
                <w:szCs w:val="24"/>
              </w:rPr>
            </w:pPr>
          </w:p>
        </w:tc>
        <w:tc>
          <w:tcPr>
            <w:tcW w:w="1927" w:type="dxa"/>
            <w:vAlign w:val="top"/>
          </w:tcPr>
          <w:p>
            <w:pPr>
              <w:spacing w:line="360" w:lineRule="auto"/>
              <w:jc w:val="center"/>
              <w:rPr>
                <w:color w:val="auto"/>
                <w:sz w:val="24"/>
                <w:szCs w:val="24"/>
              </w:rPr>
            </w:pPr>
          </w:p>
        </w:tc>
        <w:tc>
          <w:tcPr>
            <w:tcW w:w="1927" w:type="dxa"/>
            <w:vAlign w:val="top"/>
          </w:tcPr>
          <w:p>
            <w:pPr>
              <w:spacing w:line="360" w:lineRule="auto"/>
              <w:jc w:val="center"/>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926" w:type="dxa"/>
            <w:vAlign w:val="top"/>
          </w:tcPr>
          <w:p>
            <w:pPr>
              <w:spacing w:line="360" w:lineRule="auto"/>
              <w:jc w:val="center"/>
              <w:rPr>
                <w:color w:val="auto"/>
                <w:sz w:val="24"/>
                <w:szCs w:val="24"/>
              </w:rPr>
            </w:pPr>
          </w:p>
        </w:tc>
        <w:tc>
          <w:tcPr>
            <w:tcW w:w="1926" w:type="dxa"/>
            <w:vAlign w:val="top"/>
          </w:tcPr>
          <w:p>
            <w:pPr>
              <w:spacing w:line="360" w:lineRule="auto"/>
              <w:jc w:val="center"/>
              <w:rPr>
                <w:color w:val="auto"/>
                <w:sz w:val="24"/>
                <w:szCs w:val="24"/>
              </w:rPr>
            </w:pPr>
          </w:p>
        </w:tc>
        <w:tc>
          <w:tcPr>
            <w:tcW w:w="1926" w:type="dxa"/>
            <w:vAlign w:val="top"/>
          </w:tcPr>
          <w:p>
            <w:pPr>
              <w:spacing w:line="360" w:lineRule="auto"/>
              <w:jc w:val="center"/>
              <w:rPr>
                <w:color w:val="auto"/>
                <w:sz w:val="24"/>
                <w:szCs w:val="24"/>
              </w:rPr>
            </w:pPr>
          </w:p>
        </w:tc>
        <w:tc>
          <w:tcPr>
            <w:tcW w:w="1927" w:type="dxa"/>
            <w:vAlign w:val="top"/>
          </w:tcPr>
          <w:p>
            <w:pPr>
              <w:spacing w:line="360" w:lineRule="auto"/>
              <w:jc w:val="center"/>
              <w:rPr>
                <w:color w:val="auto"/>
                <w:sz w:val="24"/>
                <w:szCs w:val="24"/>
              </w:rPr>
            </w:pPr>
          </w:p>
        </w:tc>
        <w:tc>
          <w:tcPr>
            <w:tcW w:w="1927" w:type="dxa"/>
            <w:vAlign w:val="top"/>
          </w:tcPr>
          <w:p>
            <w:pPr>
              <w:spacing w:line="360" w:lineRule="auto"/>
              <w:jc w:val="center"/>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926" w:type="dxa"/>
            <w:vAlign w:val="top"/>
          </w:tcPr>
          <w:p>
            <w:pPr>
              <w:spacing w:line="360" w:lineRule="auto"/>
              <w:jc w:val="center"/>
              <w:rPr>
                <w:color w:val="auto"/>
                <w:sz w:val="24"/>
                <w:szCs w:val="24"/>
              </w:rPr>
            </w:pPr>
          </w:p>
        </w:tc>
        <w:tc>
          <w:tcPr>
            <w:tcW w:w="1926" w:type="dxa"/>
            <w:vAlign w:val="top"/>
          </w:tcPr>
          <w:p>
            <w:pPr>
              <w:spacing w:line="360" w:lineRule="auto"/>
              <w:jc w:val="center"/>
              <w:rPr>
                <w:color w:val="auto"/>
                <w:sz w:val="24"/>
                <w:szCs w:val="24"/>
              </w:rPr>
            </w:pPr>
          </w:p>
        </w:tc>
        <w:tc>
          <w:tcPr>
            <w:tcW w:w="1926" w:type="dxa"/>
            <w:vAlign w:val="top"/>
          </w:tcPr>
          <w:p>
            <w:pPr>
              <w:spacing w:line="360" w:lineRule="auto"/>
              <w:jc w:val="center"/>
              <w:rPr>
                <w:color w:val="auto"/>
                <w:sz w:val="24"/>
                <w:szCs w:val="24"/>
              </w:rPr>
            </w:pPr>
          </w:p>
        </w:tc>
        <w:tc>
          <w:tcPr>
            <w:tcW w:w="1927" w:type="dxa"/>
            <w:vAlign w:val="top"/>
          </w:tcPr>
          <w:p>
            <w:pPr>
              <w:spacing w:line="360" w:lineRule="auto"/>
              <w:jc w:val="center"/>
              <w:rPr>
                <w:color w:val="auto"/>
                <w:sz w:val="24"/>
                <w:szCs w:val="24"/>
              </w:rPr>
            </w:pPr>
          </w:p>
        </w:tc>
        <w:tc>
          <w:tcPr>
            <w:tcW w:w="1927" w:type="dxa"/>
            <w:vAlign w:val="top"/>
          </w:tcPr>
          <w:p>
            <w:pPr>
              <w:spacing w:line="360" w:lineRule="auto"/>
              <w:jc w:val="center"/>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926" w:type="dxa"/>
            <w:vAlign w:val="top"/>
          </w:tcPr>
          <w:p>
            <w:pPr>
              <w:spacing w:line="360" w:lineRule="auto"/>
              <w:jc w:val="center"/>
              <w:rPr>
                <w:color w:val="auto"/>
                <w:sz w:val="24"/>
                <w:szCs w:val="24"/>
              </w:rPr>
            </w:pPr>
          </w:p>
        </w:tc>
        <w:tc>
          <w:tcPr>
            <w:tcW w:w="1926" w:type="dxa"/>
            <w:vAlign w:val="top"/>
          </w:tcPr>
          <w:p>
            <w:pPr>
              <w:spacing w:line="360" w:lineRule="auto"/>
              <w:jc w:val="center"/>
              <w:rPr>
                <w:color w:val="auto"/>
                <w:sz w:val="24"/>
                <w:szCs w:val="24"/>
              </w:rPr>
            </w:pPr>
          </w:p>
        </w:tc>
        <w:tc>
          <w:tcPr>
            <w:tcW w:w="1926" w:type="dxa"/>
            <w:vAlign w:val="top"/>
          </w:tcPr>
          <w:p>
            <w:pPr>
              <w:spacing w:line="360" w:lineRule="auto"/>
              <w:jc w:val="center"/>
              <w:rPr>
                <w:color w:val="auto"/>
                <w:sz w:val="24"/>
                <w:szCs w:val="24"/>
              </w:rPr>
            </w:pPr>
          </w:p>
        </w:tc>
        <w:tc>
          <w:tcPr>
            <w:tcW w:w="1927" w:type="dxa"/>
            <w:vAlign w:val="top"/>
          </w:tcPr>
          <w:p>
            <w:pPr>
              <w:spacing w:line="360" w:lineRule="auto"/>
              <w:jc w:val="center"/>
              <w:rPr>
                <w:color w:val="auto"/>
                <w:sz w:val="24"/>
                <w:szCs w:val="24"/>
              </w:rPr>
            </w:pPr>
          </w:p>
        </w:tc>
        <w:tc>
          <w:tcPr>
            <w:tcW w:w="1927" w:type="dxa"/>
            <w:vAlign w:val="top"/>
          </w:tcPr>
          <w:p>
            <w:pPr>
              <w:spacing w:line="360" w:lineRule="auto"/>
              <w:jc w:val="center"/>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926" w:type="dxa"/>
            <w:vAlign w:val="top"/>
          </w:tcPr>
          <w:p>
            <w:pPr>
              <w:spacing w:line="360" w:lineRule="auto"/>
              <w:jc w:val="center"/>
              <w:rPr>
                <w:color w:val="auto"/>
                <w:sz w:val="24"/>
                <w:szCs w:val="24"/>
              </w:rPr>
            </w:pPr>
          </w:p>
        </w:tc>
        <w:tc>
          <w:tcPr>
            <w:tcW w:w="1926" w:type="dxa"/>
            <w:vAlign w:val="top"/>
          </w:tcPr>
          <w:p>
            <w:pPr>
              <w:spacing w:line="360" w:lineRule="auto"/>
              <w:jc w:val="center"/>
              <w:rPr>
                <w:color w:val="auto"/>
                <w:sz w:val="24"/>
                <w:szCs w:val="24"/>
              </w:rPr>
            </w:pPr>
          </w:p>
        </w:tc>
        <w:tc>
          <w:tcPr>
            <w:tcW w:w="1926" w:type="dxa"/>
            <w:vAlign w:val="top"/>
          </w:tcPr>
          <w:p>
            <w:pPr>
              <w:spacing w:line="360" w:lineRule="auto"/>
              <w:jc w:val="center"/>
              <w:rPr>
                <w:color w:val="auto"/>
                <w:sz w:val="24"/>
                <w:szCs w:val="24"/>
              </w:rPr>
            </w:pPr>
          </w:p>
        </w:tc>
        <w:tc>
          <w:tcPr>
            <w:tcW w:w="1927" w:type="dxa"/>
            <w:vAlign w:val="top"/>
          </w:tcPr>
          <w:p>
            <w:pPr>
              <w:spacing w:line="360" w:lineRule="auto"/>
              <w:jc w:val="center"/>
              <w:rPr>
                <w:color w:val="auto"/>
                <w:sz w:val="24"/>
                <w:szCs w:val="24"/>
              </w:rPr>
            </w:pPr>
          </w:p>
        </w:tc>
        <w:tc>
          <w:tcPr>
            <w:tcW w:w="1927" w:type="dxa"/>
            <w:vAlign w:val="top"/>
          </w:tcPr>
          <w:p>
            <w:pPr>
              <w:spacing w:line="360" w:lineRule="auto"/>
              <w:jc w:val="center"/>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926" w:type="dxa"/>
            <w:vAlign w:val="top"/>
          </w:tcPr>
          <w:p>
            <w:pPr>
              <w:spacing w:line="360" w:lineRule="auto"/>
              <w:jc w:val="center"/>
              <w:rPr>
                <w:color w:val="auto"/>
                <w:sz w:val="24"/>
                <w:szCs w:val="24"/>
              </w:rPr>
            </w:pPr>
          </w:p>
        </w:tc>
        <w:tc>
          <w:tcPr>
            <w:tcW w:w="1926" w:type="dxa"/>
            <w:vAlign w:val="top"/>
          </w:tcPr>
          <w:p>
            <w:pPr>
              <w:spacing w:line="360" w:lineRule="auto"/>
              <w:jc w:val="center"/>
              <w:rPr>
                <w:color w:val="auto"/>
                <w:sz w:val="24"/>
                <w:szCs w:val="24"/>
              </w:rPr>
            </w:pPr>
          </w:p>
        </w:tc>
        <w:tc>
          <w:tcPr>
            <w:tcW w:w="1926" w:type="dxa"/>
            <w:vAlign w:val="top"/>
          </w:tcPr>
          <w:p>
            <w:pPr>
              <w:spacing w:line="360" w:lineRule="auto"/>
              <w:jc w:val="center"/>
              <w:rPr>
                <w:color w:val="auto"/>
                <w:sz w:val="24"/>
                <w:szCs w:val="24"/>
              </w:rPr>
            </w:pPr>
          </w:p>
        </w:tc>
        <w:tc>
          <w:tcPr>
            <w:tcW w:w="1927" w:type="dxa"/>
            <w:vAlign w:val="top"/>
          </w:tcPr>
          <w:p>
            <w:pPr>
              <w:spacing w:line="360" w:lineRule="auto"/>
              <w:jc w:val="center"/>
              <w:rPr>
                <w:color w:val="auto"/>
                <w:sz w:val="24"/>
                <w:szCs w:val="24"/>
              </w:rPr>
            </w:pPr>
          </w:p>
        </w:tc>
        <w:tc>
          <w:tcPr>
            <w:tcW w:w="1927" w:type="dxa"/>
            <w:vAlign w:val="top"/>
          </w:tcPr>
          <w:p>
            <w:pPr>
              <w:spacing w:line="360" w:lineRule="auto"/>
              <w:jc w:val="center"/>
              <w:rPr>
                <w:color w:val="auto"/>
                <w:sz w:val="24"/>
                <w:szCs w:val="24"/>
              </w:rPr>
            </w:pPr>
          </w:p>
        </w:tc>
      </w:tr>
    </w:tbl>
    <w:p>
      <w:pPr>
        <w:spacing w:line="360" w:lineRule="auto"/>
        <w:jc w:val="left"/>
        <w:rPr>
          <w:color w:val="auto"/>
          <w:sz w:val="24"/>
          <w:szCs w:val="24"/>
        </w:rPr>
      </w:pPr>
      <w:r>
        <w:rPr>
          <w:rFonts w:hint="eastAsia"/>
          <w:color w:val="auto"/>
          <w:sz w:val="24"/>
          <w:szCs w:val="24"/>
        </w:rPr>
        <w:t>特此授权！</w:t>
      </w:r>
    </w:p>
    <w:p>
      <w:pPr>
        <w:spacing w:line="360" w:lineRule="auto"/>
        <w:jc w:val="left"/>
        <w:rPr>
          <w:rFonts w:hint="eastAsia"/>
          <w:color w:val="auto"/>
          <w:sz w:val="24"/>
          <w:szCs w:val="24"/>
        </w:rPr>
      </w:pPr>
    </w:p>
    <w:p>
      <w:pPr>
        <w:spacing w:line="360" w:lineRule="auto"/>
        <w:ind w:firstLine="5880" w:firstLineChars="2450"/>
        <w:jc w:val="left"/>
        <w:rPr>
          <w:rFonts w:hint="eastAsia" w:eastAsiaTheme="minorEastAsia"/>
          <w:color w:val="auto"/>
          <w:sz w:val="24"/>
          <w:szCs w:val="24"/>
          <w:lang w:val="en-US" w:eastAsia="zh-CN"/>
        </w:rPr>
      </w:pPr>
      <w:r>
        <w:rPr>
          <w:rFonts w:hint="eastAsia"/>
          <w:color w:val="auto"/>
          <w:sz w:val="24"/>
          <w:szCs w:val="24"/>
        </w:rPr>
        <w:t>授权方：</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r>
        <w:rPr>
          <w:rFonts w:hint="eastAsia"/>
          <w:color w:val="auto"/>
          <w:sz w:val="24"/>
          <w:szCs w:val="24"/>
          <w:u w:val="single"/>
          <w:lang w:val="en-US" w:eastAsia="zh-CN"/>
        </w:rPr>
        <w:t xml:space="preserve"> </w:t>
      </w:r>
    </w:p>
    <w:p>
      <w:pPr>
        <w:spacing w:line="360" w:lineRule="auto"/>
        <w:ind w:firstLine="5880" w:firstLineChars="2450"/>
        <w:jc w:val="left"/>
        <w:rPr>
          <w:color w:val="auto"/>
          <w:sz w:val="24"/>
          <w:szCs w:val="24"/>
          <w:u w:val="single"/>
        </w:rPr>
      </w:pPr>
      <w:r>
        <w:rPr>
          <w:rFonts w:hint="eastAsia"/>
          <w:color w:val="auto"/>
          <w:sz w:val="24"/>
          <w:szCs w:val="24"/>
        </w:rPr>
        <w:t>被授权方：</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p>
    <w:p>
      <w:pPr>
        <w:spacing w:line="360" w:lineRule="auto"/>
        <w:ind w:firstLine="5880" w:firstLineChars="2450"/>
        <w:jc w:val="left"/>
        <w:rPr>
          <w:rFonts w:hint="eastAsia"/>
          <w:color w:val="auto"/>
          <w:sz w:val="24"/>
          <w:szCs w:val="24"/>
        </w:rPr>
      </w:pPr>
      <w:r>
        <w:rPr>
          <w:rFonts w:hint="eastAsia"/>
          <w:color w:val="auto"/>
          <w:sz w:val="24"/>
          <w:szCs w:val="24"/>
        </w:rPr>
        <w:t>授权时间：</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p>
    <w:p>
      <w:pPr>
        <w:spacing w:line="360" w:lineRule="auto"/>
        <w:jc w:val="left"/>
        <w:rPr>
          <w:rFonts w:hint="eastAsia" w:ascii="宋体" w:cs="宋体"/>
          <w:b/>
          <w:bCs/>
          <w:color w:val="auto"/>
          <w:sz w:val="24"/>
          <w:szCs w:val="24"/>
        </w:rPr>
        <w:sectPr>
          <w:headerReference r:id="rId102" w:type="default"/>
          <w:footerReference r:id="rId103" w:type="default"/>
          <w:pgSz w:w="11907" w:h="16840"/>
          <w:pgMar w:top="1134" w:right="1134" w:bottom="1418" w:left="1418" w:header="0" w:footer="992" w:gutter="0"/>
          <w:pgNumType w:fmt="decimal"/>
          <w:cols w:space="720" w:num="1"/>
          <w:docGrid w:linePitch="312" w:charSpace="0"/>
        </w:sectPr>
      </w:pP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附件1</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 xml:space="preserve"> 临床试验用药物/包装物销毁记录表</w:t>
      </w:r>
    </w:p>
    <w:p>
      <w:pPr>
        <w:spacing w:line="360" w:lineRule="auto"/>
        <w:jc w:val="center"/>
        <w:rPr>
          <w:rFonts w:ascii="宋体" w:cs="宋体"/>
          <w:b/>
          <w:color w:val="auto"/>
          <w:sz w:val="24"/>
          <w:szCs w:val="24"/>
        </w:rPr>
      </w:pPr>
      <w:r>
        <w:rPr>
          <w:rFonts w:hint="eastAsia" w:ascii="宋体" w:hAnsi="宋体" w:cs="宋体"/>
          <w:b/>
          <w:color w:val="auto"/>
          <w:sz w:val="24"/>
          <w:szCs w:val="24"/>
        </w:rPr>
        <w:t>临床试验用药物</w:t>
      </w:r>
      <w:r>
        <w:rPr>
          <w:rFonts w:ascii="宋体" w:hAnsi="宋体" w:cs="宋体"/>
          <w:b/>
          <w:color w:val="auto"/>
          <w:sz w:val="24"/>
          <w:szCs w:val="24"/>
        </w:rPr>
        <w:t>/</w:t>
      </w:r>
      <w:r>
        <w:rPr>
          <w:rFonts w:hint="eastAsia" w:ascii="宋体" w:hAnsi="宋体" w:cs="宋体"/>
          <w:b/>
          <w:color w:val="auto"/>
          <w:sz w:val="24"/>
          <w:szCs w:val="24"/>
        </w:rPr>
        <w:t>包装物销毁记录表</w:t>
      </w:r>
    </w:p>
    <w:tbl>
      <w:tblPr>
        <w:tblStyle w:val="27"/>
        <w:tblW w:w="138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8"/>
        <w:gridCol w:w="3077"/>
        <w:gridCol w:w="1753"/>
        <w:gridCol w:w="3465"/>
        <w:gridCol w:w="168"/>
        <w:gridCol w:w="1134"/>
        <w:gridCol w:w="63"/>
        <w:gridCol w:w="1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241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color w:val="auto"/>
                <w:sz w:val="21"/>
                <w:szCs w:val="21"/>
              </w:rPr>
            </w:pPr>
            <w:r>
              <w:rPr>
                <w:rFonts w:hint="eastAsia"/>
                <w:color w:val="auto"/>
                <w:sz w:val="21"/>
                <w:szCs w:val="21"/>
              </w:rPr>
              <w:t>项目名称</w:t>
            </w:r>
          </w:p>
        </w:tc>
        <w:tc>
          <w:tcPr>
            <w:tcW w:w="11440" w:type="dxa"/>
            <w:gridSpan w:val="7"/>
            <w:vAlign w:val="center"/>
          </w:tcPr>
          <w:p>
            <w:pPr>
              <w:spacing w:line="360" w:lineRule="auto"/>
              <w:ind w:firstLine="525" w:firstLineChars="250"/>
              <w:jc w:val="center"/>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241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color w:val="auto"/>
                <w:sz w:val="21"/>
                <w:szCs w:val="21"/>
              </w:rPr>
            </w:pPr>
            <w:r>
              <w:rPr>
                <w:rFonts w:hint="eastAsia"/>
                <w:color w:val="auto"/>
                <w:sz w:val="21"/>
                <w:szCs w:val="21"/>
              </w:rPr>
              <w:t>申办方</w:t>
            </w:r>
          </w:p>
        </w:tc>
        <w:tc>
          <w:tcPr>
            <w:tcW w:w="11440" w:type="dxa"/>
            <w:gridSpan w:val="7"/>
            <w:vAlign w:val="center"/>
          </w:tcPr>
          <w:p>
            <w:pPr>
              <w:spacing w:line="360" w:lineRule="auto"/>
              <w:jc w:val="center"/>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1" w:hRule="atLeast"/>
        </w:trPr>
        <w:tc>
          <w:tcPr>
            <w:tcW w:w="24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试验用药品名称</w:t>
            </w:r>
          </w:p>
        </w:tc>
        <w:tc>
          <w:tcPr>
            <w:tcW w:w="3077" w:type="dxa"/>
            <w:vAlign w:val="center"/>
          </w:tcPr>
          <w:p>
            <w:pPr>
              <w:spacing w:line="360" w:lineRule="auto"/>
              <w:jc w:val="center"/>
              <w:rPr>
                <w:color w:val="auto"/>
                <w:sz w:val="21"/>
                <w:szCs w:val="21"/>
              </w:rPr>
            </w:pPr>
          </w:p>
        </w:tc>
        <w:tc>
          <w:tcPr>
            <w:tcW w:w="1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试验用药品编码</w:t>
            </w:r>
          </w:p>
        </w:tc>
        <w:tc>
          <w:tcPr>
            <w:tcW w:w="363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批号</w:t>
            </w:r>
          </w:p>
        </w:tc>
        <w:tc>
          <w:tcPr>
            <w:tcW w:w="1843" w:type="dxa"/>
            <w:gridSpan w:val="2"/>
            <w:vAlign w:val="center"/>
          </w:tcPr>
          <w:p>
            <w:pPr>
              <w:spacing w:line="360" w:lineRule="auto"/>
              <w:jc w:val="center"/>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24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销毁内容</w:t>
            </w:r>
          </w:p>
        </w:tc>
        <w:tc>
          <w:tcPr>
            <w:tcW w:w="3077" w:type="dxa"/>
            <w:vAlign w:val="center"/>
          </w:tcPr>
          <w:p>
            <w:pPr>
              <w:spacing w:line="360" w:lineRule="auto"/>
              <w:jc w:val="center"/>
              <w:rPr>
                <w:color w:val="auto"/>
                <w:sz w:val="21"/>
                <w:szCs w:val="21"/>
              </w:rPr>
            </w:pPr>
          </w:p>
        </w:tc>
        <w:tc>
          <w:tcPr>
            <w:tcW w:w="1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销毁数量</w:t>
            </w:r>
          </w:p>
        </w:tc>
        <w:tc>
          <w:tcPr>
            <w:tcW w:w="363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规格</w:t>
            </w:r>
          </w:p>
        </w:tc>
        <w:tc>
          <w:tcPr>
            <w:tcW w:w="1843" w:type="dxa"/>
            <w:gridSpan w:val="2"/>
            <w:vAlign w:val="center"/>
          </w:tcPr>
          <w:p>
            <w:pPr>
              <w:spacing w:line="360" w:lineRule="auto"/>
              <w:jc w:val="center"/>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24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药物管理员签字</w:t>
            </w:r>
          </w:p>
        </w:tc>
        <w:tc>
          <w:tcPr>
            <w:tcW w:w="11440" w:type="dxa"/>
            <w:gridSpan w:val="7"/>
            <w:vAlign w:val="bottom"/>
          </w:tcPr>
          <w:p>
            <w:pPr>
              <w:spacing w:line="360" w:lineRule="auto"/>
              <w:jc w:val="right"/>
              <w:rPr>
                <w:rFonts w:hint="eastAsia"/>
                <w:color w:val="auto"/>
                <w:sz w:val="21"/>
                <w:szCs w:val="21"/>
              </w:rPr>
            </w:pPr>
            <w:r>
              <w:rPr>
                <w:rFonts w:hint="eastAsia"/>
                <w:color w:val="auto"/>
                <w:sz w:val="21"/>
                <w:szCs w:val="21"/>
              </w:rPr>
              <w:t xml:space="preserve">                                                                签字：               年       月     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24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机构办公室主任意见</w:t>
            </w:r>
          </w:p>
        </w:tc>
        <w:tc>
          <w:tcPr>
            <w:tcW w:w="11440" w:type="dxa"/>
            <w:gridSpan w:val="7"/>
            <w:vAlign w:val="bottom"/>
          </w:tcPr>
          <w:p>
            <w:pPr>
              <w:spacing w:line="360" w:lineRule="auto"/>
              <w:jc w:val="right"/>
              <w:rPr>
                <w:rFonts w:hint="eastAsia"/>
                <w:color w:val="auto"/>
                <w:sz w:val="21"/>
                <w:szCs w:val="21"/>
              </w:rPr>
            </w:pPr>
            <w:r>
              <w:rPr>
                <w:rFonts w:hint="eastAsia"/>
                <w:color w:val="auto"/>
                <w:sz w:val="21"/>
                <w:szCs w:val="21"/>
              </w:rPr>
              <w:t xml:space="preserve">                                                                签字：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13858" w:type="dxa"/>
            <w:gridSpan w:val="8"/>
            <w:vAlign w:val="center"/>
          </w:tcPr>
          <w:p>
            <w:pPr>
              <w:spacing w:line="360" w:lineRule="auto"/>
              <w:jc w:val="center"/>
              <w:rPr>
                <w:rFonts w:hint="eastAsia"/>
                <w:color w:val="auto"/>
                <w:sz w:val="21"/>
                <w:szCs w:val="21"/>
              </w:rPr>
            </w:pPr>
            <w:r>
              <w:rPr>
                <w:rFonts w:hint="eastAsia"/>
                <w:color w:val="auto"/>
                <w:sz w:val="21"/>
                <w:szCs w:val="21"/>
              </w:rPr>
              <w:t>执行情况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24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销毁日期</w:t>
            </w:r>
          </w:p>
        </w:tc>
        <w:tc>
          <w:tcPr>
            <w:tcW w:w="3077" w:type="dxa"/>
            <w:vAlign w:val="top"/>
          </w:tcPr>
          <w:p>
            <w:pPr>
              <w:spacing w:line="360" w:lineRule="auto"/>
              <w:jc w:val="left"/>
              <w:rPr>
                <w:color w:val="auto"/>
                <w:sz w:val="21"/>
                <w:szCs w:val="21"/>
              </w:rPr>
            </w:pPr>
          </w:p>
        </w:tc>
        <w:tc>
          <w:tcPr>
            <w:tcW w:w="1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销毁地点</w:t>
            </w:r>
          </w:p>
        </w:tc>
        <w:tc>
          <w:tcPr>
            <w:tcW w:w="3465" w:type="dxa"/>
            <w:vAlign w:val="top"/>
          </w:tcPr>
          <w:p>
            <w:pPr>
              <w:spacing w:line="360" w:lineRule="auto"/>
              <w:jc w:val="left"/>
              <w:rPr>
                <w:color w:val="auto"/>
                <w:sz w:val="21"/>
                <w:szCs w:val="21"/>
              </w:rPr>
            </w:pPr>
          </w:p>
        </w:tc>
        <w:tc>
          <w:tcPr>
            <w:tcW w:w="1365"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color w:val="auto"/>
                <w:sz w:val="21"/>
                <w:szCs w:val="21"/>
                <w:lang w:val="en-US" w:eastAsia="zh-CN"/>
              </w:rPr>
            </w:pPr>
            <w:r>
              <w:rPr>
                <w:rFonts w:hint="eastAsia"/>
                <w:color w:val="auto"/>
                <w:sz w:val="21"/>
                <w:szCs w:val="21"/>
                <w:lang w:val="en-US" w:eastAsia="zh-CN"/>
              </w:rPr>
              <w:t>销毁方式</w:t>
            </w:r>
          </w:p>
        </w:tc>
        <w:tc>
          <w:tcPr>
            <w:tcW w:w="1780" w:type="dxa"/>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24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销毁执行人签字</w:t>
            </w:r>
          </w:p>
        </w:tc>
        <w:tc>
          <w:tcPr>
            <w:tcW w:w="11440" w:type="dxa"/>
            <w:gridSpan w:val="7"/>
            <w:vAlign w:val="top"/>
          </w:tcPr>
          <w:p>
            <w:pPr>
              <w:spacing w:line="360" w:lineRule="auto"/>
              <w:jc w:val="left"/>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 xml:space="preserve">                                                                 签字：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24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销毁监督人签字</w:t>
            </w:r>
          </w:p>
        </w:tc>
        <w:tc>
          <w:tcPr>
            <w:tcW w:w="11440" w:type="dxa"/>
            <w:gridSpan w:val="7"/>
            <w:vAlign w:val="top"/>
          </w:tcPr>
          <w:p>
            <w:pPr>
              <w:spacing w:line="360" w:lineRule="auto"/>
              <w:jc w:val="left"/>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 xml:space="preserve">                                                                 签字：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241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备注</w:t>
            </w:r>
          </w:p>
        </w:tc>
        <w:tc>
          <w:tcPr>
            <w:tcW w:w="11440" w:type="dxa"/>
            <w:gridSpan w:val="7"/>
            <w:vAlign w:val="top"/>
          </w:tcPr>
          <w:p>
            <w:pPr>
              <w:spacing w:line="360" w:lineRule="auto"/>
              <w:jc w:val="left"/>
              <w:rPr>
                <w:rFonts w:hint="eastAsia"/>
                <w:color w:val="auto"/>
                <w:sz w:val="21"/>
                <w:szCs w:val="21"/>
              </w:rPr>
            </w:pPr>
          </w:p>
        </w:tc>
      </w:tr>
    </w:tbl>
    <w:p>
      <w:pPr>
        <w:spacing w:line="360" w:lineRule="auto"/>
        <w:jc w:val="left"/>
        <w:rPr>
          <w:rFonts w:hint="eastAsia" w:eastAsiaTheme="minorEastAsia"/>
          <w:color w:val="auto"/>
          <w:szCs w:val="21"/>
          <w:lang w:val="en-US" w:eastAsia="zh-CN"/>
        </w:rPr>
        <w:sectPr>
          <w:headerReference r:id="rId104" w:type="default"/>
          <w:footerReference r:id="rId105" w:type="default"/>
          <w:pgSz w:w="16840" w:h="11907" w:orient="landscape"/>
          <w:pgMar w:top="1418" w:right="1134" w:bottom="1134" w:left="1418" w:header="0" w:footer="992" w:gutter="0"/>
          <w:pgNumType w:fmt="decimal"/>
          <w:cols w:space="720" w:num="1"/>
          <w:docGrid w:linePitch="312" w:charSpace="0"/>
        </w:sectPr>
      </w:pPr>
      <w:r>
        <w:rPr>
          <w:rFonts w:hint="eastAsia"/>
          <w:color w:val="auto"/>
          <w:szCs w:val="21"/>
        </w:rPr>
        <w:t>备注：“销毁内容”一栏必须写明具体内容，例如药品、外包装盒、说明书、内包装盒、药瓶等。如同时销毁同一药品的多样包装物，必须分行填</w:t>
      </w:r>
      <w:r>
        <w:rPr>
          <w:rFonts w:hint="eastAsia"/>
          <w:color w:val="auto"/>
          <w:szCs w:val="21"/>
          <w:lang w:val="en-US" w:eastAsia="zh-CN"/>
        </w:rPr>
        <w:t>写。</w:t>
      </w:r>
    </w:p>
    <w:p>
      <w:pPr>
        <w:spacing w:line="360" w:lineRule="auto"/>
        <w:jc w:val="center"/>
        <w:rPr>
          <w:rFonts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试验用医疗器械的接收、保存、分发、回收、退还、销毁的SOP</w:t>
      </w:r>
    </w:p>
    <w:p>
      <w:pPr>
        <w:spacing w:line="360" w:lineRule="auto"/>
        <w:rPr>
          <w:rFonts w:hint="eastAsia" w:ascii="宋体" w:hAnsi="宋体" w:eastAsia="宋体" w:cs="宋体"/>
          <w:b w:val="0"/>
          <w:bCs/>
          <w:color w:val="auto"/>
          <w:sz w:val="24"/>
          <w:szCs w:val="24"/>
        </w:rPr>
      </w:pPr>
      <w:r>
        <w:rPr>
          <w:rFonts w:hint="eastAsia" w:asciiTheme="minorEastAsia" w:hAnsiTheme="minorEastAsia" w:cstheme="minorEastAsia"/>
          <w:b w:val="0"/>
          <w:bCs/>
          <w:color w:val="auto"/>
          <w:sz w:val="24"/>
          <w:szCs w:val="24"/>
        </w:rPr>
        <w:t>一、</w:t>
      </w:r>
      <w:r>
        <w:rPr>
          <w:rFonts w:hint="eastAsia" w:ascii="宋体" w:hAnsi="宋体" w:eastAsia="宋体" w:cs="宋体"/>
          <w:b w:val="0"/>
          <w:bCs/>
          <w:color w:val="auto"/>
          <w:sz w:val="24"/>
          <w:szCs w:val="24"/>
        </w:rPr>
        <w:t>目的</w:t>
      </w:r>
    </w:p>
    <w:p>
      <w:pPr>
        <w:spacing w:line="360" w:lineRule="auto"/>
        <w:ind w:firstLine="480" w:firstLineChars="20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保障临床试验用医疗器械的安全储存、流畅和正常使用。为保证医疗器械(含体外诊断试剂,下同)临床试验的医疗械管理有序、记录规范,特制定本规程。</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二、范围</w:t>
      </w:r>
    </w:p>
    <w:p>
      <w:pPr>
        <w:spacing w:line="360" w:lineRule="auto"/>
        <w:ind w:firstLine="480" w:firstLineChars="20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适用于医疗器械临床试验的试验用医疗器械管理，其他临床研究可参照。适用于本机构医疗器械临床试验。</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三、规程</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（一）</w:t>
      </w:r>
      <w:r>
        <w:rPr>
          <w:rFonts w:hint="eastAsia" w:ascii="宋体" w:hAnsi="宋体" w:eastAsia="宋体" w:cs="宋体"/>
          <w:b w:val="0"/>
          <w:bCs/>
          <w:color w:val="auto"/>
          <w:sz w:val="24"/>
          <w:szCs w:val="24"/>
          <w:lang w:val="en-US" w:eastAsia="zh-CN"/>
        </w:rPr>
        <w:t>试验用</w:t>
      </w:r>
      <w:r>
        <w:rPr>
          <w:rFonts w:hint="eastAsia" w:ascii="宋体" w:hAnsi="宋体" w:eastAsia="宋体" w:cs="宋体"/>
          <w:b w:val="0"/>
          <w:bCs/>
          <w:color w:val="auto"/>
          <w:sz w:val="24"/>
          <w:szCs w:val="24"/>
        </w:rPr>
        <w:t>医疗器械的准备</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1.申办者负责提供试验医疗器械和对照医疗器械，以及相应批次的产品检验报告;提供包含试验医疗器械运输条件、储存条件、储存时间、有效期和使用要求的器械管理必备文件；确保物流过程符合医疗器械的运输条件；包装标签上应当标明产品信息和序列号,标明仅用于医疗器械临床试验。</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2.主要研究者对医疗器械管理员和研究者进行分工授权,应当至少授权2名医疗器械管理员。医疗器械管理员、研究者完成该医疗器械临床试验相关内容的培训,提供个人简历、培训证书执业资格证书。临床试验开始前确定医疗器械储存地点,医疗器械管理员或研究者核验储存条件。</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二</w:t>
      </w:r>
      <w:r>
        <w:rPr>
          <w:rFonts w:hint="eastAsia" w:ascii="宋体" w:hAnsi="宋体" w:eastAsia="宋体" w:cs="宋体"/>
          <w:b w:val="0"/>
          <w:bCs/>
          <w:color w:val="auto"/>
          <w:sz w:val="24"/>
          <w:szCs w:val="24"/>
        </w:rPr>
        <w:t>）试验用医疗器械的接收</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1.</w:t>
      </w:r>
      <w:r>
        <w:rPr>
          <w:rFonts w:hint="eastAsia" w:ascii="宋体" w:hAnsi="宋体" w:eastAsia="宋体" w:cs="宋体"/>
          <w:b w:val="0"/>
          <w:bCs/>
          <w:color w:val="auto"/>
          <w:sz w:val="24"/>
          <w:szCs w:val="24"/>
          <w:lang w:val="en-US" w:eastAsia="zh-CN"/>
        </w:rPr>
        <w:t>机构</w:t>
      </w:r>
      <w:r>
        <w:rPr>
          <w:rFonts w:hint="eastAsia" w:ascii="宋体" w:hAnsi="宋体" w:eastAsia="宋体" w:cs="宋体"/>
          <w:b w:val="0"/>
          <w:bCs/>
          <w:color w:val="auto"/>
          <w:sz w:val="24"/>
          <w:szCs w:val="24"/>
        </w:rPr>
        <w:t>设立</w:t>
      </w:r>
      <w:r>
        <w:rPr>
          <w:rFonts w:hint="eastAsia" w:ascii="宋体" w:hAnsi="宋体" w:eastAsia="宋体" w:cs="宋体"/>
          <w:b w:val="0"/>
          <w:bCs/>
          <w:color w:val="auto"/>
          <w:sz w:val="24"/>
          <w:szCs w:val="24"/>
          <w:lang w:val="en-US" w:eastAsia="zh-CN"/>
        </w:rPr>
        <w:t>GCP中心药房负责试验医疗器械的保管</w:t>
      </w:r>
      <w:r>
        <w:rPr>
          <w:rFonts w:hint="eastAsia" w:ascii="宋体" w:hAnsi="宋体" w:eastAsia="宋体" w:cs="宋体"/>
          <w:b w:val="0"/>
          <w:bCs/>
          <w:color w:val="auto"/>
          <w:sz w:val="24"/>
          <w:szCs w:val="24"/>
        </w:rPr>
        <w:t>，由专人负责管理。</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2.申办者/CRO与机构签订协议</w:t>
      </w:r>
      <w:r>
        <w:rPr>
          <w:rFonts w:hint="eastAsia" w:ascii="宋体" w:hAnsi="宋体" w:eastAsia="宋体" w:cs="宋体"/>
          <w:b w:val="0"/>
          <w:bCs/>
          <w:color w:val="auto"/>
          <w:sz w:val="24"/>
          <w:szCs w:val="24"/>
          <w:highlight w:val="none"/>
        </w:rPr>
        <w:t>后，方可按储存要求运送试验用</w:t>
      </w:r>
      <w:r>
        <w:rPr>
          <w:rFonts w:hint="eastAsia" w:ascii="宋体" w:hAnsi="宋体" w:eastAsia="宋体" w:cs="宋体"/>
          <w:b w:val="0"/>
          <w:bCs/>
          <w:color w:val="auto"/>
          <w:sz w:val="24"/>
          <w:szCs w:val="24"/>
          <w:highlight w:val="none"/>
          <w:lang w:val="en-US" w:eastAsia="zh-CN"/>
        </w:rPr>
        <w:t>医疗器械</w:t>
      </w:r>
      <w:r>
        <w:rPr>
          <w:rFonts w:hint="eastAsia" w:ascii="宋体" w:hAnsi="宋体" w:eastAsia="宋体" w:cs="宋体"/>
          <w:b w:val="0"/>
          <w:bCs/>
          <w:color w:val="auto"/>
          <w:sz w:val="24"/>
          <w:szCs w:val="24"/>
          <w:highlight w:val="none"/>
        </w:rPr>
        <w:t>至机构</w:t>
      </w:r>
      <w:r>
        <w:rPr>
          <w:rFonts w:hint="eastAsia" w:ascii="宋体" w:hAnsi="宋体" w:eastAsia="宋体" w:cs="宋体"/>
          <w:b w:val="0"/>
          <w:bCs/>
          <w:color w:val="auto"/>
          <w:sz w:val="24"/>
          <w:szCs w:val="24"/>
          <w:highlight w:val="none"/>
          <w:lang w:val="en-US" w:eastAsia="zh-CN"/>
        </w:rPr>
        <w:t>GCP中心药房</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提前</w:t>
      </w:r>
      <w:r>
        <w:rPr>
          <w:rFonts w:hint="eastAsia" w:ascii="宋体" w:hAnsi="宋体" w:eastAsia="宋体" w:cs="宋体"/>
          <w:b w:val="0"/>
          <w:bCs/>
          <w:color w:val="auto"/>
          <w:sz w:val="24"/>
          <w:szCs w:val="24"/>
          <w:highlight w:val="none"/>
        </w:rPr>
        <w:t>对医疗器械管理员进行相关培训</w:t>
      </w:r>
      <w:r>
        <w:rPr>
          <w:rFonts w:hint="eastAsia" w:ascii="宋体" w:hAnsi="宋体" w:eastAsia="宋体" w:cs="宋体"/>
          <w:b w:val="0"/>
          <w:bCs/>
          <w:color w:val="auto"/>
          <w:sz w:val="24"/>
          <w:szCs w:val="24"/>
          <w:highlight w:val="none"/>
          <w:lang w:eastAsia="zh-CN"/>
        </w:rPr>
        <w:t>，大型设备根据储存条件和情况，可直接领取到科室单独存放</w:t>
      </w:r>
      <w:r>
        <w:rPr>
          <w:rFonts w:hint="eastAsia" w:ascii="宋体" w:hAnsi="宋体" w:eastAsia="宋体" w:cs="宋体"/>
          <w:b w:val="0"/>
          <w:bCs/>
          <w:color w:val="auto"/>
          <w:sz w:val="24"/>
          <w:szCs w:val="24"/>
          <w:highlight w:val="none"/>
        </w:rPr>
        <w:t>。</w:t>
      </w:r>
    </w:p>
    <w:p>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rPr>
        <w:t>3.接收</w:t>
      </w:r>
      <w:r>
        <w:rPr>
          <w:rFonts w:hint="eastAsia" w:ascii="宋体" w:hAnsi="宋体" w:eastAsia="宋体" w:cs="宋体"/>
          <w:b w:val="0"/>
          <w:bCs/>
          <w:color w:val="auto"/>
          <w:sz w:val="24"/>
          <w:szCs w:val="24"/>
          <w:lang w:val="en-US" w:eastAsia="zh-CN"/>
        </w:rPr>
        <w:t>医疗器械</w:t>
      </w:r>
      <w:r>
        <w:rPr>
          <w:rFonts w:hint="eastAsia" w:ascii="宋体" w:hAnsi="宋体" w:eastAsia="宋体" w:cs="宋体"/>
          <w:b w:val="0"/>
          <w:bCs/>
          <w:color w:val="auto"/>
          <w:sz w:val="24"/>
          <w:szCs w:val="24"/>
        </w:rPr>
        <w:t>时应核对以下项目，并填好“临床试验用医疗器械接收登记表”（见附件</w:t>
      </w:r>
      <w:r>
        <w:rPr>
          <w:rFonts w:hint="eastAsia" w:ascii="宋体" w:hAnsi="宋体" w:eastAsia="宋体" w:cs="宋体"/>
          <w:b w:val="0"/>
          <w:bCs/>
          <w:color w:val="auto"/>
          <w:sz w:val="24"/>
          <w:szCs w:val="24"/>
          <w:lang w:val="en-US" w:eastAsia="zh-CN"/>
        </w:rPr>
        <w:t>1</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参与医疗器械交接人员一式二份双方签名并注明日期，其中一份交机构办公室归档，一份申办</w:t>
      </w:r>
      <w:r>
        <w:rPr>
          <w:rFonts w:hint="eastAsia" w:ascii="宋体" w:hAnsi="宋体" w:eastAsia="宋体" w:cs="宋体"/>
          <w:b w:val="0"/>
          <w:bCs/>
          <w:color w:val="auto"/>
          <w:sz w:val="24"/>
          <w:szCs w:val="24"/>
          <w:highlight w:val="none"/>
        </w:rPr>
        <w:t>者留存（复印件亦可）。</w:t>
      </w:r>
    </w:p>
    <w:p>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1）医疗器械管理员与物流运输人员进行交接,记录开箱日期时间；核对接收的医疗器械与随箱的交接清单信息,例如医疗器械名称、序列号、规格型号/包装规格、批号、数量、生产日期、有效期、储存条件,以及产品包装与标签完整性、试验用相关物资及数量；核对临床试验医疗器械与产品检验报告。</w:t>
      </w:r>
    </w:p>
    <w:p>
      <w:pPr>
        <w:spacing w:line="360" w:lineRule="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（2）冷链运输时,需查看开箱温度和温度计超温警报,导出温控报告，</w:t>
      </w:r>
      <w:r>
        <w:rPr>
          <w:rFonts w:hint="eastAsia" w:ascii="宋体" w:hAnsi="宋体" w:eastAsia="宋体" w:cs="宋体"/>
          <w:b w:val="0"/>
          <w:bCs/>
          <w:color w:val="auto"/>
          <w:sz w:val="24"/>
          <w:szCs w:val="24"/>
          <w:highlight w:val="none"/>
          <w:lang w:val="en-US" w:eastAsia="zh-CN"/>
        </w:rPr>
        <w:t>若出现超温警报，</w:t>
      </w:r>
      <w:r>
        <w:rPr>
          <w:rFonts w:hint="eastAsia" w:ascii="宋体" w:hAnsi="宋体" w:eastAsia="宋体" w:cs="宋体"/>
          <w:b w:val="0"/>
          <w:bCs/>
          <w:color w:val="auto"/>
          <w:sz w:val="24"/>
          <w:szCs w:val="24"/>
        </w:rPr>
        <w:t>应把该批医疗器械按原储存条件独立放置，医疗器械管理员立即通知该项目监查员，等待申办方温控小组给出书面回复决定该批</w:t>
      </w:r>
      <w:r>
        <w:rPr>
          <w:rFonts w:hint="eastAsia" w:ascii="宋体" w:hAnsi="宋体" w:eastAsia="宋体" w:cs="宋体"/>
          <w:b w:val="0"/>
          <w:bCs/>
          <w:color w:val="auto"/>
          <w:sz w:val="24"/>
          <w:szCs w:val="24"/>
          <w:lang w:val="en-US" w:eastAsia="zh-CN"/>
        </w:rPr>
        <w:t>医疗器械</w:t>
      </w:r>
      <w:r>
        <w:rPr>
          <w:rFonts w:hint="eastAsia" w:ascii="宋体" w:hAnsi="宋体" w:eastAsia="宋体" w:cs="宋体"/>
          <w:b w:val="0"/>
          <w:bCs/>
          <w:color w:val="auto"/>
          <w:sz w:val="24"/>
          <w:szCs w:val="24"/>
        </w:rPr>
        <w:t>能否使用，并将回复文件打印归档。</w:t>
      </w:r>
      <w:r>
        <w:rPr>
          <w:rFonts w:hint="eastAsia" w:ascii="宋体" w:hAnsi="宋体" w:eastAsia="宋体" w:cs="宋体"/>
          <w:b w:val="0"/>
          <w:bCs/>
          <w:color w:val="auto"/>
          <w:sz w:val="24"/>
          <w:szCs w:val="24"/>
          <w:highlight w:val="none"/>
        </w:rPr>
        <w:t>核对温度计开启日期时间与结束日期时间、最高温与最低温、温度计编号等信息,核对物流单上填写的信息；</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（3）对于治疗类产品，选择阳性对照时，优先采用疗效和安全性已得到临床公认的已上市同类产品。进口器械需提供原生产地注册批文及进口医疗器械注册证书。</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4）试验用医疗器械编号：双盲试验每件医疗器械均应有医疗器械编号，接收时要检查医疗器械编号与送货单上的号码是否一致，如果出现不一致，应与该项目的临床监查员联系；接收双盲医疗器械时如附有应急信封，要注意应急信封上的编号与该批医疗器械的编号是否一致，并检查信封是否密封，如有破损要及时与项目监查员联系；接收应急信封后应交由PI或PI指定的研究者保管</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lang w:val="en-US" w:eastAsia="zh-CN"/>
        </w:rPr>
        <w:t>见附件5</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5</w:t>
      </w:r>
      <w:r>
        <w:rPr>
          <w:rFonts w:hint="eastAsia" w:ascii="宋体" w:hAnsi="宋体" w:eastAsia="宋体" w:cs="宋体"/>
          <w:b w:val="0"/>
          <w:bCs/>
          <w:color w:val="auto"/>
          <w:sz w:val="24"/>
          <w:szCs w:val="24"/>
        </w:rPr>
        <w:t>）医疗器械标签：包装袋、小盒、大盒均须贴标签，内容为试验编号、XX临床试验用医疗器械（标明“临床试验专用”；如有备用医疗器械，要在外包装注明“临床备用医疗器械”）、医疗器械名称、医疗器械编码、型号、规格、使用方法、注意事项、储藏条件、有效期、生产批号、生产时间、生产厂家等。</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6</w:t>
      </w:r>
      <w:r>
        <w:rPr>
          <w:rFonts w:hint="eastAsia" w:ascii="宋体" w:hAnsi="宋体" w:eastAsia="宋体" w:cs="宋体"/>
          <w:b w:val="0"/>
          <w:bCs/>
          <w:color w:val="auto"/>
          <w:sz w:val="24"/>
          <w:szCs w:val="24"/>
        </w:rPr>
        <w:t>）特殊温湿度保存医疗器械的接收，首先要核对温湿度计（如需要）的编号与运货单上登记的编号是否一致，再记录温湿度，核对无误后医疗器械管理员与送货人在温湿度记录单上签上姓名、时间，最后将“温湿度记录表”原件与运货单一齐归档。</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7</w:t>
      </w:r>
      <w:r>
        <w:rPr>
          <w:rFonts w:hint="eastAsia" w:ascii="宋体" w:hAnsi="宋体" w:eastAsia="宋体" w:cs="宋体"/>
          <w:b w:val="0"/>
          <w:bCs/>
          <w:color w:val="auto"/>
          <w:sz w:val="24"/>
          <w:szCs w:val="24"/>
        </w:rPr>
        <w:t>）留存物流单、温控记录、温度计校准证明、产品检验报告、交接清单，医疗器械管理员及时填写“试验用医疗器械出入库记录表”（见附件</w:t>
      </w: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rPr>
        <w:t>），签字并注明时间</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lang w:val="en-US" w:eastAsia="zh-CN"/>
        </w:rPr>
        <w:t>完成入库</w:t>
      </w:r>
      <w:r>
        <w:rPr>
          <w:rFonts w:hint="eastAsia" w:ascii="宋体" w:hAnsi="宋体" w:eastAsia="宋体" w:cs="宋体"/>
          <w:b w:val="0"/>
          <w:bCs/>
          <w:color w:val="auto"/>
          <w:sz w:val="24"/>
          <w:szCs w:val="24"/>
        </w:rPr>
        <w:t>。</w:t>
      </w:r>
    </w:p>
    <w:p>
      <w:pPr>
        <w:spacing w:line="360" w:lineRule="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三</w:t>
      </w:r>
      <w:r>
        <w:rPr>
          <w:rFonts w:hint="eastAsia" w:ascii="宋体" w:hAnsi="宋体" w:eastAsia="宋体" w:cs="宋体"/>
          <w:b w:val="0"/>
          <w:bCs/>
          <w:color w:val="auto"/>
          <w:sz w:val="24"/>
          <w:szCs w:val="24"/>
        </w:rPr>
        <w:t>）试验用医疗器械的</w:t>
      </w:r>
      <w:r>
        <w:rPr>
          <w:rFonts w:hint="eastAsia" w:ascii="宋体" w:hAnsi="宋体" w:eastAsia="宋体" w:cs="宋体"/>
          <w:b w:val="0"/>
          <w:bCs/>
          <w:color w:val="auto"/>
          <w:sz w:val="24"/>
          <w:szCs w:val="24"/>
          <w:lang w:val="en-US" w:eastAsia="zh-CN"/>
        </w:rPr>
        <w:t>储存</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1.医疗器械管理员负责将医疗器械按类别及储存要求存放。储存场所应具备必要的环境,具有可控的温度、湿度,做到防尘、防潮、防霉、防污染、防虫、防鼠等；标识清楚,设置交接区、库存区、限离区、回收区。还应具有相应的设备,如带锁橱柜、恒温箱或冰箱冷链监测系统,以及备用电源、符合安全用电要求的照明和安防设备等。</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2.医疗器械管理员在医疗器械存放期间填写“临床试验用医疗器械保管室内温湿度记录表（见附件</w:t>
      </w: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/临床试验医疗器械储藏冰箱/冰柜温度记录表”</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附件</w:t>
      </w: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rPr>
        <w:t>）等,定期导出温度计或冷链监测系统的数据并签字。当超出规定的温湿度范围时,及时隔离医疗器械并上报申办者/CRO,经评估可用后方可继续使用。</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医疗器械管理员定期清点医疗器械库存,核对医疗器械名称、规格型号/包装规格、批号、序列号、数量和有效期。如出现不一致的事件(丢失、损坏等),应立即物理隔离,做好相应的记录,并向研究者和申办者/CRO报告,等待进一步处理。当库存不足时根据要求及时申请医疗器械。盘点情况记录在“临床试验用医疗器械盘点表”（附件6）中。</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rPr>
        <w:t>在医疗器械储存期间如需维护保养,应由专业人员操作,填写“医疗器械维护保养登记表”(附件</w:t>
      </w:r>
      <w:r>
        <w:rPr>
          <w:rFonts w:hint="eastAsia" w:ascii="宋体" w:hAnsi="宋体" w:eastAsia="宋体" w:cs="宋体"/>
          <w:b w:val="0"/>
          <w:bCs/>
          <w:color w:val="auto"/>
          <w:sz w:val="24"/>
          <w:szCs w:val="24"/>
          <w:lang w:val="en-US" w:eastAsia="zh-CN"/>
        </w:rPr>
        <w:t>1</w:t>
      </w:r>
      <w:r>
        <w:rPr>
          <w:rFonts w:hint="eastAsia" w:ascii="宋体" w:hAnsi="宋体" w:eastAsia="宋体" w:cs="宋体"/>
          <w:b w:val="0"/>
          <w:bCs/>
          <w:color w:val="auto"/>
          <w:sz w:val="24"/>
          <w:szCs w:val="24"/>
        </w:rPr>
        <w:t>3)。</w:t>
      </w:r>
    </w:p>
    <w:p>
      <w:pPr>
        <w:spacing w:line="360" w:lineRule="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四</w:t>
      </w:r>
      <w:r>
        <w:rPr>
          <w:rFonts w:hint="eastAsia" w:ascii="宋体" w:hAnsi="宋体" w:eastAsia="宋体" w:cs="宋体"/>
          <w:b w:val="0"/>
          <w:bCs/>
          <w:color w:val="auto"/>
          <w:sz w:val="24"/>
          <w:szCs w:val="24"/>
        </w:rPr>
        <w:t>）试验用医疗器械的</w:t>
      </w:r>
      <w:r>
        <w:rPr>
          <w:rFonts w:hint="eastAsia" w:ascii="宋体" w:hAnsi="宋体" w:eastAsia="宋体" w:cs="宋体"/>
          <w:b w:val="0"/>
          <w:bCs/>
          <w:color w:val="auto"/>
          <w:sz w:val="24"/>
          <w:szCs w:val="24"/>
          <w:lang w:val="en-US" w:eastAsia="zh-CN"/>
        </w:rPr>
        <w:t>发放、回收和使用</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.医疗器械管理员按照研究者医疗医嘱进行发放。在随机对照临床试验中,应当由被授权的研究者随机出应使用的医疗器械组别或序列号。试验</w:t>
      </w:r>
      <w:r>
        <w:rPr>
          <w:rFonts w:hint="eastAsia" w:ascii="宋体" w:hAnsi="宋体" w:eastAsia="宋体" w:cs="宋体"/>
          <w:b w:val="0"/>
          <w:bCs/>
          <w:color w:val="auto"/>
          <w:sz w:val="24"/>
          <w:szCs w:val="24"/>
          <w:highlight w:val="none"/>
          <w:lang w:eastAsia="zh-CN"/>
        </w:rPr>
        <w:t>医疗器械</w:t>
      </w:r>
      <w:r>
        <w:rPr>
          <w:rFonts w:hint="eastAsia" w:ascii="宋体" w:hAnsi="宋体" w:eastAsia="宋体" w:cs="宋体"/>
          <w:b w:val="0"/>
          <w:bCs/>
          <w:color w:val="auto"/>
          <w:sz w:val="24"/>
          <w:szCs w:val="24"/>
          <w:highlight w:val="none"/>
        </w:rPr>
        <w:t>统一由GCP中心药房接收。临床专业组根据试验方案运行及</w:t>
      </w:r>
      <w:r>
        <w:rPr>
          <w:rFonts w:hint="eastAsia" w:ascii="宋体" w:hAnsi="宋体" w:eastAsia="宋体" w:cs="宋体"/>
          <w:b w:val="0"/>
          <w:bCs/>
          <w:color w:val="auto"/>
          <w:sz w:val="24"/>
          <w:szCs w:val="24"/>
          <w:highlight w:val="none"/>
          <w:lang w:eastAsia="zh-CN"/>
        </w:rPr>
        <w:t>试验医疗器械</w:t>
      </w:r>
      <w:r>
        <w:rPr>
          <w:rFonts w:hint="eastAsia" w:ascii="宋体" w:hAnsi="宋体" w:eastAsia="宋体" w:cs="宋体"/>
          <w:b w:val="0"/>
          <w:bCs/>
          <w:color w:val="auto"/>
          <w:sz w:val="24"/>
          <w:szCs w:val="24"/>
          <w:highlight w:val="none"/>
        </w:rPr>
        <w:t>特点不同，可一次性从GCP中心药房领取试验</w:t>
      </w:r>
      <w:r>
        <w:rPr>
          <w:rFonts w:hint="eastAsia" w:ascii="宋体" w:hAnsi="宋体" w:eastAsia="宋体" w:cs="宋体"/>
          <w:b w:val="0"/>
          <w:bCs/>
          <w:color w:val="auto"/>
          <w:sz w:val="24"/>
          <w:szCs w:val="24"/>
          <w:highlight w:val="none"/>
          <w:lang w:eastAsia="zh-CN"/>
        </w:rPr>
        <w:t>医疗器械</w:t>
      </w:r>
      <w:r>
        <w:rPr>
          <w:rFonts w:hint="eastAsia" w:ascii="宋体" w:hAnsi="宋体" w:eastAsia="宋体" w:cs="宋体"/>
          <w:b w:val="0"/>
          <w:bCs/>
          <w:color w:val="auto"/>
          <w:sz w:val="24"/>
          <w:szCs w:val="24"/>
          <w:highlight w:val="none"/>
        </w:rPr>
        <w:t>至其科室疗器械保管室。门诊受试者凭研究医生开具的</w:t>
      </w:r>
      <w:r>
        <w:rPr>
          <w:rFonts w:hint="eastAsia" w:ascii="宋体" w:hAnsi="宋体" w:eastAsia="宋体" w:cs="宋体"/>
          <w:b w:val="0"/>
          <w:bCs/>
          <w:color w:val="auto"/>
          <w:sz w:val="24"/>
          <w:szCs w:val="24"/>
          <w:highlight w:val="none"/>
          <w:lang w:val="en-US" w:eastAsia="zh-CN"/>
        </w:rPr>
        <w:t>医疗器械处置单</w:t>
      </w:r>
      <w:r>
        <w:rPr>
          <w:rFonts w:hint="eastAsia" w:ascii="宋体" w:hAnsi="宋体" w:eastAsia="宋体" w:cs="宋体"/>
          <w:b w:val="0"/>
          <w:bCs/>
          <w:color w:val="auto"/>
          <w:sz w:val="24"/>
          <w:szCs w:val="24"/>
          <w:highlight w:val="none"/>
        </w:rPr>
        <w:t>（见附件</w:t>
      </w: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或其他方</w:t>
      </w:r>
      <w:r>
        <w:rPr>
          <w:rFonts w:hint="eastAsia" w:ascii="宋体" w:hAnsi="宋体" w:eastAsia="宋体" w:cs="宋体"/>
          <w:b w:val="0"/>
          <w:bCs/>
          <w:color w:val="auto"/>
          <w:sz w:val="24"/>
          <w:szCs w:val="24"/>
          <w:lang w:val="en-US" w:eastAsia="zh-CN"/>
        </w:rPr>
        <w:t>案中规定的有效文件</w:t>
      </w:r>
      <w:r>
        <w:rPr>
          <w:rFonts w:hint="eastAsia" w:ascii="宋体" w:hAnsi="宋体" w:eastAsia="宋体" w:cs="宋体"/>
          <w:b w:val="0"/>
          <w:bCs/>
          <w:color w:val="auto"/>
          <w:sz w:val="24"/>
          <w:szCs w:val="24"/>
        </w:rPr>
        <w:t>领取一个访视期</w:t>
      </w:r>
      <w:r>
        <w:rPr>
          <w:rFonts w:hint="eastAsia" w:ascii="宋体" w:hAnsi="宋体" w:eastAsia="宋体" w:cs="宋体"/>
          <w:b w:val="0"/>
          <w:bCs/>
          <w:color w:val="auto"/>
          <w:sz w:val="24"/>
          <w:szCs w:val="24"/>
          <w:lang w:val="en-US" w:eastAsia="zh-CN"/>
        </w:rPr>
        <w:t>的</w:t>
      </w:r>
      <w:r>
        <w:rPr>
          <w:rFonts w:hint="eastAsia" w:ascii="宋体" w:hAnsi="宋体" w:eastAsia="宋体" w:cs="宋体"/>
          <w:b w:val="0"/>
          <w:bCs/>
          <w:color w:val="auto"/>
          <w:sz w:val="24"/>
          <w:szCs w:val="24"/>
        </w:rPr>
        <w:t>试验用医疗器械，住院受试者由研究护士凭试验用医疗器械请领</w:t>
      </w:r>
      <w:r>
        <w:rPr>
          <w:rFonts w:hint="eastAsia" w:ascii="宋体" w:hAnsi="宋体" w:eastAsia="宋体" w:cs="宋体"/>
          <w:b w:val="0"/>
          <w:bCs/>
          <w:color w:val="auto"/>
          <w:sz w:val="24"/>
          <w:szCs w:val="24"/>
          <w:lang w:val="en-US" w:eastAsia="zh-CN"/>
        </w:rPr>
        <w:t>单</w:t>
      </w:r>
      <w:r>
        <w:rPr>
          <w:rFonts w:hint="eastAsia" w:ascii="宋体" w:hAnsi="宋体" w:eastAsia="宋体" w:cs="宋体"/>
          <w:b w:val="0"/>
          <w:bCs/>
          <w:color w:val="auto"/>
          <w:sz w:val="24"/>
          <w:szCs w:val="24"/>
        </w:rPr>
        <w:t>（见附件8）</w:t>
      </w:r>
      <w:r>
        <w:rPr>
          <w:rFonts w:hint="eastAsia" w:ascii="宋体" w:hAnsi="宋体" w:eastAsia="宋体" w:cs="宋体"/>
          <w:b w:val="0"/>
          <w:bCs/>
          <w:color w:val="auto"/>
          <w:sz w:val="24"/>
          <w:szCs w:val="24"/>
          <w:lang w:val="en-US" w:eastAsia="zh-CN"/>
        </w:rPr>
        <w:t>到科室医疗器械保管室</w:t>
      </w:r>
      <w:r>
        <w:rPr>
          <w:rFonts w:hint="eastAsia" w:ascii="宋体" w:hAnsi="宋体" w:eastAsia="宋体" w:cs="宋体"/>
          <w:b w:val="0"/>
          <w:bCs/>
          <w:color w:val="auto"/>
          <w:sz w:val="24"/>
          <w:szCs w:val="24"/>
        </w:rPr>
        <w:t>领取受试者所需试验用医疗器械。并在“试验医疗器械发放回收记录表”（见附件</w:t>
      </w:r>
      <w:r>
        <w:rPr>
          <w:rFonts w:hint="eastAsia" w:ascii="宋体" w:hAnsi="宋体" w:eastAsia="宋体" w:cs="宋体"/>
          <w:b w:val="0"/>
          <w:bCs/>
          <w:color w:val="auto"/>
          <w:sz w:val="24"/>
          <w:szCs w:val="24"/>
          <w:lang w:val="en-US" w:eastAsia="zh-CN"/>
        </w:rPr>
        <w:t>9</w:t>
      </w:r>
      <w:r>
        <w:rPr>
          <w:rFonts w:hint="eastAsia" w:ascii="宋体" w:hAnsi="宋体" w:eastAsia="宋体" w:cs="宋体"/>
          <w:b w:val="0"/>
          <w:bCs/>
          <w:color w:val="auto"/>
          <w:sz w:val="24"/>
          <w:szCs w:val="24"/>
        </w:rPr>
        <w:t>）中签字。医疗器械管理员发放、回收医疗器械时,填</w:t>
      </w:r>
      <w:r>
        <w:rPr>
          <w:rFonts w:hint="eastAsia" w:ascii="宋体" w:hAnsi="宋体" w:eastAsia="宋体" w:cs="宋体"/>
          <w:b w:val="0"/>
          <w:bCs/>
          <w:color w:val="auto"/>
          <w:sz w:val="24"/>
          <w:szCs w:val="24"/>
          <w:lang w:val="en-US" w:eastAsia="zh-CN"/>
        </w:rPr>
        <w:t>写</w:t>
      </w:r>
      <w:r>
        <w:rPr>
          <w:rFonts w:hint="eastAsia" w:ascii="宋体" w:hAnsi="宋体" w:eastAsia="宋体" w:cs="宋体"/>
          <w:b w:val="0"/>
          <w:bCs/>
          <w:color w:val="auto"/>
          <w:sz w:val="24"/>
          <w:szCs w:val="24"/>
        </w:rPr>
        <w:t>“临床试验用医疗器械出入库记录表”与“试验医疗器械发放回收记录表”</w:t>
      </w:r>
      <w:r>
        <w:rPr>
          <w:rFonts w:hint="eastAsia" w:ascii="宋体" w:hAnsi="宋体" w:eastAsia="宋体" w:cs="宋体"/>
          <w:b w:val="0"/>
          <w:bCs/>
          <w:color w:val="auto"/>
          <w:sz w:val="24"/>
          <w:szCs w:val="24"/>
          <w:lang w:eastAsia="zh-CN"/>
        </w:rPr>
        <w:t>，领取人与医疗器械管理员核对无误后签名及日期。登记表中的基本信息包括受试者姓名拼音缩写及编号、发放日期、名称、数量、序列号、批号、规格、回收日期和数量等。</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rPr>
        <w:t>.需要回收的外包装或剩余试验用医疗器械应在外包装注明“需回收”字样，由研究护士收集后统一交回临床试验</w:t>
      </w:r>
      <w:r>
        <w:rPr>
          <w:rFonts w:hint="eastAsia" w:ascii="宋体" w:hAnsi="宋体" w:eastAsia="宋体" w:cs="宋体"/>
          <w:b w:val="0"/>
          <w:bCs/>
          <w:color w:val="auto"/>
          <w:sz w:val="24"/>
          <w:szCs w:val="24"/>
          <w:lang w:val="en-US" w:eastAsia="zh-CN"/>
        </w:rPr>
        <w:t>机构GCP</w:t>
      </w:r>
      <w:r>
        <w:rPr>
          <w:rFonts w:hint="eastAsia" w:ascii="宋体" w:hAnsi="宋体" w:eastAsia="宋体" w:cs="宋体"/>
          <w:b w:val="0"/>
          <w:bCs/>
          <w:color w:val="auto"/>
          <w:sz w:val="24"/>
          <w:szCs w:val="24"/>
        </w:rPr>
        <w:t>中心</w:t>
      </w:r>
      <w:r>
        <w:rPr>
          <w:rFonts w:hint="eastAsia" w:ascii="宋体" w:hAnsi="宋体" w:eastAsia="宋体" w:cs="宋体"/>
          <w:b w:val="0"/>
          <w:bCs/>
          <w:color w:val="auto"/>
          <w:sz w:val="24"/>
          <w:szCs w:val="24"/>
          <w:lang w:val="en-US" w:eastAsia="zh-CN"/>
        </w:rPr>
        <w:t>药房</w:t>
      </w:r>
      <w:r>
        <w:rPr>
          <w:rFonts w:hint="eastAsia" w:ascii="宋体" w:hAnsi="宋体" w:eastAsia="宋体" w:cs="宋体"/>
          <w:b w:val="0"/>
          <w:bCs/>
          <w:color w:val="auto"/>
          <w:sz w:val="24"/>
          <w:szCs w:val="24"/>
        </w:rPr>
        <w:t>由医疗器械管理员集中存放。</w:t>
      </w:r>
      <w:r>
        <w:rPr>
          <w:rFonts w:hint="eastAsia" w:ascii="宋体" w:hAnsi="宋体" w:eastAsia="宋体" w:cs="宋体"/>
          <w:b w:val="0"/>
          <w:bCs/>
          <w:color w:val="auto"/>
          <w:sz w:val="24"/>
          <w:szCs w:val="24"/>
          <w:lang w:val="en-US" w:eastAsia="zh-CN"/>
        </w:rPr>
        <w:t>医疗器械</w:t>
      </w:r>
      <w:r>
        <w:rPr>
          <w:rFonts w:hint="eastAsia" w:ascii="宋体" w:hAnsi="宋体" w:eastAsia="宋体" w:cs="宋体"/>
          <w:b w:val="0"/>
          <w:bCs/>
          <w:color w:val="auto"/>
          <w:sz w:val="24"/>
          <w:szCs w:val="24"/>
        </w:rPr>
        <w:t>管理员根据受试者</w:t>
      </w:r>
      <w:r>
        <w:rPr>
          <w:rFonts w:hint="eastAsia" w:ascii="宋体" w:hAnsi="宋体" w:eastAsia="宋体" w:cs="宋体"/>
          <w:b w:val="0"/>
          <w:bCs/>
          <w:color w:val="auto"/>
          <w:sz w:val="24"/>
          <w:szCs w:val="24"/>
          <w:lang w:val="en-US" w:eastAsia="zh-CN"/>
        </w:rPr>
        <w:t>医疗器械治疗方案</w:t>
      </w:r>
      <w:r>
        <w:rPr>
          <w:rFonts w:hint="eastAsia" w:ascii="宋体" w:hAnsi="宋体" w:eastAsia="宋体" w:cs="宋体"/>
          <w:b w:val="0"/>
          <w:bCs/>
          <w:color w:val="auto"/>
          <w:sz w:val="24"/>
          <w:szCs w:val="24"/>
        </w:rPr>
        <w:t>来清点</w:t>
      </w:r>
      <w:r>
        <w:rPr>
          <w:rFonts w:hint="eastAsia" w:ascii="宋体" w:hAnsi="宋体" w:eastAsia="宋体" w:cs="宋体"/>
          <w:b w:val="0"/>
          <w:bCs/>
          <w:color w:val="auto"/>
          <w:sz w:val="24"/>
          <w:szCs w:val="24"/>
          <w:lang w:val="en-US" w:eastAsia="zh-CN"/>
        </w:rPr>
        <w:t>医疗器械</w:t>
      </w:r>
      <w:r>
        <w:rPr>
          <w:rFonts w:hint="eastAsia" w:ascii="宋体" w:hAnsi="宋体" w:eastAsia="宋体" w:cs="宋体"/>
          <w:b w:val="0"/>
          <w:bCs/>
          <w:color w:val="auto"/>
          <w:sz w:val="24"/>
          <w:szCs w:val="24"/>
        </w:rPr>
        <w:t>的数量以及空包装是否相符，并记录“试验</w:t>
      </w:r>
      <w:r>
        <w:rPr>
          <w:rFonts w:hint="eastAsia" w:ascii="宋体" w:hAnsi="宋体" w:eastAsia="宋体" w:cs="宋体"/>
          <w:b w:val="0"/>
          <w:bCs/>
          <w:color w:val="auto"/>
          <w:sz w:val="24"/>
          <w:szCs w:val="24"/>
          <w:lang w:val="en-US" w:eastAsia="zh-CN"/>
        </w:rPr>
        <w:t>医疗器械</w:t>
      </w:r>
      <w:r>
        <w:rPr>
          <w:rFonts w:hint="eastAsia" w:ascii="宋体" w:hAnsi="宋体" w:eastAsia="宋体" w:cs="宋体"/>
          <w:b w:val="0"/>
          <w:bCs/>
          <w:color w:val="auto"/>
          <w:sz w:val="24"/>
          <w:szCs w:val="24"/>
        </w:rPr>
        <w:t>发放回收记录表”。如有应急信件，研究者（PI）一并交还给机构</w:t>
      </w:r>
      <w:r>
        <w:rPr>
          <w:rFonts w:hint="eastAsia" w:ascii="宋体" w:hAnsi="宋体" w:eastAsia="宋体" w:cs="宋体"/>
          <w:b w:val="0"/>
          <w:bCs/>
          <w:color w:val="auto"/>
          <w:sz w:val="24"/>
          <w:szCs w:val="24"/>
          <w:lang w:val="en-US" w:eastAsia="zh-CN"/>
        </w:rPr>
        <w:t>医疗器械</w:t>
      </w:r>
      <w:r>
        <w:rPr>
          <w:rFonts w:hint="eastAsia" w:ascii="宋体" w:hAnsi="宋体" w:eastAsia="宋体" w:cs="宋体"/>
          <w:b w:val="0"/>
          <w:bCs/>
          <w:color w:val="auto"/>
          <w:sz w:val="24"/>
          <w:szCs w:val="24"/>
        </w:rPr>
        <w:t>管理员，且做好应急信件交接记录（见附件4）。</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（五）试验用医疗器械的使用</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1.研究者组织进行医疗器械使用。在门诊或住院病历中做相应记录</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对于植入性医疗器械,还需粘贴产品标签。</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2.医疗器械应严格按照试验方案求发放和使用,研究者必须确保试验用医疗器械仅用于该临床试验的受试者,不得向受试者收取任何费用,不得转交至任何非临床试验参加者。严禁将剩余的试验用医疗器械用于销售及盈利。</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六</w:t>
      </w:r>
      <w:r>
        <w:rPr>
          <w:rFonts w:hint="eastAsia" w:ascii="宋体" w:hAnsi="宋体" w:eastAsia="宋体" w:cs="宋体"/>
          <w:b w:val="0"/>
          <w:bCs/>
          <w:color w:val="auto"/>
          <w:sz w:val="24"/>
          <w:szCs w:val="24"/>
        </w:rPr>
        <w:t>）试验用医疗器械的退还</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1.试验结束</w:t>
      </w:r>
      <w:r>
        <w:rPr>
          <w:rFonts w:hint="eastAsia" w:ascii="宋体" w:hAnsi="宋体" w:eastAsia="宋体" w:cs="宋体"/>
          <w:b w:val="0"/>
          <w:bCs/>
          <w:color w:val="auto"/>
          <w:sz w:val="24"/>
          <w:szCs w:val="24"/>
          <w:lang w:val="en-US" w:eastAsia="zh-CN"/>
        </w:rPr>
        <w:t>后</w:t>
      </w:r>
      <w:r>
        <w:rPr>
          <w:rFonts w:hint="eastAsia" w:ascii="宋体" w:hAnsi="宋体" w:eastAsia="宋体" w:cs="宋体"/>
          <w:b w:val="0"/>
          <w:bCs/>
          <w:color w:val="auto"/>
          <w:sz w:val="24"/>
          <w:szCs w:val="24"/>
        </w:rPr>
        <w:t>，未发放的剩余医疗器械、回收医疗器械以及空包装须退回申办方或监查员，并办理退回交接手续，若有应急信件的一并返还；退</w:t>
      </w:r>
      <w:r>
        <w:rPr>
          <w:rFonts w:hint="eastAsia" w:ascii="宋体" w:hAnsi="宋体" w:eastAsia="宋体" w:cs="宋体"/>
          <w:b w:val="0"/>
          <w:bCs/>
          <w:color w:val="auto"/>
          <w:sz w:val="24"/>
          <w:szCs w:val="24"/>
          <w:lang w:val="en-US" w:eastAsia="zh-CN"/>
        </w:rPr>
        <w:t>还</w:t>
      </w:r>
      <w:r>
        <w:rPr>
          <w:rFonts w:hint="eastAsia" w:ascii="宋体" w:hAnsi="宋体" w:eastAsia="宋体" w:cs="宋体"/>
          <w:b w:val="0"/>
          <w:bCs/>
          <w:color w:val="auto"/>
          <w:sz w:val="24"/>
          <w:szCs w:val="24"/>
        </w:rPr>
        <w:t>医疗器械时,医疗器械管理员与监查员核对医疗器名称、批号、序列号、未使用数量、空包装数量和已使用数量,填写“临床试验用医疗器械退还表”(附件1</w:t>
      </w:r>
      <w:r>
        <w:rPr>
          <w:rFonts w:hint="eastAsia" w:ascii="宋体" w:hAnsi="宋体" w:eastAsia="宋体" w:cs="宋体"/>
          <w:b w:val="0"/>
          <w:bCs/>
          <w:color w:val="auto"/>
          <w:sz w:val="24"/>
          <w:szCs w:val="24"/>
          <w:lang w:val="en-US" w:eastAsia="zh-CN"/>
        </w:rPr>
        <w:t>0</w:t>
      </w:r>
      <w:r>
        <w:rPr>
          <w:rFonts w:hint="eastAsia" w:ascii="宋体" w:hAnsi="宋体" w:eastAsia="宋体" w:cs="宋体"/>
          <w:b w:val="0"/>
          <w:bCs/>
          <w:color w:val="auto"/>
          <w:sz w:val="24"/>
          <w:szCs w:val="24"/>
        </w:rPr>
        <w:t>)。</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2.申办者负责接收退</w:t>
      </w:r>
      <w:r>
        <w:rPr>
          <w:rFonts w:hint="eastAsia" w:ascii="宋体" w:hAnsi="宋体" w:eastAsia="宋体" w:cs="宋体"/>
          <w:b w:val="0"/>
          <w:bCs/>
          <w:color w:val="auto"/>
          <w:sz w:val="24"/>
          <w:szCs w:val="24"/>
          <w:lang w:val="en-US" w:eastAsia="zh-CN"/>
        </w:rPr>
        <w:t>还</w:t>
      </w:r>
      <w:r>
        <w:rPr>
          <w:rFonts w:hint="eastAsia" w:ascii="宋体" w:hAnsi="宋体" w:eastAsia="宋体" w:cs="宋体"/>
          <w:b w:val="0"/>
          <w:bCs/>
          <w:color w:val="auto"/>
          <w:sz w:val="24"/>
          <w:szCs w:val="24"/>
        </w:rPr>
        <w:t>的未使用医疗器械、空包装或使用的医疗器械。</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七</w:t>
      </w:r>
      <w:r>
        <w:rPr>
          <w:rFonts w:hint="eastAsia" w:ascii="宋体" w:hAnsi="宋体" w:eastAsia="宋体" w:cs="宋体"/>
          <w:b w:val="0"/>
          <w:bCs/>
          <w:color w:val="auto"/>
          <w:sz w:val="24"/>
          <w:szCs w:val="24"/>
        </w:rPr>
        <w:t>）试验用医疗器械的销毁</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1.申办者负责将退</w:t>
      </w:r>
      <w:r>
        <w:rPr>
          <w:rFonts w:hint="eastAsia" w:ascii="宋体" w:hAnsi="宋体" w:eastAsia="宋体" w:cs="宋体"/>
          <w:b w:val="0"/>
          <w:bCs/>
          <w:color w:val="auto"/>
          <w:sz w:val="24"/>
          <w:szCs w:val="24"/>
          <w:lang w:val="en-US" w:eastAsia="zh-CN"/>
        </w:rPr>
        <w:t>还</w:t>
      </w:r>
      <w:r>
        <w:rPr>
          <w:rFonts w:hint="eastAsia" w:ascii="宋体" w:hAnsi="宋体" w:eastAsia="宋体" w:cs="宋体"/>
          <w:b w:val="0"/>
          <w:bCs/>
          <w:color w:val="auto"/>
          <w:sz w:val="24"/>
          <w:szCs w:val="24"/>
        </w:rPr>
        <w:t>的医疗器械、空包装销毁。必须由医院进行销毁的试验用医疗器械，申办方在项目启动时出具“临床试验用医疗器械销毁授权书”（见附件11），明确医疗器械可由医院按院方的流程处理。</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2.申办方自行回收并销毁剩余试验用医疗器械（包含受试者使用后剩余和未使用的医疗器械）的，申办方必须在项目启动时承诺，在医疗器械管理员通知回收医疗器械后1个月内由申办方派出人员自行取回剩余医疗器械，否则逾期将按照医院流程销毁。</w:t>
      </w: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3.临床试验</w:t>
      </w:r>
      <w:r>
        <w:rPr>
          <w:rFonts w:hint="eastAsia" w:ascii="宋体" w:hAnsi="宋体" w:eastAsia="宋体" w:cs="宋体"/>
          <w:b w:val="0"/>
          <w:bCs/>
          <w:color w:val="auto"/>
          <w:sz w:val="24"/>
          <w:szCs w:val="24"/>
          <w:lang w:val="en-US" w:eastAsia="zh-CN"/>
        </w:rPr>
        <w:t>机构GCP中心药房</w:t>
      </w:r>
      <w:r>
        <w:rPr>
          <w:rFonts w:hint="eastAsia" w:ascii="宋体" w:hAnsi="宋体" w:eastAsia="宋体" w:cs="宋体"/>
          <w:b w:val="0"/>
          <w:bCs/>
          <w:color w:val="auto"/>
          <w:sz w:val="24"/>
          <w:szCs w:val="24"/>
        </w:rPr>
        <w:t>处理要销毁的剩余医疗器械及空包装时，必须由至少</w:t>
      </w:r>
      <w:r>
        <w:rPr>
          <w:rFonts w:hint="eastAsia" w:ascii="宋体" w:hAnsi="宋体" w:eastAsia="宋体" w:cs="宋体"/>
          <w:b w:val="0"/>
          <w:bCs/>
          <w:color w:val="auto"/>
          <w:sz w:val="24"/>
          <w:szCs w:val="24"/>
          <w:lang w:val="en-US" w:eastAsia="zh-CN"/>
        </w:rPr>
        <w:t>1</w:t>
      </w:r>
      <w:r>
        <w:rPr>
          <w:rFonts w:hint="eastAsia" w:ascii="宋体" w:hAnsi="宋体" w:eastAsia="宋体" w:cs="宋体"/>
          <w:b w:val="0"/>
          <w:bCs/>
          <w:color w:val="auto"/>
          <w:sz w:val="24"/>
          <w:szCs w:val="24"/>
        </w:rPr>
        <w:t>名医疗器械管理员和监查员或者2名医疗器械管理员共同参与，并及时填写“临床试验用医疗器械/包装销毁记录表”（见附件12），保证可以追溯到批号和/或受试者的编号以及实际销毁的数量。</w:t>
      </w:r>
    </w:p>
    <w:p>
      <w:pPr>
        <w:spacing w:line="360" w:lineRule="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四、附件</w:t>
      </w:r>
    </w:p>
    <w:p>
      <w:pPr>
        <w:spacing w:line="360" w:lineRule="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附件1：YYH-SOP-CTC-012-3.1-A01临床试验用医疗器械接收登记表；</w:t>
      </w:r>
    </w:p>
    <w:p>
      <w:pPr>
        <w:spacing w:line="360" w:lineRule="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附件2：YYH-SOP-CTC-012-3.1-A02临床试验用医疗器械出入库记录表；</w:t>
      </w:r>
    </w:p>
    <w:p>
      <w:pPr>
        <w:spacing w:line="360" w:lineRule="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附件3：YYH-SOP-CTC-012-3.1-A03临床试验医疗器械保管室内温度/湿度记录表；</w:t>
      </w:r>
    </w:p>
    <w:p>
      <w:pPr>
        <w:spacing w:line="360" w:lineRule="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附件4：YYH-SOP-CTC-012-3.1-A04临床试验医疗器械储藏冰箱/冰柜温度记录表；</w:t>
      </w:r>
    </w:p>
    <w:p>
      <w:pPr>
        <w:spacing w:line="360" w:lineRule="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附件5：YYH-SOP-CTC-012-3.1-A05应急信件交接记录表；</w:t>
      </w:r>
    </w:p>
    <w:p>
      <w:pPr>
        <w:spacing w:line="360" w:lineRule="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附件6：YYH-SOP-CTC-012-3.1-A06临床试验用医疗器械盘点表；</w:t>
      </w:r>
    </w:p>
    <w:p>
      <w:pPr>
        <w:spacing w:line="360" w:lineRule="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附件7：YYH-SOP-CTC-012-3.1-A07医疗器械临床试验专用处置单；</w:t>
      </w:r>
    </w:p>
    <w:p>
      <w:pPr>
        <w:spacing w:line="360" w:lineRule="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附件8：YYH-SOP-CTC-012-3.1-A08试验用医疗器械请领单；</w:t>
      </w:r>
    </w:p>
    <w:p>
      <w:pPr>
        <w:spacing w:line="360" w:lineRule="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附件9：YYH-SOP-CTC-012-3.1-A09试验医疗器械发放回收记录表；</w:t>
      </w:r>
    </w:p>
    <w:p>
      <w:pPr>
        <w:spacing w:line="360" w:lineRule="auto"/>
        <w:jc w:val="left"/>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rPr>
        <w:t>附件</w:t>
      </w:r>
      <w:r>
        <w:rPr>
          <w:rFonts w:hint="eastAsia" w:ascii="宋体" w:hAnsi="宋体" w:eastAsia="宋体" w:cs="宋体"/>
          <w:b w:val="0"/>
          <w:bCs/>
          <w:color w:val="auto"/>
          <w:sz w:val="24"/>
          <w:szCs w:val="24"/>
          <w:lang w:val="en-US" w:eastAsia="zh-CN"/>
        </w:rPr>
        <w:t>10：YYH-SOP-CTC-012-3.1-A10</w:t>
      </w:r>
      <w:r>
        <w:rPr>
          <w:rFonts w:hint="eastAsia" w:ascii="宋体" w:hAnsi="宋体" w:eastAsia="宋体" w:cs="宋体"/>
          <w:b w:val="0"/>
          <w:bCs/>
          <w:color w:val="auto"/>
          <w:sz w:val="24"/>
          <w:szCs w:val="24"/>
        </w:rPr>
        <w:t>临床试验用医疗器械退还表</w:t>
      </w:r>
      <w:r>
        <w:rPr>
          <w:rFonts w:hint="eastAsia" w:ascii="宋体" w:hAnsi="宋体" w:eastAsia="宋体" w:cs="宋体"/>
          <w:b w:val="0"/>
          <w:bCs/>
          <w:color w:val="auto"/>
          <w:sz w:val="24"/>
          <w:szCs w:val="24"/>
          <w:lang w:eastAsia="zh-CN"/>
        </w:rPr>
        <w:t>；</w:t>
      </w:r>
    </w:p>
    <w:p>
      <w:pPr>
        <w:spacing w:line="360" w:lineRule="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附件11：YYH-SOP-CTC-012-3.1-A11临床试验用医疗器械销毁授权书；</w:t>
      </w:r>
    </w:p>
    <w:p>
      <w:pPr>
        <w:spacing w:line="360" w:lineRule="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附件12：YYH-SOP-CTC-012-3.1-A12临床试验用医疗器械/包装物销毁记录表。</w:t>
      </w:r>
    </w:p>
    <w:p>
      <w:pPr>
        <w:spacing w:line="360" w:lineRule="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附件13：YYH-SOP-CTC-012-3.1-A13临床试验用医疗器械维护保养登记表。</w:t>
      </w:r>
    </w:p>
    <w:p>
      <w:pPr>
        <w:numPr>
          <w:ilvl w:val="0"/>
          <w:numId w:val="62"/>
        </w:numPr>
        <w:spacing w:line="360" w:lineRule="auto"/>
        <w:ind w:left="0" w:leftChars="0" w:firstLine="0" w:firstLineChars="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参考文献</w:t>
      </w:r>
    </w:p>
    <w:p>
      <w:pPr>
        <w:pStyle w:val="36"/>
        <w:keepNext w:val="0"/>
        <w:keepLines w:val="0"/>
        <w:pageBreakBefore w:val="0"/>
        <w:widowControl w:val="0"/>
        <w:numPr>
          <w:ilvl w:val="0"/>
          <w:numId w:val="63"/>
        </w:numPr>
        <w:tabs>
          <w:tab w:val="left" w:pos="2790"/>
        </w:tabs>
        <w:kinsoku/>
        <w:wordWrap w:val="0"/>
        <w:overflowPunct/>
        <w:topLinePunct w:val="0"/>
        <w:autoSpaceDE/>
        <w:autoSpaceDN/>
        <w:bidi w:val="0"/>
        <w:adjustRightInd/>
        <w:snapToGrid/>
        <w:spacing w:line="360" w:lineRule="auto"/>
        <w:ind w:left="0" w:firstLine="0" w:firstLineChars="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国家药品监督管理局，国家卫生健康委员会. 关于发布《医疗器械临床试验质量管理规范》的公告（2022年第28号）.[2022-03-31]. https://www.nmpa.gov.cn/xxgk/ggtg/qtggtg/20220331144903101.html.</w:t>
      </w:r>
    </w:p>
    <w:p>
      <w:pPr>
        <w:pStyle w:val="36"/>
        <w:keepNext w:val="0"/>
        <w:keepLines w:val="0"/>
        <w:pageBreakBefore w:val="0"/>
        <w:widowControl w:val="0"/>
        <w:numPr>
          <w:ilvl w:val="0"/>
          <w:numId w:val="63"/>
        </w:numPr>
        <w:tabs>
          <w:tab w:val="left" w:pos="2790"/>
        </w:tabs>
        <w:kinsoku/>
        <w:wordWrap w:val="0"/>
        <w:overflowPunct/>
        <w:topLinePunct w:val="0"/>
        <w:autoSpaceDE/>
        <w:autoSpaceDN/>
        <w:bidi w:val="0"/>
        <w:adjustRightInd/>
        <w:snapToGrid/>
        <w:spacing w:line="360" w:lineRule="auto"/>
        <w:ind w:left="0" w:firstLine="0" w:firstLineChars="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王白璐. 医疗器械临床试验机构操作手册 [M]. 北京：人民卫生出版社，2022.</w:t>
      </w:r>
    </w:p>
    <w:p>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 中华人民共和国国务院.医疗器械监督管理条例（中华人民共和国国务院令第739号）</w:t>
      </w:r>
      <w:r>
        <w:rPr>
          <w:rFonts w:hint="eastAsia" w:ascii="宋体" w:hAnsi="宋体" w:eastAsia="宋体" w:cs="宋体"/>
          <w:b w:val="0"/>
          <w:bCs/>
          <w:color w:val="auto"/>
          <w:sz w:val="24"/>
          <w:szCs w:val="24"/>
          <w:lang w:val="en-US" w:eastAsia="zh-CN"/>
        </w:rPr>
        <w:t>[2021-03-19]</w:t>
      </w:r>
      <w:r>
        <w:rPr>
          <w:rFonts w:hint="eastAsia" w:ascii="宋体" w:hAnsi="宋体" w:eastAsia="宋体" w:cs="宋体"/>
          <w:b w:val="0"/>
          <w:bCs/>
          <w:color w:val="auto"/>
          <w:sz w:val="24"/>
          <w:szCs w:val="24"/>
        </w:rPr>
        <w:t>.https://www.nmpa.gov.cn/xxgk/fgwj/flxzhfg/20210319202057136.html</w:t>
      </w:r>
    </w:p>
    <w:p>
      <w:pPr>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rPr>
        <w:t>] 国家食品药品监督管理局. 医疗器械说明书和标签管理规定（局令第6号）. 2014.</w:t>
      </w:r>
    </w:p>
    <w:p>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Theme="minorEastAsia" w:hAnsiTheme="minorEastAsia" w:cstheme="minorEastAsia"/>
          <w:b w:val="0"/>
          <w:bCs/>
          <w:color w:val="auto"/>
          <w:sz w:val="24"/>
          <w:szCs w:val="24"/>
        </w:rPr>
      </w:pP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val="en-US" w:eastAsia="zh-CN"/>
        </w:rPr>
        <w:t>5</w:t>
      </w:r>
      <w:r>
        <w:rPr>
          <w:rFonts w:hint="eastAsia" w:ascii="宋体" w:hAnsi="宋体" w:eastAsia="宋体" w:cs="宋体"/>
          <w:b w:val="0"/>
          <w:bCs/>
          <w:color w:val="auto"/>
          <w:sz w:val="24"/>
          <w:szCs w:val="24"/>
        </w:rPr>
        <w:t>] 国家市场监督管理总局. 医疗器械注册与备案管理办法（局令第47号）.</w:t>
      </w:r>
      <w:r>
        <w:rPr>
          <w:rFonts w:hint="eastAsia" w:ascii="宋体" w:hAnsi="宋体" w:eastAsia="宋体" w:cs="宋体"/>
          <w:b w:val="0"/>
          <w:bCs/>
          <w:color w:val="auto"/>
          <w:sz w:val="24"/>
          <w:szCs w:val="24"/>
          <w:lang w:val="en-US" w:eastAsia="zh-CN"/>
        </w:rPr>
        <w:t>[2021-08-31]. https://www.samr.gov.cn/zw/zfxxgk/fdzdgknr/fgs/art/2023/art_568880e3ee344c45b38d073bba1c53ad.html</w:t>
      </w:r>
    </w:p>
    <w:p>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Theme="minorEastAsia" w:hAnsiTheme="minorEastAsia" w:cstheme="minorEastAsia"/>
          <w:b w:val="0"/>
          <w:bCs/>
          <w:color w:val="auto"/>
          <w:sz w:val="24"/>
          <w:szCs w:val="24"/>
        </w:rPr>
      </w:pPr>
    </w:p>
    <w:p>
      <w:pPr>
        <w:spacing w:line="360" w:lineRule="auto"/>
        <w:rPr>
          <w:rFonts w:hint="eastAsia" w:asciiTheme="minorEastAsia" w:hAnsiTheme="minorEastAsia" w:cstheme="minorEastAsia"/>
          <w:b w:val="0"/>
          <w:bCs/>
          <w:color w:val="auto"/>
          <w:sz w:val="24"/>
          <w:szCs w:val="24"/>
        </w:rPr>
      </w:pPr>
    </w:p>
    <w:p>
      <w:pPr>
        <w:spacing w:line="360" w:lineRule="auto"/>
        <w:rPr>
          <w:rFonts w:hint="eastAsia" w:asciiTheme="minorEastAsia" w:hAnsiTheme="minorEastAsia" w:cstheme="minorEastAsia"/>
          <w:b w:val="0"/>
          <w:bCs/>
          <w:color w:val="auto"/>
          <w:sz w:val="24"/>
          <w:szCs w:val="24"/>
        </w:rPr>
      </w:pPr>
    </w:p>
    <w:p>
      <w:pPr>
        <w:spacing w:line="360" w:lineRule="auto"/>
        <w:rPr>
          <w:rFonts w:hint="eastAsia" w:asciiTheme="minorEastAsia" w:hAnsiTheme="minorEastAsia" w:cstheme="minorEastAsia"/>
          <w:b w:val="0"/>
          <w:bCs/>
          <w:color w:val="auto"/>
          <w:sz w:val="24"/>
          <w:szCs w:val="24"/>
        </w:rPr>
      </w:pPr>
    </w:p>
    <w:p>
      <w:pPr>
        <w:spacing w:line="360" w:lineRule="auto"/>
        <w:rPr>
          <w:rFonts w:ascii="黑体" w:hAnsi="黑体" w:eastAsia="黑体" w:cs="宋体"/>
          <w:b w:val="0"/>
          <w:bCs/>
          <w:color w:val="auto"/>
          <w:sz w:val="24"/>
          <w:szCs w:val="24"/>
        </w:rPr>
        <w:sectPr>
          <w:headerReference r:id="rId106" w:type="default"/>
          <w:footerReference r:id="rId107" w:type="default"/>
          <w:pgSz w:w="11907" w:h="16840"/>
          <w:pgMar w:top="1417" w:right="1191" w:bottom="1474" w:left="1474" w:header="0" w:footer="992" w:gutter="0"/>
          <w:pgBorders>
            <w:top w:val="none" w:sz="0" w:space="0"/>
            <w:left w:val="none" w:sz="0" w:space="0"/>
            <w:bottom w:val="none" w:sz="0" w:space="0"/>
            <w:right w:val="none" w:sz="0" w:space="0"/>
          </w:pgBorders>
          <w:pgNumType w:fmt="decimal" w:start="1"/>
          <w:cols w:space="720" w:num="1"/>
          <w:docGrid w:linePitch="286" w:charSpace="0"/>
        </w:sectPr>
      </w:pP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附件</w:t>
      </w:r>
      <w:r>
        <w:rPr>
          <w:rFonts w:hint="eastAsia" w:ascii="宋体" w:hAnsi="宋体" w:eastAsia="宋体" w:cs="宋体"/>
          <w:b w:val="0"/>
          <w:bCs/>
          <w:color w:val="auto"/>
          <w:sz w:val="24"/>
          <w:szCs w:val="24"/>
          <w:lang w:val="en-US" w:eastAsia="zh-CN"/>
        </w:rPr>
        <w:t>1：YYH-SOP-CTC-012-3.1-A01</w:t>
      </w:r>
      <w:r>
        <w:rPr>
          <w:rFonts w:hint="eastAsia" w:ascii="宋体" w:hAnsi="宋体" w:eastAsia="宋体" w:cs="宋体"/>
          <w:b w:val="0"/>
          <w:bCs/>
          <w:color w:val="auto"/>
          <w:sz w:val="24"/>
          <w:szCs w:val="24"/>
        </w:rPr>
        <w:t>临床试验用医疗器械接收登记表</w:t>
      </w:r>
    </w:p>
    <w:p>
      <w:pPr>
        <w:spacing w:line="360" w:lineRule="auto"/>
        <w:ind w:firstLine="5280" w:firstLineChars="2200"/>
        <w:rPr>
          <w:rFonts w:hint="eastAsia"/>
          <w:b w:val="0"/>
          <w:bCs/>
          <w:color w:val="auto"/>
          <w:sz w:val="24"/>
          <w:szCs w:val="24"/>
        </w:rPr>
      </w:pPr>
      <w:r>
        <w:rPr>
          <w:rFonts w:hint="eastAsia"/>
          <w:b w:val="0"/>
          <w:bCs/>
          <w:color w:val="auto"/>
          <w:sz w:val="24"/>
          <w:szCs w:val="24"/>
        </w:rPr>
        <w:t>临床试验用医疗器械接收登记表</w:t>
      </w:r>
    </w:p>
    <w:p>
      <w:pPr>
        <w:widowControl/>
        <w:shd w:val="clear" w:color="auto" w:fill="FFFFFF"/>
        <w:spacing w:line="360" w:lineRule="auto"/>
        <w:rPr>
          <w:rFonts w:hint="eastAsia" w:ascii="宋体" w:hAnsi="宋体"/>
          <w:b w:val="0"/>
          <w:bCs/>
          <w:color w:val="auto"/>
          <w:kern w:val="0"/>
          <w:sz w:val="21"/>
          <w:szCs w:val="21"/>
          <w:u w:val="single"/>
        </w:rPr>
      </w:pPr>
      <w:r>
        <w:rPr>
          <w:rFonts w:hint="eastAsia" w:ascii="宋体" w:hAnsi="宋体"/>
          <w:b w:val="0"/>
          <w:bCs/>
          <w:color w:val="auto"/>
          <w:kern w:val="0"/>
          <w:sz w:val="21"/>
          <w:szCs w:val="21"/>
        </w:rPr>
        <w:t>试验名称/方案编号：</w:t>
      </w:r>
      <w:r>
        <w:rPr>
          <w:rFonts w:hint="eastAsia" w:ascii="宋体" w:hAnsi="宋体"/>
          <w:b w:val="0"/>
          <w:bCs/>
          <w:color w:val="auto"/>
          <w:kern w:val="0"/>
          <w:sz w:val="21"/>
          <w:szCs w:val="21"/>
          <w:u w:val="single"/>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ascii="宋体" w:hAnsi="宋体"/>
          <w:b w:val="0"/>
          <w:bCs/>
          <w:color w:val="auto"/>
          <w:kern w:val="0"/>
          <w:sz w:val="21"/>
          <w:szCs w:val="21"/>
          <w:u w:val="single"/>
        </w:rPr>
      </w:pPr>
      <w:r>
        <w:rPr>
          <w:rFonts w:hint="eastAsia" w:ascii="宋体" w:hAnsi="宋体"/>
          <w:b w:val="0"/>
          <w:bCs/>
          <w:color w:val="auto"/>
          <w:kern w:val="0"/>
          <w:sz w:val="21"/>
          <w:szCs w:val="21"/>
        </w:rPr>
        <w:t>机构名称：</w:t>
      </w:r>
      <w:r>
        <w:rPr>
          <w:rFonts w:hint="eastAsia"/>
          <w:b w:val="0"/>
          <w:bCs/>
          <w:color w:val="auto"/>
          <w:sz w:val="21"/>
          <w:szCs w:val="21"/>
        </w:rPr>
        <w:t>沂源县人民医院药物</w:t>
      </w:r>
      <w:r>
        <w:rPr>
          <w:rFonts w:hint="eastAsia"/>
          <w:b w:val="0"/>
          <w:bCs/>
          <w:color w:val="auto"/>
          <w:sz w:val="21"/>
          <w:szCs w:val="21"/>
          <w:lang w:val="en-US" w:eastAsia="zh-CN"/>
        </w:rPr>
        <w:t>/医疗器械</w:t>
      </w:r>
      <w:r>
        <w:rPr>
          <w:rFonts w:hint="eastAsia"/>
          <w:b w:val="0"/>
          <w:bCs/>
          <w:color w:val="auto"/>
          <w:sz w:val="21"/>
          <w:szCs w:val="21"/>
        </w:rPr>
        <w:t>临床试验机构</w:t>
      </w:r>
      <w:r>
        <w:rPr>
          <w:rFonts w:hint="eastAsia" w:ascii="宋体" w:hAnsi="宋体"/>
          <w:b w:val="0"/>
          <w:bCs/>
          <w:color w:val="auto"/>
          <w:kern w:val="0"/>
          <w:sz w:val="21"/>
          <w:szCs w:val="21"/>
        </w:rPr>
        <w:t xml:space="preserve">             主要研究者：</w:t>
      </w:r>
      <w:r>
        <w:rPr>
          <w:rFonts w:hint="eastAsia" w:ascii="宋体" w:hAnsi="宋体"/>
          <w:b w:val="0"/>
          <w:bCs/>
          <w:color w:val="auto"/>
          <w:kern w:val="0"/>
          <w:sz w:val="21"/>
          <w:szCs w:val="21"/>
          <w:u w:val="single"/>
        </w:rPr>
        <w:t xml:space="preserve">             </w:t>
      </w:r>
      <w:r>
        <w:rPr>
          <w:rFonts w:hint="eastAsia" w:ascii="宋体" w:hAnsi="宋体"/>
          <w:b w:val="0"/>
          <w:bCs/>
          <w:color w:val="auto"/>
          <w:kern w:val="0"/>
          <w:sz w:val="21"/>
          <w:szCs w:val="21"/>
        </w:rPr>
        <w:t xml:space="preserve">  申办者：</w:t>
      </w:r>
      <w:r>
        <w:rPr>
          <w:rFonts w:hint="eastAsia" w:ascii="宋体" w:hAnsi="宋体"/>
          <w:b w:val="0"/>
          <w:bCs/>
          <w:color w:val="auto"/>
          <w:kern w:val="0"/>
          <w:sz w:val="21"/>
          <w:szCs w:val="21"/>
          <w:u w:val="single"/>
        </w:rPr>
        <w:t xml:space="preserve">                              </w:t>
      </w:r>
    </w:p>
    <w:tbl>
      <w:tblPr>
        <w:tblStyle w:val="27"/>
        <w:tblpPr w:leftFromText="180" w:rightFromText="180" w:vertAnchor="text" w:horzAnchor="margin" w:tblpXSpec="center" w:tblpY="15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0"/>
        <w:gridCol w:w="1419"/>
        <w:gridCol w:w="1097"/>
        <w:gridCol w:w="981"/>
        <w:gridCol w:w="1094"/>
        <w:gridCol w:w="1641"/>
        <w:gridCol w:w="1644"/>
        <w:gridCol w:w="1859"/>
        <w:gridCol w:w="2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778" w:type="pct"/>
            <w:vAlign w:val="center"/>
          </w:tcPr>
          <w:p>
            <w:pPr>
              <w:jc w:val="center"/>
              <w:rPr>
                <w:rFonts w:hint="eastAsia" w:ascii="宋体" w:hAnsi="宋体"/>
                <w:b w:val="0"/>
                <w:bCs/>
                <w:color w:val="auto"/>
                <w:kern w:val="0"/>
                <w:sz w:val="21"/>
                <w:szCs w:val="21"/>
              </w:rPr>
            </w:pPr>
            <w:r>
              <w:rPr>
                <w:rFonts w:hint="eastAsia"/>
                <w:b w:val="0"/>
                <w:bCs/>
                <w:color w:val="auto"/>
                <w:szCs w:val="21"/>
              </w:rPr>
              <w:t>医疗器械名称</w:t>
            </w:r>
          </w:p>
        </w:tc>
        <w:tc>
          <w:tcPr>
            <w:tcW w:w="480" w:type="pct"/>
            <w:vAlign w:val="center"/>
          </w:tcPr>
          <w:p>
            <w:pPr>
              <w:jc w:val="center"/>
              <w:rPr>
                <w:b w:val="0"/>
                <w:bCs/>
                <w:color w:val="auto"/>
                <w:szCs w:val="21"/>
              </w:rPr>
            </w:pPr>
            <w:r>
              <w:rPr>
                <w:rFonts w:hint="eastAsia"/>
                <w:b w:val="0"/>
                <w:bCs/>
                <w:color w:val="auto"/>
                <w:szCs w:val="21"/>
              </w:rPr>
              <w:t>医疗器械</w:t>
            </w:r>
          </w:p>
          <w:p>
            <w:pPr>
              <w:jc w:val="center"/>
              <w:rPr>
                <w:rFonts w:hint="eastAsia" w:ascii="宋体" w:hAnsi="宋体"/>
                <w:b w:val="0"/>
                <w:bCs/>
                <w:color w:val="auto"/>
                <w:kern w:val="0"/>
                <w:sz w:val="21"/>
                <w:szCs w:val="21"/>
              </w:rPr>
            </w:pPr>
            <w:r>
              <w:rPr>
                <w:rFonts w:hint="eastAsia"/>
                <w:b w:val="0"/>
                <w:bCs/>
                <w:color w:val="auto"/>
                <w:szCs w:val="21"/>
              </w:rPr>
              <w:t>编</w:t>
            </w:r>
            <w:r>
              <w:rPr>
                <w:rFonts w:hint="eastAsia"/>
                <w:b w:val="0"/>
                <w:bCs/>
                <w:color w:val="auto"/>
                <w:szCs w:val="21"/>
                <w:lang w:val="en-US" w:eastAsia="zh-CN"/>
              </w:rPr>
              <w:t>号</w:t>
            </w:r>
          </w:p>
        </w:tc>
        <w:tc>
          <w:tcPr>
            <w:tcW w:w="371" w:type="pct"/>
            <w:vAlign w:val="center"/>
          </w:tcPr>
          <w:p>
            <w:pPr>
              <w:jc w:val="center"/>
              <w:rPr>
                <w:rFonts w:hint="eastAsia" w:ascii="宋体" w:hAnsi="宋体"/>
                <w:b w:val="0"/>
                <w:bCs/>
                <w:color w:val="auto"/>
                <w:kern w:val="0"/>
                <w:sz w:val="21"/>
                <w:szCs w:val="21"/>
              </w:rPr>
            </w:pPr>
            <w:r>
              <w:rPr>
                <w:rFonts w:hint="eastAsia"/>
                <w:b w:val="0"/>
                <w:bCs/>
                <w:color w:val="auto"/>
                <w:szCs w:val="21"/>
              </w:rPr>
              <w:t>批号</w:t>
            </w:r>
          </w:p>
        </w:tc>
        <w:tc>
          <w:tcPr>
            <w:tcW w:w="332" w:type="pct"/>
            <w:vAlign w:val="center"/>
          </w:tcPr>
          <w:p>
            <w:pPr>
              <w:jc w:val="center"/>
              <w:rPr>
                <w:rFonts w:hint="eastAsia" w:ascii="宋体" w:hAnsi="宋体"/>
                <w:b w:val="0"/>
                <w:bCs/>
                <w:color w:val="auto"/>
                <w:kern w:val="0"/>
                <w:sz w:val="21"/>
                <w:szCs w:val="21"/>
              </w:rPr>
            </w:pPr>
            <w:r>
              <w:rPr>
                <w:rFonts w:hint="eastAsia"/>
                <w:b w:val="0"/>
                <w:bCs/>
                <w:color w:val="auto"/>
                <w:szCs w:val="21"/>
                <w:lang w:val="en-US" w:eastAsia="zh-CN"/>
              </w:rPr>
              <w:t>生产日期</w:t>
            </w:r>
          </w:p>
        </w:tc>
        <w:tc>
          <w:tcPr>
            <w:tcW w:w="370" w:type="pct"/>
            <w:vAlign w:val="center"/>
          </w:tcPr>
          <w:p>
            <w:pPr>
              <w:jc w:val="center"/>
              <w:rPr>
                <w:rFonts w:hint="eastAsia" w:ascii="宋体" w:hAnsi="宋体"/>
                <w:b w:val="0"/>
                <w:bCs/>
                <w:color w:val="auto"/>
                <w:kern w:val="0"/>
                <w:sz w:val="21"/>
                <w:szCs w:val="21"/>
              </w:rPr>
            </w:pPr>
            <w:r>
              <w:rPr>
                <w:rFonts w:hint="eastAsia"/>
                <w:b w:val="0"/>
                <w:bCs/>
                <w:color w:val="auto"/>
                <w:szCs w:val="21"/>
              </w:rPr>
              <w:t>有效期</w:t>
            </w:r>
          </w:p>
        </w:tc>
        <w:tc>
          <w:tcPr>
            <w:tcW w:w="555" w:type="pct"/>
            <w:vAlign w:val="center"/>
          </w:tcPr>
          <w:p>
            <w:pPr>
              <w:jc w:val="center"/>
              <w:rPr>
                <w:rFonts w:hint="eastAsia" w:ascii="宋体" w:hAnsi="宋体"/>
                <w:b w:val="0"/>
                <w:bCs/>
                <w:color w:val="auto"/>
                <w:kern w:val="0"/>
                <w:sz w:val="21"/>
                <w:szCs w:val="21"/>
              </w:rPr>
            </w:pPr>
            <w:r>
              <w:rPr>
                <w:rFonts w:hint="eastAsia"/>
                <w:b w:val="0"/>
                <w:bCs/>
                <w:color w:val="auto"/>
                <w:szCs w:val="21"/>
              </w:rPr>
              <w:t>型号</w:t>
            </w:r>
          </w:p>
        </w:tc>
        <w:tc>
          <w:tcPr>
            <w:tcW w:w="556" w:type="pct"/>
            <w:vAlign w:val="center"/>
          </w:tcPr>
          <w:p>
            <w:pPr>
              <w:jc w:val="center"/>
              <w:rPr>
                <w:rFonts w:hint="eastAsia" w:ascii="宋体" w:hAnsi="宋体"/>
                <w:b w:val="0"/>
                <w:bCs/>
                <w:color w:val="auto"/>
                <w:kern w:val="0"/>
                <w:sz w:val="21"/>
                <w:szCs w:val="21"/>
              </w:rPr>
            </w:pPr>
            <w:r>
              <w:rPr>
                <w:rFonts w:hint="eastAsia"/>
                <w:b w:val="0"/>
                <w:bCs/>
                <w:color w:val="auto"/>
                <w:szCs w:val="21"/>
              </w:rPr>
              <w:t>规格</w:t>
            </w:r>
          </w:p>
        </w:tc>
        <w:tc>
          <w:tcPr>
            <w:tcW w:w="629" w:type="pct"/>
            <w:vAlign w:val="center"/>
          </w:tcPr>
          <w:p>
            <w:pPr>
              <w:jc w:val="center"/>
              <w:rPr>
                <w:rFonts w:hint="eastAsia" w:ascii="宋体" w:hAnsi="宋体"/>
                <w:b w:val="0"/>
                <w:bCs/>
                <w:color w:val="auto"/>
                <w:kern w:val="0"/>
                <w:sz w:val="21"/>
                <w:szCs w:val="21"/>
              </w:rPr>
            </w:pPr>
            <w:r>
              <w:rPr>
                <w:rFonts w:hint="eastAsia"/>
                <w:b w:val="0"/>
                <w:bCs/>
                <w:color w:val="auto"/>
                <w:szCs w:val="21"/>
              </w:rPr>
              <w:t>数量</w:t>
            </w:r>
          </w:p>
        </w:tc>
        <w:tc>
          <w:tcPr>
            <w:tcW w:w="926" w:type="pct"/>
            <w:vAlign w:val="center"/>
          </w:tcPr>
          <w:p>
            <w:pPr>
              <w:jc w:val="center"/>
              <w:rPr>
                <w:rFonts w:hint="eastAsia" w:ascii="宋体" w:hAnsi="宋体"/>
                <w:b w:val="0"/>
                <w:bCs/>
                <w:color w:val="auto"/>
                <w:kern w:val="0"/>
                <w:sz w:val="21"/>
                <w:szCs w:val="21"/>
              </w:rPr>
            </w:pPr>
            <w:r>
              <w:rPr>
                <w:rFonts w:hint="eastAsia"/>
                <w:b w:val="0"/>
                <w:bCs/>
                <w:color w:val="auto"/>
                <w:szCs w:val="21"/>
                <w:lang w:val="en-US" w:eastAsia="zh-CN"/>
              </w:rPr>
              <w:t>储藏</w:t>
            </w:r>
            <w:r>
              <w:rPr>
                <w:rFonts w:hint="eastAsia"/>
                <w:b w:val="0"/>
                <w:bCs/>
                <w:color w:val="auto"/>
                <w:szCs w:val="21"/>
              </w:rPr>
              <w:t>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78" w:type="pct"/>
            <w:vAlign w:val="top"/>
          </w:tcPr>
          <w:p>
            <w:pPr>
              <w:widowControl/>
              <w:spacing w:line="360" w:lineRule="auto"/>
              <w:jc w:val="center"/>
              <w:rPr>
                <w:rFonts w:hint="eastAsia" w:ascii="宋体" w:hAnsi="宋体"/>
                <w:b w:val="0"/>
                <w:bCs/>
                <w:color w:val="auto"/>
                <w:kern w:val="0"/>
                <w:sz w:val="21"/>
                <w:szCs w:val="21"/>
              </w:rPr>
            </w:pPr>
          </w:p>
        </w:tc>
        <w:tc>
          <w:tcPr>
            <w:tcW w:w="480" w:type="pct"/>
            <w:vAlign w:val="top"/>
          </w:tcPr>
          <w:p>
            <w:pPr>
              <w:widowControl/>
              <w:spacing w:line="360" w:lineRule="auto"/>
              <w:jc w:val="center"/>
              <w:rPr>
                <w:rFonts w:hint="eastAsia" w:ascii="宋体" w:hAnsi="宋体"/>
                <w:b w:val="0"/>
                <w:bCs/>
                <w:color w:val="auto"/>
                <w:kern w:val="0"/>
                <w:sz w:val="21"/>
                <w:szCs w:val="21"/>
              </w:rPr>
            </w:pPr>
          </w:p>
        </w:tc>
        <w:tc>
          <w:tcPr>
            <w:tcW w:w="371" w:type="pct"/>
            <w:vAlign w:val="top"/>
          </w:tcPr>
          <w:p>
            <w:pPr>
              <w:widowControl/>
              <w:spacing w:line="360" w:lineRule="auto"/>
              <w:jc w:val="center"/>
              <w:rPr>
                <w:rFonts w:hint="eastAsia" w:ascii="宋体" w:hAnsi="宋体"/>
                <w:b w:val="0"/>
                <w:bCs/>
                <w:color w:val="auto"/>
                <w:kern w:val="0"/>
                <w:sz w:val="21"/>
                <w:szCs w:val="21"/>
              </w:rPr>
            </w:pPr>
          </w:p>
        </w:tc>
        <w:tc>
          <w:tcPr>
            <w:tcW w:w="332" w:type="pct"/>
            <w:vAlign w:val="top"/>
          </w:tcPr>
          <w:p>
            <w:pPr>
              <w:widowControl/>
              <w:spacing w:line="360" w:lineRule="auto"/>
              <w:jc w:val="center"/>
              <w:rPr>
                <w:rFonts w:hint="eastAsia" w:ascii="宋体" w:hAnsi="宋体"/>
                <w:b w:val="0"/>
                <w:bCs/>
                <w:color w:val="auto"/>
                <w:kern w:val="0"/>
                <w:sz w:val="21"/>
                <w:szCs w:val="21"/>
              </w:rPr>
            </w:pPr>
          </w:p>
        </w:tc>
        <w:tc>
          <w:tcPr>
            <w:tcW w:w="370" w:type="pct"/>
            <w:vAlign w:val="top"/>
          </w:tcPr>
          <w:p>
            <w:pPr>
              <w:widowControl/>
              <w:spacing w:line="360" w:lineRule="auto"/>
              <w:jc w:val="center"/>
              <w:rPr>
                <w:rFonts w:hint="eastAsia" w:ascii="宋体" w:hAnsi="宋体"/>
                <w:b w:val="0"/>
                <w:bCs/>
                <w:color w:val="auto"/>
                <w:kern w:val="0"/>
                <w:sz w:val="21"/>
                <w:szCs w:val="21"/>
              </w:rPr>
            </w:pPr>
          </w:p>
        </w:tc>
        <w:tc>
          <w:tcPr>
            <w:tcW w:w="555" w:type="pct"/>
            <w:vAlign w:val="top"/>
          </w:tcPr>
          <w:p>
            <w:pPr>
              <w:widowControl/>
              <w:spacing w:line="360" w:lineRule="auto"/>
              <w:jc w:val="center"/>
              <w:rPr>
                <w:rFonts w:hint="eastAsia" w:ascii="宋体" w:hAnsi="宋体"/>
                <w:b w:val="0"/>
                <w:bCs/>
                <w:color w:val="auto"/>
                <w:kern w:val="0"/>
                <w:sz w:val="21"/>
                <w:szCs w:val="21"/>
              </w:rPr>
            </w:pPr>
          </w:p>
        </w:tc>
        <w:tc>
          <w:tcPr>
            <w:tcW w:w="556" w:type="pct"/>
            <w:vAlign w:val="top"/>
          </w:tcPr>
          <w:p>
            <w:pPr>
              <w:widowControl/>
              <w:spacing w:line="360" w:lineRule="auto"/>
              <w:jc w:val="center"/>
              <w:rPr>
                <w:rFonts w:hint="eastAsia" w:ascii="宋体" w:hAnsi="宋体"/>
                <w:b w:val="0"/>
                <w:bCs/>
                <w:color w:val="auto"/>
                <w:kern w:val="0"/>
                <w:sz w:val="21"/>
                <w:szCs w:val="21"/>
              </w:rPr>
            </w:pPr>
          </w:p>
        </w:tc>
        <w:tc>
          <w:tcPr>
            <w:tcW w:w="629" w:type="pct"/>
            <w:vAlign w:val="top"/>
          </w:tcPr>
          <w:p>
            <w:pPr>
              <w:widowControl/>
              <w:spacing w:line="360" w:lineRule="auto"/>
              <w:jc w:val="center"/>
              <w:rPr>
                <w:rFonts w:hint="eastAsia" w:ascii="宋体" w:hAnsi="宋体"/>
                <w:b w:val="0"/>
                <w:bCs/>
                <w:color w:val="auto"/>
                <w:kern w:val="0"/>
                <w:sz w:val="21"/>
                <w:szCs w:val="21"/>
              </w:rPr>
            </w:pPr>
          </w:p>
        </w:tc>
        <w:tc>
          <w:tcPr>
            <w:tcW w:w="926" w:type="pct"/>
            <w:vAlign w:val="center"/>
          </w:tcPr>
          <w:p>
            <w:pPr>
              <w:widowControl/>
              <w:spacing w:line="360" w:lineRule="auto"/>
              <w:jc w:val="center"/>
              <w:rPr>
                <w:rFonts w:hint="eastAsia" w:ascii="宋体" w:hAnsi="宋体"/>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78" w:type="pct"/>
            <w:vAlign w:val="top"/>
          </w:tcPr>
          <w:p>
            <w:pPr>
              <w:widowControl/>
              <w:spacing w:line="360" w:lineRule="auto"/>
              <w:jc w:val="center"/>
              <w:rPr>
                <w:rFonts w:hint="eastAsia" w:ascii="宋体" w:hAnsi="宋体"/>
                <w:b w:val="0"/>
                <w:bCs/>
                <w:color w:val="auto"/>
                <w:sz w:val="21"/>
                <w:szCs w:val="21"/>
              </w:rPr>
            </w:pPr>
          </w:p>
        </w:tc>
        <w:tc>
          <w:tcPr>
            <w:tcW w:w="480" w:type="pct"/>
            <w:vAlign w:val="top"/>
          </w:tcPr>
          <w:p>
            <w:pPr>
              <w:widowControl/>
              <w:spacing w:line="360" w:lineRule="auto"/>
              <w:jc w:val="center"/>
              <w:rPr>
                <w:rFonts w:hint="eastAsia" w:ascii="宋体" w:hAnsi="宋体"/>
                <w:b w:val="0"/>
                <w:bCs/>
                <w:color w:val="auto"/>
                <w:kern w:val="0"/>
                <w:sz w:val="21"/>
                <w:szCs w:val="21"/>
              </w:rPr>
            </w:pPr>
          </w:p>
        </w:tc>
        <w:tc>
          <w:tcPr>
            <w:tcW w:w="371" w:type="pct"/>
            <w:vAlign w:val="top"/>
          </w:tcPr>
          <w:p>
            <w:pPr>
              <w:widowControl/>
              <w:spacing w:line="360" w:lineRule="auto"/>
              <w:jc w:val="center"/>
              <w:rPr>
                <w:rFonts w:hint="eastAsia" w:ascii="宋体" w:hAnsi="宋体"/>
                <w:b w:val="0"/>
                <w:bCs/>
                <w:color w:val="auto"/>
                <w:kern w:val="0"/>
                <w:sz w:val="21"/>
                <w:szCs w:val="21"/>
              </w:rPr>
            </w:pPr>
          </w:p>
        </w:tc>
        <w:tc>
          <w:tcPr>
            <w:tcW w:w="332" w:type="pct"/>
            <w:vAlign w:val="top"/>
          </w:tcPr>
          <w:p>
            <w:pPr>
              <w:widowControl/>
              <w:spacing w:line="360" w:lineRule="auto"/>
              <w:jc w:val="center"/>
              <w:rPr>
                <w:rFonts w:hint="eastAsia" w:ascii="宋体" w:hAnsi="宋体"/>
                <w:b w:val="0"/>
                <w:bCs/>
                <w:color w:val="auto"/>
                <w:kern w:val="0"/>
                <w:sz w:val="21"/>
                <w:szCs w:val="21"/>
              </w:rPr>
            </w:pPr>
          </w:p>
        </w:tc>
        <w:tc>
          <w:tcPr>
            <w:tcW w:w="370" w:type="pct"/>
            <w:vAlign w:val="top"/>
          </w:tcPr>
          <w:p>
            <w:pPr>
              <w:widowControl/>
              <w:spacing w:line="360" w:lineRule="auto"/>
              <w:jc w:val="center"/>
              <w:rPr>
                <w:rFonts w:hint="eastAsia" w:ascii="宋体" w:hAnsi="宋体"/>
                <w:b w:val="0"/>
                <w:bCs/>
                <w:color w:val="auto"/>
                <w:kern w:val="0"/>
                <w:sz w:val="21"/>
                <w:szCs w:val="21"/>
              </w:rPr>
            </w:pPr>
          </w:p>
        </w:tc>
        <w:tc>
          <w:tcPr>
            <w:tcW w:w="555" w:type="pct"/>
            <w:vAlign w:val="top"/>
          </w:tcPr>
          <w:p>
            <w:pPr>
              <w:widowControl/>
              <w:spacing w:line="360" w:lineRule="auto"/>
              <w:jc w:val="center"/>
              <w:rPr>
                <w:rFonts w:hint="eastAsia" w:ascii="宋体" w:hAnsi="宋体"/>
                <w:b w:val="0"/>
                <w:bCs/>
                <w:color w:val="auto"/>
                <w:kern w:val="0"/>
                <w:sz w:val="21"/>
                <w:szCs w:val="21"/>
              </w:rPr>
            </w:pPr>
          </w:p>
        </w:tc>
        <w:tc>
          <w:tcPr>
            <w:tcW w:w="556" w:type="pct"/>
            <w:vAlign w:val="top"/>
          </w:tcPr>
          <w:p>
            <w:pPr>
              <w:widowControl/>
              <w:spacing w:line="360" w:lineRule="auto"/>
              <w:jc w:val="center"/>
              <w:rPr>
                <w:rFonts w:hint="eastAsia" w:ascii="宋体" w:hAnsi="宋体"/>
                <w:b w:val="0"/>
                <w:bCs/>
                <w:color w:val="auto"/>
                <w:kern w:val="0"/>
                <w:sz w:val="21"/>
                <w:szCs w:val="21"/>
              </w:rPr>
            </w:pPr>
          </w:p>
        </w:tc>
        <w:tc>
          <w:tcPr>
            <w:tcW w:w="629" w:type="pct"/>
            <w:vAlign w:val="top"/>
          </w:tcPr>
          <w:p>
            <w:pPr>
              <w:widowControl/>
              <w:spacing w:line="360" w:lineRule="auto"/>
              <w:jc w:val="center"/>
              <w:rPr>
                <w:rFonts w:hint="eastAsia" w:ascii="宋体" w:hAnsi="宋体"/>
                <w:b w:val="0"/>
                <w:bCs/>
                <w:color w:val="auto"/>
                <w:kern w:val="0"/>
                <w:sz w:val="21"/>
                <w:szCs w:val="21"/>
              </w:rPr>
            </w:pPr>
          </w:p>
        </w:tc>
        <w:tc>
          <w:tcPr>
            <w:tcW w:w="926" w:type="pct"/>
            <w:vAlign w:val="top"/>
          </w:tcPr>
          <w:p>
            <w:pPr>
              <w:widowControl/>
              <w:spacing w:line="360" w:lineRule="auto"/>
              <w:jc w:val="center"/>
              <w:rPr>
                <w:rFonts w:hint="eastAsia" w:ascii="宋体" w:hAnsi="宋体"/>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78" w:type="pct"/>
            <w:vAlign w:val="top"/>
          </w:tcPr>
          <w:p>
            <w:pPr>
              <w:widowControl/>
              <w:spacing w:line="360" w:lineRule="auto"/>
              <w:rPr>
                <w:rFonts w:hint="eastAsia" w:ascii="宋体" w:hAnsi="宋体"/>
                <w:b w:val="0"/>
                <w:bCs/>
                <w:color w:val="auto"/>
                <w:sz w:val="21"/>
                <w:szCs w:val="21"/>
              </w:rPr>
            </w:pPr>
          </w:p>
        </w:tc>
        <w:tc>
          <w:tcPr>
            <w:tcW w:w="480" w:type="pct"/>
            <w:vAlign w:val="top"/>
          </w:tcPr>
          <w:p>
            <w:pPr>
              <w:widowControl/>
              <w:spacing w:line="360" w:lineRule="auto"/>
              <w:jc w:val="center"/>
              <w:rPr>
                <w:rFonts w:hint="eastAsia" w:ascii="宋体" w:hAnsi="宋体"/>
                <w:b w:val="0"/>
                <w:bCs/>
                <w:color w:val="auto"/>
                <w:kern w:val="0"/>
                <w:sz w:val="21"/>
                <w:szCs w:val="21"/>
              </w:rPr>
            </w:pPr>
          </w:p>
        </w:tc>
        <w:tc>
          <w:tcPr>
            <w:tcW w:w="371" w:type="pct"/>
            <w:vAlign w:val="top"/>
          </w:tcPr>
          <w:p>
            <w:pPr>
              <w:widowControl/>
              <w:spacing w:line="360" w:lineRule="auto"/>
              <w:jc w:val="center"/>
              <w:rPr>
                <w:rFonts w:hint="eastAsia" w:ascii="宋体" w:hAnsi="宋体"/>
                <w:b w:val="0"/>
                <w:bCs/>
                <w:color w:val="auto"/>
                <w:kern w:val="0"/>
                <w:sz w:val="21"/>
                <w:szCs w:val="21"/>
              </w:rPr>
            </w:pPr>
          </w:p>
        </w:tc>
        <w:tc>
          <w:tcPr>
            <w:tcW w:w="332" w:type="pct"/>
            <w:vAlign w:val="top"/>
          </w:tcPr>
          <w:p>
            <w:pPr>
              <w:widowControl/>
              <w:spacing w:line="360" w:lineRule="auto"/>
              <w:jc w:val="center"/>
              <w:rPr>
                <w:rFonts w:hint="eastAsia" w:ascii="宋体" w:hAnsi="宋体"/>
                <w:b w:val="0"/>
                <w:bCs/>
                <w:color w:val="auto"/>
                <w:kern w:val="0"/>
                <w:sz w:val="21"/>
                <w:szCs w:val="21"/>
              </w:rPr>
            </w:pPr>
          </w:p>
        </w:tc>
        <w:tc>
          <w:tcPr>
            <w:tcW w:w="370" w:type="pct"/>
            <w:vAlign w:val="top"/>
          </w:tcPr>
          <w:p>
            <w:pPr>
              <w:widowControl/>
              <w:spacing w:line="360" w:lineRule="auto"/>
              <w:jc w:val="center"/>
              <w:rPr>
                <w:rFonts w:hint="eastAsia" w:ascii="宋体" w:hAnsi="宋体"/>
                <w:b w:val="0"/>
                <w:bCs/>
                <w:color w:val="auto"/>
                <w:kern w:val="0"/>
                <w:sz w:val="21"/>
                <w:szCs w:val="21"/>
              </w:rPr>
            </w:pPr>
          </w:p>
        </w:tc>
        <w:tc>
          <w:tcPr>
            <w:tcW w:w="555" w:type="pct"/>
            <w:vAlign w:val="top"/>
          </w:tcPr>
          <w:p>
            <w:pPr>
              <w:widowControl/>
              <w:spacing w:line="360" w:lineRule="auto"/>
              <w:jc w:val="center"/>
              <w:rPr>
                <w:rFonts w:hint="eastAsia" w:ascii="宋体" w:hAnsi="宋体"/>
                <w:b w:val="0"/>
                <w:bCs/>
                <w:color w:val="auto"/>
                <w:kern w:val="0"/>
                <w:sz w:val="21"/>
                <w:szCs w:val="21"/>
              </w:rPr>
            </w:pPr>
          </w:p>
        </w:tc>
        <w:tc>
          <w:tcPr>
            <w:tcW w:w="556" w:type="pct"/>
            <w:vAlign w:val="top"/>
          </w:tcPr>
          <w:p>
            <w:pPr>
              <w:widowControl/>
              <w:spacing w:line="360" w:lineRule="auto"/>
              <w:jc w:val="center"/>
              <w:rPr>
                <w:rFonts w:hint="eastAsia" w:ascii="宋体" w:hAnsi="宋体"/>
                <w:b w:val="0"/>
                <w:bCs/>
                <w:color w:val="auto"/>
                <w:kern w:val="0"/>
                <w:sz w:val="21"/>
                <w:szCs w:val="21"/>
              </w:rPr>
            </w:pPr>
          </w:p>
        </w:tc>
        <w:tc>
          <w:tcPr>
            <w:tcW w:w="629" w:type="pct"/>
            <w:vAlign w:val="top"/>
          </w:tcPr>
          <w:p>
            <w:pPr>
              <w:widowControl/>
              <w:spacing w:line="360" w:lineRule="auto"/>
              <w:jc w:val="center"/>
              <w:rPr>
                <w:rFonts w:hint="eastAsia" w:ascii="宋体" w:hAnsi="宋体"/>
                <w:b w:val="0"/>
                <w:bCs/>
                <w:color w:val="auto"/>
                <w:kern w:val="0"/>
                <w:sz w:val="21"/>
                <w:szCs w:val="21"/>
              </w:rPr>
            </w:pPr>
          </w:p>
        </w:tc>
        <w:tc>
          <w:tcPr>
            <w:tcW w:w="926" w:type="pct"/>
            <w:vAlign w:val="top"/>
          </w:tcPr>
          <w:p>
            <w:pPr>
              <w:widowControl/>
              <w:spacing w:line="360" w:lineRule="auto"/>
              <w:jc w:val="center"/>
              <w:rPr>
                <w:rFonts w:hint="eastAsia" w:ascii="宋体" w:hAnsi="宋体"/>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78" w:type="pct"/>
            <w:vAlign w:val="top"/>
          </w:tcPr>
          <w:p>
            <w:pPr>
              <w:widowControl/>
              <w:spacing w:line="360" w:lineRule="auto"/>
              <w:rPr>
                <w:rFonts w:hint="eastAsia" w:ascii="宋体" w:hAnsi="宋体"/>
                <w:b w:val="0"/>
                <w:bCs/>
                <w:color w:val="auto"/>
                <w:sz w:val="21"/>
                <w:szCs w:val="21"/>
              </w:rPr>
            </w:pPr>
          </w:p>
        </w:tc>
        <w:tc>
          <w:tcPr>
            <w:tcW w:w="480" w:type="pct"/>
            <w:vAlign w:val="top"/>
          </w:tcPr>
          <w:p>
            <w:pPr>
              <w:widowControl/>
              <w:spacing w:line="360" w:lineRule="auto"/>
              <w:jc w:val="center"/>
              <w:rPr>
                <w:rFonts w:hint="eastAsia" w:ascii="宋体" w:hAnsi="宋体"/>
                <w:b w:val="0"/>
                <w:bCs/>
                <w:color w:val="auto"/>
                <w:kern w:val="0"/>
                <w:sz w:val="21"/>
                <w:szCs w:val="21"/>
              </w:rPr>
            </w:pPr>
          </w:p>
        </w:tc>
        <w:tc>
          <w:tcPr>
            <w:tcW w:w="371" w:type="pct"/>
            <w:vAlign w:val="top"/>
          </w:tcPr>
          <w:p>
            <w:pPr>
              <w:widowControl/>
              <w:spacing w:line="360" w:lineRule="auto"/>
              <w:jc w:val="center"/>
              <w:rPr>
                <w:rFonts w:hint="eastAsia" w:ascii="宋体" w:hAnsi="宋体"/>
                <w:b w:val="0"/>
                <w:bCs/>
                <w:color w:val="auto"/>
                <w:kern w:val="0"/>
                <w:sz w:val="21"/>
                <w:szCs w:val="21"/>
              </w:rPr>
            </w:pPr>
          </w:p>
        </w:tc>
        <w:tc>
          <w:tcPr>
            <w:tcW w:w="332" w:type="pct"/>
            <w:vAlign w:val="top"/>
          </w:tcPr>
          <w:p>
            <w:pPr>
              <w:widowControl/>
              <w:spacing w:line="360" w:lineRule="auto"/>
              <w:jc w:val="center"/>
              <w:rPr>
                <w:rFonts w:hint="eastAsia" w:ascii="宋体" w:hAnsi="宋体"/>
                <w:b w:val="0"/>
                <w:bCs/>
                <w:color w:val="auto"/>
                <w:kern w:val="0"/>
                <w:sz w:val="21"/>
                <w:szCs w:val="21"/>
              </w:rPr>
            </w:pPr>
          </w:p>
        </w:tc>
        <w:tc>
          <w:tcPr>
            <w:tcW w:w="370" w:type="pct"/>
            <w:vAlign w:val="top"/>
          </w:tcPr>
          <w:p>
            <w:pPr>
              <w:widowControl/>
              <w:spacing w:line="360" w:lineRule="auto"/>
              <w:jc w:val="center"/>
              <w:rPr>
                <w:rFonts w:hint="eastAsia" w:ascii="宋体" w:hAnsi="宋体"/>
                <w:b w:val="0"/>
                <w:bCs/>
                <w:color w:val="auto"/>
                <w:kern w:val="0"/>
                <w:sz w:val="21"/>
                <w:szCs w:val="21"/>
              </w:rPr>
            </w:pPr>
          </w:p>
        </w:tc>
        <w:tc>
          <w:tcPr>
            <w:tcW w:w="555" w:type="pct"/>
            <w:vAlign w:val="top"/>
          </w:tcPr>
          <w:p>
            <w:pPr>
              <w:widowControl/>
              <w:spacing w:line="360" w:lineRule="auto"/>
              <w:jc w:val="center"/>
              <w:rPr>
                <w:rFonts w:hint="eastAsia" w:ascii="宋体" w:hAnsi="宋体"/>
                <w:b w:val="0"/>
                <w:bCs/>
                <w:color w:val="auto"/>
                <w:kern w:val="0"/>
                <w:sz w:val="21"/>
                <w:szCs w:val="21"/>
              </w:rPr>
            </w:pPr>
          </w:p>
        </w:tc>
        <w:tc>
          <w:tcPr>
            <w:tcW w:w="556" w:type="pct"/>
            <w:vAlign w:val="top"/>
          </w:tcPr>
          <w:p>
            <w:pPr>
              <w:widowControl/>
              <w:spacing w:line="360" w:lineRule="auto"/>
              <w:jc w:val="center"/>
              <w:rPr>
                <w:rFonts w:hint="eastAsia" w:ascii="宋体" w:hAnsi="宋体"/>
                <w:b w:val="0"/>
                <w:bCs/>
                <w:color w:val="auto"/>
                <w:kern w:val="0"/>
                <w:sz w:val="21"/>
                <w:szCs w:val="21"/>
              </w:rPr>
            </w:pPr>
          </w:p>
        </w:tc>
        <w:tc>
          <w:tcPr>
            <w:tcW w:w="629" w:type="pct"/>
            <w:vAlign w:val="top"/>
          </w:tcPr>
          <w:p>
            <w:pPr>
              <w:widowControl/>
              <w:spacing w:line="360" w:lineRule="auto"/>
              <w:jc w:val="center"/>
              <w:rPr>
                <w:rFonts w:hint="eastAsia" w:ascii="宋体" w:hAnsi="宋体"/>
                <w:b w:val="0"/>
                <w:bCs/>
                <w:color w:val="auto"/>
                <w:kern w:val="0"/>
                <w:sz w:val="21"/>
                <w:szCs w:val="21"/>
              </w:rPr>
            </w:pPr>
          </w:p>
        </w:tc>
        <w:tc>
          <w:tcPr>
            <w:tcW w:w="926" w:type="pct"/>
            <w:vAlign w:val="top"/>
          </w:tcPr>
          <w:p>
            <w:pPr>
              <w:widowControl/>
              <w:spacing w:line="360" w:lineRule="auto"/>
              <w:jc w:val="center"/>
              <w:rPr>
                <w:rFonts w:hint="eastAsia" w:ascii="宋体" w:hAnsi="宋体"/>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78" w:type="pct"/>
            <w:vAlign w:val="top"/>
          </w:tcPr>
          <w:p>
            <w:pPr>
              <w:widowControl/>
              <w:spacing w:line="360" w:lineRule="auto"/>
              <w:rPr>
                <w:rFonts w:hint="eastAsia" w:ascii="宋体" w:hAnsi="宋体"/>
                <w:b w:val="0"/>
                <w:bCs/>
                <w:color w:val="auto"/>
                <w:sz w:val="21"/>
                <w:szCs w:val="21"/>
              </w:rPr>
            </w:pPr>
          </w:p>
        </w:tc>
        <w:tc>
          <w:tcPr>
            <w:tcW w:w="480" w:type="pct"/>
            <w:vAlign w:val="top"/>
          </w:tcPr>
          <w:p>
            <w:pPr>
              <w:widowControl/>
              <w:spacing w:line="360" w:lineRule="auto"/>
              <w:jc w:val="center"/>
              <w:rPr>
                <w:rFonts w:hint="eastAsia" w:ascii="宋体" w:hAnsi="宋体"/>
                <w:b w:val="0"/>
                <w:bCs/>
                <w:color w:val="auto"/>
                <w:kern w:val="0"/>
                <w:sz w:val="21"/>
                <w:szCs w:val="21"/>
              </w:rPr>
            </w:pPr>
          </w:p>
        </w:tc>
        <w:tc>
          <w:tcPr>
            <w:tcW w:w="371" w:type="pct"/>
            <w:vAlign w:val="top"/>
          </w:tcPr>
          <w:p>
            <w:pPr>
              <w:widowControl/>
              <w:spacing w:line="360" w:lineRule="auto"/>
              <w:jc w:val="center"/>
              <w:rPr>
                <w:rFonts w:hint="eastAsia" w:ascii="宋体" w:hAnsi="宋体"/>
                <w:b w:val="0"/>
                <w:bCs/>
                <w:color w:val="auto"/>
                <w:kern w:val="0"/>
                <w:sz w:val="21"/>
                <w:szCs w:val="21"/>
              </w:rPr>
            </w:pPr>
          </w:p>
        </w:tc>
        <w:tc>
          <w:tcPr>
            <w:tcW w:w="332" w:type="pct"/>
            <w:vAlign w:val="top"/>
          </w:tcPr>
          <w:p>
            <w:pPr>
              <w:widowControl/>
              <w:spacing w:line="360" w:lineRule="auto"/>
              <w:jc w:val="center"/>
              <w:rPr>
                <w:rFonts w:hint="eastAsia" w:ascii="宋体" w:hAnsi="宋体"/>
                <w:b w:val="0"/>
                <w:bCs/>
                <w:color w:val="auto"/>
                <w:kern w:val="0"/>
                <w:sz w:val="21"/>
                <w:szCs w:val="21"/>
              </w:rPr>
            </w:pPr>
          </w:p>
        </w:tc>
        <w:tc>
          <w:tcPr>
            <w:tcW w:w="370" w:type="pct"/>
            <w:vAlign w:val="top"/>
          </w:tcPr>
          <w:p>
            <w:pPr>
              <w:widowControl/>
              <w:spacing w:line="360" w:lineRule="auto"/>
              <w:jc w:val="center"/>
              <w:rPr>
                <w:rFonts w:hint="eastAsia" w:ascii="宋体" w:hAnsi="宋体"/>
                <w:b w:val="0"/>
                <w:bCs/>
                <w:color w:val="auto"/>
                <w:kern w:val="0"/>
                <w:sz w:val="21"/>
                <w:szCs w:val="21"/>
              </w:rPr>
            </w:pPr>
          </w:p>
        </w:tc>
        <w:tc>
          <w:tcPr>
            <w:tcW w:w="555" w:type="pct"/>
            <w:vAlign w:val="top"/>
          </w:tcPr>
          <w:p>
            <w:pPr>
              <w:widowControl/>
              <w:spacing w:line="360" w:lineRule="auto"/>
              <w:jc w:val="center"/>
              <w:rPr>
                <w:rFonts w:hint="eastAsia" w:ascii="宋体" w:hAnsi="宋体"/>
                <w:b w:val="0"/>
                <w:bCs/>
                <w:color w:val="auto"/>
                <w:kern w:val="0"/>
                <w:sz w:val="21"/>
                <w:szCs w:val="21"/>
              </w:rPr>
            </w:pPr>
          </w:p>
        </w:tc>
        <w:tc>
          <w:tcPr>
            <w:tcW w:w="556" w:type="pct"/>
            <w:vAlign w:val="top"/>
          </w:tcPr>
          <w:p>
            <w:pPr>
              <w:widowControl/>
              <w:spacing w:line="360" w:lineRule="auto"/>
              <w:jc w:val="center"/>
              <w:rPr>
                <w:rFonts w:hint="eastAsia" w:ascii="宋体" w:hAnsi="宋体"/>
                <w:b w:val="0"/>
                <w:bCs/>
                <w:color w:val="auto"/>
                <w:kern w:val="0"/>
                <w:sz w:val="21"/>
                <w:szCs w:val="21"/>
              </w:rPr>
            </w:pPr>
          </w:p>
        </w:tc>
        <w:tc>
          <w:tcPr>
            <w:tcW w:w="629" w:type="pct"/>
            <w:vAlign w:val="top"/>
          </w:tcPr>
          <w:p>
            <w:pPr>
              <w:widowControl/>
              <w:spacing w:line="360" w:lineRule="auto"/>
              <w:jc w:val="center"/>
              <w:rPr>
                <w:rFonts w:hint="eastAsia" w:ascii="宋体" w:hAnsi="宋体"/>
                <w:b w:val="0"/>
                <w:bCs/>
                <w:color w:val="auto"/>
                <w:kern w:val="0"/>
                <w:sz w:val="21"/>
                <w:szCs w:val="21"/>
              </w:rPr>
            </w:pPr>
          </w:p>
        </w:tc>
        <w:tc>
          <w:tcPr>
            <w:tcW w:w="926" w:type="pct"/>
            <w:vAlign w:val="top"/>
          </w:tcPr>
          <w:p>
            <w:pPr>
              <w:widowControl/>
              <w:spacing w:line="360" w:lineRule="auto"/>
              <w:jc w:val="center"/>
              <w:rPr>
                <w:rFonts w:hint="eastAsia" w:ascii="宋体" w:hAnsi="宋体"/>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78" w:type="pct"/>
            <w:vAlign w:val="top"/>
          </w:tcPr>
          <w:p>
            <w:pPr>
              <w:widowControl/>
              <w:spacing w:line="360" w:lineRule="auto"/>
              <w:rPr>
                <w:rFonts w:hint="eastAsia" w:ascii="宋体" w:hAnsi="宋体"/>
                <w:b w:val="0"/>
                <w:bCs/>
                <w:color w:val="auto"/>
                <w:sz w:val="21"/>
                <w:szCs w:val="21"/>
              </w:rPr>
            </w:pPr>
          </w:p>
        </w:tc>
        <w:tc>
          <w:tcPr>
            <w:tcW w:w="480" w:type="pct"/>
            <w:vAlign w:val="top"/>
          </w:tcPr>
          <w:p>
            <w:pPr>
              <w:widowControl/>
              <w:spacing w:line="360" w:lineRule="auto"/>
              <w:jc w:val="center"/>
              <w:rPr>
                <w:rFonts w:hint="eastAsia" w:ascii="宋体" w:hAnsi="宋体"/>
                <w:b w:val="0"/>
                <w:bCs/>
                <w:color w:val="auto"/>
                <w:kern w:val="0"/>
                <w:sz w:val="21"/>
                <w:szCs w:val="21"/>
              </w:rPr>
            </w:pPr>
          </w:p>
        </w:tc>
        <w:tc>
          <w:tcPr>
            <w:tcW w:w="371" w:type="pct"/>
            <w:vAlign w:val="top"/>
          </w:tcPr>
          <w:p>
            <w:pPr>
              <w:widowControl/>
              <w:spacing w:line="360" w:lineRule="auto"/>
              <w:jc w:val="center"/>
              <w:rPr>
                <w:rFonts w:hint="eastAsia" w:ascii="宋体" w:hAnsi="宋体"/>
                <w:b w:val="0"/>
                <w:bCs/>
                <w:color w:val="auto"/>
                <w:kern w:val="0"/>
                <w:sz w:val="21"/>
                <w:szCs w:val="21"/>
              </w:rPr>
            </w:pPr>
          </w:p>
        </w:tc>
        <w:tc>
          <w:tcPr>
            <w:tcW w:w="332" w:type="pct"/>
            <w:vAlign w:val="top"/>
          </w:tcPr>
          <w:p>
            <w:pPr>
              <w:widowControl/>
              <w:spacing w:line="360" w:lineRule="auto"/>
              <w:jc w:val="center"/>
              <w:rPr>
                <w:rFonts w:hint="eastAsia" w:ascii="宋体" w:hAnsi="宋体"/>
                <w:b w:val="0"/>
                <w:bCs/>
                <w:color w:val="auto"/>
                <w:kern w:val="0"/>
                <w:sz w:val="21"/>
                <w:szCs w:val="21"/>
              </w:rPr>
            </w:pPr>
          </w:p>
        </w:tc>
        <w:tc>
          <w:tcPr>
            <w:tcW w:w="370" w:type="pct"/>
            <w:vAlign w:val="top"/>
          </w:tcPr>
          <w:p>
            <w:pPr>
              <w:widowControl/>
              <w:spacing w:line="360" w:lineRule="auto"/>
              <w:jc w:val="center"/>
              <w:rPr>
                <w:rFonts w:hint="eastAsia" w:ascii="宋体" w:hAnsi="宋体"/>
                <w:b w:val="0"/>
                <w:bCs/>
                <w:color w:val="auto"/>
                <w:kern w:val="0"/>
                <w:sz w:val="21"/>
                <w:szCs w:val="21"/>
              </w:rPr>
            </w:pPr>
          </w:p>
        </w:tc>
        <w:tc>
          <w:tcPr>
            <w:tcW w:w="555" w:type="pct"/>
            <w:vAlign w:val="top"/>
          </w:tcPr>
          <w:p>
            <w:pPr>
              <w:widowControl/>
              <w:spacing w:line="360" w:lineRule="auto"/>
              <w:jc w:val="center"/>
              <w:rPr>
                <w:rFonts w:hint="eastAsia" w:ascii="宋体" w:hAnsi="宋体"/>
                <w:b w:val="0"/>
                <w:bCs/>
                <w:color w:val="auto"/>
                <w:kern w:val="0"/>
                <w:sz w:val="21"/>
                <w:szCs w:val="21"/>
              </w:rPr>
            </w:pPr>
          </w:p>
        </w:tc>
        <w:tc>
          <w:tcPr>
            <w:tcW w:w="556" w:type="pct"/>
            <w:vAlign w:val="top"/>
          </w:tcPr>
          <w:p>
            <w:pPr>
              <w:widowControl/>
              <w:spacing w:line="360" w:lineRule="auto"/>
              <w:jc w:val="center"/>
              <w:rPr>
                <w:rFonts w:hint="eastAsia" w:ascii="宋体" w:hAnsi="宋体"/>
                <w:b w:val="0"/>
                <w:bCs/>
                <w:color w:val="auto"/>
                <w:kern w:val="0"/>
                <w:sz w:val="21"/>
                <w:szCs w:val="21"/>
              </w:rPr>
            </w:pPr>
          </w:p>
        </w:tc>
        <w:tc>
          <w:tcPr>
            <w:tcW w:w="629" w:type="pct"/>
            <w:vAlign w:val="top"/>
          </w:tcPr>
          <w:p>
            <w:pPr>
              <w:widowControl/>
              <w:spacing w:line="360" w:lineRule="auto"/>
              <w:jc w:val="center"/>
              <w:rPr>
                <w:rFonts w:hint="eastAsia" w:ascii="宋体" w:hAnsi="宋体"/>
                <w:b w:val="0"/>
                <w:bCs/>
                <w:color w:val="auto"/>
                <w:kern w:val="0"/>
                <w:sz w:val="21"/>
                <w:szCs w:val="21"/>
              </w:rPr>
            </w:pPr>
          </w:p>
        </w:tc>
        <w:tc>
          <w:tcPr>
            <w:tcW w:w="926" w:type="pct"/>
            <w:vAlign w:val="top"/>
          </w:tcPr>
          <w:p>
            <w:pPr>
              <w:widowControl/>
              <w:spacing w:line="360" w:lineRule="auto"/>
              <w:jc w:val="center"/>
              <w:rPr>
                <w:rFonts w:hint="eastAsia" w:ascii="宋体" w:hAnsi="宋体"/>
                <w:b w:val="0"/>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5000" w:type="pct"/>
            <w:gridSpan w:val="9"/>
            <w:vAlign w:val="top"/>
          </w:tcPr>
          <w:p>
            <w:pPr>
              <w:widowControl/>
              <w:spacing w:line="360" w:lineRule="auto"/>
              <w:rPr>
                <w:rFonts w:hint="eastAsia" w:ascii="宋体" w:hAnsi="宋体"/>
                <w:b w:val="0"/>
                <w:bCs/>
                <w:color w:val="auto"/>
                <w:sz w:val="21"/>
                <w:szCs w:val="21"/>
              </w:rPr>
            </w:pPr>
            <w:r>
              <w:rPr>
                <w:rFonts w:hint="eastAsia" w:ascii="宋体" w:hAnsi="宋体"/>
                <w:b w:val="0"/>
                <w:bCs/>
                <w:color w:val="auto"/>
                <w:sz w:val="21"/>
                <w:szCs w:val="21"/>
              </w:rPr>
              <w:t>运输过程中的温度监控记录</w:t>
            </w:r>
            <w:r>
              <w:rPr>
                <w:rFonts w:hint="eastAsia" w:ascii="宋体" w:hAnsi="宋体"/>
                <w:b w:val="0"/>
                <w:bCs/>
                <w:color w:val="auto"/>
                <w:sz w:val="21"/>
                <w:szCs w:val="21"/>
                <w:lang w:eastAsia="zh-CN"/>
              </w:rPr>
              <w:t>（</w:t>
            </w:r>
            <w:r>
              <w:rPr>
                <w:rFonts w:hint="eastAsia" w:ascii="宋体" w:hAnsi="宋体"/>
                <w:b w:val="0"/>
                <w:bCs/>
                <w:color w:val="auto"/>
                <w:sz w:val="21"/>
                <w:szCs w:val="21"/>
                <w:lang w:val="en-US" w:eastAsia="zh-CN"/>
              </w:rPr>
              <w:t>如适用</w:t>
            </w:r>
            <w:r>
              <w:rPr>
                <w:rFonts w:hint="eastAsia" w:ascii="宋体" w:hAnsi="宋体"/>
                <w:b w:val="0"/>
                <w:bCs/>
                <w:color w:val="auto"/>
                <w:sz w:val="21"/>
                <w:szCs w:val="21"/>
                <w:lang w:eastAsia="zh-CN"/>
              </w:rPr>
              <w:t>）</w:t>
            </w:r>
            <w:r>
              <w:rPr>
                <w:rFonts w:hint="eastAsia" w:ascii="宋体" w:hAnsi="宋体"/>
                <w:b w:val="0"/>
                <w:bCs/>
                <w:color w:val="auto"/>
                <w:sz w:val="21"/>
                <w:szCs w:val="21"/>
              </w:rPr>
              <w:t>：</w:t>
            </w:r>
          </w:p>
          <w:p>
            <w:pPr>
              <w:widowControl/>
              <w:spacing w:line="360" w:lineRule="auto"/>
              <w:rPr>
                <w:rFonts w:hint="eastAsia" w:ascii="宋体" w:hAnsi="宋体"/>
                <w:b w:val="0"/>
                <w:bCs/>
                <w:color w:val="auto"/>
                <w:sz w:val="21"/>
                <w:szCs w:val="21"/>
              </w:rPr>
            </w:pPr>
            <w:r>
              <w:rPr>
                <w:rFonts w:hint="eastAsia" w:ascii="宋体" w:hAnsi="宋体"/>
                <w:b w:val="0"/>
                <w:bCs/>
                <w:color w:val="auto"/>
                <w:sz w:val="21"/>
                <w:szCs w:val="21"/>
              </w:rPr>
              <w:t>最高温度：</w:t>
            </w:r>
            <w:r>
              <w:rPr>
                <w:rFonts w:hint="eastAsia" w:ascii="宋体" w:hAnsi="宋体"/>
                <w:b w:val="0"/>
                <w:bCs/>
                <w:color w:val="auto"/>
                <w:sz w:val="21"/>
                <w:szCs w:val="21"/>
                <w:u w:val="single"/>
              </w:rPr>
              <w:t xml:space="preserve">        </w:t>
            </w:r>
            <w:r>
              <w:rPr>
                <w:rFonts w:hint="eastAsia" w:ascii="宋体" w:hAnsi="宋体"/>
                <w:b w:val="0"/>
                <w:bCs/>
                <w:color w:val="auto"/>
                <w:sz w:val="21"/>
                <w:szCs w:val="21"/>
              </w:rPr>
              <w:t xml:space="preserve"> ；最低温度：</w:t>
            </w:r>
            <w:r>
              <w:rPr>
                <w:rFonts w:hint="eastAsia" w:ascii="宋体" w:hAnsi="宋体"/>
                <w:b w:val="0"/>
                <w:bCs/>
                <w:color w:val="auto"/>
                <w:sz w:val="21"/>
                <w:szCs w:val="21"/>
                <w:u w:val="single"/>
              </w:rPr>
              <w:t xml:space="preserve">        </w:t>
            </w:r>
            <w:r>
              <w:rPr>
                <w:rFonts w:hint="eastAsia" w:ascii="宋体" w:hAnsi="宋体"/>
                <w:b w:val="0"/>
                <w:bCs/>
                <w:color w:val="auto"/>
                <w:sz w:val="21"/>
                <w:szCs w:val="21"/>
              </w:rPr>
              <w:t xml:space="preserve"> ；当前温度：</w:t>
            </w:r>
            <w:r>
              <w:rPr>
                <w:rFonts w:hint="eastAsia" w:ascii="宋体" w:hAnsi="宋体"/>
                <w:b w:val="0"/>
                <w:bCs/>
                <w:color w:val="auto"/>
                <w:sz w:val="21"/>
                <w:szCs w:val="21"/>
                <w:u w:val="single"/>
              </w:rPr>
              <w:t xml:space="preserve">        </w:t>
            </w:r>
            <w:r>
              <w:rPr>
                <w:rFonts w:hint="eastAsia" w:ascii="宋体" w:hAnsi="宋体"/>
                <w:b w:val="0"/>
                <w:bCs/>
                <w:color w:val="auto"/>
                <w:sz w:val="21"/>
                <w:szCs w:val="21"/>
              </w:rPr>
              <w:t xml:space="preserve"> </w:t>
            </w:r>
            <w:r>
              <w:rPr>
                <w:rFonts w:hint="eastAsia" w:ascii="宋体" w:hAnsi="宋体"/>
                <w:b w:val="0"/>
                <w:bCs/>
                <w:color w:val="auto"/>
                <w:sz w:val="21"/>
                <w:szCs w:val="21"/>
                <w:lang w:eastAsia="zh-CN"/>
              </w:rPr>
              <w:t>；</w:t>
            </w:r>
            <w:r>
              <w:rPr>
                <w:rFonts w:hint="eastAsia" w:ascii="宋体" w:hAnsi="宋体"/>
                <w:b w:val="0"/>
                <w:bCs/>
                <w:color w:val="auto"/>
                <w:sz w:val="21"/>
                <w:szCs w:val="21"/>
              </w:rPr>
              <w:t>应急信件是否符合要求</w:t>
            </w:r>
            <w:r>
              <w:rPr>
                <w:rFonts w:hint="eastAsia" w:ascii="宋体" w:hAnsi="宋体"/>
                <w:b w:val="0"/>
                <w:bCs/>
                <w:color w:val="auto"/>
                <w:sz w:val="21"/>
                <w:szCs w:val="21"/>
                <w:u w:val="single"/>
              </w:rPr>
              <w:t xml:space="preserve">        </w:t>
            </w:r>
            <w:r>
              <w:rPr>
                <w:rFonts w:hint="eastAsia" w:ascii="宋体" w:hAnsi="宋体"/>
                <w:b w:val="0"/>
                <w:bCs/>
                <w:color w:val="auto"/>
                <w:sz w:val="21"/>
                <w:szCs w:val="21"/>
                <w:u w:val="none"/>
                <w:lang w:eastAsia="zh-CN"/>
              </w:rPr>
              <w:t>（</w:t>
            </w:r>
            <w:r>
              <w:rPr>
                <w:rFonts w:hint="eastAsia" w:ascii="宋体" w:hAnsi="宋体"/>
                <w:b w:val="0"/>
                <w:bCs/>
                <w:color w:val="auto"/>
                <w:sz w:val="21"/>
                <w:szCs w:val="21"/>
              </w:rPr>
              <w:t>此项根据试验方案要求需要填写）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5000" w:type="pct"/>
            <w:gridSpan w:val="9"/>
            <w:vAlign w:val="top"/>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b w:val="0"/>
                <w:bCs/>
                <w:color w:val="auto"/>
                <w:sz w:val="21"/>
                <w:szCs w:val="21"/>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b w:val="0"/>
                <w:bCs/>
                <w:color w:val="auto"/>
                <w:sz w:val="21"/>
                <w:szCs w:val="21"/>
              </w:rPr>
            </w:pPr>
            <w:r>
              <w:rPr>
                <w:rFonts w:hint="eastAsia" w:ascii="宋体" w:hAnsi="宋体"/>
                <w:b w:val="0"/>
                <w:bCs/>
                <w:color w:val="auto"/>
                <w:sz w:val="21"/>
                <w:szCs w:val="21"/>
              </w:rPr>
              <w:t>医疗器械接收时的状态是否符合要求：□是 □否 （备注：</w:t>
            </w:r>
            <w:r>
              <w:rPr>
                <w:rFonts w:hint="eastAsia" w:ascii="宋体" w:hAnsi="宋体"/>
                <w:b w:val="0"/>
                <w:bCs/>
                <w:color w:val="auto"/>
                <w:sz w:val="21"/>
                <w:szCs w:val="21"/>
                <w:u w:val="single"/>
              </w:rPr>
              <w:t xml:space="preserve">                                               </w:t>
            </w:r>
            <w:r>
              <w:rPr>
                <w:rFonts w:hint="eastAsia" w:ascii="宋体" w:hAnsi="宋体"/>
                <w:b w:val="0"/>
                <w:bCs/>
                <w:color w:val="auto"/>
                <w:sz w:val="21"/>
                <w:szCs w:val="21"/>
                <w:u w:val="single"/>
                <w:lang w:val="en-US" w:eastAsia="zh-CN"/>
              </w:rPr>
              <w:t xml:space="preserve">   </w:t>
            </w:r>
            <w:r>
              <w:rPr>
                <w:rFonts w:hint="eastAsia" w:ascii="宋体" w:hAnsi="宋体"/>
                <w:b w:val="0"/>
                <w:bCs/>
                <w:color w:val="auto"/>
                <w:sz w:val="21"/>
                <w:szCs w:val="21"/>
                <w:u w:val="single"/>
              </w:rPr>
              <w:t xml:space="preserve">         </w:t>
            </w:r>
            <w:r>
              <w:rPr>
                <w:rFonts w:hint="eastAsia" w:ascii="宋体" w:hAnsi="宋体"/>
                <w:b w:val="0"/>
                <w:bCs/>
                <w:color w:val="auto"/>
                <w:sz w:val="21"/>
                <w:szCs w:val="21"/>
                <w:u w:val="single"/>
                <w:lang w:val="en-US" w:eastAsia="zh-CN"/>
              </w:rPr>
              <w:t xml:space="preserve"> </w:t>
            </w:r>
            <w:r>
              <w:rPr>
                <w:rFonts w:hint="eastAsia" w:ascii="宋体" w:hAnsi="宋体"/>
                <w:b w:val="0"/>
                <w:bCs/>
                <w:color w:val="auto"/>
                <w:sz w:val="21"/>
                <w:szCs w:val="21"/>
                <w:u w:val="single"/>
              </w:rPr>
              <w:t xml:space="preserve">      </w:t>
            </w:r>
            <w:r>
              <w:rPr>
                <w:rFonts w:hint="eastAsia" w:ascii="宋体" w:hAnsi="宋体"/>
                <w:b w:val="0"/>
                <w:bCs/>
                <w:color w:val="auto"/>
                <w:sz w:val="21"/>
                <w:szCs w:val="21"/>
              </w:rPr>
              <w:t>）</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b w:val="0"/>
                <w:bCs/>
                <w:color w:val="auto"/>
                <w:sz w:val="21"/>
                <w:szCs w:val="21"/>
              </w:rPr>
            </w:pPr>
            <w:r>
              <w:rPr>
                <w:rFonts w:hint="eastAsia" w:ascii="宋体" w:hAnsi="宋体"/>
                <w:b w:val="0"/>
                <w:bCs/>
                <w:color w:val="auto"/>
                <w:sz w:val="21"/>
                <w:szCs w:val="21"/>
              </w:rPr>
              <w:t>（如：外包装/</w:t>
            </w:r>
            <w:r>
              <w:rPr>
                <w:rFonts w:hint="eastAsia" w:ascii="宋体" w:hAnsi="宋体"/>
                <w:b w:val="0"/>
                <w:bCs/>
                <w:color w:val="auto"/>
                <w:sz w:val="21"/>
                <w:szCs w:val="21"/>
                <w:lang w:val="en-US" w:eastAsia="zh-CN"/>
              </w:rPr>
              <w:t>医疗器械</w:t>
            </w:r>
            <w:r>
              <w:rPr>
                <w:rFonts w:hint="eastAsia" w:ascii="宋体" w:hAnsi="宋体"/>
                <w:b w:val="0"/>
                <w:bCs/>
                <w:color w:val="auto"/>
                <w:sz w:val="21"/>
                <w:szCs w:val="21"/>
              </w:rPr>
              <w:t>有无损坏、标签信息是否完整、应急信件是否符合要求）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5000" w:type="pct"/>
            <w:gridSpan w:val="9"/>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b w:val="0"/>
                <w:bCs/>
                <w:color w:val="auto"/>
                <w:sz w:val="21"/>
                <w:szCs w:val="21"/>
              </w:rPr>
            </w:pPr>
            <w:r>
              <w:rPr>
                <w:rFonts w:hint="eastAsia" w:ascii="宋体" w:hAnsi="宋体"/>
                <w:b w:val="0"/>
                <w:bCs/>
                <w:color w:val="auto"/>
                <w:sz w:val="21"/>
                <w:szCs w:val="21"/>
              </w:rPr>
              <w:t>接收</w:t>
            </w:r>
            <w:r>
              <w:rPr>
                <w:rFonts w:hint="eastAsia" w:ascii="宋体" w:hAnsi="宋体"/>
                <w:b w:val="0"/>
                <w:bCs/>
                <w:color w:val="auto"/>
                <w:sz w:val="21"/>
                <w:szCs w:val="21"/>
                <w:lang w:val="en-US" w:eastAsia="zh-CN"/>
              </w:rPr>
              <w:t>医疗器械</w:t>
            </w:r>
            <w:r>
              <w:rPr>
                <w:rFonts w:hint="eastAsia" w:ascii="宋体" w:hAnsi="宋体"/>
                <w:b w:val="0"/>
                <w:bCs/>
                <w:color w:val="auto"/>
                <w:sz w:val="21"/>
                <w:szCs w:val="21"/>
              </w:rPr>
              <w:t>信息是否与</w:t>
            </w:r>
            <w:r>
              <w:rPr>
                <w:rFonts w:hint="eastAsia" w:ascii="宋体" w:hAnsi="宋体"/>
                <w:b w:val="0"/>
                <w:bCs/>
                <w:color w:val="auto"/>
                <w:sz w:val="21"/>
                <w:szCs w:val="21"/>
                <w:lang w:val="en-US" w:eastAsia="zh-CN"/>
              </w:rPr>
              <w:t>自检报告和注册检验</w:t>
            </w:r>
            <w:r>
              <w:rPr>
                <w:rFonts w:hint="eastAsia" w:ascii="宋体" w:hAnsi="宋体"/>
                <w:b w:val="0"/>
                <w:bCs/>
                <w:color w:val="auto"/>
                <w:sz w:val="21"/>
                <w:szCs w:val="21"/>
              </w:rPr>
              <w:t>报告信息一致：□是 □否（备注：</w:t>
            </w:r>
            <w:r>
              <w:rPr>
                <w:rFonts w:hint="eastAsia" w:ascii="宋体" w:hAnsi="宋体"/>
                <w:b w:val="0"/>
                <w:bCs/>
                <w:color w:val="auto"/>
                <w:sz w:val="21"/>
                <w:szCs w:val="21"/>
                <w:u w:val="single"/>
              </w:rPr>
              <w:t xml:space="preserve">                                             </w:t>
            </w:r>
            <w:r>
              <w:rPr>
                <w:rFonts w:hint="eastAsia" w:ascii="宋体" w:hAnsi="宋体"/>
                <w:b w:val="0"/>
                <w:bCs/>
                <w:color w:val="auto"/>
                <w:sz w:val="21"/>
                <w:szCs w:val="21"/>
                <w:u w:val="single"/>
                <w:lang w:val="en-US" w:eastAsia="zh-CN"/>
              </w:rPr>
              <w:t xml:space="preserve">  </w:t>
            </w:r>
            <w:r>
              <w:rPr>
                <w:rFonts w:hint="eastAsia" w:ascii="宋体" w:hAnsi="宋体"/>
                <w:b w:val="0"/>
                <w:bCs/>
                <w:color w:val="auto"/>
                <w:sz w:val="21"/>
                <w:szCs w:val="21"/>
                <w:u w:val="single"/>
              </w:rPr>
              <w:t xml:space="preserve">          </w:t>
            </w:r>
            <w:r>
              <w:rPr>
                <w:rFonts w:hint="eastAsia" w:ascii="宋体" w:hAnsi="宋体"/>
                <w:b w:val="0"/>
                <w:bCs/>
                <w:color w:val="auto"/>
                <w:sz w:val="21"/>
                <w:szCs w:val="21"/>
                <w:u w:val="single"/>
                <w:lang w:val="en-US" w:eastAsia="zh-CN"/>
              </w:rPr>
              <w:t xml:space="preserve"> </w:t>
            </w:r>
            <w:r>
              <w:rPr>
                <w:rFonts w:hint="eastAsia" w:ascii="宋体" w:hAnsi="宋体"/>
                <w:b w:val="0"/>
                <w:bCs/>
                <w:color w:val="auto"/>
                <w:sz w:val="21"/>
                <w:szCs w:val="21"/>
              </w:rPr>
              <w:t>）</w:t>
            </w:r>
          </w:p>
        </w:tc>
      </w:tr>
    </w:tbl>
    <w:p>
      <w:pPr>
        <w:keepNext w:val="0"/>
        <w:keepLines w:val="0"/>
        <w:pageBreakBefore w:val="0"/>
        <w:widowControl/>
        <w:shd w:val="clear" w:color="auto" w:fill="FFFFFF"/>
        <w:kinsoku/>
        <w:wordWrap/>
        <w:overflowPunct/>
        <w:topLinePunct w:val="0"/>
        <w:autoSpaceDE/>
        <w:autoSpaceDN/>
        <w:bidi w:val="0"/>
        <w:adjustRightInd/>
        <w:snapToGrid/>
        <w:spacing w:before="144" w:beforeLines="50" w:line="360" w:lineRule="auto"/>
        <w:ind w:firstLine="315" w:firstLineChars="150"/>
        <w:textAlignment w:val="auto"/>
        <w:rPr>
          <w:rFonts w:hint="eastAsia" w:ascii="宋体" w:hAnsi="宋体"/>
          <w:b w:val="0"/>
          <w:bCs/>
          <w:color w:val="auto"/>
          <w:kern w:val="0"/>
          <w:sz w:val="21"/>
          <w:szCs w:val="21"/>
          <w:u w:val="single"/>
        </w:rPr>
      </w:pPr>
      <w:r>
        <w:rPr>
          <w:rFonts w:hint="eastAsia" w:ascii="宋体" w:hAnsi="宋体"/>
          <w:b w:val="0"/>
          <w:bCs/>
          <w:color w:val="auto"/>
          <w:kern w:val="0"/>
          <w:sz w:val="21"/>
          <w:szCs w:val="21"/>
          <w:lang w:val="en-US" w:eastAsia="zh-CN"/>
        </w:rPr>
        <w:t>运送</w:t>
      </w:r>
      <w:r>
        <w:rPr>
          <w:rFonts w:hint="eastAsia" w:ascii="宋体" w:hAnsi="宋体"/>
          <w:b w:val="0"/>
          <w:bCs/>
          <w:color w:val="auto"/>
          <w:kern w:val="0"/>
          <w:sz w:val="21"/>
          <w:szCs w:val="21"/>
        </w:rPr>
        <w:t>人：</w:t>
      </w:r>
      <w:r>
        <w:rPr>
          <w:rFonts w:hint="eastAsia" w:ascii="宋体" w:hAnsi="宋体"/>
          <w:b w:val="0"/>
          <w:bCs/>
          <w:color w:val="auto"/>
          <w:kern w:val="0"/>
          <w:sz w:val="21"/>
          <w:szCs w:val="21"/>
          <w:u w:val="single"/>
        </w:rPr>
        <w:t xml:space="preserve">               </w:t>
      </w:r>
      <w:r>
        <w:rPr>
          <w:rFonts w:hint="eastAsia" w:ascii="宋体" w:hAnsi="宋体"/>
          <w:b w:val="0"/>
          <w:bCs/>
          <w:color w:val="auto"/>
          <w:kern w:val="0"/>
          <w:sz w:val="21"/>
          <w:szCs w:val="21"/>
        </w:rPr>
        <w:t>日期：</w:t>
      </w:r>
      <w:r>
        <w:rPr>
          <w:rFonts w:hint="eastAsia" w:ascii="宋体" w:hAnsi="宋体"/>
          <w:b w:val="0"/>
          <w:bCs/>
          <w:color w:val="auto"/>
          <w:kern w:val="0"/>
          <w:sz w:val="21"/>
          <w:szCs w:val="21"/>
          <w:u w:val="single"/>
        </w:rPr>
        <w:t xml:space="preserve">                 </w:t>
      </w:r>
      <w:r>
        <w:rPr>
          <w:rFonts w:hint="eastAsia" w:ascii="宋体" w:hAnsi="宋体"/>
          <w:b w:val="0"/>
          <w:bCs/>
          <w:color w:val="auto"/>
          <w:kern w:val="0"/>
          <w:sz w:val="21"/>
          <w:szCs w:val="21"/>
        </w:rPr>
        <w:t xml:space="preserve"> 接收人：</w:t>
      </w:r>
      <w:r>
        <w:rPr>
          <w:rFonts w:hint="eastAsia" w:ascii="宋体" w:hAnsi="宋体"/>
          <w:b w:val="0"/>
          <w:bCs/>
          <w:color w:val="auto"/>
          <w:kern w:val="0"/>
          <w:sz w:val="21"/>
          <w:szCs w:val="21"/>
          <w:u w:val="single"/>
        </w:rPr>
        <w:t xml:space="preserve">            </w:t>
      </w:r>
      <w:r>
        <w:rPr>
          <w:rFonts w:hint="eastAsia" w:ascii="宋体" w:hAnsi="宋体"/>
          <w:b w:val="0"/>
          <w:bCs/>
          <w:color w:val="auto"/>
          <w:kern w:val="0"/>
          <w:sz w:val="21"/>
          <w:szCs w:val="21"/>
        </w:rPr>
        <w:t xml:space="preserve"> 日期：</w:t>
      </w:r>
      <w:r>
        <w:rPr>
          <w:rFonts w:hint="eastAsia" w:ascii="宋体" w:hAnsi="宋体"/>
          <w:b w:val="0"/>
          <w:bCs/>
          <w:color w:val="auto"/>
          <w:kern w:val="0"/>
          <w:sz w:val="21"/>
          <w:szCs w:val="21"/>
          <w:u w:val="single"/>
        </w:rPr>
        <w:t xml:space="preserve">             </w:t>
      </w:r>
      <w:r>
        <w:rPr>
          <w:rFonts w:hint="eastAsia" w:ascii="宋体" w:hAnsi="宋体"/>
          <w:b w:val="0"/>
          <w:bCs/>
          <w:color w:val="auto"/>
          <w:sz w:val="21"/>
          <w:szCs w:val="21"/>
        </w:rPr>
        <w:t xml:space="preserve"> </w:t>
      </w:r>
    </w:p>
    <w:p>
      <w:pPr>
        <w:spacing w:line="360" w:lineRule="auto"/>
        <w:rPr>
          <w:rFonts w:hint="eastAsia"/>
          <w:b w:val="0"/>
          <w:bCs/>
          <w:color w:val="auto"/>
          <w:sz w:val="24"/>
          <w:szCs w:val="24"/>
        </w:rPr>
      </w:pPr>
    </w:p>
    <w:p>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附件</w:t>
      </w:r>
      <w:r>
        <w:rPr>
          <w:rFonts w:hint="eastAsia" w:ascii="宋体" w:hAnsi="宋体" w:eastAsia="宋体" w:cs="宋体"/>
          <w:b w:val="0"/>
          <w:bCs/>
          <w:color w:val="auto"/>
          <w:sz w:val="24"/>
          <w:szCs w:val="24"/>
          <w:lang w:val="en-US" w:eastAsia="zh-CN"/>
        </w:rPr>
        <w:t>2：YYH-SOP-CTC-012-3.1-A02</w:t>
      </w:r>
      <w:r>
        <w:rPr>
          <w:rFonts w:hint="eastAsia" w:ascii="宋体" w:hAnsi="宋体" w:eastAsia="宋体" w:cs="宋体"/>
          <w:b w:val="0"/>
          <w:bCs/>
          <w:color w:val="auto"/>
          <w:sz w:val="24"/>
          <w:szCs w:val="24"/>
        </w:rPr>
        <w:t>临床试验用医疗器械出入库记录表</w:t>
      </w:r>
    </w:p>
    <w:p>
      <w:pPr>
        <w:spacing w:line="360" w:lineRule="auto"/>
        <w:jc w:val="center"/>
        <w:rPr>
          <w:rFonts w:hint="eastAsia"/>
          <w:b w:val="0"/>
          <w:bCs/>
          <w:color w:val="auto"/>
          <w:sz w:val="24"/>
          <w:szCs w:val="24"/>
        </w:rPr>
      </w:pPr>
      <w:r>
        <w:rPr>
          <w:rFonts w:hint="eastAsia"/>
          <w:b w:val="0"/>
          <w:bCs/>
          <w:color w:val="auto"/>
          <w:sz w:val="24"/>
          <w:szCs w:val="24"/>
        </w:rPr>
        <w:t>临床试验用医疗器械出入库记录表</w:t>
      </w:r>
    </w:p>
    <w:p>
      <w:pPr>
        <w:spacing w:line="400" w:lineRule="exact"/>
        <w:rPr>
          <w:rFonts w:hint="eastAsia"/>
          <w:b w:val="0"/>
          <w:bCs/>
          <w:color w:val="auto"/>
          <w:sz w:val="21"/>
          <w:szCs w:val="21"/>
        </w:rPr>
      </w:pPr>
      <w:r>
        <w:rPr>
          <w:rFonts w:hint="eastAsia"/>
          <w:b w:val="0"/>
          <w:bCs/>
          <w:color w:val="auto"/>
          <w:sz w:val="21"/>
          <w:szCs w:val="21"/>
        </w:rPr>
        <w:t xml:space="preserve">试验名称： </w:t>
      </w:r>
      <w:r>
        <w:rPr>
          <w:rFonts w:hint="eastAsia"/>
          <w:b w:val="0"/>
          <w:bCs/>
          <w:color w:val="auto"/>
          <w:sz w:val="21"/>
          <w:szCs w:val="21"/>
          <w:u w:val="single"/>
        </w:rPr>
        <w:t xml:space="preserve">                                                                                                                                </w:t>
      </w:r>
      <w:r>
        <w:rPr>
          <w:rFonts w:hint="eastAsia"/>
          <w:b w:val="0"/>
          <w:bCs/>
          <w:color w:val="auto"/>
          <w:sz w:val="21"/>
          <w:szCs w:val="21"/>
        </w:rPr>
        <w:t xml:space="preserve"> </w:t>
      </w:r>
    </w:p>
    <w:p>
      <w:pPr>
        <w:spacing w:line="400" w:lineRule="exact"/>
        <w:rPr>
          <w:rFonts w:hint="eastAsia" w:eastAsiaTheme="minorEastAsia"/>
          <w:b w:val="0"/>
          <w:bCs/>
          <w:color w:val="auto"/>
          <w:sz w:val="21"/>
          <w:szCs w:val="21"/>
          <w:u w:val="single"/>
          <w:lang w:val="en-US" w:eastAsia="zh-CN"/>
        </w:rPr>
      </w:pPr>
      <w:r>
        <w:rPr>
          <w:rFonts w:hint="eastAsia"/>
          <w:b w:val="0"/>
          <w:bCs/>
          <w:color w:val="auto"/>
          <w:sz w:val="21"/>
          <w:szCs w:val="21"/>
        </w:rPr>
        <w:t>方案编号：</w:t>
      </w:r>
      <w:r>
        <w:rPr>
          <w:rFonts w:hint="eastAsia" w:ascii="微软雅黑" w:hAnsi="微软雅黑" w:eastAsia="微软雅黑"/>
          <w:b w:val="0"/>
          <w:bCs/>
          <w:color w:val="auto"/>
          <w:sz w:val="21"/>
          <w:szCs w:val="21"/>
          <w:u w:val="single"/>
        </w:rPr>
        <w:t xml:space="preserve">                           </w:t>
      </w:r>
      <w:r>
        <w:rPr>
          <w:rFonts w:hint="eastAsia" w:ascii="微软雅黑" w:hAnsi="微软雅黑" w:eastAsia="微软雅黑"/>
          <w:b w:val="0"/>
          <w:bCs/>
          <w:color w:val="auto"/>
          <w:sz w:val="21"/>
          <w:szCs w:val="21"/>
        </w:rPr>
        <w:t xml:space="preserve">                                                     </w:t>
      </w:r>
      <w:r>
        <w:rPr>
          <w:rFonts w:hint="eastAsia" w:ascii="微软雅黑" w:hAnsi="微软雅黑" w:eastAsia="微软雅黑"/>
          <w:b w:val="0"/>
          <w:bCs/>
          <w:color w:val="auto"/>
          <w:sz w:val="21"/>
          <w:szCs w:val="21"/>
          <w:lang w:val="en-US" w:eastAsia="zh-CN"/>
        </w:rPr>
        <w:t xml:space="preserve">         </w:t>
      </w:r>
      <w:r>
        <w:rPr>
          <w:rFonts w:hint="eastAsia"/>
          <w:b w:val="0"/>
          <w:bCs/>
          <w:color w:val="auto"/>
          <w:sz w:val="21"/>
          <w:szCs w:val="21"/>
        </w:rPr>
        <w:t>申办方：</w:t>
      </w:r>
      <w:r>
        <w:rPr>
          <w:rFonts w:hint="eastAsia" w:ascii="宋体" w:hAnsi="宋体"/>
          <w:b w:val="0"/>
          <w:bCs/>
          <w:color w:val="auto"/>
          <w:spacing w:val="20"/>
          <w:sz w:val="21"/>
          <w:szCs w:val="21"/>
          <w:u w:val="single"/>
        </w:rPr>
        <w:t xml:space="preserve">                     </w:t>
      </w:r>
      <w:r>
        <w:rPr>
          <w:rFonts w:hint="eastAsia" w:ascii="宋体" w:hAnsi="宋体"/>
          <w:b w:val="0"/>
          <w:bCs/>
          <w:color w:val="auto"/>
          <w:spacing w:val="20"/>
          <w:sz w:val="21"/>
          <w:szCs w:val="21"/>
          <w:u w:val="single"/>
          <w:lang w:val="en-US" w:eastAsia="zh-CN"/>
        </w:rPr>
        <w:t xml:space="preserve"> </w:t>
      </w:r>
    </w:p>
    <w:p>
      <w:pPr>
        <w:spacing w:line="400" w:lineRule="exact"/>
        <w:rPr>
          <w:rFonts w:hint="eastAsia" w:ascii="宋体" w:hAnsi="宋体"/>
          <w:b w:val="0"/>
          <w:bCs/>
          <w:color w:val="auto"/>
          <w:spacing w:val="20"/>
          <w:sz w:val="21"/>
          <w:szCs w:val="21"/>
        </w:rPr>
      </w:pPr>
      <w:r>
        <w:rPr>
          <w:rFonts w:hint="eastAsia" w:ascii="宋体" w:hAnsi="宋体"/>
          <w:b w:val="0"/>
          <w:bCs/>
          <w:color w:val="auto"/>
          <w:sz w:val="21"/>
          <w:szCs w:val="21"/>
        </w:rPr>
        <w:t>机构名称：沂源县人民医院药物</w:t>
      </w:r>
      <w:r>
        <w:rPr>
          <w:rFonts w:hint="eastAsia" w:ascii="宋体" w:hAnsi="宋体"/>
          <w:b w:val="0"/>
          <w:bCs/>
          <w:color w:val="auto"/>
          <w:sz w:val="21"/>
          <w:szCs w:val="21"/>
          <w:lang w:val="en-US" w:eastAsia="zh-CN"/>
        </w:rPr>
        <w:t>/医疗器械</w:t>
      </w:r>
      <w:r>
        <w:rPr>
          <w:rFonts w:hint="eastAsia" w:ascii="宋体" w:hAnsi="宋体"/>
          <w:b w:val="0"/>
          <w:bCs/>
          <w:color w:val="auto"/>
          <w:sz w:val="21"/>
          <w:szCs w:val="21"/>
        </w:rPr>
        <w:t>临床试验机构                                                主要研究者：</w:t>
      </w:r>
      <w:r>
        <w:rPr>
          <w:rFonts w:hint="eastAsia" w:ascii="宋体" w:hAnsi="宋体"/>
          <w:b w:val="0"/>
          <w:bCs/>
          <w:color w:val="auto"/>
          <w:sz w:val="21"/>
          <w:szCs w:val="21"/>
          <w:u w:val="single"/>
        </w:rPr>
        <w:t xml:space="preserve">                            </w:t>
      </w:r>
      <w:r>
        <w:rPr>
          <w:rFonts w:hint="eastAsia" w:ascii="宋体" w:hAnsi="宋体"/>
          <w:b w:val="0"/>
          <w:bCs/>
          <w:color w:val="auto"/>
          <w:sz w:val="21"/>
          <w:szCs w:val="21"/>
        </w:rPr>
        <w:t xml:space="preserve">               </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1189"/>
        <w:gridCol w:w="1486"/>
        <w:gridCol w:w="1148"/>
        <w:gridCol w:w="1249"/>
        <w:gridCol w:w="903"/>
        <w:gridCol w:w="1142"/>
        <w:gridCol w:w="1305"/>
        <w:gridCol w:w="687"/>
        <w:gridCol w:w="1551"/>
        <w:gridCol w:w="1607"/>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12" w:type="pct"/>
            <w:vAlign w:val="center"/>
          </w:tcPr>
          <w:p>
            <w:pPr>
              <w:jc w:val="center"/>
              <w:rPr>
                <w:rFonts w:hint="eastAsia"/>
                <w:b w:val="0"/>
                <w:bCs/>
                <w:color w:val="auto"/>
                <w:sz w:val="21"/>
                <w:szCs w:val="21"/>
              </w:rPr>
            </w:pPr>
            <w:r>
              <w:rPr>
                <w:rFonts w:hint="eastAsia"/>
                <w:b w:val="0"/>
                <w:bCs/>
                <w:color w:val="auto"/>
                <w:sz w:val="21"/>
                <w:szCs w:val="21"/>
              </w:rPr>
              <w:t>出入</w:t>
            </w:r>
            <w:r>
              <w:rPr>
                <w:b w:val="0"/>
                <w:bCs/>
                <w:color w:val="auto"/>
                <w:sz w:val="21"/>
                <w:szCs w:val="21"/>
              </w:rPr>
              <w:t>库类型</w:t>
            </w:r>
          </w:p>
        </w:tc>
        <w:tc>
          <w:tcPr>
            <w:tcW w:w="402" w:type="pct"/>
            <w:vAlign w:val="center"/>
          </w:tcPr>
          <w:p>
            <w:pPr>
              <w:jc w:val="center"/>
              <w:rPr>
                <w:rFonts w:hint="eastAsia"/>
                <w:b w:val="0"/>
                <w:bCs/>
                <w:color w:val="auto"/>
                <w:sz w:val="21"/>
                <w:szCs w:val="21"/>
              </w:rPr>
            </w:pPr>
            <w:r>
              <w:rPr>
                <w:rFonts w:hint="eastAsia"/>
                <w:b w:val="0"/>
                <w:bCs/>
                <w:color w:val="auto"/>
                <w:sz w:val="21"/>
                <w:szCs w:val="21"/>
              </w:rPr>
              <w:t>日期</w:t>
            </w:r>
          </w:p>
        </w:tc>
        <w:tc>
          <w:tcPr>
            <w:tcW w:w="502" w:type="pct"/>
            <w:vAlign w:val="center"/>
          </w:tcPr>
          <w:p>
            <w:pPr>
              <w:jc w:val="center"/>
              <w:rPr>
                <w:rFonts w:hint="eastAsia"/>
                <w:b w:val="0"/>
                <w:bCs/>
                <w:color w:val="auto"/>
                <w:sz w:val="21"/>
                <w:szCs w:val="21"/>
              </w:rPr>
            </w:pPr>
            <w:r>
              <w:rPr>
                <w:rFonts w:hint="eastAsia"/>
                <w:b w:val="0"/>
                <w:bCs/>
                <w:color w:val="auto"/>
                <w:sz w:val="21"/>
                <w:szCs w:val="21"/>
              </w:rPr>
              <w:t>医疗器械名称</w:t>
            </w:r>
          </w:p>
        </w:tc>
        <w:tc>
          <w:tcPr>
            <w:tcW w:w="388" w:type="pct"/>
            <w:vAlign w:val="center"/>
          </w:tcPr>
          <w:p>
            <w:pPr>
              <w:jc w:val="center"/>
              <w:rPr>
                <w:rFonts w:hint="eastAsia"/>
                <w:b w:val="0"/>
                <w:bCs/>
                <w:color w:val="auto"/>
                <w:sz w:val="21"/>
                <w:szCs w:val="21"/>
              </w:rPr>
            </w:pPr>
            <w:r>
              <w:rPr>
                <w:rFonts w:hint="eastAsia"/>
                <w:b w:val="0"/>
                <w:bCs/>
                <w:color w:val="auto"/>
                <w:sz w:val="21"/>
                <w:szCs w:val="21"/>
              </w:rPr>
              <w:t>医疗器械编号</w:t>
            </w:r>
          </w:p>
        </w:tc>
        <w:tc>
          <w:tcPr>
            <w:tcW w:w="422" w:type="pct"/>
            <w:vAlign w:val="center"/>
          </w:tcPr>
          <w:p>
            <w:pPr>
              <w:jc w:val="center"/>
              <w:rPr>
                <w:rFonts w:hint="eastAsia" w:eastAsiaTheme="minorEastAsia"/>
                <w:b w:val="0"/>
                <w:bCs/>
                <w:color w:val="auto"/>
                <w:sz w:val="21"/>
                <w:szCs w:val="21"/>
                <w:lang w:val="en-US" w:eastAsia="zh-CN"/>
              </w:rPr>
            </w:pPr>
            <w:r>
              <w:rPr>
                <w:rFonts w:hint="eastAsia"/>
                <w:b w:val="0"/>
                <w:bCs/>
                <w:color w:val="auto"/>
                <w:sz w:val="21"/>
                <w:szCs w:val="21"/>
              </w:rPr>
              <w:t>规格</w:t>
            </w:r>
            <w:r>
              <w:rPr>
                <w:rFonts w:hint="eastAsia"/>
                <w:b w:val="0"/>
                <w:bCs/>
                <w:color w:val="auto"/>
                <w:sz w:val="21"/>
                <w:szCs w:val="21"/>
                <w:lang w:val="en-US" w:eastAsia="zh-CN"/>
              </w:rPr>
              <w:t>/型号</w:t>
            </w:r>
          </w:p>
        </w:tc>
        <w:tc>
          <w:tcPr>
            <w:tcW w:w="305" w:type="pct"/>
            <w:vAlign w:val="center"/>
          </w:tcPr>
          <w:p>
            <w:pPr>
              <w:jc w:val="center"/>
              <w:rPr>
                <w:rFonts w:hint="eastAsia"/>
                <w:b w:val="0"/>
                <w:bCs/>
                <w:color w:val="auto"/>
                <w:sz w:val="21"/>
                <w:szCs w:val="21"/>
              </w:rPr>
            </w:pPr>
            <w:r>
              <w:rPr>
                <w:rFonts w:hint="eastAsia"/>
                <w:b w:val="0"/>
                <w:bCs/>
                <w:color w:val="auto"/>
                <w:sz w:val="21"/>
                <w:szCs w:val="21"/>
              </w:rPr>
              <w:t>数量</w:t>
            </w:r>
          </w:p>
        </w:tc>
        <w:tc>
          <w:tcPr>
            <w:tcW w:w="386" w:type="pct"/>
            <w:vAlign w:val="center"/>
          </w:tcPr>
          <w:p>
            <w:pPr>
              <w:jc w:val="center"/>
              <w:rPr>
                <w:rFonts w:hint="eastAsia"/>
                <w:b w:val="0"/>
                <w:bCs/>
                <w:color w:val="auto"/>
                <w:sz w:val="21"/>
                <w:szCs w:val="21"/>
              </w:rPr>
            </w:pPr>
            <w:r>
              <w:rPr>
                <w:rFonts w:hint="eastAsia"/>
                <w:b w:val="0"/>
                <w:bCs/>
                <w:color w:val="auto"/>
                <w:sz w:val="21"/>
                <w:szCs w:val="21"/>
              </w:rPr>
              <w:t>批号</w:t>
            </w:r>
          </w:p>
        </w:tc>
        <w:tc>
          <w:tcPr>
            <w:tcW w:w="441" w:type="pct"/>
            <w:vAlign w:val="center"/>
          </w:tcPr>
          <w:p>
            <w:pPr>
              <w:jc w:val="center"/>
              <w:rPr>
                <w:rFonts w:hint="eastAsia"/>
                <w:b w:val="0"/>
                <w:bCs/>
                <w:color w:val="auto"/>
                <w:sz w:val="21"/>
                <w:szCs w:val="21"/>
              </w:rPr>
            </w:pPr>
            <w:r>
              <w:rPr>
                <w:rFonts w:hint="eastAsia"/>
                <w:b w:val="0"/>
                <w:bCs/>
                <w:color w:val="auto"/>
                <w:sz w:val="21"/>
                <w:szCs w:val="21"/>
              </w:rPr>
              <w:t>有效期</w:t>
            </w:r>
          </w:p>
        </w:tc>
        <w:tc>
          <w:tcPr>
            <w:tcW w:w="232" w:type="pct"/>
            <w:vAlign w:val="center"/>
          </w:tcPr>
          <w:p>
            <w:pPr>
              <w:jc w:val="center"/>
              <w:rPr>
                <w:rFonts w:hint="eastAsia"/>
                <w:b w:val="0"/>
                <w:bCs/>
                <w:color w:val="auto"/>
                <w:sz w:val="21"/>
                <w:szCs w:val="21"/>
              </w:rPr>
            </w:pPr>
            <w:r>
              <w:rPr>
                <w:rFonts w:hint="eastAsia"/>
                <w:b w:val="0"/>
                <w:bCs/>
                <w:color w:val="auto"/>
                <w:sz w:val="21"/>
                <w:szCs w:val="21"/>
              </w:rPr>
              <w:t>剩余数量</w:t>
            </w:r>
          </w:p>
        </w:tc>
        <w:tc>
          <w:tcPr>
            <w:tcW w:w="524" w:type="pct"/>
            <w:vAlign w:val="center"/>
          </w:tcPr>
          <w:p>
            <w:pPr>
              <w:jc w:val="center"/>
              <w:rPr>
                <w:rFonts w:hint="eastAsia"/>
                <w:b w:val="0"/>
                <w:bCs/>
                <w:color w:val="auto"/>
                <w:sz w:val="21"/>
                <w:szCs w:val="21"/>
              </w:rPr>
            </w:pPr>
            <w:r>
              <w:rPr>
                <w:rFonts w:hint="eastAsia"/>
                <w:b w:val="0"/>
                <w:bCs/>
                <w:color w:val="auto"/>
                <w:sz w:val="21"/>
                <w:szCs w:val="21"/>
                <w:lang w:val="en-US" w:eastAsia="zh-CN"/>
              </w:rPr>
              <w:t>医疗器械</w:t>
            </w:r>
            <w:r>
              <w:rPr>
                <w:rFonts w:hint="eastAsia"/>
                <w:b w:val="0"/>
                <w:bCs/>
                <w:color w:val="auto"/>
                <w:sz w:val="21"/>
                <w:szCs w:val="21"/>
              </w:rPr>
              <w:t>管理员</w:t>
            </w:r>
          </w:p>
        </w:tc>
        <w:tc>
          <w:tcPr>
            <w:tcW w:w="543" w:type="pct"/>
            <w:vAlign w:val="center"/>
          </w:tcPr>
          <w:p>
            <w:pPr>
              <w:jc w:val="center"/>
              <w:rPr>
                <w:rFonts w:hint="eastAsia"/>
                <w:b w:val="0"/>
                <w:bCs/>
                <w:color w:val="auto"/>
                <w:sz w:val="21"/>
                <w:szCs w:val="21"/>
              </w:rPr>
            </w:pPr>
            <w:r>
              <w:rPr>
                <w:rFonts w:hint="eastAsia"/>
                <w:b w:val="0"/>
                <w:bCs/>
                <w:color w:val="auto"/>
                <w:sz w:val="21"/>
                <w:szCs w:val="21"/>
              </w:rPr>
              <w:t>储存条件</w:t>
            </w:r>
          </w:p>
        </w:tc>
        <w:tc>
          <w:tcPr>
            <w:tcW w:w="437" w:type="pct"/>
            <w:vAlign w:val="center"/>
          </w:tcPr>
          <w:p>
            <w:pPr>
              <w:jc w:val="center"/>
              <w:rPr>
                <w:rFonts w:hint="eastAsia"/>
                <w:b w:val="0"/>
                <w:bCs/>
                <w:color w:val="auto"/>
                <w:sz w:val="21"/>
                <w:szCs w:val="21"/>
              </w:rPr>
            </w:pPr>
            <w:r>
              <w:rPr>
                <w:rFonts w:hint="eastAsia"/>
                <w:b w:val="0"/>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12" w:type="pct"/>
            <w:vAlign w:val="center"/>
          </w:tcPr>
          <w:p>
            <w:pPr>
              <w:jc w:val="center"/>
              <w:rPr>
                <w:b w:val="0"/>
                <w:bCs/>
                <w:color w:val="auto"/>
                <w:sz w:val="21"/>
                <w:szCs w:val="21"/>
              </w:rPr>
            </w:pPr>
            <w:r>
              <w:rPr>
                <w:rFonts w:hint="eastAsia"/>
                <w:b w:val="0"/>
                <w:bCs/>
                <w:color w:val="auto"/>
                <w:sz w:val="21"/>
                <w:szCs w:val="21"/>
              </w:rPr>
              <w:t>□入库</w:t>
            </w:r>
          </w:p>
          <w:p>
            <w:pPr>
              <w:jc w:val="center"/>
              <w:rPr>
                <w:rFonts w:hint="eastAsia"/>
                <w:b w:val="0"/>
                <w:bCs/>
                <w:color w:val="auto"/>
                <w:sz w:val="21"/>
                <w:szCs w:val="21"/>
              </w:rPr>
            </w:pPr>
            <w:r>
              <w:rPr>
                <w:rFonts w:hint="eastAsia"/>
                <w:b w:val="0"/>
                <w:bCs/>
                <w:color w:val="auto"/>
                <w:sz w:val="21"/>
                <w:szCs w:val="21"/>
              </w:rPr>
              <w:t>□出库</w:t>
            </w:r>
          </w:p>
        </w:tc>
        <w:tc>
          <w:tcPr>
            <w:tcW w:w="402" w:type="pct"/>
            <w:vAlign w:val="top"/>
          </w:tcPr>
          <w:p>
            <w:pPr>
              <w:rPr>
                <w:rFonts w:hint="eastAsia"/>
                <w:b w:val="0"/>
                <w:bCs/>
                <w:color w:val="auto"/>
                <w:sz w:val="21"/>
                <w:szCs w:val="21"/>
              </w:rPr>
            </w:pPr>
          </w:p>
        </w:tc>
        <w:tc>
          <w:tcPr>
            <w:tcW w:w="502" w:type="pct"/>
            <w:vAlign w:val="center"/>
          </w:tcPr>
          <w:p>
            <w:pPr>
              <w:rPr>
                <w:rFonts w:hint="eastAsia"/>
                <w:b w:val="0"/>
                <w:bCs/>
                <w:color w:val="auto"/>
                <w:sz w:val="21"/>
                <w:szCs w:val="21"/>
              </w:rPr>
            </w:pPr>
          </w:p>
        </w:tc>
        <w:tc>
          <w:tcPr>
            <w:tcW w:w="388" w:type="pct"/>
            <w:vAlign w:val="top"/>
          </w:tcPr>
          <w:p>
            <w:pPr>
              <w:rPr>
                <w:rFonts w:hint="eastAsia"/>
                <w:b w:val="0"/>
                <w:bCs/>
                <w:color w:val="auto"/>
                <w:sz w:val="21"/>
                <w:szCs w:val="21"/>
              </w:rPr>
            </w:pPr>
          </w:p>
        </w:tc>
        <w:tc>
          <w:tcPr>
            <w:tcW w:w="422" w:type="pct"/>
            <w:vAlign w:val="top"/>
          </w:tcPr>
          <w:p>
            <w:pPr>
              <w:rPr>
                <w:rFonts w:hint="eastAsia"/>
                <w:b w:val="0"/>
                <w:bCs/>
                <w:color w:val="auto"/>
                <w:sz w:val="21"/>
                <w:szCs w:val="21"/>
              </w:rPr>
            </w:pPr>
          </w:p>
        </w:tc>
        <w:tc>
          <w:tcPr>
            <w:tcW w:w="305" w:type="pct"/>
            <w:vAlign w:val="top"/>
          </w:tcPr>
          <w:p>
            <w:pPr>
              <w:rPr>
                <w:rFonts w:hint="eastAsia"/>
                <w:b w:val="0"/>
                <w:bCs/>
                <w:color w:val="auto"/>
                <w:sz w:val="21"/>
                <w:szCs w:val="21"/>
              </w:rPr>
            </w:pPr>
          </w:p>
        </w:tc>
        <w:tc>
          <w:tcPr>
            <w:tcW w:w="386" w:type="pct"/>
            <w:vAlign w:val="top"/>
          </w:tcPr>
          <w:p>
            <w:pPr>
              <w:rPr>
                <w:rFonts w:hint="eastAsia"/>
                <w:b w:val="0"/>
                <w:bCs/>
                <w:color w:val="auto"/>
                <w:sz w:val="21"/>
                <w:szCs w:val="21"/>
              </w:rPr>
            </w:pPr>
          </w:p>
        </w:tc>
        <w:tc>
          <w:tcPr>
            <w:tcW w:w="441" w:type="pct"/>
            <w:vAlign w:val="center"/>
          </w:tcPr>
          <w:p>
            <w:pPr>
              <w:rPr>
                <w:rFonts w:hint="eastAsia"/>
                <w:b w:val="0"/>
                <w:bCs/>
                <w:color w:val="auto"/>
                <w:sz w:val="21"/>
                <w:szCs w:val="21"/>
              </w:rPr>
            </w:pPr>
          </w:p>
        </w:tc>
        <w:tc>
          <w:tcPr>
            <w:tcW w:w="232" w:type="pct"/>
            <w:vAlign w:val="top"/>
          </w:tcPr>
          <w:p>
            <w:pPr>
              <w:rPr>
                <w:rFonts w:hint="eastAsia"/>
                <w:b w:val="0"/>
                <w:bCs/>
                <w:color w:val="auto"/>
                <w:sz w:val="21"/>
                <w:szCs w:val="21"/>
              </w:rPr>
            </w:pPr>
          </w:p>
        </w:tc>
        <w:tc>
          <w:tcPr>
            <w:tcW w:w="524" w:type="pct"/>
            <w:vAlign w:val="top"/>
          </w:tcPr>
          <w:p>
            <w:pPr>
              <w:rPr>
                <w:rFonts w:hint="eastAsia"/>
                <w:b w:val="0"/>
                <w:bCs/>
                <w:color w:val="auto"/>
                <w:sz w:val="21"/>
                <w:szCs w:val="21"/>
              </w:rPr>
            </w:pPr>
          </w:p>
        </w:tc>
        <w:tc>
          <w:tcPr>
            <w:tcW w:w="543" w:type="pct"/>
            <w:vAlign w:val="top"/>
          </w:tcPr>
          <w:p>
            <w:pPr>
              <w:rPr>
                <w:rFonts w:hint="eastAsia"/>
                <w:b w:val="0"/>
                <w:bCs/>
                <w:color w:val="auto"/>
                <w:sz w:val="21"/>
                <w:szCs w:val="21"/>
              </w:rPr>
            </w:pPr>
          </w:p>
        </w:tc>
        <w:tc>
          <w:tcPr>
            <w:tcW w:w="437" w:type="pct"/>
            <w:vAlign w:val="top"/>
          </w:tcPr>
          <w:p>
            <w:pPr>
              <w:rPr>
                <w:rFonts w:hint="eastAsia"/>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12" w:type="pct"/>
            <w:vAlign w:val="center"/>
          </w:tcPr>
          <w:p>
            <w:pPr>
              <w:jc w:val="center"/>
              <w:rPr>
                <w:b w:val="0"/>
                <w:bCs/>
                <w:color w:val="auto"/>
                <w:sz w:val="21"/>
                <w:szCs w:val="21"/>
              </w:rPr>
            </w:pPr>
            <w:r>
              <w:rPr>
                <w:rFonts w:hint="eastAsia"/>
                <w:b w:val="0"/>
                <w:bCs/>
                <w:color w:val="auto"/>
                <w:sz w:val="21"/>
                <w:szCs w:val="21"/>
              </w:rPr>
              <w:t>□入库</w:t>
            </w:r>
          </w:p>
          <w:p>
            <w:pPr>
              <w:jc w:val="center"/>
              <w:rPr>
                <w:rFonts w:hint="eastAsia"/>
                <w:b w:val="0"/>
                <w:bCs/>
                <w:color w:val="auto"/>
                <w:sz w:val="21"/>
                <w:szCs w:val="21"/>
              </w:rPr>
            </w:pPr>
            <w:r>
              <w:rPr>
                <w:rFonts w:hint="eastAsia"/>
                <w:b w:val="0"/>
                <w:bCs/>
                <w:color w:val="auto"/>
                <w:sz w:val="21"/>
                <w:szCs w:val="21"/>
              </w:rPr>
              <w:t>□出库</w:t>
            </w:r>
          </w:p>
        </w:tc>
        <w:tc>
          <w:tcPr>
            <w:tcW w:w="402" w:type="pct"/>
            <w:vAlign w:val="top"/>
          </w:tcPr>
          <w:p>
            <w:pPr>
              <w:rPr>
                <w:rFonts w:hint="eastAsia"/>
                <w:b w:val="0"/>
                <w:bCs/>
                <w:color w:val="auto"/>
                <w:sz w:val="21"/>
                <w:szCs w:val="21"/>
              </w:rPr>
            </w:pPr>
          </w:p>
        </w:tc>
        <w:tc>
          <w:tcPr>
            <w:tcW w:w="502" w:type="pct"/>
            <w:vAlign w:val="center"/>
          </w:tcPr>
          <w:p>
            <w:pPr>
              <w:rPr>
                <w:rFonts w:hint="eastAsia"/>
                <w:b w:val="0"/>
                <w:bCs/>
                <w:color w:val="auto"/>
                <w:sz w:val="21"/>
                <w:szCs w:val="21"/>
              </w:rPr>
            </w:pPr>
          </w:p>
        </w:tc>
        <w:tc>
          <w:tcPr>
            <w:tcW w:w="388" w:type="pct"/>
            <w:vAlign w:val="top"/>
          </w:tcPr>
          <w:p>
            <w:pPr>
              <w:rPr>
                <w:rFonts w:hint="eastAsia"/>
                <w:b w:val="0"/>
                <w:bCs/>
                <w:color w:val="auto"/>
                <w:sz w:val="21"/>
                <w:szCs w:val="21"/>
              </w:rPr>
            </w:pPr>
          </w:p>
        </w:tc>
        <w:tc>
          <w:tcPr>
            <w:tcW w:w="422" w:type="pct"/>
            <w:vAlign w:val="top"/>
          </w:tcPr>
          <w:p>
            <w:pPr>
              <w:rPr>
                <w:rFonts w:hint="eastAsia"/>
                <w:b w:val="0"/>
                <w:bCs/>
                <w:color w:val="auto"/>
                <w:sz w:val="21"/>
                <w:szCs w:val="21"/>
              </w:rPr>
            </w:pPr>
          </w:p>
        </w:tc>
        <w:tc>
          <w:tcPr>
            <w:tcW w:w="305" w:type="pct"/>
            <w:vAlign w:val="top"/>
          </w:tcPr>
          <w:p>
            <w:pPr>
              <w:rPr>
                <w:rFonts w:hint="eastAsia"/>
                <w:b w:val="0"/>
                <w:bCs/>
                <w:color w:val="auto"/>
                <w:sz w:val="21"/>
                <w:szCs w:val="21"/>
              </w:rPr>
            </w:pPr>
          </w:p>
        </w:tc>
        <w:tc>
          <w:tcPr>
            <w:tcW w:w="386" w:type="pct"/>
            <w:vAlign w:val="top"/>
          </w:tcPr>
          <w:p>
            <w:pPr>
              <w:rPr>
                <w:rFonts w:hint="eastAsia"/>
                <w:b w:val="0"/>
                <w:bCs/>
                <w:color w:val="auto"/>
                <w:sz w:val="21"/>
                <w:szCs w:val="21"/>
              </w:rPr>
            </w:pPr>
          </w:p>
        </w:tc>
        <w:tc>
          <w:tcPr>
            <w:tcW w:w="441" w:type="pct"/>
            <w:vAlign w:val="center"/>
          </w:tcPr>
          <w:p>
            <w:pPr>
              <w:rPr>
                <w:rFonts w:hint="eastAsia"/>
                <w:b w:val="0"/>
                <w:bCs/>
                <w:color w:val="auto"/>
                <w:sz w:val="21"/>
                <w:szCs w:val="21"/>
              </w:rPr>
            </w:pPr>
          </w:p>
        </w:tc>
        <w:tc>
          <w:tcPr>
            <w:tcW w:w="232" w:type="pct"/>
            <w:vAlign w:val="top"/>
          </w:tcPr>
          <w:p>
            <w:pPr>
              <w:rPr>
                <w:rFonts w:hint="eastAsia"/>
                <w:b w:val="0"/>
                <w:bCs/>
                <w:color w:val="auto"/>
                <w:sz w:val="21"/>
                <w:szCs w:val="21"/>
              </w:rPr>
            </w:pPr>
          </w:p>
        </w:tc>
        <w:tc>
          <w:tcPr>
            <w:tcW w:w="524" w:type="pct"/>
            <w:vAlign w:val="top"/>
          </w:tcPr>
          <w:p>
            <w:pPr>
              <w:rPr>
                <w:rFonts w:hint="eastAsia"/>
                <w:b w:val="0"/>
                <w:bCs/>
                <w:color w:val="auto"/>
                <w:sz w:val="21"/>
                <w:szCs w:val="21"/>
              </w:rPr>
            </w:pPr>
          </w:p>
        </w:tc>
        <w:tc>
          <w:tcPr>
            <w:tcW w:w="543" w:type="pct"/>
            <w:vAlign w:val="top"/>
          </w:tcPr>
          <w:p>
            <w:pPr>
              <w:rPr>
                <w:rFonts w:hint="eastAsia"/>
                <w:b w:val="0"/>
                <w:bCs/>
                <w:color w:val="auto"/>
                <w:sz w:val="21"/>
                <w:szCs w:val="21"/>
              </w:rPr>
            </w:pPr>
          </w:p>
        </w:tc>
        <w:tc>
          <w:tcPr>
            <w:tcW w:w="437" w:type="pct"/>
            <w:vAlign w:val="top"/>
          </w:tcPr>
          <w:p>
            <w:pPr>
              <w:rPr>
                <w:rFonts w:hint="eastAsia"/>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12" w:type="pct"/>
            <w:vAlign w:val="center"/>
          </w:tcPr>
          <w:p>
            <w:pPr>
              <w:jc w:val="center"/>
              <w:rPr>
                <w:b w:val="0"/>
                <w:bCs/>
                <w:color w:val="auto"/>
                <w:sz w:val="21"/>
                <w:szCs w:val="21"/>
              </w:rPr>
            </w:pPr>
            <w:r>
              <w:rPr>
                <w:rFonts w:hint="eastAsia"/>
                <w:b w:val="0"/>
                <w:bCs/>
                <w:color w:val="auto"/>
                <w:sz w:val="21"/>
                <w:szCs w:val="21"/>
              </w:rPr>
              <w:t>□入库</w:t>
            </w:r>
          </w:p>
          <w:p>
            <w:pPr>
              <w:jc w:val="center"/>
              <w:rPr>
                <w:b w:val="0"/>
                <w:bCs/>
                <w:color w:val="auto"/>
                <w:sz w:val="21"/>
                <w:szCs w:val="21"/>
              </w:rPr>
            </w:pPr>
            <w:r>
              <w:rPr>
                <w:rFonts w:hint="eastAsia"/>
                <w:b w:val="0"/>
                <w:bCs/>
                <w:color w:val="auto"/>
                <w:sz w:val="21"/>
                <w:szCs w:val="21"/>
              </w:rPr>
              <w:t>□出库</w:t>
            </w:r>
          </w:p>
        </w:tc>
        <w:tc>
          <w:tcPr>
            <w:tcW w:w="402" w:type="pct"/>
            <w:vAlign w:val="top"/>
          </w:tcPr>
          <w:p>
            <w:pPr>
              <w:rPr>
                <w:rFonts w:hint="eastAsia"/>
                <w:b w:val="0"/>
                <w:bCs/>
                <w:color w:val="auto"/>
                <w:sz w:val="21"/>
                <w:szCs w:val="21"/>
              </w:rPr>
            </w:pPr>
          </w:p>
        </w:tc>
        <w:tc>
          <w:tcPr>
            <w:tcW w:w="502" w:type="pct"/>
            <w:vAlign w:val="center"/>
          </w:tcPr>
          <w:p>
            <w:pPr>
              <w:rPr>
                <w:rFonts w:hint="eastAsia"/>
                <w:b w:val="0"/>
                <w:bCs/>
                <w:color w:val="auto"/>
                <w:sz w:val="21"/>
                <w:szCs w:val="21"/>
              </w:rPr>
            </w:pPr>
          </w:p>
        </w:tc>
        <w:tc>
          <w:tcPr>
            <w:tcW w:w="388" w:type="pct"/>
            <w:vAlign w:val="top"/>
          </w:tcPr>
          <w:p>
            <w:pPr>
              <w:rPr>
                <w:rFonts w:hint="eastAsia"/>
                <w:b w:val="0"/>
                <w:bCs/>
                <w:color w:val="auto"/>
                <w:sz w:val="21"/>
                <w:szCs w:val="21"/>
              </w:rPr>
            </w:pPr>
          </w:p>
        </w:tc>
        <w:tc>
          <w:tcPr>
            <w:tcW w:w="422" w:type="pct"/>
            <w:vAlign w:val="top"/>
          </w:tcPr>
          <w:p>
            <w:pPr>
              <w:rPr>
                <w:rFonts w:hint="eastAsia"/>
                <w:b w:val="0"/>
                <w:bCs/>
                <w:color w:val="auto"/>
                <w:sz w:val="21"/>
                <w:szCs w:val="21"/>
              </w:rPr>
            </w:pPr>
          </w:p>
        </w:tc>
        <w:tc>
          <w:tcPr>
            <w:tcW w:w="305" w:type="pct"/>
            <w:vAlign w:val="top"/>
          </w:tcPr>
          <w:p>
            <w:pPr>
              <w:rPr>
                <w:rFonts w:hint="eastAsia"/>
                <w:b w:val="0"/>
                <w:bCs/>
                <w:color w:val="auto"/>
                <w:sz w:val="21"/>
                <w:szCs w:val="21"/>
              </w:rPr>
            </w:pPr>
          </w:p>
        </w:tc>
        <w:tc>
          <w:tcPr>
            <w:tcW w:w="386" w:type="pct"/>
            <w:vAlign w:val="top"/>
          </w:tcPr>
          <w:p>
            <w:pPr>
              <w:rPr>
                <w:rFonts w:hint="eastAsia"/>
                <w:b w:val="0"/>
                <w:bCs/>
                <w:color w:val="auto"/>
                <w:sz w:val="21"/>
                <w:szCs w:val="21"/>
              </w:rPr>
            </w:pPr>
          </w:p>
        </w:tc>
        <w:tc>
          <w:tcPr>
            <w:tcW w:w="441" w:type="pct"/>
            <w:vAlign w:val="center"/>
          </w:tcPr>
          <w:p>
            <w:pPr>
              <w:rPr>
                <w:rFonts w:hint="eastAsia"/>
                <w:b w:val="0"/>
                <w:bCs/>
                <w:color w:val="auto"/>
                <w:sz w:val="21"/>
                <w:szCs w:val="21"/>
              </w:rPr>
            </w:pPr>
          </w:p>
        </w:tc>
        <w:tc>
          <w:tcPr>
            <w:tcW w:w="232" w:type="pct"/>
            <w:vAlign w:val="top"/>
          </w:tcPr>
          <w:p>
            <w:pPr>
              <w:rPr>
                <w:rFonts w:hint="eastAsia"/>
                <w:b w:val="0"/>
                <w:bCs/>
                <w:color w:val="auto"/>
                <w:sz w:val="21"/>
                <w:szCs w:val="21"/>
              </w:rPr>
            </w:pPr>
          </w:p>
        </w:tc>
        <w:tc>
          <w:tcPr>
            <w:tcW w:w="524" w:type="pct"/>
            <w:vAlign w:val="top"/>
          </w:tcPr>
          <w:p>
            <w:pPr>
              <w:rPr>
                <w:rFonts w:hint="eastAsia"/>
                <w:b w:val="0"/>
                <w:bCs/>
                <w:color w:val="auto"/>
                <w:sz w:val="21"/>
                <w:szCs w:val="21"/>
              </w:rPr>
            </w:pPr>
          </w:p>
        </w:tc>
        <w:tc>
          <w:tcPr>
            <w:tcW w:w="543" w:type="pct"/>
            <w:vAlign w:val="top"/>
          </w:tcPr>
          <w:p>
            <w:pPr>
              <w:rPr>
                <w:rFonts w:hint="eastAsia"/>
                <w:b w:val="0"/>
                <w:bCs/>
                <w:color w:val="auto"/>
                <w:sz w:val="21"/>
                <w:szCs w:val="21"/>
              </w:rPr>
            </w:pPr>
          </w:p>
        </w:tc>
        <w:tc>
          <w:tcPr>
            <w:tcW w:w="437" w:type="pct"/>
            <w:vAlign w:val="top"/>
          </w:tcPr>
          <w:p>
            <w:pPr>
              <w:rPr>
                <w:rFonts w:hint="eastAsia"/>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12" w:type="pct"/>
            <w:vAlign w:val="center"/>
          </w:tcPr>
          <w:p>
            <w:pPr>
              <w:jc w:val="center"/>
              <w:rPr>
                <w:b w:val="0"/>
                <w:bCs/>
                <w:color w:val="auto"/>
                <w:sz w:val="21"/>
                <w:szCs w:val="21"/>
              </w:rPr>
            </w:pPr>
            <w:r>
              <w:rPr>
                <w:rFonts w:hint="eastAsia"/>
                <w:b w:val="0"/>
                <w:bCs/>
                <w:color w:val="auto"/>
                <w:sz w:val="21"/>
                <w:szCs w:val="21"/>
              </w:rPr>
              <w:t>□入库</w:t>
            </w:r>
          </w:p>
          <w:p>
            <w:pPr>
              <w:jc w:val="center"/>
              <w:rPr>
                <w:rFonts w:hint="eastAsia"/>
                <w:b w:val="0"/>
                <w:bCs/>
                <w:color w:val="auto"/>
                <w:sz w:val="21"/>
                <w:szCs w:val="21"/>
              </w:rPr>
            </w:pPr>
            <w:r>
              <w:rPr>
                <w:rFonts w:hint="eastAsia"/>
                <w:b w:val="0"/>
                <w:bCs/>
                <w:color w:val="auto"/>
                <w:sz w:val="21"/>
                <w:szCs w:val="21"/>
              </w:rPr>
              <w:t>□出库</w:t>
            </w:r>
          </w:p>
        </w:tc>
        <w:tc>
          <w:tcPr>
            <w:tcW w:w="402" w:type="pct"/>
            <w:vAlign w:val="top"/>
          </w:tcPr>
          <w:p>
            <w:pPr>
              <w:rPr>
                <w:rFonts w:hint="eastAsia"/>
                <w:b w:val="0"/>
                <w:bCs/>
                <w:color w:val="auto"/>
                <w:sz w:val="21"/>
                <w:szCs w:val="21"/>
              </w:rPr>
            </w:pPr>
          </w:p>
        </w:tc>
        <w:tc>
          <w:tcPr>
            <w:tcW w:w="502" w:type="pct"/>
            <w:vAlign w:val="center"/>
          </w:tcPr>
          <w:p>
            <w:pPr>
              <w:rPr>
                <w:rFonts w:hint="eastAsia"/>
                <w:b w:val="0"/>
                <w:bCs/>
                <w:color w:val="auto"/>
                <w:sz w:val="21"/>
                <w:szCs w:val="21"/>
              </w:rPr>
            </w:pPr>
          </w:p>
        </w:tc>
        <w:tc>
          <w:tcPr>
            <w:tcW w:w="388" w:type="pct"/>
            <w:vAlign w:val="top"/>
          </w:tcPr>
          <w:p>
            <w:pPr>
              <w:rPr>
                <w:rFonts w:hint="eastAsia"/>
                <w:b w:val="0"/>
                <w:bCs/>
                <w:color w:val="auto"/>
                <w:sz w:val="21"/>
                <w:szCs w:val="21"/>
              </w:rPr>
            </w:pPr>
          </w:p>
        </w:tc>
        <w:tc>
          <w:tcPr>
            <w:tcW w:w="422" w:type="pct"/>
            <w:vAlign w:val="top"/>
          </w:tcPr>
          <w:p>
            <w:pPr>
              <w:rPr>
                <w:rFonts w:hint="eastAsia"/>
                <w:b w:val="0"/>
                <w:bCs/>
                <w:color w:val="auto"/>
                <w:sz w:val="21"/>
                <w:szCs w:val="21"/>
              </w:rPr>
            </w:pPr>
          </w:p>
        </w:tc>
        <w:tc>
          <w:tcPr>
            <w:tcW w:w="305" w:type="pct"/>
            <w:vAlign w:val="top"/>
          </w:tcPr>
          <w:p>
            <w:pPr>
              <w:rPr>
                <w:rFonts w:hint="eastAsia"/>
                <w:b w:val="0"/>
                <w:bCs/>
                <w:color w:val="auto"/>
                <w:sz w:val="21"/>
                <w:szCs w:val="21"/>
              </w:rPr>
            </w:pPr>
          </w:p>
        </w:tc>
        <w:tc>
          <w:tcPr>
            <w:tcW w:w="386" w:type="pct"/>
            <w:vAlign w:val="top"/>
          </w:tcPr>
          <w:p>
            <w:pPr>
              <w:rPr>
                <w:rFonts w:hint="eastAsia"/>
                <w:b w:val="0"/>
                <w:bCs/>
                <w:color w:val="auto"/>
                <w:sz w:val="21"/>
                <w:szCs w:val="21"/>
              </w:rPr>
            </w:pPr>
          </w:p>
        </w:tc>
        <w:tc>
          <w:tcPr>
            <w:tcW w:w="441" w:type="pct"/>
            <w:vAlign w:val="center"/>
          </w:tcPr>
          <w:p>
            <w:pPr>
              <w:rPr>
                <w:rFonts w:hint="eastAsia"/>
                <w:b w:val="0"/>
                <w:bCs/>
                <w:color w:val="auto"/>
                <w:sz w:val="21"/>
                <w:szCs w:val="21"/>
              </w:rPr>
            </w:pPr>
          </w:p>
        </w:tc>
        <w:tc>
          <w:tcPr>
            <w:tcW w:w="232" w:type="pct"/>
            <w:vAlign w:val="top"/>
          </w:tcPr>
          <w:p>
            <w:pPr>
              <w:rPr>
                <w:rFonts w:hint="eastAsia"/>
                <w:b w:val="0"/>
                <w:bCs/>
                <w:color w:val="auto"/>
                <w:sz w:val="21"/>
                <w:szCs w:val="21"/>
              </w:rPr>
            </w:pPr>
          </w:p>
        </w:tc>
        <w:tc>
          <w:tcPr>
            <w:tcW w:w="524" w:type="pct"/>
            <w:vAlign w:val="top"/>
          </w:tcPr>
          <w:p>
            <w:pPr>
              <w:rPr>
                <w:rFonts w:hint="eastAsia"/>
                <w:b w:val="0"/>
                <w:bCs/>
                <w:color w:val="auto"/>
                <w:sz w:val="21"/>
                <w:szCs w:val="21"/>
              </w:rPr>
            </w:pPr>
          </w:p>
        </w:tc>
        <w:tc>
          <w:tcPr>
            <w:tcW w:w="543" w:type="pct"/>
            <w:vAlign w:val="top"/>
          </w:tcPr>
          <w:p>
            <w:pPr>
              <w:rPr>
                <w:rFonts w:hint="eastAsia"/>
                <w:b w:val="0"/>
                <w:bCs/>
                <w:color w:val="auto"/>
                <w:sz w:val="21"/>
                <w:szCs w:val="21"/>
              </w:rPr>
            </w:pPr>
          </w:p>
        </w:tc>
        <w:tc>
          <w:tcPr>
            <w:tcW w:w="437" w:type="pct"/>
            <w:vAlign w:val="top"/>
          </w:tcPr>
          <w:p>
            <w:pPr>
              <w:rPr>
                <w:rFonts w:hint="eastAsia"/>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12" w:type="pct"/>
            <w:vAlign w:val="center"/>
          </w:tcPr>
          <w:p>
            <w:pPr>
              <w:jc w:val="center"/>
              <w:rPr>
                <w:b w:val="0"/>
                <w:bCs/>
                <w:color w:val="auto"/>
                <w:sz w:val="21"/>
                <w:szCs w:val="21"/>
              </w:rPr>
            </w:pPr>
            <w:r>
              <w:rPr>
                <w:rFonts w:hint="eastAsia"/>
                <w:b w:val="0"/>
                <w:bCs/>
                <w:color w:val="auto"/>
                <w:sz w:val="21"/>
                <w:szCs w:val="21"/>
              </w:rPr>
              <w:t>□入库</w:t>
            </w:r>
          </w:p>
          <w:p>
            <w:pPr>
              <w:jc w:val="center"/>
              <w:rPr>
                <w:b w:val="0"/>
                <w:bCs/>
                <w:color w:val="auto"/>
                <w:sz w:val="21"/>
                <w:szCs w:val="21"/>
              </w:rPr>
            </w:pPr>
            <w:r>
              <w:rPr>
                <w:rFonts w:hint="eastAsia"/>
                <w:b w:val="0"/>
                <w:bCs/>
                <w:color w:val="auto"/>
                <w:sz w:val="21"/>
                <w:szCs w:val="21"/>
              </w:rPr>
              <w:t>□出库</w:t>
            </w:r>
          </w:p>
        </w:tc>
        <w:tc>
          <w:tcPr>
            <w:tcW w:w="402" w:type="pct"/>
            <w:vAlign w:val="top"/>
          </w:tcPr>
          <w:p>
            <w:pPr>
              <w:rPr>
                <w:rFonts w:hint="eastAsia"/>
                <w:b w:val="0"/>
                <w:bCs/>
                <w:color w:val="auto"/>
                <w:sz w:val="21"/>
                <w:szCs w:val="21"/>
              </w:rPr>
            </w:pPr>
          </w:p>
        </w:tc>
        <w:tc>
          <w:tcPr>
            <w:tcW w:w="502" w:type="pct"/>
            <w:vAlign w:val="center"/>
          </w:tcPr>
          <w:p>
            <w:pPr>
              <w:rPr>
                <w:rFonts w:hint="eastAsia"/>
                <w:b w:val="0"/>
                <w:bCs/>
                <w:color w:val="auto"/>
                <w:sz w:val="21"/>
                <w:szCs w:val="21"/>
              </w:rPr>
            </w:pPr>
          </w:p>
        </w:tc>
        <w:tc>
          <w:tcPr>
            <w:tcW w:w="388" w:type="pct"/>
            <w:vAlign w:val="top"/>
          </w:tcPr>
          <w:p>
            <w:pPr>
              <w:rPr>
                <w:rFonts w:hint="eastAsia"/>
                <w:b w:val="0"/>
                <w:bCs/>
                <w:color w:val="auto"/>
                <w:sz w:val="21"/>
                <w:szCs w:val="21"/>
              </w:rPr>
            </w:pPr>
          </w:p>
        </w:tc>
        <w:tc>
          <w:tcPr>
            <w:tcW w:w="422" w:type="pct"/>
            <w:vAlign w:val="top"/>
          </w:tcPr>
          <w:p>
            <w:pPr>
              <w:rPr>
                <w:rFonts w:hint="eastAsia"/>
                <w:b w:val="0"/>
                <w:bCs/>
                <w:color w:val="auto"/>
                <w:sz w:val="21"/>
                <w:szCs w:val="21"/>
              </w:rPr>
            </w:pPr>
          </w:p>
        </w:tc>
        <w:tc>
          <w:tcPr>
            <w:tcW w:w="305" w:type="pct"/>
            <w:vAlign w:val="top"/>
          </w:tcPr>
          <w:p>
            <w:pPr>
              <w:rPr>
                <w:rFonts w:hint="eastAsia"/>
                <w:b w:val="0"/>
                <w:bCs/>
                <w:color w:val="auto"/>
                <w:sz w:val="21"/>
                <w:szCs w:val="21"/>
              </w:rPr>
            </w:pPr>
          </w:p>
        </w:tc>
        <w:tc>
          <w:tcPr>
            <w:tcW w:w="386" w:type="pct"/>
            <w:vAlign w:val="top"/>
          </w:tcPr>
          <w:p>
            <w:pPr>
              <w:rPr>
                <w:rFonts w:hint="eastAsia"/>
                <w:b w:val="0"/>
                <w:bCs/>
                <w:color w:val="auto"/>
                <w:sz w:val="21"/>
                <w:szCs w:val="21"/>
              </w:rPr>
            </w:pPr>
          </w:p>
        </w:tc>
        <w:tc>
          <w:tcPr>
            <w:tcW w:w="441" w:type="pct"/>
            <w:vAlign w:val="center"/>
          </w:tcPr>
          <w:p>
            <w:pPr>
              <w:rPr>
                <w:rFonts w:hint="eastAsia"/>
                <w:b w:val="0"/>
                <w:bCs/>
                <w:color w:val="auto"/>
                <w:sz w:val="21"/>
                <w:szCs w:val="21"/>
              </w:rPr>
            </w:pPr>
          </w:p>
        </w:tc>
        <w:tc>
          <w:tcPr>
            <w:tcW w:w="232" w:type="pct"/>
            <w:vAlign w:val="top"/>
          </w:tcPr>
          <w:p>
            <w:pPr>
              <w:rPr>
                <w:rFonts w:hint="eastAsia"/>
                <w:b w:val="0"/>
                <w:bCs/>
                <w:color w:val="auto"/>
                <w:sz w:val="21"/>
                <w:szCs w:val="21"/>
              </w:rPr>
            </w:pPr>
          </w:p>
        </w:tc>
        <w:tc>
          <w:tcPr>
            <w:tcW w:w="524" w:type="pct"/>
            <w:vAlign w:val="top"/>
          </w:tcPr>
          <w:p>
            <w:pPr>
              <w:rPr>
                <w:rFonts w:hint="eastAsia"/>
                <w:b w:val="0"/>
                <w:bCs/>
                <w:color w:val="auto"/>
                <w:sz w:val="21"/>
                <w:szCs w:val="21"/>
              </w:rPr>
            </w:pPr>
          </w:p>
        </w:tc>
        <w:tc>
          <w:tcPr>
            <w:tcW w:w="543" w:type="pct"/>
            <w:vAlign w:val="top"/>
          </w:tcPr>
          <w:p>
            <w:pPr>
              <w:rPr>
                <w:rFonts w:hint="eastAsia"/>
                <w:b w:val="0"/>
                <w:bCs/>
                <w:color w:val="auto"/>
                <w:sz w:val="21"/>
                <w:szCs w:val="21"/>
              </w:rPr>
            </w:pPr>
          </w:p>
        </w:tc>
        <w:tc>
          <w:tcPr>
            <w:tcW w:w="437" w:type="pct"/>
            <w:vAlign w:val="top"/>
          </w:tcPr>
          <w:p>
            <w:pPr>
              <w:rPr>
                <w:rFonts w:hint="eastAsia"/>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12" w:type="pct"/>
            <w:vAlign w:val="center"/>
          </w:tcPr>
          <w:p>
            <w:pPr>
              <w:jc w:val="center"/>
              <w:rPr>
                <w:b w:val="0"/>
                <w:bCs/>
                <w:color w:val="auto"/>
                <w:sz w:val="21"/>
                <w:szCs w:val="21"/>
              </w:rPr>
            </w:pPr>
            <w:r>
              <w:rPr>
                <w:rFonts w:hint="eastAsia"/>
                <w:b w:val="0"/>
                <w:bCs/>
                <w:color w:val="auto"/>
                <w:sz w:val="21"/>
                <w:szCs w:val="21"/>
              </w:rPr>
              <w:t>□入库</w:t>
            </w:r>
          </w:p>
          <w:p>
            <w:pPr>
              <w:jc w:val="center"/>
              <w:rPr>
                <w:rFonts w:hint="eastAsia"/>
                <w:b w:val="0"/>
                <w:bCs/>
                <w:color w:val="auto"/>
                <w:sz w:val="21"/>
                <w:szCs w:val="21"/>
              </w:rPr>
            </w:pPr>
            <w:r>
              <w:rPr>
                <w:rFonts w:hint="eastAsia"/>
                <w:b w:val="0"/>
                <w:bCs/>
                <w:color w:val="auto"/>
                <w:sz w:val="21"/>
                <w:szCs w:val="21"/>
              </w:rPr>
              <w:t>□出库</w:t>
            </w:r>
          </w:p>
        </w:tc>
        <w:tc>
          <w:tcPr>
            <w:tcW w:w="402" w:type="pct"/>
            <w:vAlign w:val="top"/>
          </w:tcPr>
          <w:p>
            <w:pPr>
              <w:rPr>
                <w:rFonts w:hint="eastAsia"/>
                <w:b w:val="0"/>
                <w:bCs/>
                <w:color w:val="auto"/>
                <w:sz w:val="21"/>
                <w:szCs w:val="21"/>
              </w:rPr>
            </w:pPr>
          </w:p>
        </w:tc>
        <w:tc>
          <w:tcPr>
            <w:tcW w:w="502" w:type="pct"/>
            <w:vAlign w:val="center"/>
          </w:tcPr>
          <w:p>
            <w:pPr>
              <w:rPr>
                <w:rFonts w:hint="eastAsia"/>
                <w:b w:val="0"/>
                <w:bCs/>
                <w:color w:val="auto"/>
                <w:sz w:val="21"/>
                <w:szCs w:val="21"/>
              </w:rPr>
            </w:pPr>
          </w:p>
        </w:tc>
        <w:tc>
          <w:tcPr>
            <w:tcW w:w="388" w:type="pct"/>
            <w:vAlign w:val="top"/>
          </w:tcPr>
          <w:p>
            <w:pPr>
              <w:rPr>
                <w:rFonts w:hint="eastAsia"/>
                <w:b w:val="0"/>
                <w:bCs/>
                <w:color w:val="auto"/>
                <w:sz w:val="21"/>
                <w:szCs w:val="21"/>
              </w:rPr>
            </w:pPr>
          </w:p>
        </w:tc>
        <w:tc>
          <w:tcPr>
            <w:tcW w:w="422" w:type="pct"/>
            <w:vAlign w:val="top"/>
          </w:tcPr>
          <w:p>
            <w:pPr>
              <w:rPr>
                <w:rFonts w:hint="eastAsia"/>
                <w:b w:val="0"/>
                <w:bCs/>
                <w:color w:val="auto"/>
                <w:sz w:val="21"/>
                <w:szCs w:val="21"/>
              </w:rPr>
            </w:pPr>
          </w:p>
        </w:tc>
        <w:tc>
          <w:tcPr>
            <w:tcW w:w="305" w:type="pct"/>
            <w:vAlign w:val="top"/>
          </w:tcPr>
          <w:p>
            <w:pPr>
              <w:rPr>
                <w:rFonts w:hint="eastAsia"/>
                <w:b w:val="0"/>
                <w:bCs/>
                <w:color w:val="auto"/>
                <w:sz w:val="21"/>
                <w:szCs w:val="21"/>
              </w:rPr>
            </w:pPr>
          </w:p>
        </w:tc>
        <w:tc>
          <w:tcPr>
            <w:tcW w:w="386" w:type="pct"/>
            <w:vAlign w:val="top"/>
          </w:tcPr>
          <w:p>
            <w:pPr>
              <w:rPr>
                <w:rFonts w:hint="eastAsia"/>
                <w:b w:val="0"/>
                <w:bCs/>
                <w:color w:val="auto"/>
                <w:sz w:val="21"/>
                <w:szCs w:val="21"/>
              </w:rPr>
            </w:pPr>
          </w:p>
        </w:tc>
        <w:tc>
          <w:tcPr>
            <w:tcW w:w="441" w:type="pct"/>
            <w:vAlign w:val="center"/>
          </w:tcPr>
          <w:p>
            <w:pPr>
              <w:rPr>
                <w:rFonts w:hint="eastAsia"/>
                <w:b w:val="0"/>
                <w:bCs/>
                <w:color w:val="auto"/>
                <w:sz w:val="21"/>
                <w:szCs w:val="21"/>
              </w:rPr>
            </w:pPr>
          </w:p>
        </w:tc>
        <w:tc>
          <w:tcPr>
            <w:tcW w:w="232" w:type="pct"/>
            <w:vAlign w:val="top"/>
          </w:tcPr>
          <w:p>
            <w:pPr>
              <w:rPr>
                <w:rFonts w:hint="eastAsia"/>
                <w:b w:val="0"/>
                <w:bCs/>
                <w:color w:val="auto"/>
                <w:sz w:val="21"/>
                <w:szCs w:val="21"/>
              </w:rPr>
            </w:pPr>
          </w:p>
        </w:tc>
        <w:tc>
          <w:tcPr>
            <w:tcW w:w="524" w:type="pct"/>
            <w:vAlign w:val="top"/>
          </w:tcPr>
          <w:p>
            <w:pPr>
              <w:rPr>
                <w:rFonts w:hint="eastAsia"/>
                <w:b w:val="0"/>
                <w:bCs/>
                <w:color w:val="auto"/>
                <w:sz w:val="21"/>
                <w:szCs w:val="21"/>
              </w:rPr>
            </w:pPr>
          </w:p>
        </w:tc>
        <w:tc>
          <w:tcPr>
            <w:tcW w:w="543" w:type="pct"/>
            <w:vAlign w:val="top"/>
          </w:tcPr>
          <w:p>
            <w:pPr>
              <w:rPr>
                <w:rFonts w:hint="eastAsia"/>
                <w:b w:val="0"/>
                <w:bCs/>
                <w:color w:val="auto"/>
                <w:sz w:val="21"/>
                <w:szCs w:val="21"/>
              </w:rPr>
            </w:pPr>
          </w:p>
        </w:tc>
        <w:tc>
          <w:tcPr>
            <w:tcW w:w="437" w:type="pct"/>
            <w:vAlign w:val="top"/>
          </w:tcPr>
          <w:p>
            <w:pPr>
              <w:rPr>
                <w:rFonts w:hint="eastAsia"/>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12" w:type="pct"/>
            <w:vAlign w:val="center"/>
          </w:tcPr>
          <w:p>
            <w:pPr>
              <w:jc w:val="center"/>
              <w:rPr>
                <w:b w:val="0"/>
                <w:bCs/>
                <w:color w:val="auto"/>
                <w:sz w:val="21"/>
                <w:szCs w:val="21"/>
              </w:rPr>
            </w:pPr>
            <w:r>
              <w:rPr>
                <w:rFonts w:hint="eastAsia"/>
                <w:b w:val="0"/>
                <w:bCs/>
                <w:color w:val="auto"/>
                <w:sz w:val="21"/>
                <w:szCs w:val="21"/>
              </w:rPr>
              <w:t>□入库</w:t>
            </w:r>
          </w:p>
          <w:p>
            <w:pPr>
              <w:jc w:val="center"/>
              <w:rPr>
                <w:b w:val="0"/>
                <w:bCs/>
                <w:color w:val="auto"/>
                <w:sz w:val="21"/>
                <w:szCs w:val="21"/>
              </w:rPr>
            </w:pPr>
            <w:r>
              <w:rPr>
                <w:rFonts w:hint="eastAsia"/>
                <w:b w:val="0"/>
                <w:bCs/>
                <w:color w:val="auto"/>
                <w:sz w:val="21"/>
                <w:szCs w:val="21"/>
              </w:rPr>
              <w:t>□出库</w:t>
            </w:r>
          </w:p>
        </w:tc>
        <w:tc>
          <w:tcPr>
            <w:tcW w:w="402" w:type="pct"/>
            <w:vAlign w:val="top"/>
          </w:tcPr>
          <w:p>
            <w:pPr>
              <w:rPr>
                <w:rFonts w:hint="eastAsia"/>
                <w:b w:val="0"/>
                <w:bCs/>
                <w:color w:val="auto"/>
                <w:sz w:val="21"/>
                <w:szCs w:val="21"/>
              </w:rPr>
            </w:pPr>
          </w:p>
        </w:tc>
        <w:tc>
          <w:tcPr>
            <w:tcW w:w="502" w:type="pct"/>
            <w:vAlign w:val="center"/>
          </w:tcPr>
          <w:p>
            <w:pPr>
              <w:rPr>
                <w:rFonts w:hint="eastAsia"/>
                <w:b w:val="0"/>
                <w:bCs/>
                <w:color w:val="auto"/>
                <w:sz w:val="21"/>
                <w:szCs w:val="21"/>
              </w:rPr>
            </w:pPr>
          </w:p>
        </w:tc>
        <w:tc>
          <w:tcPr>
            <w:tcW w:w="388" w:type="pct"/>
            <w:vAlign w:val="top"/>
          </w:tcPr>
          <w:p>
            <w:pPr>
              <w:rPr>
                <w:rFonts w:hint="eastAsia"/>
                <w:b w:val="0"/>
                <w:bCs/>
                <w:color w:val="auto"/>
                <w:sz w:val="21"/>
                <w:szCs w:val="21"/>
              </w:rPr>
            </w:pPr>
          </w:p>
        </w:tc>
        <w:tc>
          <w:tcPr>
            <w:tcW w:w="422" w:type="pct"/>
            <w:vAlign w:val="top"/>
          </w:tcPr>
          <w:p>
            <w:pPr>
              <w:rPr>
                <w:rFonts w:hint="eastAsia"/>
                <w:b w:val="0"/>
                <w:bCs/>
                <w:color w:val="auto"/>
                <w:sz w:val="21"/>
                <w:szCs w:val="21"/>
              </w:rPr>
            </w:pPr>
          </w:p>
        </w:tc>
        <w:tc>
          <w:tcPr>
            <w:tcW w:w="305" w:type="pct"/>
            <w:vAlign w:val="top"/>
          </w:tcPr>
          <w:p>
            <w:pPr>
              <w:rPr>
                <w:rFonts w:hint="eastAsia"/>
                <w:b w:val="0"/>
                <w:bCs/>
                <w:color w:val="auto"/>
                <w:sz w:val="21"/>
                <w:szCs w:val="21"/>
              </w:rPr>
            </w:pPr>
          </w:p>
        </w:tc>
        <w:tc>
          <w:tcPr>
            <w:tcW w:w="386" w:type="pct"/>
            <w:vAlign w:val="top"/>
          </w:tcPr>
          <w:p>
            <w:pPr>
              <w:rPr>
                <w:rFonts w:hint="eastAsia"/>
                <w:b w:val="0"/>
                <w:bCs/>
                <w:color w:val="auto"/>
                <w:sz w:val="21"/>
                <w:szCs w:val="21"/>
              </w:rPr>
            </w:pPr>
          </w:p>
        </w:tc>
        <w:tc>
          <w:tcPr>
            <w:tcW w:w="441" w:type="pct"/>
            <w:vAlign w:val="center"/>
          </w:tcPr>
          <w:p>
            <w:pPr>
              <w:rPr>
                <w:rFonts w:hint="eastAsia"/>
                <w:b w:val="0"/>
                <w:bCs/>
                <w:color w:val="auto"/>
                <w:sz w:val="21"/>
                <w:szCs w:val="21"/>
              </w:rPr>
            </w:pPr>
          </w:p>
        </w:tc>
        <w:tc>
          <w:tcPr>
            <w:tcW w:w="232" w:type="pct"/>
            <w:vAlign w:val="top"/>
          </w:tcPr>
          <w:p>
            <w:pPr>
              <w:rPr>
                <w:rFonts w:hint="eastAsia"/>
                <w:b w:val="0"/>
                <w:bCs/>
                <w:color w:val="auto"/>
                <w:sz w:val="21"/>
                <w:szCs w:val="21"/>
              </w:rPr>
            </w:pPr>
          </w:p>
        </w:tc>
        <w:tc>
          <w:tcPr>
            <w:tcW w:w="524" w:type="pct"/>
            <w:vAlign w:val="top"/>
          </w:tcPr>
          <w:p>
            <w:pPr>
              <w:rPr>
                <w:rFonts w:hint="eastAsia"/>
                <w:b w:val="0"/>
                <w:bCs/>
                <w:color w:val="auto"/>
                <w:sz w:val="21"/>
                <w:szCs w:val="21"/>
              </w:rPr>
            </w:pPr>
          </w:p>
        </w:tc>
        <w:tc>
          <w:tcPr>
            <w:tcW w:w="543" w:type="pct"/>
            <w:vAlign w:val="top"/>
          </w:tcPr>
          <w:p>
            <w:pPr>
              <w:rPr>
                <w:rFonts w:hint="eastAsia"/>
                <w:b w:val="0"/>
                <w:bCs/>
                <w:color w:val="auto"/>
                <w:sz w:val="21"/>
                <w:szCs w:val="21"/>
              </w:rPr>
            </w:pPr>
          </w:p>
        </w:tc>
        <w:tc>
          <w:tcPr>
            <w:tcW w:w="437" w:type="pct"/>
            <w:vAlign w:val="top"/>
          </w:tcPr>
          <w:p>
            <w:pPr>
              <w:rPr>
                <w:rFonts w:hint="eastAsia"/>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12" w:type="pct"/>
            <w:vAlign w:val="center"/>
          </w:tcPr>
          <w:p>
            <w:pPr>
              <w:jc w:val="center"/>
              <w:rPr>
                <w:b w:val="0"/>
                <w:bCs/>
                <w:color w:val="auto"/>
                <w:sz w:val="21"/>
                <w:szCs w:val="21"/>
              </w:rPr>
            </w:pPr>
            <w:r>
              <w:rPr>
                <w:rFonts w:hint="eastAsia"/>
                <w:b w:val="0"/>
                <w:bCs/>
                <w:color w:val="auto"/>
                <w:sz w:val="21"/>
                <w:szCs w:val="21"/>
              </w:rPr>
              <w:t>□入库</w:t>
            </w:r>
          </w:p>
          <w:p>
            <w:pPr>
              <w:jc w:val="center"/>
              <w:rPr>
                <w:rFonts w:hint="eastAsia"/>
                <w:b w:val="0"/>
                <w:bCs/>
                <w:color w:val="auto"/>
                <w:sz w:val="21"/>
                <w:szCs w:val="21"/>
              </w:rPr>
            </w:pPr>
            <w:r>
              <w:rPr>
                <w:rFonts w:hint="eastAsia"/>
                <w:b w:val="0"/>
                <w:bCs/>
                <w:color w:val="auto"/>
                <w:sz w:val="21"/>
                <w:szCs w:val="21"/>
              </w:rPr>
              <w:t>□出库</w:t>
            </w:r>
          </w:p>
        </w:tc>
        <w:tc>
          <w:tcPr>
            <w:tcW w:w="402" w:type="pct"/>
            <w:vAlign w:val="top"/>
          </w:tcPr>
          <w:p>
            <w:pPr>
              <w:rPr>
                <w:rFonts w:hint="eastAsia"/>
                <w:b w:val="0"/>
                <w:bCs/>
                <w:color w:val="auto"/>
                <w:sz w:val="21"/>
                <w:szCs w:val="21"/>
              </w:rPr>
            </w:pPr>
          </w:p>
        </w:tc>
        <w:tc>
          <w:tcPr>
            <w:tcW w:w="502" w:type="pct"/>
            <w:vAlign w:val="center"/>
          </w:tcPr>
          <w:p>
            <w:pPr>
              <w:rPr>
                <w:rFonts w:hint="eastAsia"/>
                <w:b w:val="0"/>
                <w:bCs/>
                <w:color w:val="auto"/>
                <w:sz w:val="21"/>
                <w:szCs w:val="21"/>
              </w:rPr>
            </w:pPr>
          </w:p>
        </w:tc>
        <w:tc>
          <w:tcPr>
            <w:tcW w:w="388" w:type="pct"/>
            <w:vAlign w:val="top"/>
          </w:tcPr>
          <w:p>
            <w:pPr>
              <w:rPr>
                <w:rFonts w:hint="eastAsia"/>
                <w:b w:val="0"/>
                <w:bCs/>
                <w:color w:val="auto"/>
                <w:sz w:val="21"/>
                <w:szCs w:val="21"/>
              </w:rPr>
            </w:pPr>
          </w:p>
        </w:tc>
        <w:tc>
          <w:tcPr>
            <w:tcW w:w="422" w:type="pct"/>
            <w:vAlign w:val="top"/>
          </w:tcPr>
          <w:p>
            <w:pPr>
              <w:rPr>
                <w:rFonts w:hint="eastAsia"/>
                <w:b w:val="0"/>
                <w:bCs/>
                <w:color w:val="auto"/>
                <w:sz w:val="21"/>
                <w:szCs w:val="21"/>
              </w:rPr>
            </w:pPr>
          </w:p>
        </w:tc>
        <w:tc>
          <w:tcPr>
            <w:tcW w:w="305" w:type="pct"/>
            <w:vAlign w:val="top"/>
          </w:tcPr>
          <w:p>
            <w:pPr>
              <w:rPr>
                <w:rFonts w:hint="eastAsia"/>
                <w:b w:val="0"/>
                <w:bCs/>
                <w:color w:val="auto"/>
                <w:sz w:val="21"/>
                <w:szCs w:val="21"/>
              </w:rPr>
            </w:pPr>
          </w:p>
        </w:tc>
        <w:tc>
          <w:tcPr>
            <w:tcW w:w="386" w:type="pct"/>
            <w:vAlign w:val="top"/>
          </w:tcPr>
          <w:p>
            <w:pPr>
              <w:rPr>
                <w:rFonts w:hint="eastAsia"/>
                <w:b w:val="0"/>
                <w:bCs/>
                <w:color w:val="auto"/>
                <w:sz w:val="21"/>
                <w:szCs w:val="21"/>
              </w:rPr>
            </w:pPr>
          </w:p>
        </w:tc>
        <w:tc>
          <w:tcPr>
            <w:tcW w:w="441" w:type="pct"/>
            <w:vAlign w:val="center"/>
          </w:tcPr>
          <w:p>
            <w:pPr>
              <w:rPr>
                <w:rFonts w:hint="eastAsia"/>
                <w:b w:val="0"/>
                <w:bCs/>
                <w:color w:val="auto"/>
                <w:sz w:val="21"/>
                <w:szCs w:val="21"/>
              </w:rPr>
            </w:pPr>
          </w:p>
        </w:tc>
        <w:tc>
          <w:tcPr>
            <w:tcW w:w="232" w:type="pct"/>
            <w:vAlign w:val="top"/>
          </w:tcPr>
          <w:p>
            <w:pPr>
              <w:rPr>
                <w:rFonts w:hint="eastAsia"/>
                <w:b w:val="0"/>
                <w:bCs/>
                <w:color w:val="auto"/>
                <w:sz w:val="21"/>
                <w:szCs w:val="21"/>
              </w:rPr>
            </w:pPr>
          </w:p>
        </w:tc>
        <w:tc>
          <w:tcPr>
            <w:tcW w:w="524" w:type="pct"/>
            <w:vAlign w:val="top"/>
          </w:tcPr>
          <w:p>
            <w:pPr>
              <w:rPr>
                <w:rFonts w:hint="eastAsia"/>
                <w:b w:val="0"/>
                <w:bCs/>
                <w:color w:val="auto"/>
                <w:sz w:val="21"/>
                <w:szCs w:val="21"/>
              </w:rPr>
            </w:pPr>
          </w:p>
        </w:tc>
        <w:tc>
          <w:tcPr>
            <w:tcW w:w="543" w:type="pct"/>
            <w:vAlign w:val="top"/>
          </w:tcPr>
          <w:p>
            <w:pPr>
              <w:rPr>
                <w:rFonts w:hint="eastAsia"/>
                <w:b w:val="0"/>
                <w:bCs/>
                <w:color w:val="auto"/>
                <w:sz w:val="21"/>
                <w:szCs w:val="21"/>
              </w:rPr>
            </w:pPr>
          </w:p>
        </w:tc>
        <w:tc>
          <w:tcPr>
            <w:tcW w:w="437" w:type="pct"/>
            <w:vAlign w:val="top"/>
          </w:tcPr>
          <w:p>
            <w:pPr>
              <w:rPr>
                <w:rFonts w:hint="eastAsia"/>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12" w:type="pct"/>
            <w:vAlign w:val="center"/>
          </w:tcPr>
          <w:p>
            <w:pPr>
              <w:jc w:val="center"/>
              <w:rPr>
                <w:b w:val="0"/>
                <w:bCs/>
                <w:color w:val="auto"/>
                <w:sz w:val="21"/>
                <w:szCs w:val="21"/>
              </w:rPr>
            </w:pPr>
            <w:r>
              <w:rPr>
                <w:rFonts w:hint="eastAsia"/>
                <w:b w:val="0"/>
                <w:bCs/>
                <w:color w:val="auto"/>
                <w:sz w:val="21"/>
                <w:szCs w:val="21"/>
              </w:rPr>
              <w:t>□入库</w:t>
            </w:r>
          </w:p>
          <w:p>
            <w:pPr>
              <w:jc w:val="center"/>
              <w:rPr>
                <w:rFonts w:hint="eastAsia"/>
                <w:b w:val="0"/>
                <w:bCs/>
                <w:color w:val="auto"/>
                <w:sz w:val="21"/>
                <w:szCs w:val="21"/>
              </w:rPr>
            </w:pPr>
            <w:r>
              <w:rPr>
                <w:rFonts w:hint="eastAsia"/>
                <w:b w:val="0"/>
                <w:bCs/>
                <w:color w:val="auto"/>
                <w:sz w:val="21"/>
                <w:szCs w:val="21"/>
              </w:rPr>
              <w:t>□出库</w:t>
            </w:r>
          </w:p>
        </w:tc>
        <w:tc>
          <w:tcPr>
            <w:tcW w:w="402" w:type="pct"/>
            <w:vAlign w:val="top"/>
          </w:tcPr>
          <w:p>
            <w:pPr>
              <w:rPr>
                <w:rFonts w:hint="eastAsia"/>
                <w:b w:val="0"/>
                <w:bCs/>
                <w:color w:val="auto"/>
                <w:sz w:val="21"/>
                <w:szCs w:val="21"/>
              </w:rPr>
            </w:pPr>
          </w:p>
        </w:tc>
        <w:tc>
          <w:tcPr>
            <w:tcW w:w="502" w:type="pct"/>
            <w:vAlign w:val="center"/>
          </w:tcPr>
          <w:p>
            <w:pPr>
              <w:rPr>
                <w:rFonts w:hint="eastAsia"/>
                <w:b w:val="0"/>
                <w:bCs/>
                <w:color w:val="auto"/>
                <w:sz w:val="21"/>
                <w:szCs w:val="21"/>
              </w:rPr>
            </w:pPr>
          </w:p>
        </w:tc>
        <w:tc>
          <w:tcPr>
            <w:tcW w:w="388" w:type="pct"/>
            <w:vAlign w:val="top"/>
          </w:tcPr>
          <w:p>
            <w:pPr>
              <w:rPr>
                <w:rFonts w:hint="eastAsia"/>
                <w:b w:val="0"/>
                <w:bCs/>
                <w:color w:val="auto"/>
                <w:sz w:val="21"/>
                <w:szCs w:val="21"/>
              </w:rPr>
            </w:pPr>
          </w:p>
        </w:tc>
        <w:tc>
          <w:tcPr>
            <w:tcW w:w="422" w:type="pct"/>
            <w:vAlign w:val="top"/>
          </w:tcPr>
          <w:p>
            <w:pPr>
              <w:rPr>
                <w:rFonts w:hint="eastAsia"/>
                <w:b w:val="0"/>
                <w:bCs/>
                <w:color w:val="auto"/>
                <w:sz w:val="21"/>
                <w:szCs w:val="21"/>
              </w:rPr>
            </w:pPr>
          </w:p>
        </w:tc>
        <w:tc>
          <w:tcPr>
            <w:tcW w:w="305" w:type="pct"/>
            <w:vAlign w:val="top"/>
          </w:tcPr>
          <w:p>
            <w:pPr>
              <w:rPr>
                <w:rFonts w:hint="eastAsia"/>
                <w:b w:val="0"/>
                <w:bCs/>
                <w:color w:val="auto"/>
                <w:sz w:val="21"/>
                <w:szCs w:val="21"/>
              </w:rPr>
            </w:pPr>
          </w:p>
        </w:tc>
        <w:tc>
          <w:tcPr>
            <w:tcW w:w="386" w:type="pct"/>
            <w:vAlign w:val="top"/>
          </w:tcPr>
          <w:p>
            <w:pPr>
              <w:rPr>
                <w:rFonts w:hint="eastAsia"/>
                <w:b w:val="0"/>
                <w:bCs/>
                <w:color w:val="auto"/>
                <w:sz w:val="21"/>
                <w:szCs w:val="21"/>
              </w:rPr>
            </w:pPr>
          </w:p>
        </w:tc>
        <w:tc>
          <w:tcPr>
            <w:tcW w:w="441" w:type="pct"/>
            <w:vAlign w:val="center"/>
          </w:tcPr>
          <w:p>
            <w:pPr>
              <w:rPr>
                <w:rFonts w:hint="eastAsia"/>
                <w:b w:val="0"/>
                <w:bCs/>
                <w:color w:val="auto"/>
                <w:sz w:val="21"/>
                <w:szCs w:val="21"/>
              </w:rPr>
            </w:pPr>
          </w:p>
        </w:tc>
        <w:tc>
          <w:tcPr>
            <w:tcW w:w="232" w:type="pct"/>
            <w:vAlign w:val="top"/>
          </w:tcPr>
          <w:p>
            <w:pPr>
              <w:rPr>
                <w:rFonts w:hint="eastAsia"/>
                <w:b w:val="0"/>
                <w:bCs/>
                <w:color w:val="auto"/>
                <w:sz w:val="21"/>
                <w:szCs w:val="21"/>
              </w:rPr>
            </w:pPr>
          </w:p>
        </w:tc>
        <w:tc>
          <w:tcPr>
            <w:tcW w:w="524" w:type="pct"/>
            <w:vAlign w:val="top"/>
          </w:tcPr>
          <w:p>
            <w:pPr>
              <w:rPr>
                <w:rFonts w:hint="eastAsia"/>
                <w:b w:val="0"/>
                <w:bCs/>
                <w:color w:val="auto"/>
                <w:sz w:val="21"/>
                <w:szCs w:val="21"/>
              </w:rPr>
            </w:pPr>
          </w:p>
        </w:tc>
        <w:tc>
          <w:tcPr>
            <w:tcW w:w="543" w:type="pct"/>
            <w:vAlign w:val="top"/>
          </w:tcPr>
          <w:p>
            <w:pPr>
              <w:rPr>
                <w:rFonts w:hint="eastAsia"/>
                <w:b w:val="0"/>
                <w:bCs/>
                <w:color w:val="auto"/>
                <w:sz w:val="21"/>
                <w:szCs w:val="21"/>
              </w:rPr>
            </w:pPr>
          </w:p>
        </w:tc>
        <w:tc>
          <w:tcPr>
            <w:tcW w:w="437" w:type="pct"/>
            <w:vAlign w:val="top"/>
          </w:tcPr>
          <w:p>
            <w:pPr>
              <w:rPr>
                <w:rFonts w:hint="eastAsia"/>
                <w:b w:val="0"/>
                <w:bCs/>
                <w:color w:val="auto"/>
                <w:sz w:val="21"/>
                <w:szCs w:val="21"/>
              </w:rPr>
            </w:pPr>
          </w:p>
        </w:tc>
      </w:tr>
    </w:tbl>
    <w:p>
      <w:pPr>
        <w:spacing w:line="360" w:lineRule="auto"/>
        <w:jc w:val="left"/>
        <w:rPr>
          <w:rFonts w:ascii="黑体" w:hAnsi="黑体" w:eastAsia="黑体" w:cs="宋体"/>
          <w:b w:val="0"/>
          <w:bCs/>
          <w:color w:val="auto"/>
          <w:sz w:val="24"/>
          <w:szCs w:val="24"/>
        </w:rPr>
        <w:sectPr>
          <w:headerReference r:id="rId108" w:type="default"/>
          <w:pgSz w:w="16840" w:h="11907" w:orient="landscape"/>
          <w:pgMar w:top="737" w:right="851" w:bottom="737" w:left="1418" w:header="0" w:footer="992" w:gutter="0"/>
          <w:cols w:space="720" w:num="1"/>
          <w:docGrid w:linePitch="286" w:charSpace="0"/>
        </w:sectPr>
      </w:pPr>
    </w:p>
    <w:p>
      <w:pPr>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附件</w:t>
      </w: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lang w:eastAsia="zh-CN"/>
        </w:rPr>
        <w:t>：</w:t>
      </w:r>
      <w:r>
        <w:rPr>
          <w:rFonts w:hint="eastAsia" w:asciiTheme="minorEastAsia" w:hAnsiTheme="minorEastAsia" w:cstheme="minorEastAsia"/>
          <w:b w:val="0"/>
          <w:bCs/>
          <w:color w:val="auto"/>
          <w:sz w:val="24"/>
          <w:szCs w:val="24"/>
          <w:lang w:val="en-US" w:eastAsia="zh-CN"/>
        </w:rPr>
        <w:t>YYH-SOP-CTC-012-3.1-A03</w:t>
      </w:r>
      <w:r>
        <w:rPr>
          <w:rFonts w:hint="eastAsia" w:ascii="宋体" w:hAnsi="宋体" w:eastAsia="宋体" w:cs="宋体"/>
          <w:b w:val="0"/>
          <w:bCs/>
          <w:color w:val="auto"/>
          <w:sz w:val="24"/>
          <w:szCs w:val="24"/>
        </w:rPr>
        <w:t>临床试验医疗器械保管室内温度/湿度记录表</w:t>
      </w:r>
    </w:p>
    <w:p>
      <w:pPr>
        <w:spacing w:line="360" w:lineRule="auto"/>
        <w:jc w:val="left"/>
        <w:rPr>
          <w:rFonts w:hint="eastAsia" w:ascii="宋体" w:hAnsi="宋体" w:cs="宋体"/>
          <w:b w:val="0"/>
          <w:bCs/>
          <w:color w:val="auto"/>
          <w:sz w:val="28"/>
          <w:szCs w:val="28"/>
        </w:rPr>
      </w:pPr>
      <w:r>
        <w:rPr>
          <w:rFonts w:ascii="宋体" w:hAnsi="宋体" w:cs="宋体"/>
          <w:b w:val="0"/>
          <w:bCs/>
          <w:color w:val="auto"/>
          <w:szCs w:val="21"/>
        </w:rPr>
        <w:t xml:space="preserve"> </w:t>
      </w:r>
      <w:r>
        <w:rPr>
          <w:rFonts w:ascii="宋体" w:hAnsi="宋体" w:cs="宋体"/>
          <w:b w:val="0"/>
          <w:bCs/>
          <w:color w:val="auto"/>
          <w:sz w:val="24"/>
          <w:szCs w:val="24"/>
        </w:rPr>
        <w:t xml:space="preserve"> </w:t>
      </w:r>
      <w:r>
        <w:rPr>
          <w:rFonts w:hint="eastAsia" w:ascii="宋体" w:hAnsi="宋体" w:cs="宋体"/>
          <w:b w:val="0"/>
          <w:bCs/>
          <w:color w:val="auto"/>
          <w:sz w:val="24"/>
          <w:szCs w:val="24"/>
        </w:rPr>
        <w:t xml:space="preserve">                       </w:t>
      </w:r>
      <w:r>
        <w:rPr>
          <w:rFonts w:ascii="宋体" w:hAnsi="宋体" w:cs="宋体"/>
          <w:b w:val="0"/>
          <w:bCs/>
          <w:color w:val="auto"/>
          <w:sz w:val="24"/>
          <w:szCs w:val="24"/>
        </w:rPr>
        <w:t xml:space="preserve"> </w:t>
      </w:r>
      <w:r>
        <w:rPr>
          <w:rFonts w:hint="eastAsia" w:ascii="宋体" w:hAnsi="宋体" w:cs="宋体"/>
          <w:b w:val="0"/>
          <w:bCs/>
          <w:color w:val="auto"/>
          <w:sz w:val="24"/>
          <w:szCs w:val="24"/>
        </w:rPr>
        <w:t xml:space="preserve">         </w:t>
      </w:r>
      <w:r>
        <w:rPr>
          <w:rFonts w:hint="eastAsia" w:ascii="宋体" w:hAnsi="宋体" w:eastAsia="宋体" w:cs="宋体"/>
          <w:b w:val="0"/>
          <w:bCs/>
          <w:color w:val="auto"/>
          <w:sz w:val="24"/>
          <w:szCs w:val="24"/>
        </w:rPr>
        <w:t xml:space="preserve">   临床试验用医疗器械保管室内温度/湿度记录</w:t>
      </w:r>
      <w:r>
        <w:rPr>
          <w:rFonts w:hint="eastAsia" w:ascii="宋体" w:hAnsi="宋体" w:cs="宋体"/>
          <w:b w:val="0"/>
          <w:bCs/>
          <w:color w:val="auto"/>
          <w:sz w:val="28"/>
          <w:szCs w:val="28"/>
        </w:rPr>
        <w:t xml:space="preserve">                     </w:t>
      </w:r>
    </w:p>
    <w:p>
      <w:pPr>
        <w:spacing w:line="360" w:lineRule="auto"/>
        <w:jc w:val="center"/>
        <w:rPr>
          <w:rFonts w:ascii="宋体" w:cs="宋体"/>
          <w:b w:val="0"/>
          <w:bCs/>
          <w:color w:val="auto"/>
          <w:sz w:val="28"/>
          <w:szCs w:val="28"/>
          <w:u w:val="single"/>
        </w:rPr>
      </w:pPr>
      <w:r>
        <w:rPr>
          <w:rFonts w:hint="eastAsia" w:ascii="宋体" w:hAnsi="宋体" w:cs="宋体"/>
          <w:b w:val="0"/>
          <w:bCs/>
          <w:color w:val="auto"/>
          <w:sz w:val="28"/>
          <w:szCs w:val="28"/>
          <w:lang w:val="en-US" w:eastAsia="zh-CN"/>
        </w:rPr>
        <w:t xml:space="preserve">                                                                            ______</w:t>
      </w:r>
      <w:r>
        <w:rPr>
          <w:rFonts w:hint="eastAsia" w:ascii="宋体" w:hAnsi="宋体" w:cs="宋体"/>
          <w:b w:val="0"/>
          <w:bCs/>
          <w:color w:val="auto"/>
          <w:kern w:val="0"/>
        </w:rPr>
        <w:t>月</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1418"/>
        <w:gridCol w:w="1529"/>
        <w:gridCol w:w="2672"/>
        <w:gridCol w:w="1140"/>
        <w:gridCol w:w="1613"/>
        <w:gridCol w:w="1709"/>
        <w:gridCol w:w="3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72" w:type="pct"/>
            <w:gridSpan w:val="2"/>
            <w:vAlign w:val="center"/>
          </w:tcPr>
          <w:p>
            <w:pPr>
              <w:ind w:firstLine="420" w:firstLineChars="200"/>
              <w:jc w:val="center"/>
              <w:rPr>
                <w:b w:val="0"/>
                <w:bCs/>
                <w:color w:val="auto"/>
              </w:rPr>
            </w:pPr>
            <w:r>
              <w:rPr>
                <w:rFonts w:hint="eastAsia"/>
                <w:b w:val="0"/>
                <w:bCs/>
                <w:color w:val="auto"/>
              </w:rPr>
              <w:t>医 院 名 称</w:t>
            </w:r>
          </w:p>
        </w:tc>
        <w:tc>
          <w:tcPr>
            <w:tcW w:w="1448" w:type="pct"/>
            <w:gridSpan w:val="2"/>
            <w:vAlign w:val="center"/>
          </w:tcPr>
          <w:p>
            <w:pPr>
              <w:ind w:firstLine="630" w:firstLineChars="300"/>
              <w:jc w:val="center"/>
              <w:rPr>
                <w:b w:val="0"/>
                <w:bCs/>
                <w:color w:val="auto"/>
              </w:rPr>
            </w:pPr>
            <w:r>
              <w:rPr>
                <w:rFonts w:hint="eastAsia"/>
                <w:b w:val="0"/>
                <w:bCs/>
                <w:color w:val="auto"/>
              </w:rPr>
              <w:t>沂源县人民医院</w:t>
            </w:r>
          </w:p>
        </w:tc>
        <w:tc>
          <w:tcPr>
            <w:tcW w:w="2679" w:type="pct"/>
            <w:gridSpan w:val="4"/>
            <w:vMerge w:val="restart"/>
            <w:vAlign w:val="center"/>
          </w:tcPr>
          <w:p>
            <w:pPr>
              <w:ind w:firstLine="2100" w:firstLineChars="1000"/>
              <w:jc w:val="center"/>
              <w:rPr>
                <w:b w:val="0"/>
                <w:bCs/>
                <w:color w:val="auto"/>
              </w:rPr>
            </w:pPr>
            <w:r>
              <w:rPr>
                <w:rFonts w:hint="eastAsia"/>
                <w:b w:val="0"/>
                <w:bCs/>
                <w:color w:val="auto"/>
              </w:rPr>
              <w:t>确认复印件后，请填写如下栏目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872" w:type="pct"/>
            <w:gridSpan w:val="2"/>
            <w:vAlign w:val="center"/>
          </w:tcPr>
          <w:p>
            <w:pPr>
              <w:ind w:firstLine="420" w:firstLineChars="200"/>
              <w:jc w:val="center"/>
              <w:rPr>
                <w:b w:val="0"/>
                <w:bCs/>
                <w:color w:val="auto"/>
              </w:rPr>
            </w:pPr>
            <w:r>
              <w:rPr>
                <w:rFonts w:hint="eastAsia"/>
                <w:b w:val="0"/>
                <w:bCs/>
                <w:color w:val="auto"/>
              </w:rPr>
              <w:t>科 室 名 称</w:t>
            </w:r>
          </w:p>
        </w:tc>
        <w:tc>
          <w:tcPr>
            <w:tcW w:w="1448" w:type="pct"/>
            <w:gridSpan w:val="2"/>
            <w:vAlign w:val="center"/>
          </w:tcPr>
          <w:p>
            <w:pPr>
              <w:ind w:firstLine="630" w:firstLineChars="300"/>
              <w:jc w:val="center"/>
              <w:rPr>
                <w:b w:val="0"/>
                <w:bCs/>
                <w:color w:val="auto"/>
              </w:rPr>
            </w:pPr>
            <w:r>
              <w:rPr>
                <w:rFonts w:hint="eastAsia"/>
                <w:b w:val="0"/>
                <w:bCs/>
                <w:color w:val="auto"/>
              </w:rPr>
              <w:t>临床试验中心</w:t>
            </w:r>
            <w:r>
              <w:rPr>
                <w:rFonts w:hint="eastAsia"/>
                <w:b w:val="0"/>
                <w:bCs/>
                <w:color w:val="auto"/>
                <w:szCs w:val="21"/>
              </w:rPr>
              <w:t>医疗器械保管室</w:t>
            </w:r>
          </w:p>
        </w:tc>
        <w:tc>
          <w:tcPr>
            <w:tcW w:w="2679" w:type="pct"/>
            <w:gridSpan w:val="4"/>
            <w:vMerge w:val="continue"/>
            <w:vAlign w:val="center"/>
          </w:tcPr>
          <w:p>
            <w:pPr>
              <w:jc w:val="center"/>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872" w:type="pct"/>
            <w:gridSpan w:val="2"/>
            <w:vAlign w:val="center"/>
          </w:tcPr>
          <w:p>
            <w:pPr>
              <w:ind w:firstLine="420" w:firstLineChars="200"/>
              <w:jc w:val="center"/>
              <w:rPr>
                <w:b w:val="0"/>
                <w:bCs/>
                <w:color w:val="auto"/>
              </w:rPr>
            </w:pPr>
            <w:r>
              <w:rPr>
                <w:rFonts w:hint="eastAsia"/>
                <w:b w:val="0"/>
                <w:bCs/>
                <w:color w:val="auto"/>
              </w:rPr>
              <w:t>位</w:t>
            </w:r>
            <w:r>
              <w:rPr>
                <w:b w:val="0"/>
                <w:bCs/>
                <w:color w:val="auto"/>
              </w:rPr>
              <w:t xml:space="preserve">    </w:t>
            </w:r>
            <w:r>
              <w:rPr>
                <w:rFonts w:hint="eastAsia"/>
                <w:b w:val="0"/>
                <w:bCs/>
                <w:color w:val="auto"/>
              </w:rPr>
              <w:t xml:space="preserve">   置</w:t>
            </w:r>
          </w:p>
        </w:tc>
        <w:tc>
          <w:tcPr>
            <w:tcW w:w="1448" w:type="pct"/>
            <w:gridSpan w:val="2"/>
            <w:vAlign w:val="center"/>
          </w:tcPr>
          <w:p>
            <w:pPr>
              <w:jc w:val="center"/>
              <w:rPr>
                <w:b w:val="0"/>
                <w:bCs/>
                <w:color w:val="auto"/>
              </w:rPr>
            </w:pPr>
          </w:p>
        </w:tc>
        <w:tc>
          <w:tcPr>
            <w:tcW w:w="949" w:type="pct"/>
            <w:gridSpan w:val="2"/>
            <w:vAlign w:val="center"/>
          </w:tcPr>
          <w:p>
            <w:pPr>
              <w:jc w:val="center"/>
              <w:rPr>
                <w:b w:val="0"/>
                <w:bCs/>
                <w:color w:val="auto"/>
              </w:rPr>
            </w:pPr>
            <w:r>
              <w:rPr>
                <w:rFonts w:hint="eastAsia"/>
                <w:b w:val="0"/>
                <w:bCs/>
                <w:color w:val="auto"/>
              </w:rPr>
              <w:t>研究者姓名</w:t>
            </w:r>
          </w:p>
        </w:tc>
        <w:tc>
          <w:tcPr>
            <w:tcW w:w="1730" w:type="pct"/>
            <w:gridSpan w:val="2"/>
            <w:vAlign w:val="center"/>
          </w:tcPr>
          <w:p>
            <w:pPr>
              <w:jc w:val="center"/>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72" w:type="pct"/>
            <w:gridSpan w:val="2"/>
            <w:vAlign w:val="center"/>
          </w:tcPr>
          <w:p>
            <w:pPr>
              <w:ind w:firstLine="420" w:firstLineChars="200"/>
              <w:jc w:val="center"/>
              <w:rPr>
                <w:b w:val="0"/>
                <w:bCs/>
                <w:color w:val="auto"/>
              </w:rPr>
            </w:pPr>
            <w:r>
              <w:rPr>
                <w:rFonts w:hint="eastAsia"/>
                <w:b w:val="0"/>
                <w:bCs/>
                <w:color w:val="auto"/>
              </w:rPr>
              <w:t>温度计型号</w:t>
            </w:r>
          </w:p>
        </w:tc>
        <w:tc>
          <w:tcPr>
            <w:tcW w:w="1448" w:type="pct"/>
            <w:gridSpan w:val="2"/>
            <w:vAlign w:val="center"/>
          </w:tcPr>
          <w:p>
            <w:pPr>
              <w:jc w:val="center"/>
              <w:rPr>
                <w:b w:val="0"/>
                <w:bCs/>
                <w:color w:val="auto"/>
              </w:rPr>
            </w:pPr>
          </w:p>
        </w:tc>
        <w:tc>
          <w:tcPr>
            <w:tcW w:w="949" w:type="pct"/>
            <w:gridSpan w:val="2"/>
            <w:vAlign w:val="center"/>
          </w:tcPr>
          <w:p>
            <w:pPr>
              <w:jc w:val="center"/>
              <w:rPr>
                <w:b w:val="0"/>
                <w:bCs/>
                <w:color w:val="auto"/>
              </w:rPr>
            </w:pPr>
            <w:r>
              <w:rPr>
                <w:rFonts w:hint="eastAsia"/>
                <w:b w:val="0"/>
                <w:bCs/>
                <w:color w:val="auto"/>
              </w:rPr>
              <w:t>方案编号</w:t>
            </w:r>
          </w:p>
        </w:tc>
        <w:tc>
          <w:tcPr>
            <w:tcW w:w="1730" w:type="pct"/>
            <w:gridSpan w:val="2"/>
            <w:vAlign w:val="center"/>
          </w:tcPr>
          <w:p>
            <w:pPr>
              <w:jc w:val="center"/>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383" w:type="pct"/>
            <w:vAlign w:val="center"/>
          </w:tcPr>
          <w:p>
            <w:pPr>
              <w:jc w:val="center"/>
              <w:rPr>
                <w:b w:val="0"/>
                <w:bCs/>
                <w:color w:val="auto"/>
              </w:rPr>
            </w:pPr>
            <w:r>
              <w:rPr>
                <w:rFonts w:hint="eastAsia"/>
                <w:b w:val="0"/>
                <w:bCs/>
                <w:color w:val="auto"/>
              </w:rPr>
              <w:t>日期</w:t>
            </w:r>
          </w:p>
        </w:tc>
        <w:tc>
          <w:tcPr>
            <w:tcW w:w="489" w:type="pct"/>
            <w:vAlign w:val="center"/>
          </w:tcPr>
          <w:p>
            <w:pPr>
              <w:jc w:val="center"/>
              <w:rPr>
                <w:b w:val="0"/>
                <w:bCs/>
                <w:color w:val="auto"/>
              </w:rPr>
            </w:pPr>
            <w:r>
              <w:rPr>
                <w:rFonts w:hint="eastAsia"/>
                <w:b w:val="0"/>
                <w:bCs/>
                <w:color w:val="auto"/>
              </w:rPr>
              <w:t>温度</w:t>
            </w:r>
          </w:p>
        </w:tc>
        <w:tc>
          <w:tcPr>
            <w:tcW w:w="527" w:type="pct"/>
            <w:vAlign w:val="center"/>
          </w:tcPr>
          <w:p>
            <w:pPr>
              <w:jc w:val="center"/>
              <w:rPr>
                <w:b w:val="0"/>
                <w:bCs/>
                <w:color w:val="auto"/>
              </w:rPr>
            </w:pPr>
            <w:r>
              <w:rPr>
                <w:rFonts w:hint="eastAsia"/>
                <w:b w:val="0"/>
                <w:bCs/>
                <w:color w:val="auto"/>
              </w:rPr>
              <w:t>湿度</w:t>
            </w:r>
          </w:p>
        </w:tc>
        <w:tc>
          <w:tcPr>
            <w:tcW w:w="921" w:type="pct"/>
            <w:vAlign w:val="center"/>
          </w:tcPr>
          <w:p>
            <w:pPr>
              <w:jc w:val="center"/>
              <w:rPr>
                <w:b w:val="0"/>
                <w:bCs/>
                <w:color w:val="auto"/>
              </w:rPr>
            </w:pPr>
            <w:r>
              <w:rPr>
                <w:rFonts w:hint="eastAsia"/>
                <w:b w:val="0"/>
                <w:bCs/>
                <w:color w:val="auto"/>
              </w:rPr>
              <w:t>签名</w:t>
            </w:r>
            <w:r>
              <w:rPr>
                <w:b w:val="0"/>
                <w:bCs/>
                <w:color w:val="auto"/>
              </w:rPr>
              <w:t>/</w:t>
            </w:r>
            <w:r>
              <w:rPr>
                <w:rFonts w:hint="eastAsia"/>
                <w:b w:val="0"/>
                <w:bCs/>
                <w:color w:val="auto"/>
              </w:rPr>
              <w:t>记录时间</w:t>
            </w:r>
          </w:p>
        </w:tc>
        <w:tc>
          <w:tcPr>
            <w:tcW w:w="393" w:type="pct"/>
            <w:vAlign w:val="center"/>
          </w:tcPr>
          <w:p>
            <w:pPr>
              <w:jc w:val="center"/>
              <w:rPr>
                <w:b w:val="0"/>
                <w:bCs/>
                <w:color w:val="auto"/>
              </w:rPr>
            </w:pPr>
            <w:r>
              <w:rPr>
                <w:rFonts w:hint="eastAsia"/>
                <w:b w:val="0"/>
                <w:bCs/>
                <w:color w:val="auto"/>
              </w:rPr>
              <w:t>日期</w:t>
            </w:r>
          </w:p>
        </w:tc>
        <w:tc>
          <w:tcPr>
            <w:tcW w:w="556" w:type="pct"/>
            <w:vAlign w:val="center"/>
          </w:tcPr>
          <w:p>
            <w:pPr>
              <w:jc w:val="center"/>
              <w:rPr>
                <w:b w:val="0"/>
                <w:bCs/>
                <w:color w:val="auto"/>
              </w:rPr>
            </w:pPr>
            <w:r>
              <w:rPr>
                <w:rFonts w:hint="eastAsia"/>
                <w:b w:val="0"/>
                <w:bCs/>
                <w:color w:val="auto"/>
              </w:rPr>
              <w:t>温度</w:t>
            </w:r>
          </w:p>
        </w:tc>
        <w:tc>
          <w:tcPr>
            <w:tcW w:w="589" w:type="pct"/>
            <w:vAlign w:val="center"/>
          </w:tcPr>
          <w:p>
            <w:pPr>
              <w:jc w:val="center"/>
              <w:rPr>
                <w:b w:val="0"/>
                <w:bCs/>
                <w:color w:val="auto"/>
              </w:rPr>
            </w:pPr>
            <w:r>
              <w:rPr>
                <w:rFonts w:hint="eastAsia"/>
                <w:b w:val="0"/>
                <w:bCs/>
                <w:color w:val="auto"/>
              </w:rPr>
              <w:t>湿度</w:t>
            </w:r>
          </w:p>
        </w:tc>
        <w:tc>
          <w:tcPr>
            <w:tcW w:w="1140" w:type="pct"/>
            <w:vAlign w:val="center"/>
          </w:tcPr>
          <w:p>
            <w:pPr>
              <w:jc w:val="center"/>
              <w:rPr>
                <w:b w:val="0"/>
                <w:bCs/>
                <w:color w:val="auto"/>
              </w:rPr>
            </w:pPr>
            <w:r>
              <w:rPr>
                <w:rFonts w:hint="eastAsia"/>
                <w:b w:val="0"/>
                <w:bCs/>
                <w:color w:val="auto"/>
              </w:rPr>
              <w:t>签名</w:t>
            </w:r>
            <w:r>
              <w:rPr>
                <w:b w:val="0"/>
                <w:bCs/>
                <w:color w:val="auto"/>
              </w:rPr>
              <w:t>/</w:t>
            </w:r>
            <w:r>
              <w:rPr>
                <w:rFonts w:hint="eastAsia"/>
                <w:b w:val="0"/>
                <w:bCs/>
                <w:color w:val="auto"/>
              </w:rPr>
              <w:t>记录时间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3" w:type="pct"/>
          </w:tcPr>
          <w:p>
            <w:pPr>
              <w:spacing w:line="360" w:lineRule="auto"/>
              <w:jc w:val="left"/>
              <w:rPr>
                <w:b w:val="0"/>
                <w:bCs/>
                <w:color w:val="auto"/>
              </w:rPr>
            </w:pPr>
          </w:p>
        </w:tc>
        <w:tc>
          <w:tcPr>
            <w:tcW w:w="489" w:type="pct"/>
          </w:tcPr>
          <w:p>
            <w:pPr>
              <w:spacing w:line="360" w:lineRule="auto"/>
              <w:jc w:val="left"/>
              <w:rPr>
                <w:b w:val="0"/>
                <w:bCs/>
                <w:color w:val="auto"/>
              </w:rPr>
            </w:pPr>
          </w:p>
        </w:tc>
        <w:tc>
          <w:tcPr>
            <w:tcW w:w="527" w:type="pct"/>
          </w:tcPr>
          <w:p>
            <w:pPr>
              <w:spacing w:line="360" w:lineRule="auto"/>
              <w:jc w:val="left"/>
              <w:rPr>
                <w:b w:val="0"/>
                <w:bCs/>
                <w:color w:val="auto"/>
              </w:rPr>
            </w:pPr>
          </w:p>
        </w:tc>
        <w:tc>
          <w:tcPr>
            <w:tcW w:w="921" w:type="pct"/>
          </w:tcPr>
          <w:p>
            <w:pPr>
              <w:spacing w:line="360" w:lineRule="auto"/>
              <w:jc w:val="left"/>
              <w:rPr>
                <w:b w:val="0"/>
                <w:bCs/>
                <w:color w:val="auto"/>
              </w:rPr>
            </w:pPr>
          </w:p>
        </w:tc>
        <w:tc>
          <w:tcPr>
            <w:tcW w:w="393" w:type="pct"/>
          </w:tcPr>
          <w:p>
            <w:pPr>
              <w:spacing w:line="360" w:lineRule="auto"/>
              <w:jc w:val="left"/>
              <w:rPr>
                <w:b w:val="0"/>
                <w:bCs/>
                <w:color w:val="auto"/>
              </w:rPr>
            </w:pPr>
          </w:p>
        </w:tc>
        <w:tc>
          <w:tcPr>
            <w:tcW w:w="556" w:type="pct"/>
          </w:tcPr>
          <w:p>
            <w:pPr>
              <w:spacing w:line="360" w:lineRule="auto"/>
              <w:jc w:val="left"/>
              <w:rPr>
                <w:b w:val="0"/>
                <w:bCs/>
                <w:color w:val="auto"/>
              </w:rPr>
            </w:pPr>
          </w:p>
        </w:tc>
        <w:tc>
          <w:tcPr>
            <w:tcW w:w="589" w:type="pct"/>
          </w:tcPr>
          <w:p>
            <w:pPr>
              <w:spacing w:line="360" w:lineRule="auto"/>
              <w:jc w:val="left"/>
              <w:rPr>
                <w:b w:val="0"/>
                <w:bCs/>
                <w:color w:val="auto"/>
              </w:rPr>
            </w:pPr>
          </w:p>
        </w:tc>
        <w:tc>
          <w:tcPr>
            <w:tcW w:w="1140" w:type="pct"/>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3" w:type="pct"/>
          </w:tcPr>
          <w:p>
            <w:pPr>
              <w:spacing w:line="360" w:lineRule="auto"/>
              <w:jc w:val="left"/>
              <w:rPr>
                <w:b w:val="0"/>
                <w:bCs/>
                <w:color w:val="auto"/>
              </w:rPr>
            </w:pPr>
          </w:p>
        </w:tc>
        <w:tc>
          <w:tcPr>
            <w:tcW w:w="489" w:type="pct"/>
          </w:tcPr>
          <w:p>
            <w:pPr>
              <w:spacing w:line="360" w:lineRule="auto"/>
              <w:jc w:val="left"/>
              <w:rPr>
                <w:b w:val="0"/>
                <w:bCs/>
                <w:color w:val="auto"/>
              </w:rPr>
            </w:pPr>
          </w:p>
        </w:tc>
        <w:tc>
          <w:tcPr>
            <w:tcW w:w="527" w:type="pct"/>
          </w:tcPr>
          <w:p>
            <w:pPr>
              <w:spacing w:line="360" w:lineRule="auto"/>
              <w:jc w:val="left"/>
              <w:rPr>
                <w:b w:val="0"/>
                <w:bCs/>
                <w:color w:val="auto"/>
              </w:rPr>
            </w:pPr>
          </w:p>
        </w:tc>
        <w:tc>
          <w:tcPr>
            <w:tcW w:w="921" w:type="pct"/>
          </w:tcPr>
          <w:p>
            <w:pPr>
              <w:spacing w:line="360" w:lineRule="auto"/>
              <w:jc w:val="left"/>
              <w:rPr>
                <w:b w:val="0"/>
                <w:bCs/>
                <w:color w:val="auto"/>
              </w:rPr>
            </w:pPr>
          </w:p>
        </w:tc>
        <w:tc>
          <w:tcPr>
            <w:tcW w:w="393" w:type="pct"/>
          </w:tcPr>
          <w:p>
            <w:pPr>
              <w:spacing w:line="360" w:lineRule="auto"/>
              <w:jc w:val="left"/>
              <w:rPr>
                <w:b w:val="0"/>
                <w:bCs/>
                <w:color w:val="auto"/>
              </w:rPr>
            </w:pPr>
          </w:p>
        </w:tc>
        <w:tc>
          <w:tcPr>
            <w:tcW w:w="556" w:type="pct"/>
          </w:tcPr>
          <w:p>
            <w:pPr>
              <w:spacing w:line="360" w:lineRule="auto"/>
              <w:jc w:val="left"/>
              <w:rPr>
                <w:b w:val="0"/>
                <w:bCs/>
                <w:color w:val="auto"/>
              </w:rPr>
            </w:pPr>
          </w:p>
        </w:tc>
        <w:tc>
          <w:tcPr>
            <w:tcW w:w="589" w:type="pct"/>
          </w:tcPr>
          <w:p>
            <w:pPr>
              <w:spacing w:line="360" w:lineRule="auto"/>
              <w:jc w:val="left"/>
              <w:rPr>
                <w:b w:val="0"/>
                <w:bCs/>
                <w:color w:val="auto"/>
              </w:rPr>
            </w:pPr>
          </w:p>
        </w:tc>
        <w:tc>
          <w:tcPr>
            <w:tcW w:w="1140" w:type="pct"/>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3" w:type="pct"/>
          </w:tcPr>
          <w:p>
            <w:pPr>
              <w:spacing w:line="360" w:lineRule="auto"/>
              <w:jc w:val="left"/>
              <w:rPr>
                <w:b w:val="0"/>
                <w:bCs/>
                <w:color w:val="auto"/>
              </w:rPr>
            </w:pPr>
          </w:p>
        </w:tc>
        <w:tc>
          <w:tcPr>
            <w:tcW w:w="489" w:type="pct"/>
          </w:tcPr>
          <w:p>
            <w:pPr>
              <w:spacing w:line="360" w:lineRule="auto"/>
              <w:jc w:val="left"/>
              <w:rPr>
                <w:b w:val="0"/>
                <w:bCs/>
                <w:color w:val="auto"/>
              </w:rPr>
            </w:pPr>
          </w:p>
        </w:tc>
        <w:tc>
          <w:tcPr>
            <w:tcW w:w="527" w:type="pct"/>
          </w:tcPr>
          <w:p>
            <w:pPr>
              <w:spacing w:line="360" w:lineRule="auto"/>
              <w:jc w:val="left"/>
              <w:rPr>
                <w:b w:val="0"/>
                <w:bCs/>
                <w:color w:val="auto"/>
              </w:rPr>
            </w:pPr>
          </w:p>
        </w:tc>
        <w:tc>
          <w:tcPr>
            <w:tcW w:w="921" w:type="pct"/>
          </w:tcPr>
          <w:p>
            <w:pPr>
              <w:spacing w:line="360" w:lineRule="auto"/>
              <w:jc w:val="left"/>
              <w:rPr>
                <w:b w:val="0"/>
                <w:bCs/>
                <w:color w:val="auto"/>
              </w:rPr>
            </w:pPr>
          </w:p>
        </w:tc>
        <w:tc>
          <w:tcPr>
            <w:tcW w:w="393" w:type="pct"/>
          </w:tcPr>
          <w:p>
            <w:pPr>
              <w:spacing w:line="360" w:lineRule="auto"/>
              <w:jc w:val="left"/>
              <w:rPr>
                <w:b w:val="0"/>
                <w:bCs/>
                <w:color w:val="auto"/>
              </w:rPr>
            </w:pPr>
          </w:p>
        </w:tc>
        <w:tc>
          <w:tcPr>
            <w:tcW w:w="556" w:type="pct"/>
          </w:tcPr>
          <w:p>
            <w:pPr>
              <w:spacing w:line="360" w:lineRule="auto"/>
              <w:jc w:val="left"/>
              <w:rPr>
                <w:b w:val="0"/>
                <w:bCs/>
                <w:color w:val="auto"/>
              </w:rPr>
            </w:pPr>
          </w:p>
        </w:tc>
        <w:tc>
          <w:tcPr>
            <w:tcW w:w="589" w:type="pct"/>
          </w:tcPr>
          <w:p>
            <w:pPr>
              <w:spacing w:line="360" w:lineRule="auto"/>
              <w:jc w:val="left"/>
              <w:rPr>
                <w:b w:val="0"/>
                <w:bCs/>
                <w:color w:val="auto"/>
              </w:rPr>
            </w:pPr>
          </w:p>
        </w:tc>
        <w:tc>
          <w:tcPr>
            <w:tcW w:w="1140" w:type="pct"/>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3" w:type="pct"/>
          </w:tcPr>
          <w:p>
            <w:pPr>
              <w:spacing w:line="360" w:lineRule="auto"/>
              <w:jc w:val="left"/>
              <w:rPr>
                <w:b w:val="0"/>
                <w:bCs/>
                <w:color w:val="auto"/>
              </w:rPr>
            </w:pPr>
          </w:p>
        </w:tc>
        <w:tc>
          <w:tcPr>
            <w:tcW w:w="489" w:type="pct"/>
          </w:tcPr>
          <w:p>
            <w:pPr>
              <w:spacing w:line="360" w:lineRule="auto"/>
              <w:jc w:val="left"/>
              <w:rPr>
                <w:b w:val="0"/>
                <w:bCs/>
                <w:color w:val="auto"/>
              </w:rPr>
            </w:pPr>
          </w:p>
        </w:tc>
        <w:tc>
          <w:tcPr>
            <w:tcW w:w="527" w:type="pct"/>
          </w:tcPr>
          <w:p>
            <w:pPr>
              <w:spacing w:line="360" w:lineRule="auto"/>
              <w:jc w:val="left"/>
              <w:rPr>
                <w:b w:val="0"/>
                <w:bCs/>
                <w:color w:val="auto"/>
              </w:rPr>
            </w:pPr>
          </w:p>
        </w:tc>
        <w:tc>
          <w:tcPr>
            <w:tcW w:w="921" w:type="pct"/>
          </w:tcPr>
          <w:p>
            <w:pPr>
              <w:spacing w:line="360" w:lineRule="auto"/>
              <w:jc w:val="left"/>
              <w:rPr>
                <w:b w:val="0"/>
                <w:bCs/>
                <w:color w:val="auto"/>
              </w:rPr>
            </w:pPr>
          </w:p>
        </w:tc>
        <w:tc>
          <w:tcPr>
            <w:tcW w:w="393" w:type="pct"/>
          </w:tcPr>
          <w:p>
            <w:pPr>
              <w:spacing w:line="360" w:lineRule="auto"/>
              <w:jc w:val="left"/>
              <w:rPr>
                <w:b w:val="0"/>
                <w:bCs/>
                <w:color w:val="auto"/>
              </w:rPr>
            </w:pPr>
          </w:p>
        </w:tc>
        <w:tc>
          <w:tcPr>
            <w:tcW w:w="556" w:type="pct"/>
          </w:tcPr>
          <w:p>
            <w:pPr>
              <w:spacing w:line="360" w:lineRule="auto"/>
              <w:jc w:val="left"/>
              <w:rPr>
                <w:b w:val="0"/>
                <w:bCs/>
                <w:color w:val="auto"/>
              </w:rPr>
            </w:pPr>
          </w:p>
        </w:tc>
        <w:tc>
          <w:tcPr>
            <w:tcW w:w="589" w:type="pct"/>
          </w:tcPr>
          <w:p>
            <w:pPr>
              <w:spacing w:line="360" w:lineRule="auto"/>
              <w:jc w:val="left"/>
              <w:rPr>
                <w:b w:val="0"/>
                <w:bCs/>
                <w:color w:val="auto"/>
              </w:rPr>
            </w:pPr>
          </w:p>
        </w:tc>
        <w:tc>
          <w:tcPr>
            <w:tcW w:w="1140" w:type="pct"/>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3" w:type="pct"/>
          </w:tcPr>
          <w:p>
            <w:pPr>
              <w:spacing w:line="360" w:lineRule="auto"/>
              <w:jc w:val="left"/>
              <w:rPr>
                <w:b w:val="0"/>
                <w:bCs/>
                <w:color w:val="auto"/>
              </w:rPr>
            </w:pPr>
          </w:p>
        </w:tc>
        <w:tc>
          <w:tcPr>
            <w:tcW w:w="489" w:type="pct"/>
          </w:tcPr>
          <w:p>
            <w:pPr>
              <w:spacing w:line="360" w:lineRule="auto"/>
              <w:jc w:val="left"/>
              <w:rPr>
                <w:b w:val="0"/>
                <w:bCs/>
                <w:color w:val="auto"/>
              </w:rPr>
            </w:pPr>
          </w:p>
        </w:tc>
        <w:tc>
          <w:tcPr>
            <w:tcW w:w="527" w:type="pct"/>
          </w:tcPr>
          <w:p>
            <w:pPr>
              <w:spacing w:line="360" w:lineRule="auto"/>
              <w:jc w:val="left"/>
              <w:rPr>
                <w:b w:val="0"/>
                <w:bCs/>
                <w:color w:val="auto"/>
              </w:rPr>
            </w:pPr>
          </w:p>
        </w:tc>
        <w:tc>
          <w:tcPr>
            <w:tcW w:w="921" w:type="pct"/>
          </w:tcPr>
          <w:p>
            <w:pPr>
              <w:spacing w:line="360" w:lineRule="auto"/>
              <w:jc w:val="left"/>
              <w:rPr>
                <w:b w:val="0"/>
                <w:bCs/>
                <w:color w:val="auto"/>
              </w:rPr>
            </w:pPr>
          </w:p>
        </w:tc>
        <w:tc>
          <w:tcPr>
            <w:tcW w:w="393" w:type="pct"/>
          </w:tcPr>
          <w:p>
            <w:pPr>
              <w:spacing w:line="360" w:lineRule="auto"/>
              <w:jc w:val="left"/>
              <w:rPr>
                <w:b w:val="0"/>
                <w:bCs/>
                <w:color w:val="auto"/>
              </w:rPr>
            </w:pPr>
          </w:p>
        </w:tc>
        <w:tc>
          <w:tcPr>
            <w:tcW w:w="556" w:type="pct"/>
          </w:tcPr>
          <w:p>
            <w:pPr>
              <w:spacing w:line="360" w:lineRule="auto"/>
              <w:jc w:val="left"/>
              <w:rPr>
                <w:b w:val="0"/>
                <w:bCs/>
                <w:color w:val="auto"/>
              </w:rPr>
            </w:pPr>
          </w:p>
        </w:tc>
        <w:tc>
          <w:tcPr>
            <w:tcW w:w="589" w:type="pct"/>
          </w:tcPr>
          <w:p>
            <w:pPr>
              <w:spacing w:line="360" w:lineRule="auto"/>
              <w:jc w:val="left"/>
              <w:rPr>
                <w:b w:val="0"/>
                <w:bCs/>
                <w:color w:val="auto"/>
              </w:rPr>
            </w:pPr>
          </w:p>
        </w:tc>
        <w:tc>
          <w:tcPr>
            <w:tcW w:w="1140" w:type="pct"/>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3" w:type="pct"/>
          </w:tcPr>
          <w:p>
            <w:pPr>
              <w:spacing w:line="360" w:lineRule="auto"/>
              <w:jc w:val="left"/>
              <w:rPr>
                <w:b w:val="0"/>
                <w:bCs/>
                <w:color w:val="auto"/>
              </w:rPr>
            </w:pPr>
          </w:p>
        </w:tc>
        <w:tc>
          <w:tcPr>
            <w:tcW w:w="489" w:type="pct"/>
          </w:tcPr>
          <w:p>
            <w:pPr>
              <w:spacing w:line="360" w:lineRule="auto"/>
              <w:jc w:val="left"/>
              <w:rPr>
                <w:b w:val="0"/>
                <w:bCs/>
                <w:color w:val="auto"/>
              </w:rPr>
            </w:pPr>
          </w:p>
        </w:tc>
        <w:tc>
          <w:tcPr>
            <w:tcW w:w="527" w:type="pct"/>
          </w:tcPr>
          <w:p>
            <w:pPr>
              <w:spacing w:line="360" w:lineRule="auto"/>
              <w:jc w:val="left"/>
              <w:rPr>
                <w:b w:val="0"/>
                <w:bCs/>
                <w:color w:val="auto"/>
              </w:rPr>
            </w:pPr>
          </w:p>
        </w:tc>
        <w:tc>
          <w:tcPr>
            <w:tcW w:w="921" w:type="pct"/>
          </w:tcPr>
          <w:p>
            <w:pPr>
              <w:spacing w:line="360" w:lineRule="auto"/>
              <w:jc w:val="left"/>
              <w:rPr>
                <w:b w:val="0"/>
                <w:bCs/>
                <w:color w:val="auto"/>
              </w:rPr>
            </w:pPr>
          </w:p>
        </w:tc>
        <w:tc>
          <w:tcPr>
            <w:tcW w:w="393" w:type="pct"/>
          </w:tcPr>
          <w:p>
            <w:pPr>
              <w:spacing w:line="360" w:lineRule="auto"/>
              <w:jc w:val="left"/>
              <w:rPr>
                <w:b w:val="0"/>
                <w:bCs/>
                <w:color w:val="auto"/>
              </w:rPr>
            </w:pPr>
          </w:p>
        </w:tc>
        <w:tc>
          <w:tcPr>
            <w:tcW w:w="556" w:type="pct"/>
          </w:tcPr>
          <w:p>
            <w:pPr>
              <w:spacing w:line="360" w:lineRule="auto"/>
              <w:jc w:val="left"/>
              <w:rPr>
                <w:b w:val="0"/>
                <w:bCs/>
                <w:color w:val="auto"/>
              </w:rPr>
            </w:pPr>
          </w:p>
        </w:tc>
        <w:tc>
          <w:tcPr>
            <w:tcW w:w="589" w:type="pct"/>
          </w:tcPr>
          <w:p>
            <w:pPr>
              <w:spacing w:line="360" w:lineRule="auto"/>
              <w:jc w:val="left"/>
              <w:rPr>
                <w:b w:val="0"/>
                <w:bCs/>
                <w:color w:val="auto"/>
              </w:rPr>
            </w:pPr>
          </w:p>
        </w:tc>
        <w:tc>
          <w:tcPr>
            <w:tcW w:w="1140" w:type="pct"/>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3" w:type="pct"/>
          </w:tcPr>
          <w:p>
            <w:pPr>
              <w:spacing w:line="360" w:lineRule="auto"/>
              <w:jc w:val="left"/>
              <w:rPr>
                <w:b w:val="0"/>
                <w:bCs/>
                <w:color w:val="auto"/>
              </w:rPr>
            </w:pPr>
          </w:p>
        </w:tc>
        <w:tc>
          <w:tcPr>
            <w:tcW w:w="489" w:type="pct"/>
          </w:tcPr>
          <w:p>
            <w:pPr>
              <w:spacing w:line="360" w:lineRule="auto"/>
              <w:jc w:val="left"/>
              <w:rPr>
                <w:b w:val="0"/>
                <w:bCs/>
                <w:color w:val="auto"/>
              </w:rPr>
            </w:pPr>
          </w:p>
        </w:tc>
        <w:tc>
          <w:tcPr>
            <w:tcW w:w="527" w:type="pct"/>
          </w:tcPr>
          <w:p>
            <w:pPr>
              <w:spacing w:line="360" w:lineRule="auto"/>
              <w:jc w:val="left"/>
              <w:rPr>
                <w:b w:val="0"/>
                <w:bCs/>
                <w:color w:val="auto"/>
              </w:rPr>
            </w:pPr>
          </w:p>
        </w:tc>
        <w:tc>
          <w:tcPr>
            <w:tcW w:w="921" w:type="pct"/>
          </w:tcPr>
          <w:p>
            <w:pPr>
              <w:spacing w:line="360" w:lineRule="auto"/>
              <w:jc w:val="left"/>
              <w:rPr>
                <w:b w:val="0"/>
                <w:bCs/>
                <w:color w:val="auto"/>
              </w:rPr>
            </w:pPr>
          </w:p>
        </w:tc>
        <w:tc>
          <w:tcPr>
            <w:tcW w:w="393" w:type="pct"/>
          </w:tcPr>
          <w:p>
            <w:pPr>
              <w:spacing w:line="360" w:lineRule="auto"/>
              <w:jc w:val="left"/>
              <w:rPr>
                <w:b w:val="0"/>
                <w:bCs/>
                <w:color w:val="auto"/>
              </w:rPr>
            </w:pPr>
          </w:p>
        </w:tc>
        <w:tc>
          <w:tcPr>
            <w:tcW w:w="556" w:type="pct"/>
          </w:tcPr>
          <w:p>
            <w:pPr>
              <w:spacing w:line="360" w:lineRule="auto"/>
              <w:jc w:val="left"/>
              <w:rPr>
                <w:b w:val="0"/>
                <w:bCs/>
                <w:color w:val="auto"/>
              </w:rPr>
            </w:pPr>
          </w:p>
        </w:tc>
        <w:tc>
          <w:tcPr>
            <w:tcW w:w="589" w:type="pct"/>
          </w:tcPr>
          <w:p>
            <w:pPr>
              <w:spacing w:line="360" w:lineRule="auto"/>
              <w:jc w:val="left"/>
              <w:rPr>
                <w:b w:val="0"/>
                <w:bCs/>
                <w:color w:val="auto"/>
              </w:rPr>
            </w:pPr>
          </w:p>
        </w:tc>
        <w:tc>
          <w:tcPr>
            <w:tcW w:w="1140" w:type="pct"/>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83" w:type="pct"/>
          </w:tcPr>
          <w:p>
            <w:pPr>
              <w:spacing w:line="360" w:lineRule="auto"/>
              <w:jc w:val="left"/>
              <w:rPr>
                <w:b w:val="0"/>
                <w:bCs/>
                <w:color w:val="auto"/>
              </w:rPr>
            </w:pPr>
          </w:p>
        </w:tc>
        <w:tc>
          <w:tcPr>
            <w:tcW w:w="489" w:type="pct"/>
          </w:tcPr>
          <w:p>
            <w:pPr>
              <w:spacing w:line="360" w:lineRule="auto"/>
              <w:jc w:val="left"/>
              <w:rPr>
                <w:b w:val="0"/>
                <w:bCs/>
                <w:color w:val="auto"/>
              </w:rPr>
            </w:pPr>
          </w:p>
        </w:tc>
        <w:tc>
          <w:tcPr>
            <w:tcW w:w="527" w:type="pct"/>
          </w:tcPr>
          <w:p>
            <w:pPr>
              <w:spacing w:line="360" w:lineRule="auto"/>
              <w:jc w:val="left"/>
              <w:rPr>
                <w:b w:val="0"/>
                <w:bCs/>
                <w:color w:val="auto"/>
              </w:rPr>
            </w:pPr>
          </w:p>
        </w:tc>
        <w:tc>
          <w:tcPr>
            <w:tcW w:w="921" w:type="pct"/>
          </w:tcPr>
          <w:p>
            <w:pPr>
              <w:spacing w:line="360" w:lineRule="auto"/>
              <w:jc w:val="left"/>
              <w:rPr>
                <w:b w:val="0"/>
                <w:bCs/>
                <w:color w:val="auto"/>
              </w:rPr>
            </w:pPr>
          </w:p>
        </w:tc>
        <w:tc>
          <w:tcPr>
            <w:tcW w:w="393" w:type="pct"/>
          </w:tcPr>
          <w:p>
            <w:pPr>
              <w:spacing w:line="360" w:lineRule="auto"/>
              <w:jc w:val="left"/>
              <w:rPr>
                <w:b w:val="0"/>
                <w:bCs/>
                <w:color w:val="auto"/>
              </w:rPr>
            </w:pPr>
          </w:p>
        </w:tc>
        <w:tc>
          <w:tcPr>
            <w:tcW w:w="556" w:type="pct"/>
          </w:tcPr>
          <w:p>
            <w:pPr>
              <w:spacing w:line="360" w:lineRule="auto"/>
              <w:jc w:val="left"/>
              <w:rPr>
                <w:b w:val="0"/>
                <w:bCs/>
                <w:color w:val="auto"/>
              </w:rPr>
            </w:pPr>
          </w:p>
        </w:tc>
        <w:tc>
          <w:tcPr>
            <w:tcW w:w="589" w:type="pct"/>
          </w:tcPr>
          <w:p>
            <w:pPr>
              <w:spacing w:line="360" w:lineRule="auto"/>
              <w:jc w:val="left"/>
              <w:rPr>
                <w:b w:val="0"/>
                <w:bCs/>
                <w:color w:val="auto"/>
              </w:rPr>
            </w:pPr>
          </w:p>
        </w:tc>
        <w:tc>
          <w:tcPr>
            <w:tcW w:w="1140" w:type="pct"/>
          </w:tcPr>
          <w:p>
            <w:pPr>
              <w:spacing w:line="360" w:lineRule="auto"/>
              <w:jc w:val="left"/>
              <w:rPr>
                <w:b w:val="0"/>
                <w:bCs/>
                <w:color w:val="auto"/>
              </w:rPr>
            </w:pPr>
          </w:p>
        </w:tc>
      </w:tr>
    </w:tbl>
    <w:p>
      <w:pPr>
        <w:spacing w:line="360" w:lineRule="auto"/>
        <w:jc w:val="left"/>
        <w:rPr>
          <w:rFonts w:ascii="宋体" w:cs="宋体"/>
          <w:b w:val="0"/>
          <w:bCs/>
          <w:color w:val="auto"/>
          <w:szCs w:val="21"/>
        </w:rPr>
      </w:pPr>
      <w:r>
        <w:rPr>
          <w:rFonts w:hint="eastAsia" w:ascii="宋体" w:hAnsi="宋体" w:cs="宋体"/>
          <w:b w:val="0"/>
          <w:bCs/>
          <w:color w:val="auto"/>
          <w:szCs w:val="21"/>
        </w:rPr>
        <w:t>备注：</w:t>
      </w:r>
      <w:r>
        <w:rPr>
          <w:rFonts w:ascii="宋体" w:hAnsi="宋体" w:cs="宋体"/>
          <w:b w:val="0"/>
          <w:bCs/>
          <w:color w:val="auto"/>
          <w:szCs w:val="21"/>
        </w:rPr>
        <w:t>1.</w:t>
      </w:r>
      <w:r>
        <w:rPr>
          <w:rFonts w:hint="eastAsia" w:ascii="宋体" w:hAnsi="宋体" w:cs="宋体"/>
          <w:b w:val="0"/>
          <w:bCs/>
          <w:color w:val="auto"/>
          <w:szCs w:val="21"/>
        </w:rPr>
        <w:t>如果</w:t>
      </w:r>
      <w:r>
        <w:rPr>
          <w:rFonts w:hint="eastAsia" w:ascii="宋体" w:hAnsi="宋体" w:cs="宋体"/>
          <w:b w:val="0"/>
          <w:bCs/>
          <w:color w:val="auto"/>
          <w:szCs w:val="21"/>
          <w:lang w:val="en-US" w:eastAsia="zh-CN"/>
        </w:rPr>
        <w:t>出现超温</w:t>
      </w:r>
      <w:r>
        <w:rPr>
          <w:rFonts w:hint="eastAsia" w:ascii="宋体" w:hAnsi="宋体" w:cs="宋体"/>
          <w:b w:val="0"/>
          <w:bCs/>
          <w:color w:val="auto"/>
          <w:szCs w:val="21"/>
        </w:rPr>
        <w:t>，需要与临床试验监查员联系。</w:t>
      </w:r>
    </w:p>
    <w:p>
      <w:pPr>
        <w:spacing w:line="360" w:lineRule="auto"/>
        <w:jc w:val="left"/>
        <w:rPr>
          <w:rFonts w:ascii="宋体" w:hAnsi="宋体" w:cs="宋体"/>
          <w:b w:val="0"/>
          <w:bCs/>
          <w:color w:val="auto"/>
          <w:szCs w:val="21"/>
        </w:rPr>
      </w:pPr>
      <w:r>
        <w:rPr>
          <w:rFonts w:ascii="宋体" w:hAnsi="宋体" w:cs="宋体"/>
          <w:b w:val="0"/>
          <w:bCs/>
          <w:color w:val="auto"/>
          <w:szCs w:val="21"/>
        </w:rPr>
        <w:t xml:space="preserve">      2.</w:t>
      </w:r>
      <w:r>
        <w:rPr>
          <w:rFonts w:hint="eastAsia" w:ascii="宋体" w:hAnsi="宋体" w:cs="宋体"/>
          <w:b w:val="0"/>
          <w:bCs/>
          <w:color w:val="auto"/>
          <w:szCs w:val="21"/>
        </w:rPr>
        <w:t>本表格复印件一经记录人员确认（签字签日期），即与案件具有同样效力。</w:t>
      </w:r>
    </w:p>
    <w:p>
      <w:pPr>
        <w:spacing w:line="360" w:lineRule="auto"/>
        <w:jc w:val="left"/>
        <w:rPr>
          <w:rFonts w:ascii="宋体" w:hAnsi="宋体" w:cs="宋体"/>
          <w:b w:val="0"/>
          <w:bCs/>
          <w:color w:val="auto"/>
          <w:sz w:val="24"/>
          <w:szCs w:val="24"/>
        </w:rPr>
        <w:sectPr>
          <w:headerReference r:id="rId109" w:type="default"/>
          <w:footerReference r:id="rId110" w:type="default"/>
          <w:pgSz w:w="16840" w:h="11907" w:orient="landscape"/>
          <w:pgMar w:top="1418" w:right="1134" w:bottom="1134" w:left="1418" w:header="0" w:footer="992" w:gutter="0"/>
          <w:pgBorders>
            <w:top w:val="none" w:sz="0" w:space="0"/>
            <w:left w:val="none" w:sz="0" w:space="0"/>
            <w:bottom w:val="none" w:sz="0" w:space="0"/>
            <w:right w:val="none" w:sz="0" w:space="0"/>
          </w:pgBorders>
          <w:pgNumType w:fmt="decimal"/>
          <w:cols w:space="720" w:num="1"/>
          <w:docGrid w:linePitch="286" w:charSpace="0"/>
        </w:sectPr>
      </w:pPr>
    </w:p>
    <w:p>
      <w:pPr>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 xml:space="preserve"> 附件</w:t>
      </w: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lang w:eastAsia="zh-CN"/>
        </w:rPr>
        <w:t>：</w:t>
      </w:r>
      <w:r>
        <w:rPr>
          <w:rFonts w:hint="eastAsia" w:asciiTheme="minorEastAsia" w:hAnsiTheme="minorEastAsia" w:cstheme="minorEastAsia"/>
          <w:b w:val="0"/>
          <w:bCs/>
          <w:color w:val="auto"/>
          <w:sz w:val="24"/>
          <w:szCs w:val="24"/>
          <w:lang w:val="en-US" w:eastAsia="zh-CN"/>
        </w:rPr>
        <w:t>YYH-SOP-CTC-012-3.1-A04</w:t>
      </w:r>
      <w:r>
        <w:rPr>
          <w:rFonts w:hint="eastAsia" w:ascii="宋体" w:hAnsi="宋体" w:eastAsia="宋体" w:cs="宋体"/>
          <w:b w:val="0"/>
          <w:bCs/>
          <w:color w:val="auto"/>
          <w:sz w:val="24"/>
          <w:szCs w:val="24"/>
        </w:rPr>
        <w:t>临床试验医疗器械储藏冰箱/冰柜温度记录表</w:t>
      </w:r>
    </w:p>
    <w:p>
      <w:pPr>
        <w:spacing w:line="360" w:lineRule="auto"/>
        <w:jc w:val="center"/>
        <w:rPr>
          <w:rFonts w:ascii="宋体" w:hAnsi="宋体" w:eastAsia="宋体" w:cs="宋体"/>
          <w:b w:val="0"/>
          <w:bCs/>
          <w:color w:val="auto"/>
          <w:sz w:val="24"/>
          <w:szCs w:val="24"/>
        </w:rPr>
      </w:pPr>
      <w:r>
        <w:rPr>
          <w:rFonts w:hint="eastAsia" w:ascii="宋体" w:hAnsi="宋体" w:eastAsia="宋体" w:cs="宋体"/>
          <w:b w:val="0"/>
          <w:bCs/>
          <w:color w:val="auto"/>
          <w:sz w:val="24"/>
          <w:szCs w:val="24"/>
        </w:rPr>
        <w:t>临床试验医疗器械储藏冰箱/冰柜温度记录表</w:t>
      </w:r>
    </w:p>
    <w:p>
      <w:pPr>
        <w:spacing w:line="360" w:lineRule="auto"/>
        <w:jc w:val="center"/>
        <w:rPr>
          <w:rFonts w:ascii="宋体" w:cs="宋体"/>
          <w:b w:val="0"/>
          <w:bCs/>
          <w:color w:val="auto"/>
          <w:sz w:val="28"/>
          <w:szCs w:val="28"/>
        </w:rPr>
      </w:pPr>
      <w:r>
        <w:rPr>
          <w:rFonts w:hint="eastAsia" w:ascii="宋体" w:cs="宋体"/>
          <w:b w:val="0"/>
          <w:bCs/>
          <w:color w:val="auto"/>
          <w:sz w:val="28"/>
          <w:szCs w:val="28"/>
        </w:rPr>
        <w:t xml:space="preserve">                                                                              </w:t>
      </w:r>
      <w:r>
        <w:rPr>
          <w:rFonts w:hint="eastAsia" w:ascii="宋体" w:hAnsi="宋体" w:cs="宋体"/>
          <w:b w:val="0"/>
          <w:bCs/>
          <w:color w:val="auto"/>
          <w:kern w:val="0"/>
          <w:u w:val="single"/>
        </w:rPr>
        <w:t xml:space="preserve">    </w:t>
      </w:r>
      <w:r>
        <w:rPr>
          <w:rFonts w:hint="eastAsia" w:ascii="宋体" w:hAnsi="宋体" w:cs="宋体"/>
          <w:b w:val="0"/>
          <w:bCs/>
          <w:color w:val="auto"/>
          <w:kern w:val="0"/>
        </w:rPr>
        <w:t>月</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1285"/>
        <w:gridCol w:w="1302"/>
        <w:gridCol w:w="1334"/>
        <w:gridCol w:w="1810"/>
        <w:gridCol w:w="1398"/>
        <w:gridCol w:w="1218"/>
        <w:gridCol w:w="1595"/>
        <w:gridCol w:w="1448"/>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49" w:type="pct"/>
            <w:gridSpan w:val="2"/>
            <w:vAlign w:val="center"/>
          </w:tcPr>
          <w:p>
            <w:pPr>
              <w:rPr>
                <w:b w:val="0"/>
                <w:bCs/>
                <w:color w:val="auto"/>
              </w:rPr>
            </w:pPr>
            <w:r>
              <w:rPr>
                <w:rFonts w:hint="eastAsia"/>
                <w:b w:val="0"/>
                <w:bCs/>
                <w:color w:val="auto"/>
              </w:rPr>
              <w:t>医院名称</w:t>
            </w:r>
          </w:p>
        </w:tc>
        <w:tc>
          <w:tcPr>
            <w:tcW w:w="1533" w:type="pct"/>
            <w:gridSpan w:val="3"/>
            <w:vAlign w:val="center"/>
          </w:tcPr>
          <w:p>
            <w:pPr>
              <w:rPr>
                <w:b w:val="0"/>
                <w:bCs/>
                <w:color w:val="auto"/>
              </w:rPr>
            </w:pPr>
            <w:r>
              <w:rPr>
                <w:rFonts w:hint="eastAsia"/>
                <w:b w:val="0"/>
                <w:bCs/>
                <w:color w:val="auto"/>
              </w:rPr>
              <w:t>沂源县人民医院</w:t>
            </w:r>
          </w:p>
        </w:tc>
        <w:tc>
          <w:tcPr>
            <w:tcW w:w="2617" w:type="pct"/>
            <w:gridSpan w:val="5"/>
            <w:vMerge w:val="restart"/>
            <w:vAlign w:val="center"/>
          </w:tcPr>
          <w:p>
            <w:pPr>
              <w:rPr>
                <w:b w:val="0"/>
                <w:bCs/>
                <w:color w:val="auto"/>
              </w:rPr>
            </w:pPr>
            <w:r>
              <w:rPr>
                <w:rFonts w:hint="eastAsia"/>
                <w:b w:val="0"/>
                <w:bCs/>
                <w:color w:val="auto"/>
              </w:rPr>
              <w:t>确认复印件后，请填写如下栏目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49" w:type="pct"/>
            <w:gridSpan w:val="2"/>
            <w:vAlign w:val="center"/>
          </w:tcPr>
          <w:p>
            <w:pPr>
              <w:rPr>
                <w:b w:val="0"/>
                <w:bCs/>
                <w:color w:val="auto"/>
              </w:rPr>
            </w:pPr>
            <w:r>
              <w:rPr>
                <w:rFonts w:hint="eastAsia"/>
                <w:b w:val="0"/>
                <w:bCs/>
                <w:color w:val="auto"/>
              </w:rPr>
              <w:t>科室名称</w:t>
            </w:r>
          </w:p>
        </w:tc>
        <w:tc>
          <w:tcPr>
            <w:tcW w:w="1533" w:type="pct"/>
            <w:gridSpan w:val="3"/>
            <w:vAlign w:val="center"/>
          </w:tcPr>
          <w:p>
            <w:pPr>
              <w:rPr>
                <w:b w:val="0"/>
                <w:bCs/>
                <w:color w:val="auto"/>
              </w:rPr>
            </w:pPr>
            <w:r>
              <w:rPr>
                <w:rFonts w:hint="eastAsia"/>
                <w:b w:val="0"/>
                <w:bCs/>
                <w:color w:val="auto"/>
              </w:rPr>
              <w:t>临床试验中心</w:t>
            </w:r>
            <w:r>
              <w:rPr>
                <w:rFonts w:hint="eastAsia"/>
                <w:b w:val="0"/>
                <w:bCs/>
                <w:color w:val="auto"/>
                <w:szCs w:val="21"/>
              </w:rPr>
              <w:t>医疗器械保管室</w:t>
            </w:r>
          </w:p>
        </w:tc>
        <w:tc>
          <w:tcPr>
            <w:tcW w:w="2617" w:type="pct"/>
            <w:gridSpan w:val="5"/>
            <w:vMerge w:val="continue"/>
            <w:vAlign w:val="center"/>
          </w:tcPr>
          <w:p>
            <w:pPr>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9" w:type="pct"/>
            <w:gridSpan w:val="2"/>
            <w:vAlign w:val="center"/>
          </w:tcPr>
          <w:p>
            <w:pPr>
              <w:rPr>
                <w:b w:val="0"/>
                <w:bCs/>
                <w:color w:val="auto"/>
              </w:rPr>
            </w:pPr>
            <w:r>
              <w:rPr>
                <w:rFonts w:hint="eastAsia"/>
                <w:b w:val="0"/>
                <w:bCs/>
                <w:color w:val="auto"/>
              </w:rPr>
              <w:t>位置</w:t>
            </w:r>
          </w:p>
        </w:tc>
        <w:tc>
          <w:tcPr>
            <w:tcW w:w="1533" w:type="pct"/>
            <w:gridSpan w:val="3"/>
            <w:vAlign w:val="center"/>
          </w:tcPr>
          <w:p>
            <w:pPr>
              <w:rPr>
                <w:b w:val="0"/>
                <w:bCs/>
                <w:color w:val="auto"/>
              </w:rPr>
            </w:pPr>
          </w:p>
        </w:tc>
        <w:tc>
          <w:tcPr>
            <w:tcW w:w="482" w:type="pct"/>
            <w:vMerge w:val="restart"/>
            <w:vAlign w:val="center"/>
          </w:tcPr>
          <w:p>
            <w:pPr>
              <w:rPr>
                <w:b w:val="0"/>
                <w:bCs/>
                <w:color w:val="auto"/>
              </w:rPr>
            </w:pPr>
            <w:r>
              <w:rPr>
                <w:rFonts w:hint="eastAsia"/>
                <w:b w:val="0"/>
                <w:bCs/>
                <w:color w:val="auto"/>
              </w:rPr>
              <w:t>研究者姓名</w:t>
            </w:r>
          </w:p>
        </w:tc>
        <w:tc>
          <w:tcPr>
            <w:tcW w:w="2134" w:type="pct"/>
            <w:gridSpan w:val="4"/>
            <w:vMerge w:val="restart"/>
            <w:vAlign w:val="center"/>
          </w:tcPr>
          <w:p>
            <w:pPr>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849" w:type="pct"/>
            <w:gridSpan w:val="2"/>
            <w:vAlign w:val="center"/>
          </w:tcPr>
          <w:p>
            <w:pPr>
              <w:rPr>
                <w:b w:val="0"/>
                <w:bCs/>
                <w:color w:val="auto"/>
              </w:rPr>
            </w:pPr>
            <w:r>
              <w:rPr>
                <w:rFonts w:hint="eastAsia"/>
                <w:b w:val="0"/>
                <w:bCs/>
                <w:color w:val="auto"/>
              </w:rPr>
              <w:t>冰箱</w:t>
            </w:r>
            <w:r>
              <w:rPr>
                <w:b w:val="0"/>
                <w:bCs/>
                <w:color w:val="auto"/>
              </w:rPr>
              <w:t>/</w:t>
            </w:r>
            <w:r>
              <w:rPr>
                <w:rFonts w:hint="eastAsia"/>
                <w:b w:val="0"/>
                <w:bCs/>
                <w:color w:val="auto"/>
              </w:rPr>
              <w:t>柜型号</w:t>
            </w:r>
          </w:p>
        </w:tc>
        <w:tc>
          <w:tcPr>
            <w:tcW w:w="1533" w:type="pct"/>
            <w:gridSpan w:val="3"/>
            <w:vAlign w:val="center"/>
          </w:tcPr>
          <w:p>
            <w:pPr>
              <w:rPr>
                <w:b w:val="0"/>
                <w:bCs/>
                <w:color w:val="auto"/>
              </w:rPr>
            </w:pPr>
          </w:p>
        </w:tc>
        <w:tc>
          <w:tcPr>
            <w:tcW w:w="482" w:type="pct"/>
            <w:vMerge w:val="continue"/>
            <w:vAlign w:val="center"/>
          </w:tcPr>
          <w:p>
            <w:pPr>
              <w:rPr>
                <w:b w:val="0"/>
                <w:bCs/>
                <w:color w:val="auto"/>
              </w:rPr>
            </w:pPr>
          </w:p>
        </w:tc>
        <w:tc>
          <w:tcPr>
            <w:tcW w:w="2134" w:type="pct"/>
            <w:gridSpan w:val="4"/>
            <w:vMerge w:val="continue"/>
            <w:vAlign w:val="center"/>
          </w:tcPr>
          <w:p>
            <w:pPr>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49" w:type="pct"/>
            <w:gridSpan w:val="2"/>
            <w:vAlign w:val="center"/>
          </w:tcPr>
          <w:p>
            <w:pPr>
              <w:rPr>
                <w:b w:val="0"/>
                <w:bCs/>
                <w:color w:val="auto"/>
              </w:rPr>
            </w:pPr>
            <w:r>
              <w:rPr>
                <w:rFonts w:hint="eastAsia"/>
                <w:b w:val="0"/>
                <w:bCs/>
                <w:color w:val="auto"/>
              </w:rPr>
              <w:t>温度计型号</w:t>
            </w:r>
          </w:p>
        </w:tc>
        <w:tc>
          <w:tcPr>
            <w:tcW w:w="1533" w:type="pct"/>
            <w:gridSpan w:val="3"/>
            <w:vAlign w:val="center"/>
          </w:tcPr>
          <w:p>
            <w:pPr>
              <w:rPr>
                <w:b w:val="0"/>
                <w:bCs/>
                <w:color w:val="auto"/>
              </w:rPr>
            </w:pPr>
          </w:p>
        </w:tc>
        <w:tc>
          <w:tcPr>
            <w:tcW w:w="482" w:type="pct"/>
            <w:vAlign w:val="center"/>
          </w:tcPr>
          <w:p>
            <w:pPr>
              <w:rPr>
                <w:b w:val="0"/>
                <w:bCs/>
                <w:color w:val="auto"/>
              </w:rPr>
            </w:pPr>
            <w:r>
              <w:rPr>
                <w:rFonts w:hint="eastAsia"/>
                <w:b w:val="0"/>
                <w:bCs/>
                <w:color w:val="auto"/>
              </w:rPr>
              <w:t>方案编号</w:t>
            </w:r>
          </w:p>
        </w:tc>
        <w:tc>
          <w:tcPr>
            <w:tcW w:w="2134" w:type="pct"/>
            <w:gridSpan w:val="4"/>
            <w:vAlign w:val="center"/>
          </w:tcPr>
          <w:p>
            <w:pPr>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06" w:type="pct"/>
            <w:vAlign w:val="center"/>
          </w:tcPr>
          <w:p>
            <w:pPr>
              <w:jc w:val="center"/>
              <w:rPr>
                <w:b w:val="0"/>
                <w:bCs/>
                <w:color w:val="auto"/>
              </w:rPr>
            </w:pPr>
            <w:r>
              <w:rPr>
                <w:rFonts w:hint="eastAsia"/>
                <w:b w:val="0"/>
                <w:bCs/>
                <w:color w:val="auto"/>
              </w:rPr>
              <w:t>日期</w:t>
            </w:r>
          </w:p>
        </w:tc>
        <w:tc>
          <w:tcPr>
            <w:tcW w:w="443" w:type="pct"/>
            <w:vAlign w:val="center"/>
          </w:tcPr>
          <w:p>
            <w:pPr>
              <w:jc w:val="center"/>
              <w:rPr>
                <w:b w:val="0"/>
                <w:bCs/>
                <w:color w:val="auto"/>
              </w:rPr>
            </w:pPr>
            <w:r>
              <w:rPr>
                <w:rFonts w:hint="eastAsia"/>
                <w:b w:val="0"/>
                <w:bCs/>
                <w:color w:val="auto"/>
              </w:rPr>
              <w:t>最低温度</w:t>
            </w:r>
          </w:p>
        </w:tc>
        <w:tc>
          <w:tcPr>
            <w:tcW w:w="449" w:type="pct"/>
            <w:vAlign w:val="center"/>
          </w:tcPr>
          <w:p>
            <w:pPr>
              <w:jc w:val="center"/>
              <w:rPr>
                <w:b w:val="0"/>
                <w:bCs/>
                <w:color w:val="auto"/>
              </w:rPr>
            </w:pPr>
            <w:r>
              <w:rPr>
                <w:rFonts w:hint="eastAsia"/>
                <w:b w:val="0"/>
                <w:bCs/>
                <w:color w:val="auto"/>
              </w:rPr>
              <w:t>最高温度</w:t>
            </w:r>
          </w:p>
        </w:tc>
        <w:tc>
          <w:tcPr>
            <w:tcW w:w="460" w:type="pct"/>
            <w:vAlign w:val="center"/>
          </w:tcPr>
          <w:p>
            <w:pPr>
              <w:jc w:val="center"/>
              <w:rPr>
                <w:b w:val="0"/>
                <w:bCs/>
                <w:color w:val="auto"/>
              </w:rPr>
            </w:pPr>
            <w:r>
              <w:rPr>
                <w:rFonts w:hint="eastAsia"/>
                <w:b w:val="0"/>
                <w:bCs/>
                <w:color w:val="auto"/>
              </w:rPr>
              <w:t>当前湿度</w:t>
            </w:r>
          </w:p>
        </w:tc>
        <w:tc>
          <w:tcPr>
            <w:tcW w:w="623" w:type="pct"/>
            <w:vAlign w:val="center"/>
          </w:tcPr>
          <w:p>
            <w:pPr>
              <w:jc w:val="center"/>
              <w:rPr>
                <w:b w:val="0"/>
                <w:bCs/>
                <w:color w:val="auto"/>
              </w:rPr>
            </w:pPr>
            <w:r>
              <w:rPr>
                <w:rFonts w:hint="eastAsia"/>
                <w:b w:val="0"/>
                <w:bCs/>
                <w:color w:val="auto"/>
              </w:rPr>
              <w:t>签名</w:t>
            </w:r>
            <w:r>
              <w:rPr>
                <w:b w:val="0"/>
                <w:bCs/>
                <w:color w:val="auto"/>
              </w:rPr>
              <w:t>/</w:t>
            </w:r>
            <w:r>
              <w:rPr>
                <w:rFonts w:hint="eastAsia"/>
                <w:b w:val="0"/>
                <w:bCs/>
                <w:color w:val="auto"/>
              </w:rPr>
              <w:t>记录时间</w:t>
            </w:r>
          </w:p>
        </w:tc>
        <w:tc>
          <w:tcPr>
            <w:tcW w:w="482" w:type="pct"/>
            <w:vAlign w:val="center"/>
          </w:tcPr>
          <w:p>
            <w:pPr>
              <w:jc w:val="center"/>
              <w:rPr>
                <w:b w:val="0"/>
                <w:bCs/>
                <w:color w:val="auto"/>
              </w:rPr>
            </w:pPr>
            <w:r>
              <w:rPr>
                <w:rFonts w:hint="eastAsia"/>
                <w:b w:val="0"/>
                <w:bCs/>
                <w:color w:val="auto"/>
              </w:rPr>
              <w:t>日期</w:t>
            </w:r>
          </w:p>
        </w:tc>
        <w:tc>
          <w:tcPr>
            <w:tcW w:w="420" w:type="pct"/>
            <w:vAlign w:val="center"/>
          </w:tcPr>
          <w:p>
            <w:pPr>
              <w:jc w:val="center"/>
              <w:rPr>
                <w:b w:val="0"/>
                <w:bCs/>
                <w:color w:val="auto"/>
              </w:rPr>
            </w:pPr>
            <w:r>
              <w:rPr>
                <w:rFonts w:hint="eastAsia"/>
                <w:b w:val="0"/>
                <w:bCs/>
                <w:color w:val="auto"/>
              </w:rPr>
              <w:t>最低温度</w:t>
            </w:r>
          </w:p>
        </w:tc>
        <w:tc>
          <w:tcPr>
            <w:tcW w:w="550" w:type="pct"/>
            <w:vAlign w:val="center"/>
          </w:tcPr>
          <w:p>
            <w:pPr>
              <w:jc w:val="center"/>
              <w:rPr>
                <w:b w:val="0"/>
                <w:bCs/>
                <w:color w:val="auto"/>
              </w:rPr>
            </w:pPr>
            <w:r>
              <w:rPr>
                <w:rFonts w:hint="eastAsia"/>
                <w:b w:val="0"/>
                <w:bCs/>
                <w:color w:val="auto"/>
              </w:rPr>
              <w:t>最高温度</w:t>
            </w:r>
          </w:p>
        </w:tc>
        <w:tc>
          <w:tcPr>
            <w:tcW w:w="499" w:type="pct"/>
            <w:vAlign w:val="center"/>
          </w:tcPr>
          <w:p>
            <w:pPr>
              <w:jc w:val="center"/>
              <w:rPr>
                <w:b w:val="0"/>
                <w:bCs/>
                <w:color w:val="auto"/>
              </w:rPr>
            </w:pPr>
            <w:r>
              <w:rPr>
                <w:rFonts w:hint="eastAsia"/>
                <w:b w:val="0"/>
                <w:bCs/>
                <w:color w:val="auto"/>
              </w:rPr>
              <w:t>当前湿度</w:t>
            </w:r>
          </w:p>
        </w:tc>
        <w:tc>
          <w:tcPr>
            <w:tcW w:w="663" w:type="pct"/>
            <w:vAlign w:val="center"/>
          </w:tcPr>
          <w:p>
            <w:pPr>
              <w:jc w:val="center"/>
              <w:rPr>
                <w:b w:val="0"/>
                <w:bCs/>
                <w:color w:val="auto"/>
              </w:rPr>
            </w:pPr>
            <w:r>
              <w:rPr>
                <w:rFonts w:hint="eastAsia"/>
                <w:b w:val="0"/>
                <w:bCs/>
                <w:color w:val="auto"/>
              </w:rPr>
              <w:t>签名</w:t>
            </w:r>
            <w:r>
              <w:rPr>
                <w:b w:val="0"/>
                <w:bCs/>
                <w:color w:val="auto"/>
              </w:rPr>
              <w:t>/</w:t>
            </w:r>
            <w:r>
              <w:rPr>
                <w:rFonts w:hint="eastAsia"/>
                <w:b w:val="0"/>
                <w:bCs/>
                <w:color w:val="auto"/>
              </w:rPr>
              <w:t>记录时间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06" w:type="pct"/>
          </w:tcPr>
          <w:p>
            <w:pPr>
              <w:spacing w:line="360" w:lineRule="auto"/>
              <w:jc w:val="left"/>
              <w:rPr>
                <w:b w:val="0"/>
                <w:bCs/>
                <w:color w:val="auto"/>
              </w:rPr>
            </w:pPr>
          </w:p>
        </w:tc>
        <w:tc>
          <w:tcPr>
            <w:tcW w:w="443" w:type="pct"/>
          </w:tcPr>
          <w:p>
            <w:pPr>
              <w:spacing w:line="360" w:lineRule="auto"/>
              <w:jc w:val="left"/>
              <w:rPr>
                <w:b w:val="0"/>
                <w:bCs/>
                <w:color w:val="auto"/>
              </w:rPr>
            </w:pPr>
          </w:p>
        </w:tc>
        <w:tc>
          <w:tcPr>
            <w:tcW w:w="449" w:type="pct"/>
          </w:tcPr>
          <w:p>
            <w:pPr>
              <w:spacing w:line="360" w:lineRule="auto"/>
              <w:jc w:val="left"/>
              <w:rPr>
                <w:b w:val="0"/>
                <w:bCs/>
                <w:color w:val="auto"/>
              </w:rPr>
            </w:pPr>
          </w:p>
        </w:tc>
        <w:tc>
          <w:tcPr>
            <w:tcW w:w="460" w:type="pct"/>
          </w:tcPr>
          <w:p>
            <w:pPr>
              <w:spacing w:line="360" w:lineRule="auto"/>
              <w:jc w:val="left"/>
              <w:rPr>
                <w:b w:val="0"/>
                <w:bCs/>
                <w:color w:val="auto"/>
              </w:rPr>
            </w:pPr>
          </w:p>
        </w:tc>
        <w:tc>
          <w:tcPr>
            <w:tcW w:w="623" w:type="pct"/>
          </w:tcPr>
          <w:p>
            <w:pPr>
              <w:spacing w:line="360" w:lineRule="auto"/>
              <w:jc w:val="left"/>
              <w:rPr>
                <w:b w:val="0"/>
                <w:bCs/>
                <w:color w:val="auto"/>
              </w:rPr>
            </w:pPr>
          </w:p>
        </w:tc>
        <w:tc>
          <w:tcPr>
            <w:tcW w:w="482" w:type="pct"/>
          </w:tcPr>
          <w:p>
            <w:pPr>
              <w:spacing w:line="360" w:lineRule="auto"/>
              <w:jc w:val="left"/>
              <w:rPr>
                <w:b w:val="0"/>
                <w:bCs/>
                <w:color w:val="auto"/>
              </w:rPr>
            </w:pPr>
          </w:p>
        </w:tc>
        <w:tc>
          <w:tcPr>
            <w:tcW w:w="420" w:type="pct"/>
          </w:tcPr>
          <w:p>
            <w:pPr>
              <w:spacing w:line="360" w:lineRule="auto"/>
              <w:jc w:val="left"/>
              <w:rPr>
                <w:b w:val="0"/>
                <w:bCs/>
                <w:color w:val="auto"/>
              </w:rPr>
            </w:pPr>
          </w:p>
        </w:tc>
        <w:tc>
          <w:tcPr>
            <w:tcW w:w="550" w:type="pct"/>
          </w:tcPr>
          <w:p>
            <w:pPr>
              <w:spacing w:line="360" w:lineRule="auto"/>
              <w:jc w:val="left"/>
              <w:rPr>
                <w:b w:val="0"/>
                <w:bCs/>
                <w:color w:val="auto"/>
              </w:rPr>
            </w:pPr>
          </w:p>
        </w:tc>
        <w:tc>
          <w:tcPr>
            <w:tcW w:w="499" w:type="pct"/>
          </w:tcPr>
          <w:p>
            <w:pPr>
              <w:spacing w:line="360" w:lineRule="auto"/>
              <w:jc w:val="left"/>
              <w:rPr>
                <w:b w:val="0"/>
                <w:bCs/>
                <w:color w:val="auto"/>
              </w:rPr>
            </w:pPr>
          </w:p>
        </w:tc>
        <w:tc>
          <w:tcPr>
            <w:tcW w:w="663" w:type="pct"/>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406" w:type="pct"/>
          </w:tcPr>
          <w:p>
            <w:pPr>
              <w:spacing w:line="360" w:lineRule="auto"/>
              <w:jc w:val="left"/>
              <w:rPr>
                <w:b w:val="0"/>
                <w:bCs/>
                <w:color w:val="auto"/>
              </w:rPr>
            </w:pPr>
          </w:p>
        </w:tc>
        <w:tc>
          <w:tcPr>
            <w:tcW w:w="443" w:type="pct"/>
          </w:tcPr>
          <w:p>
            <w:pPr>
              <w:spacing w:line="360" w:lineRule="auto"/>
              <w:jc w:val="left"/>
              <w:rPr>
                <w:b w:val="0"/>
                <w:bCs/>
                <w:color w:val="auto"/>
              </w:rPr>
            </w:pPr>
          </w:p>
        </w:tc>
        <w:tc>
          <w:tcPr>
            <w:tcW w:w="449" w:type="pct"/>
          </w:tcPr>
          <w:p>
            <w:pPr>
              <w:spacing w:line="360" w:lineRule="auto"/>
              <w:jc w:val="left"/>
              <w:rPr>
                <w:b w:val="0"/>
                <w:bCs/>
                <w:color w:val="auto"/>
              </w:rPr>
            </w:pPr>
          </w:p>
        </w:tc>
        <w:tc>
          <w:tcPr>
            <w:tcW w:w="460" w:type="pct"/>
          </w:tcPr>
          <w:p>
            <w:pPr>
              <w:spacing w:line="360" w:lineRule="auto"/>
              <w:jc w:val="left"/>
              <w:rPr>
                <w:b w:val="0"/>
                <w:bCs/>
                <w:color w:val="auto"/>
              </w:rPr>
            </w:pPr>
          </w:p>
        </w:tc>
        <w:tc>
          <w:tcPr>
            <w:tcW w:w="623" w:type="pct"/>
          </w:tcPr>
          <w:p>
            <w:pPr>
              <w:spacing w:line="360" w:lineRule="auto"/>
              <w:jc w:val="left"/>
              <w:rPr>
                <w:b w:val="0"/>
                <w:bCs/>
                <w:color w:val="auto"/>
              </w:rPr>
            </w:pPr>
          </w:p>
        </w:tc>
        <w:tc>
          <w:tcPr>
            <w:tcW w:w="482" w:type="pct"/>
          </w:tcPr>
          <w:p>
            <w:pPr>
              <w:spacing w:line="360" w:lineRule="auto"/>
              <w:jc w:val="left"/>
              <w:rPr>
                <w:b w:val="0"/>
                <w:bCs/>
                <w:color w:val="auto"/>
              </w:rPr>
            </w:pPr>
          </w:p>
        </w:tc>
        <w:tc>
          <w:tcPr>
            <w:tcW w:w="420" w:type="pct"/>
          </w:tcPr>
          <w:p>
            <w:pPr>
              <w:spacing w:line="360" w:lineRule="auto"/>
              <w:jc w:val="left"/>
              <w:rPr>
                <w:b w:val="0"/>
                <w:bCs/>
                <w:color w:val="auto"/>
              </w:rPr>
            </w:pPr>
          </w:p>
        </w:tc>
        <w:tc>
          <w:tcPr>
            <w:tcW w:w="550" w:type="pct"/>
          </w:tcPr>
          <w:p>
            <w:pPr>
              <w:spacing w:line="360" w:lineRule="auto"/>
              <w:jc w:val="left"/>
              <w:rPr>
                <w:b w:val="0"/>
                <w:bCs/>
                <w:color w:val="auto"/>
              </w:rPr>
            </w:pPr>
          </w:p>
        </w:tc>
        <w:tc>
          <w:tcPr>
            <w:tcW w:w="499" w:type="pct"/>
          </w:tcPr>
          <w:p>
            <w:pPr>
              <w:spacing w:line="360" w:lineRule="auto"/>
              <w:jc w:val="left"/>
              <w:rPr>
                <w:b w:val="0"/>
                <w:bCs/>
                <w:color w:val="auto"/>
              </w:rPr>
            </w:pPr>
          </w:p>
        </w:tc>
        <w:tc>
          <w:tcPr>
            <w:tcW w:w="663" w:type="pct"/>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406" w:type="pct"/>
          </w:tcPr>
          <w:p>
            <w:pPr>
              <w:spacing w:line="360" w:lineRule="auto"/>
              <w:jc w:val="left"/>
              <w:rPr>
                <w:b w:val="0"/>
                <w:bCs/>
                <w:color w:val="auto"/>
              </w:rPr>
            </w:pPr>
          </w:p>
        </w:tc>
        <w:tc>
          <w:tcPr>
            <w:tcW w:w="443" w:type="pct"/>
          </w:tcPr>
          <w:p>
            <w:pPr>
              <w:spacing w:line="360" w:lineRule="auto"/>
              <w:jc w:val="left"/>
              <w:rPr>
                <w:b w:val="0"/>
                <w:bCs/>
                <w:color w:val="auto"/>
              </w:rPr>
            </w:pPr>
          </w:p>
        </w:tc>
        <w:tc>
          <w:tcPr>
            <w:tcW w:w="449" w:type="pct"/>
          </w:tcPr>
          <w:p>
            <w:pPr>
              <w:spacing w:line="360" w:lineRule="auto"/>
              <w:jc w:val="left"/>
              <w:rPr>
                <w:b w:val="0"/>
                <w:bCs/>
                <w:color w:val="auto"/>
              </w:rPr>
            </w:pPr>
          </w:p>
        </w:tc>
        <w:tc>
          <w:tcPr>
            <w:tcW w:w="460" w:type="pct"/>
          </w:tcPr>
          <w:p>
            <w:pPr>
              <w:spacing w:line="360" w:lineRule="auto"/>
              <w:jc w:val="left"/>
              <w:rPr>
                <w:b w:val="0"/>
                <w:bCs/>
                <w:color w:val="auto"/>
              </w:rPr>
            </w:pPr>
          </w:p>
        </w:tc>
        <w:tc>
          <w:tcPr>
            <w:tcW w:w="623" w:type="pct"/>
          </w:tcPr>
          <w:p>
            <w:pPr>
              <w:spacing w:line="360" w:lineRule="auto"/>
              <w:jc w:val="left"/>
              <w:rPr>
                <w:b w:val="0"/>
                <w:bCs/>
                <w:color w:val="auto"/>
              </w:rPr>
            </w:pPr>
          </w:p>
        </w:tc>
        <w:tc>
          <w:tcPr>
            <w:tcW w:w="482" w:type="pct"/>
          </w:tcPr>
          <w:p>
            <w:pPr>
              <w:spacing w:line="360" w:lineRule="auto"/>
              <w:jc w:val="left"/>
              <w:rPr>
                <w:b w:val="0"/>
                <w:bCs/>
                <w:color w:val="auto"/>
              </w:rPr>
            </w:pPr>
          </w:p>
        </w:tc>
        <w:tc>
          <w:tcPr>
            <w:tcW w:w="420" w:type="pct"/>
          </w:tcPr>
          <w:p>
            <w:pPr>
              <w:spacing w:line="360" w:lineRule="auto"/>
              <w:jc w:val="left"/>
              <w:rPr>
                <w:b w:val="0"/>
                <w:bCs/>
                <w:color w:val="auto"/>
              </w:rPr>
            </w:pPr>
          </w:p>
        </w:tc>
        <w:tc>
          <w:tcPr>
            <w:tcW w:w="550" w:type="pct"/>
          </w:tcPr>
          <w:p>
            <w:pPr>
              <w:spacing w:line="360" w:lineRule="auto"/>
              <w:jc w:val="left"/>
              <w:rPr>
                <w:b w:val="0"/>
                <w:bCs/>
                <w:color w:val="auto"/>
              </w:rPr>
            </w:pPr>
          </w:p>
        </w:tc>
        <w:tc>
          <w:tcPr>
            <w:tcW w:w="499" w:type="pct"/>
          </w:tcPr>
          <w:p>
            <w:pPr>
              <w:spacing w:line="360" w:lineRule="auto"/>
              <w:jc w:val="left"/>
              <w:rPr>
                <w:b w:val="0"/>
                <w:bCs/>
                <w:color w:val="auto"/>
              </w:rPr>
            </w:pPr>
          </w:p>
        </w:tc>
        <w:tc>
          <w:tcPr>
            <w:tcW w:w="663" w:type="pct"/>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406" w:type="pct"/>
          </w:tcPr>
          <w:p>
            <w:pPr>
              <w:spacing w:line="360" w:lineRule="auto"/>
              <w:jc w:val="left"/>
              <w:rPr>
                <w:b w:val="0"/>
                <w:bCs/>
                <w:color w:val="auto"/>
              </w:rPr>
            </w:pPr>
          </w:p>
        </w:tc>
        <w:tc>
          <w:tcPr>
            <w:tcW w:w="443" w:type="pct"/>
          </w:tcPr>
          <w:p>
            <w:pPr>
              <w:spacing w:line="360" w:lineRule="auto"/>
              <w:jc w:val="left"/>
              <w:rPr>
                <w:b w:val="0"/>
                <w:bCs/>
                <w:color w:val="auto"/>
              </w:rPr>
            </w:pPr>
          </w:p>
        </w:tc>
        <w:tc>
          <w:tcPr>
            <w:tcW w:w="449" w:type="pct"/>
          </w:tcPr>
          <w:p>
            <w:pPr>
              <w:spacing w:line="360" w:lineRule="auto"/>
              <w:jc w:val="left"/>
              <w:rPr>
                <w:b w:val="0"/>
                <w:bCs/>
                <w:color w:val="auto"/>
              </w:rPr>
            </w:pPr>
          </w:p>
        </w:tc>
        <w:tc>
          <w:tcPr>
            <w:tcW w:w="460" w:type="pct"/>
          </w:tcPr>
          <w:p>
            <w:pPr>
              <w:spacing w:line="360" w:lineRule="auto"/>
              <w:jc w:val="left"/>
              <w:rPr>
                <w:b w:val="0"/>
                <w:bCs/>
                <w:color w:val="auto"/>
              </w:rPr>
            </w:pPr>
          </w:p>
        </w:tc>
        <w:tc>
          <w:tcPr>
            <w:tcW w:w="623" w:type="pct"/>
          </w:tcPr>
          <w:p>
            <w:pPr>
              <w:spacing w:line="360" w:lineRule="auto"/>
              <w:jc w:val="left"/>
              <w:rPr>
                <w:b w:val="0"/>
                <w:bCs/>
                <w:color w:val="auto"/>
              </w:rPr>
            </w:pPr>
          </w:p>
        </w:tc>
        <w:tc>
          <w:tcPr>
            <w:tcW w:w="482" w:type="pct"/>
          </w:tcPr>
          <w:p>
            <w:pPr>
              <w:spacing w:line="360" w:lineRule="auto"/>
              <w:jc w:val="left"/>
              <w:rPr>
                <w:b w:val="0"/>
                <w:bCs/>
                <w:color w:val="auto"/>
              </w:rPr>
            </w:pPr>
          </w:p>
        </w:tc>
        <w:tc>
          <w:tcPr>
            <w:tcW w:w="420" w:type="pct"/>
          </w:tcPr>
          <w:p>
            <w:pPr>
              <w:spacing w:line="360" w:lineRule="auto"/>
              <w:jc w:val="left"/>
              <w:rPr>
                <w:b w:val="0"/>
                <w:bCs/>
                <w:color w:val="auto"/>
              </w:rPr>
            </w:pPr>
          </w:p>
        </w:tc>
        <w:tc>
          <w:tcPr>
            <w:tcW w:w="550" w:type="pct"/>
          </w:tcPr>
          <w:p>
            <w:pPr>
              <w:spacing w:line="360" w:lineRule="auto"/>
              <w:jc w:val="left"/>
              <w:rPr>
                <w:b w:val="0"/>
                <w:bCs/>
                <w:color w:val="auto"/>
              </w:rPr>
            </w:pPr>
          </w:p>
        </w:tc>
        <w:tc>
          <w:tcPr>
            <w:tcW w:w="499" w:type="pct"/>
          </w:tcPr>
          <w:p>
            <w:pPr>
              <w:spacing w:line="360" w:lineRule="auto"/>
              <w:jc w:val="left"/>
              <w:rPr>
                <w:b w:val="0"/>
                <w:bCs/>
                <w:color w:val="auto"/>
              </w:rPr>
            </w:pPr>
          </w:p>
        </w:tc>
        <w:tc>
          <w:tcPr>
            <w:tcW w:w="663" w:type="pct"/>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06" w:type="pct"/>
          </w:tcPr>
          <w:p>
            <w:pPr>
              <w:spacing w:line="360" w:lineRule="auto"/>
              <w:jc w:val="left"/>
              <w:rPr>
                <w:b w:val="0"/>
                <w:bCs/>
                <w:color w:val="auto"/>
              </w:rPr>
            </w:pPr>
          </w:p>
        </w:tc>
        <w:tc>
          <w:tcPr>
            <w:tcW w:w="443" w:type="pct"/>
          </w:tcPr>
          <w:p>
            <w:pPr>
              <w:spacing w:line="360" w:lineRule="auto"/>
              <w:jc w:val="left"/>
              <w:rPr>
                <w:b w:val="0"/>
                <w:bCs/>
                <w:color w:val="auto"/>
              </w:rPr>
            </w:pPr>
          </w:p>
        </w:tc>
        <w:tc>
          <w:tcPr>
            <w:tcW w:w="449" w:type="pct"/>
          </w:tcPr>
          <w:p>
            <w:pPr>
              <w:spacing w:line="360" w:lineRule="auto"/>
              <w:jc w:val="left"/>
              <w:rPr>
                <w:b w:val="0"/>
                <w:bCs/>
                <w:color w:val="auto"/>
              </w:rPr>
            </w:pPr>
          </w:p>
        </w:tc>
        <w:tc>
          <w:tcPr>
            <w:tcW w:w="460" w:type="pct"/>
          </w:tcPr>
          <w:p>
            <w:pPr>
              <w:spacing w:line="360" w:lineRule="auto"/>
              <w:jc w:val="left"/>
              <w:rPr>
                <w:b w:val="0"/>
                <w:bCs/>
                <w:color w:val="auto"/>
              </w:rPr>
            </w:pPr>
          </w:p>
        </w:tc>
        <w:tc>
          <w:tcPr>
            <w:tcW w:w="623" w:type="pct"/>
          </w:tcPr>
          <w:p>
            <w:pPr>
              <w:spacing w:line="360" w:lineRule="auto"/>
              <w:jc w:val="left"/>
              <w:rPr>
                <w:b w:val="0"/>
                <w:bCs/>
                <w:color w:val="auto"/>
              </w:rPr>
            </w:pPr>
          </w:p>
        </w:tc>
        <w:tc>
          <w:tcPr>
            <w:tcW w:w="482" w:type="pct"/>
          </w:tcPr>
          <w:p>
            <w:pPr>
              <w:spacing w:line="360" w:lineRule="auto"/>
              <w:jc w:val="left"/>
              <w:rPr>
                <w:b w:val="0"/>
                <w:bCs/>
                <w:color w:val="auto"/>
              </w:rPr>
            </w:pPr>
          </w:p>
        </w:tc>
        <w:tc>
          <w:tcPr>
            <w:tcW w:w="420" w:type="pct"/>
          </w:tcPr>
          <w:p>
            <w:pPr>
              <w:spacing w:line="360" w:lineRule="auto"/>
              <w:jc w:val="left"/>
              <w:rPr>
                <w:b w:val="0"/>
                <w:bCs/>
                <w:color w:val="auto"/>
              </w:rPr>
            </w:pPr>
          </w:p>
        </w:tc>
        <w:tc>
          <w:tcPr>
            <w:tcW w:w="550" w:type="pct"/>
          </w:tcPr>
          <w:p>
            <w:pPr>
              <w:spacing w:line="360" w:lineRule="auto"/>
              <w:jc w:val="left"/>
              <w:rPr>
                <w:b w:val="0"/>
                <w:bCs/>
                <w:color w:val="auto"/>
              </w:rPr>
            </w:pPr>
          </w:p>
        </w:tc>
        <w:tc>
          <w:tcPr>
            <w:tcW w:w="499" w:type="pct"/>
          </w:tcPr>
          <w:p>
            <w:pPr>
              <w:spacing w:line="360" w:lineRule="auto"/>
              <w:jc w:val="left"/>
              <w:rPr>
                <w:b w:val="0"/>
                <w:bCs/>
                <w:color w:val="auto"/>
              </w:rPr>
            </w:pPr>
          </w:p>
        </w:tc>
        <w:tc>
          <w:tcPr>
            <w:tcW w:w="663" w:type="pct"/>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06" w:type="pct"/>
          </w:tcPr>
          <w:p>
            <w:pPr>
              <w:spacing w:line="360" w:lineRule="auto"/>
              <w:jc w:val="left"/>
              <w:rPr>
                <w:b w:val="0"/>
                <w:bCs/>
                <w:color w:val="auto"/>
              </w:rPr>
            </w:pPr>
          </w:p>
        </w:tc>
        <w:tc>
          <w:tcPr>
            <w:tcW w:w="443" w:type="pct"/>
          </w:tcPr>
          <w:p>
            <w:pPr>
              <w:spacing w:line="360" w:lineRule="auto"/>
              <w:jc w:val="left"/>
              <w:rPr>
                <w:b w:val="0"/>
                <w:bCs/>
                <w:color w:val="auto"/>
              </w:rPr>
            </w:pPr>
          </w:p>
        </w:tc>
        <w:tc>
          <w:tcPr>
            <w:tcW w:w="449" w:type="pct"/>
          </w:tcPr>
          <w:p>
            <w:pPr>
              <w:spacing w:line="360" w:lineRule="auto"/>
              <w:jc w:val="left"/>
              <w:rPr>
                <w:b w:val="0"/>
                <w:bCs/>
                <w:color w:val="auto"/>
              </w:rPr>
            </w:pPr>
          </w:p>
        </w:tc>
        <w:tc>
          <w:tcPr>
            <w:tcW w:w="460" w:type="pct"/>
          </w:tcPr>
          <w:p>
            <w:pPr>
              <w:spacing w:line="360" w:lineRule="auto"/>
              <w:jc w:val="left"/>
              <w:rPr>
                <w:b w:val="0"/>
                <w:bCs/>
                <w:color w:val="auto"/>
              </w:rPr>
            </w:pPr>
          </w:p>
        </w:tc>
        <w:tc>
          <w:tcPr>
            <w:tcW w:w="623" w:type="pct"/>
          </w:tcPr>
          <w:p>
            <w:pPr>
              <w:spacing w:line="360" w:lineRule="auto"/>
              <w:jc w:val="left"/>
              <w:rPr>
                <w:b w:val="0"/>
                <w:bCs/>
                <w:color w:val="auto"/>
              </w:rPr>
            </w:pPr>
          </w:p>
        </w:tc>
        <w:tc>
          <w:tcPr>
            <w:tcW w:w="482" w:type="pct"/>
          </w:tcPr>
          <w:p>
            <w:pPr>
              <w:spacing w:line="360" w:lineRule="auto"/>
              <w:jc w:val="left"/>
              <w:rPr>
                <w:b w:val="0"/>
                <w:bCs/>
                <w:color w:val="auto"/>
              </w:rPr>
            </w:pPr>
          </w:p>
        </w:tc>
        <w:tc>
          <w:tcPr>
            <w:tcW w:w="420" w:type="pct"/>
          </w:tcPr>
          <w:p>
            <w:pPr>
              <w:spacing w:line="360" w:lineRule="auto"/>
              <w:jc w:val="left"/>
              <w:rPr>
                <w:b w:val="0"/>
                <w:bCs/>
                <w:color w:val="auto"/>
              </w:rPr>
            </w:pPr>
          </w:p>
        </w:tc>
        <w:tc>
          <w:tcPr>
            <w:tcW w:w="550" w:type="pct"/>
          </w:tcPr>
          <w:p>
            <w:pPr>
              <w:spacing w:line="360" w:lineRule="auto"/>
              <w:jc w:val="left"/>
              <w:rPr>
                <w:b w:val="0"/>
                <w:bCs/>
                <w:color w:val="auto"/>
              </w:rPr>
            </w:pPr>
          </w:p>
        </w:tc>
        <w:tc>
          <w:tcPr>
            <w:tcW w:w="499" w:type="pct"/>
          </w:tcPr>
          <w:p>
            <w:pPr>
              <w:spacing w:line="360" w:lineRule="auto"/>
              <w:jc w:val="left"/>
              <w:rPr>
                <w:b w:val="0"/>
                <w:bCs/>
                <w:color w:val="auto"/>
              </w:rPr>
            </w:pPr>
          </w:p>
        </w:tc>
        <w:tc>
          <w:tcPr>
            <w:tcW w:w="663" w:type="pct"/>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06" w:type="pct"/>
          </w:tcPr>
          <w:p>
            <w:pPr>
              <w:spacing w:line="360" w:lineRule="auto"/>
              <w:jc w:val="left"/>
              <w:rPr>
                <w:b w:val="0"/>
                <w:bCs/>
                <w:color w:val="auto"/>
              </w:rPr>
            </w:pPr>
          </w:p>
        </w:tc>
        <w:tc>
          <w:tcPr>
            <w:tcW w:w="443" w:type="pct"/>
          </w:tcPr>
          <w:p>
            <w:pPr>
              <w:spacing w:line="360" w:lineRule="auto"/>
              <w:jc w:val="left"/>
              <w:rPr>
                <w:b w:val="0"/>
                <w:bCs/>
                <w:color w:val="auto"/>
              </w:rPr>
            </w:pPr>
          </w:p>
        </w:tc>
        <w:tc>
          <w:tcPr>
            <w:tcW w:w="449" w:type="pct"/>
          </w:tcPr>
          <w:p>
            <w:pPr>
              <w:spacing w:line="360" w:lineRule="auto"/>
              <w:jc w:val="left"/>
              <w:rPr>
                <w:b w:val="0"/>
                <w:bCs/>
                <w:color w:val="auto"/>
              </w:rPr>
            </w:pPr>
          </w:p>
        </w:tc>
        <w:tc>
          <w:tcPr>
            <w:tcW w:w="460" w:type="pct"/>
          </w:tcPr>
          <w:p>
            <w:pPr>
              <w:spacing w:line="360" w:lineRule="auto"/>
              <w:jc w:val="left"/>
              <w:rPr>
                <w:b w:val="0"/>
                <w:bCs/>
                <w:color w:val="auto"/>
              </w:rPr>
            </w:pPr>
          </w:p>
        </w:tc>
        <w:tc>
          <w:tcPr>
            <w:tcW w:w="623" w:type="pct"/>
          </w:tcPr>
          <w:p>
            <w:pPr>
              <w:spacing w:line="360" w:lineRule="auto"/>
              <w:jc w:val="left"/>
              <w:rPr>
                <w:b w:val="0"/>
                <w:bCs/>
                <w:color w:val="auto"/>
              </w:rPr>
            </w:pPr>
          </w:p>
        </w:tc>
        <w:tc>
          <w:tcPr>
            <w:tcW w:w="482" w:type="pct"/>
          </w:tcPr>
          <w:p>
            <w:pPr>
              <w:spacing w:line="360" w:lineRule="auto"/>
              <w:jc w:val="left"/>
              <w:rPr>
                <w:b w:val="0"/>
                <w:bCs/>
                <w:color w:val="auto"/>
              </w:rPr>
            </w:pPr>
          </w:p>
        </w:tc>
        <w:tc>
          <w:tcPr>
            <w:tcW w:w="420" w:type="pct"/>
          </w:tcPr>
          <w:p>
            <w:pPr>
              <w:spacing w:line="360" w:lineRule="auto"/>
              <w:jc w:val="left"/>
              <w:rPr>
                <w:b w:val="0"/>
                <w:bCs/>
                <w:color w:val="auto"/>
              </w:rPr>
            </w:pPr>
          </w:p>
        </w:tc>
        <w:tc>
          <w:tcPr>
            <w:tcW w:w="550" w:type="pct"/>
          </w:tcPr>
          <w:p>
            <w:pPr>
              <w:spacing w:line="360" w:lineRule="auto"/>
              <w:jc w:val="left"/>
              <w:rPr>
                <w:b w:val="0"/>
                <w:bCs/>
                <w:color w:val="auto"/>
              </w:rPr>
            </w:pPr>
          </w:p>
        </w:tc>
        <w:tc>
          <w:tcPr>
            <w:tcW w:w="499" w:type="pct"/>
          </w:tcPr>
          <w:p>
            <w:pPr>
              <w:spacing w:line="360" w:lineRule="auto"/>
              <w:jc w:val="left"/>
              <w:rPr>
                <w:b w:val="0"/>
                <w:bCs/>
                <w:color w:val="auto"/>
              </w:rPr>
            </w:pPr>
          </w:p>
        </w:tc>
        <w:tc>
          <w:tcPr>
            <w:tcW w:w="663" w:type="pct"/>
          </w:tcPr>
          <w:p>
            <w:pPr>
              <w:spacing w:line="360" w:lineRule="auto"/>
              <w:jc w:val="left"/>
              <w:rPr>
                <w:b w:val="0"/>
                <w:bCs/>
                <w:color w:val="auto"/>
              </w:rPr>
            </w:pPr>
          </w:p>
        </w:tc>
      </w:tr>
    </w:tbl>
    <w:p>
      <w:pPr>
        <w:spacing w:line="360" w:lineRule="auto"/>
        <w:jc w:val="left"/>
        <w:rPr>
          <w:rFonts w:ascii="宋体" w:cs="宋体"/>
          <w:b w:val="0"/>
          <w:bCs/>
          <w:color w:val="auto"/>
          <w:szCs w:val="21"/>
        </w:rPr>
      </w:pPr>
      <w:r>
        <w:rPr>
          <w:rFonts w:hint="eastAsia" w:ascii="宋体" w:hAnsi="宋体" w:cs="宋体"/>
          <w:b w:val="0"/>
          <w:bCs/>
          <w:color w:val="auto"/>
          <w:szCs w:val="21"/>
        </w:rPr>
        <w:t>备注：</w:t>
      </w:r>
      <w:r>
        <w:rPr>
          <w:rFonts w:ascii="宋体" w:hAnsi="宋体" w:cs="宋体"/>
          <w:b w:val="0"/>
          <w:bCs/>
          <w:color w:val="auto"/>
          <w:szCs w:val="21"/>
        </w:rPr>
        <w:t>1.</w:t>
      </w:r>
      <w:r>
        <w:rPr>
          <w:rFonts w:hint="eastAsia" w:ascii="宋体" w:hAnsi="宋体" w:cs="宋体"/>
          <w:b w:val="0"/>
          <w:bCs/>
          <w:color w:val="auto"/>
          <w:szCs w:val="21"/>
        </w:rPr>
        <w:t>如果</w:t>
      </w:r>
      <w:r>
        <w:rPr>
          <w:rFonts w:hint="eastAsia" w:ascii="宋体" w:hAnsi="宋体" w:cs="宋体"/>
          <w:b w:val="0"/>
          <w:bCs/>
          <w:color w:val="auto"/>
          <w:szCs w:val="21"/>
          <w:lang w:val="en-US" w:eastAsia="zh-CN"/>
        </w:rPr>
        <w:t>出现超温</w:t>
      </w:r>
      <w:r>
        <w:rPr>
          <w:rFonts w:hint="eastAsia" w:ascii="宋体" w:hAnsi="宋体" w:cs="宋体"/>
          <w:b w:val="0"/>
          <w:bCs/>
          <w:color w:val="auto"/>
          <w:szCs w:val="21"/>
        </w:rPr>
        <w:t>，须与临床试验监督员联系。</w:t>
      </w:r>
    </w:p>
    <w:p>
      <w:pPr>
        <w:spacing w:line="360" w:lineRule="auto"/>
        <w:jc w:val="left"/>
        <w:rPr>
          <w:rFonts w:ascii="宋体" w:cs="宋体"/>
          <w:b w:val="0"/>
          <w:bCs/>
          <w:color w:val="auto"/>
          <w:szCs w:val="21"/>
        </w:rPr>
      </w:pPr>
      <w:r>
        <w:rPr>
          <w:rFonts w:ascii="宋体" w:hAnsi="宋体" w:cs="宋体"/>
          <w:b w:val="0"/>
          <w:bCs/>
          <w:color w:val="auto"/>
          <w:szCs w:val="21"/>
        </w:rPr>
        <w:t xml:space="preserve">      2.</w:t>
      </w:r>
      <w:r>
        <w:rPr>
          <w:rFonts w:hint="eastAsia" w:ascii="宋体" w:hAnsi="宋体" w:cs="宋体"/>
          <w:b w:val="0"/>
          <w:bCs/>
          <w:color w:val="auto"/>
          <w:szCs w:val="21"/>
        </w:rPr>
        <w:t>本表格复印件一经记录人员确认（签字与日期），即与原件具有同样效力。</w:t>
      </w:r>
    </w:p>
    <w:p>
      <w:pPr>
        <w:spacing w:line="360" w:lineRule="auto"/>
        <w:jc w:val="left"/>
        <w:rPr>
          <w:rFonts w:ascii="黑体" w:hAnsi="黑体" w:eastAsia="黑体" w:cs="宋体"/>
          <w:b w:val="0"/>
          <w:bCs/>
          <w:color w:val="auto"/>
          <w:sz w:val="24"/>
          <w:szCs w:val="24"/>
        </w:rPr>
        <w:sectPr>
          <w:footerReference r:id="rId111" w:type="default"/>
          <w:pgSz w:w="16840" w:h="11907" w:orient="landscape"/>
          <w:pgMar w:top="1418" w:right="1134" w:bottom="1134" w:left="1418" w:header="0" w:footer="992" w:gutter="0"/>
          <w:pgBorders>
            <w:top w:val="none" w:sz="0" w:space="0"/>
            <w:left w:val="none" w:sz="0" w:space="0"/>
            <w:bottom w:val="none" w:sz="0" w:space="0"/>
            <w:right w:val="none" w:sz="0" w:space="0"/>
          </w:pgBorders>
          <w:pgNumType w:fmt="decimal"/>
          <w:cols w:space="720" w:num="1"/>
          <w:docGrid w:linePitch="286" w:charSpace="0"/>
        </w:sectPr>
      </w:pPr>
    </w:p>
    <w:p>
      <w:pPr>
        <w:tabs>
          <w:tab w:val="left" w:pos="3060"/>
        </w:tabs>
        <w:spacing w:line="500" w:lineRule="exact"/>
        <w:rPr>
          <w:rFonts w:hint="eastAsia" w:ascii="宋体" w:hAnsi="宋体"/>
          <w:b w:val="0"/>
          <w:bCs/>
          <w:color w:val="auto"/>
          <w:sz w:val="24"/>
          <w:szCs w:val="24"/>
        </w:rPr>
      </w:pPr>
      <w:r>
        <w:rPr>
          <w:rFonts w:hint="eastAsia" w:ascii="宋体" w:hAnsi="宋体"/>
          <w:b w:val="0"/>
          <w:bCs/>
          <w:color w:val="auto"/>
          <w:sz w:val="24"/>
          <w:szCs w:val="24"/>
        </w:rPr>
        <w:t>附件</w:t>
      </w:r>
      <w:r>
        <w:rPr>
          <w:rFonts w:hint="eastAsia" w:ascii="宋体" w:hAnsi="宋体"/>
          <w:b w:val="0"/>
          <w:bCs/>
          <w:color w:val="auto"/>
          <w:sz w:val="24"/>
          <w:szCs w:val="24"/>
          <w:lang w:val="en-US" w:eastAsia="zh-CN"/>
        </w:rPr>
        <w:t>5</w:t>
      </w:r>
      <w:r>
        <w:rPr>
          <w:rFonts w:hint="eastAsia" w:ascii="宋体" w:hAnsi="宋体"/>
          <w:b w:val="0"/>
          <w:bCs/>
          <w:color w:val="auto"/>
          <w:sz w:val="24"/>
          <w:szCs w:val="24"/>
        </w:rPr>
        <w:t>：</w:t>
      </w:r>
      <w:r>
        <w:rPr>
          <w:rFonts w:hint="eastAsia" w:asciiTheme="minorEastAsia" w:hAnsiTheme="minorEastAsia" w:cstheme="minorEastAsia"/>
          <w:b w:val="0"/>
          <w:bCs/>
          <w:color w:val="auto"/>
          <w:sz w:val="24"/>
          <w:szCs w:val="24"/>
          <w:lang w:val="en-US" w:eastAsia="zh-CN"/>
        </w:rPr>
        <w:t>YYH-SOP-CTC-012-3.1-A05</w:t>
      </w:r>
      <w:r>
        <w:rPr>
          <w:rFonts w:hint="eastAsia" w:ascii="宋体" w:hAnsi="宋体"/>
          <w:b w:val="0"/>
          <w:bCs/>
          <w:color w:val="auto"/>
          <w:sz w:val="24"/>
          <w:szCs w:val="24"/>
        </w:rPr>
        <w:t>应急信件交接记录表</w:t>
      </w:r>
    </w:p>
    <w:p>
      <w:pPr>
        <w:tabs>
          <w:tab w:val="left" w:pos="3060"/>
        </w:tabs>
        <w:spacing w:line="500" w:lineRule="exact"/>
        <w:jc w:val="center"/>
        <w:rPr>
          <w:rFonts w:ascii="宋体" w:hAnsi="宋体"/>
          <w:b w:val="0"/>
          <w:bCs/>
          <w:color w:val="auto"/>
          <w:sz w:val="24"/>
          <w:szCs w:val="24"/>
        </w:rPr>
      </w:pPr>
      <w:r>
        <w:rPr>
          <w:rFonts w:hint="eastAsia" w:ascii="宋体" w:hAnsi="宋体"/>
          <w:b w:val="0"/>
          <w:bCs/>
          <w:color w:val="auto"/>
          <w:sz w:val="24"/>
          <w:szCs w:val="24"/>
        </w:rPr>
        <w:t>应急信件交接记录表</w:t>
      </w:r>
    </w:p>
    <w:tbl>
      <w:tblPr>
        <w:tblStyle w:val="27"/>
        <w:tblW w:w="499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544"/>
        <w:gridCol w:w="453"/>
        <w:gridCol w:w="850"/>
        <w:gridCol w:w="1043"/>
        <w:gridCol w:w="513"/>
        <w:gridCol w:w="864"/>
        <w:gridCol w:w="1493"/>
        <w:gridCol w:w="1697"/>
        <w:gridCol w:w="1567"/>
        <w:gridCol w:w="1895"/>
        <w:gridCol w:w="224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05"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试验名称</w:t>
            </w:r>
          </w:p>
        </w:tc>
        <w:tc>
          <w:tcPr>
            <w:tcW w:w="1681" w:type="pct"/>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val="0"/>
                <w:bCs/>
                <w:color w:val="auto"/>
                <w:sz w:val="21"/>
                <w:szCs w:val="21"/>
              </w:rPr>
            </w:pPr>
          </w:p>
        </w:tc>
        <w:tc>
          <w:tcPr>
            <w:tcW w:w="1152"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申办方/方案编号</w:t>
            </w:r>
          </w:p>
        </w:tc>
        <w:tc>
          <w:tcPr>
            <w:tcW w:w="1460"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05"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r>
              <w:rPr>
                <w:rFonts w:hint="eastAsia"/>
                <w:b w:val="0"/>
                <w:bCs/>
                <w:color w:val="auto"/>
                <w:sz w:val="21"/>
                <w:szCs w:val="21"/>
              </w:rPr>
              <w:t>机构名称：</w:t>
            </w:r>
          </w:p>
        </w:tc>
        <w:tc>
          <w:tcPr>
            <w:tcW w:w="1681" w:type="pct"/>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val="0"/>
                <w:bCs/>
                <w:color w:val="auto"/>
                <w:sz w:val="21"/>
                <w:szCs w:val="21"/>
              </w:rPr>
            </w:pPr>
            <w:r>
              <w:rPr>
                <w:rFonts w:hint="eastAsia"/>
                <w:b w:val="0"/>
                <w:bCs/>
                <w:color w:val="auto"/>
                <w:sz w:val="21"/>
                <w:szCs w:val="21"/>
              </w:rPr>
              <w:t>沂源县人民医院药物</w:t>
            </w:r>
            <w:r>
              <w:rPr>
                <w:rFonts w:hint="eastAsia"/>
                <w:b w:val="0"/>
                <w:bCs/>
                <w:color w:val="auto"/>
                <w:sz w:val="21"/>
                <w:szCs w:val="21"/>
                <w:lang w:val="en-US" w:eastAsia="zh-CN"/>
              </w:rPr>
              <w:t>/医疗器械</w:t>
            </w:r>
            <w:r>
              <w:rPr>
                <w:rFonts w:hint="eastAsia"/>
                <w:b w:val="0"/>
                <w:bCs/>
                <w:color w:val="auto"/>
                <w:sz w:val="21"/>
                <w:szCs w:val="21"/>
              </w:rPr>
              <w:t>临床试验机构</w:t>
            </w:r>
          </w:p>
        </w:tc>
        <w:tc>
          <w:tcPr>
            <w:tcW w:w="1152"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专业科室名称</w:t>
            </w:r>
          </w:p>
        </w:tc>
        <w:tc>
          <w:tcPr>
            <w:tcW w:w="1460"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05"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val="0"/>
                <w:bCs/>
                <w:color w:val="auto"/>
                <w:sz w:val="21"/>
                <w:szCs w:val="21"/>
                <w:lang w:val="en-US" w:eastAsia="zh-CN"/>
              </w:rPr>
            </w:pPr>
            <w:r>
              <w:rPr>
                <w:rFonts w:hint="eastAsia" w:ascii="宋体" w:hAnsi="宋体"/>
                <w:b w:val="0"/>
                <w:bCs/>
                <w:color w:val="auto"/>
                <w:sz w:val="21"/>
                <w:szCs w:val="21"/>
              </w:rPr>
              <w:t>试验用</w:t>
            </w:r>
            <w:r>
              <w:rPr>
                <w:rFonts w:hint="eastAsia" w:ascii="宋体" w:hAnsi="宋体"/>
                <w:b w:val="0"/>
                <w:bCs/>
                <w:color w:val="auto"/>
                <w:sz w:val="21"/>
                <w:szCs w:val="21"/>
                <w:lang w:val="en-US" w:eastAsia="zh-CN"/>
              </w:rPr>
              <w:t>医疗器械</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val="0"/>
                <w:bCs/>
                <w:color w:val="auto"/>
                <w:sz w:val="21"/>
                <w:szCs w:val="21"/>
              </w:rPr>
            </w:pPr>
            <w:r>
              <w:rPr>
                <w:rFonts w:hint="eastAsia" w:ascii="宋体" w:hAnsi="宋体"/>
                <w:b w:val="0"/>
                <w:bCs/>
                <w:color w:val="auto"/>
                <w:sz w:val="21"/>
                <w:szCs w:val="21"/>
              </w:rPr>
              <w:t>名称</w:t>
            </w:r>
          </w:p>
        </w:tc>
        <w:tc>
          <w:tcPr>
            <w:tcW w:w="849"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val="0"/>
                <w:bCs/>
                <w:color w:val="auto"/>
                <w:sz w:val="21"/>
                <w:szCs w:val="21"/>
              </w:rPr>
            </w:pPr>
          </w:p>
        </w:tc>
        <w:tc>
          <w:tcPr>
            <w:tcW w:w="831"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规格</w:t>
            </w:r>
          </w:p>
        </w:tc>
        <w:tc>
          <w:tcPr>
            <w:tcW w:w="1152"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66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主要研究者</w:t>
            </w:r>
          </w:p>
        </w:tc>
        <w:tc>
          <w:tcPr>
            <w:tcW w:w="791"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705"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val="0"/>
                <w:bCs/>
                <w:color w:val="auto"/>
                <w:sz w:val="21"/>
                <w:szCs w:val="21"/>
              </w:rPr>
            </w:pPr>
            <w:r>
              <w:rPr>
                <w:rFonts w:hint="eastAsia" w:ascii="宋体" w:hAnsi="宋体"/>
                <w:b w:val="0"/>
                <w:bCs/>
                <w:color w:val="auto"/>
                <w:sz w:val="21"/>
                <w:szCs w:val="21"/>
              </w:rPr>
              <w:t>批号</w:t>
            </w:r>
          </w:p>
        </w:tc>
        <w:tc>
          <w:tcPr>
            <w:tcW w:w="849" w:type="pct"/>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val="0"/>
                <w:bCs/>
                <w:color w:val="auto"/>
                <w:sz w:val="21"/>
                <w:szCs w:val="21"/>
              </w:rPr>
            </w:pPr>
          </w:p>
        </w:tc>
        <w:tc>
          <w:tcPr>
            <w:tcW w:w="831"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val="0"/>
                <w:bCs/>
                <w:color w:val="auto"/>
                <w:sz w:val="21"/>
                <w:szCs w:val="21"/>
              </w:rPr>
            </w:pPr>
            <w:r>
              <w:rPr>
                <w:rFonts w:hint="eastAsia" w:ascii="宋体" w:hAnsi="宋体"/>
                <w:b w:val="0"/>
                <w:bCs/>
                <w:color w:val="auto"/>
                <w:sz w:val="21"/>
                <w:szCs w:val="21"/>
              </w:rPr>
              <w:t>有</w:t>
            </w:r>
            <w:r>
              <w:rPr>
                <w:rFonts w:ascii="宋体" w:hAnsi="宋体"/>
                <w:b w:val="0"/>
                <w:bCs/>
                <w:color w:val="auto"/>
                <w:sz w:val="21"/>
                <w:szCs w:val="21"/>
              </w:rPr>
              <w:t>效期</w:t>
            </w:r>
          </w:p>
        </w:tc>
        <w:tc>
          <w:tcPr>
            <w:tcW w:w="1152"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val="0"/>
                <w:bCs/>
                <w:color w:val="auto"/>
                <w:sz w:val="21"/>
                <w:szCs w:val="21"/>
              </w:rPr>
            </w:pPr>
          </w:p>
        </w:tc>
        <w:tc>
          <w:tcPr>
            <w:tcW w:w="66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val="0"/>
                <w:bCs/>
                <w:color w:val="auto"/>
                <w:sz w:val="21"/>
                <w:szCs w:val="21"/>
              </w:rPr>
            </w:pPr>
            <w:r>
              <w:rPr>
                <w:rFonts w:hint="eastAsia" w:ascii="宋体" w:hAnsi="宋体"/>
                <w:b w:val="0"/>
                <w:bCs/>
                <w:color w:val="auto"/>
                <w:sz w:val="21"/>
                <w:szCs w:val="21"/>
              </w:rPr>
              <w:t>储存条件</w:t>
            </w:r>
          </w:p>
        </w:tc>
        <w:tc>
          <w:tcPr>
            <w:tcW w:w="791"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2" w:hRule="atLeast"/>
          <w:jc w:val="center"/>
        </w:trPr>
        <w:tc>
          <w:tcPr>
            <w:tcW w:w="5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应急信件编号</w:t>
            </w:r>
          </w:p>
        </w:tc>
        <w:tc>
          <w:tcPr>
            <w:tcW w:w="460"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val="0"/>
                <w:bCs/>
                <w:color w:val="auto"/>
                <w:sz w:val="21"/>
                <w:szCs w:val="21"/>
              </w:rPr>
            </w:pPr>
            <w:r>
              <w:rPr>
                <w:rFonts w:hint="eastAsia" w:ascii="宋体" w:hAnsi="宋体"/>
                <w:b w:val="0"/>
                <w:bCs/>
                <w:color w:val="auto"/>
                <w:sz w:val="21"/>
                <w:szCs w:val="21"/>
              </w:rPr>
              <w:t>与试验</w:t>
            </w:r>
            <w:r>
              <w:rPr>
                <w:rFonts w:hint="eastAsia" w:ascii="宋体" w:hAnsi="宋体"/>
                <w:b w:val="0"/>
                <w:bCs/>
                <w:color w:val="auto"/>
                <w:sz w:val="21"/>
                <w:szCs w:val="21"/>
                <w:lang w:val="en-US" w:eastAsia="zh-CN"/>
              </w:rPr>
              <w:t>医疗器械</w:t>
            </w:r>
            <w:r>
              <w:rPr>
                <w:rFonts w:hint="eastAsia" w:ascii="宋体" w:hAnsi="宋体"/>
                <w:b w:val="0"/>
                <w:bCs/>
                <w:color w:val="auto"/>
                <w:sz w:val="21"/>
                <w:szCs w:val="21"/>
              </w:rPr>
              <w:t>编号是否一致</w:t>
            </w:r>
          </w:p>
        </w:tc>
        <w:tc>
          <w:tcPr>
            <w:tcW w:w="36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是否密封</w:t>
            </w:r>
          </w:p>
        </w:tc>
        <w:tc>
          <w:tcPr>
            <w:tcW w:w="486"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val="0"/>
                <w:bCs/>
                <w:color w:val="auto"/>
                <w:sz w:val="21"/>
                <w:szCs w:val="21"/>
              </w:rPr>
            </w:pPr>
            <w:r>
              <w:rPr>
                <w:rFonts w:hint="eastAsia" w:ascii="宋体" w:hAnsi="宋体"/>
                <w:b w:val="0"/>
                <w:bCs/>
                <w:color w:val="auto"/>
                <w:sz w:val="21"/>
                <w:szCs w:val="21"/>
              </w:rPr>
              <w:t>有无破损</w:t>
            </w:r>
          </w:p>
        </w:tc>
        <w:tc>
          <w:tcPr>
            <w:tcW w:w="52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接收人/日期</w:t>
            </w:r>
          </w:p>
          <w:p>
            <w:pPr>
              <w:jc w:val="center"/>
              <w:rPr>
                <w:rFonts w:hint="eastAsia" w:ascii="宋体" w:hAnsi="宋体"/>
                <w:b w:val="0"/>
                <w:bCs/>
                <w:color w:val="auto"/>
                <w:sz w:val="21"/>
                <w:szCs w:val="21"/>
              </w:rPr>
            </w:pPr>
            <w:r>
              <w:rPr>
                <w:rFonts w:hint="eastAsia" w:ascii="宋体" w:hAnsi="宋体"/>
                <w:b w:val="0"/>
                <w:bCs/>
                <w:color w:val="auto"/>
                <w:sz w:val="21"/>
                <w:szCs w:val="21"/>
              </w:rPr>
              <w:t>（PI</w:t>
            </w:r>
            <w:r>
              <w:rPr>
                <w:rFonts w:ascii="宋体" w:hAnsi="宋体"/>
                <w:b w:val="0"/>
                <w:bCs/>
                <w:color w:val="auto"/>
                <w:sz w:val="21"/>
                <w:szCs w:val="21"/>
              </w:rPr>
              <w:t>）</w:t>
            </w:r>
          </w:p>
        </w:tc>
        <w:tc>
          <w:tcPr>
            <w:tcW w:w="59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交付人/日期</w:t>
            </w:r>
          </w:p>
          <w:p>
            <w:pPr>
              <w:jc w:val="center"/>
              <w:rPr>
                <w:rFonts w:hint="eastAsia" w:ascii="宋体" w:hAnsi="宋体"/>
                <w:b w:val="0"/>
                <w:bCs/>
                <w:color w:val="auto"/>
                <w:sz w:val="21"/>
                <w:szCs w:val="21"/>
                <w:lang w:val="en-US" w:eastAsia="zh-CN"/>
              </w:rPr>
            </w:pPr>
            <w:r>
              <w:rPr>
                <w:rFonts w:hint="eastAsia" w:ascii="宋体" w:hAnsi="宋体"/>
                <w:b w:val="0"/>
                <w:bCs/>
                <w:color w:val="auto"/>
                <w:sz w:val="21"/>
                <w:szCs w:val="21"/>
              </w:rPr>
              <w:t>(</w:t>
            </w:r>
            <w:r>
              <w:rPr>
                <w:rFonts w:hint="eastAsia" w:ascii="宋体" w:hAnsi="宋体"/>
                <w:b w:val="0"/>
                <w:bCs/>
                <w:color w:val="auto"/>
                <w:sz w:val="21"/>
                <w:szCs w:val="21"/>
                <w:lang w:val="en-US" w:eastAsia="zh-CN"/>
              </w:rPr>
              <w:t>医疗器械</w:t>
            </w:r>
          </w:p>
          <w:p>
            <w:pPr>
              <w:jc w:val="center"/>
              <w:rPr>
                <w:rFonts w:ascii="宋体" w:hAnsi="宋体"/>
                <w:b w:val="0"/>
                <w:bCs/>
                <w:color w:val="auto"/>
                <w:sz w:val="21"/>
                <w:szCs w:val="21"/>
              </w:rPr>
            </w:pPr>
            <w:r>
              <w:rPr>
                <w:rFonts w:hint="eastAsia" w:ascii="宋体" w:hAnsi="宋体"/>
                <w:b w:val="0"/>
                <w:bCs/>
                <w:color w:val="auto"/>
                <w:sz w:val="21"/>
                <w:szCs w:val="21"/>
              </w:rPr>
              <w:t>管理员)</w:t>
            </w:r>
          </w:p>
        </w:tc>
        <w:tc>
          <w:tcPr>
            <w:tcW w:w="55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退还人/日期</w:t>
            </w:r>
          </w:p>
          <w:p>
            <w:pPr>
              <w:jc w:val="center"/>
              <w:rPr>
                <w:rFonts w:hint="eastAsia" w:ascii="宋体" w:hAnsi="宋体"/>
                <w:b w:val="0"/>
                <w:bCs/>
                <w:color w:val="auto"/>
                <w:sz w:val="21"/>
                <w:szCs w:val="21"/>
              </w:rPr>
            </w:pPr>
            <w:r>
              <w:rPr>
                <w:rFonts w:hint="eastAsia" w:ascii="宋体" w:hAnsi="宋体"/>
                <w:b w:val="0"/>
                <w:bCs/>
                <w:color w:val="auto"/>
                <w:sz w:val="21"/>
                <w:szCs w:val="21"/>
              </w:rPr>
              <w:t>（PI</w:t>
            </w:r>
            <w:r>
              <w:rPr>
                <w:rFonts w:ascii="宋体" w:hAnsi="宋体"/>
                <w:b w:val="0"/>
                <w:bCs/>
                <w:color w:val="auto"/>
                <w:sz w:val="21"/>
                <w:szCs w:val="21"/>
              </w:rPr>
              <w:t>）</w:t>
            </w:r>
          </w:p>
        </w:tc>
        <w:tc>
          <w:tcPr>
            <w:tcW w:w="66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接收人/日期</w:t>
            </w:r>
          </w:p>
          <w:p>
            <w:pPr>
              <w:jc w:val="center"/>
              <w:rPr>
                <w:rFonts w:hint="eastAsia" w:ascii="宋体" w:hAnsi="宋体"/>
                <w:b w:val="0"/>
                <w:bCs/>
                <w:color w:val="auto"/>
                <w:sz w:val="21"/>
                <w:szCs w:val="21"/>
              </w:rPr>
            </w:pPr>
            <w:r>
              <w:rPr>
                <w:rFonts w:hint="eastAsia" w:ascii="宋体" w:hAnsi="宋体"/>
                <w:b w:val="0"/>
                <w:bCs/>
                <w:color w:val="auto"/>
                <w:sz w:val="21"/>
                <w:szCs w:val="21"/>
              </w:rPr>
              <w:t>(</w:t>
            </w:r>
            <w:r>
              <w:rPr>
                <w:rFonts w:hint="eastAsia" w:ascii="宋体" w:hAnsi="宋体"/>
                <w:b w:val="0"/>
                <w:bCs/>
                <w:color w:val="auto"/>
                <w:sz w:val="21"/>
                <w:szCs w:val="21"/>
                <w:lang w:val="en-US" w:eastAsia="zh-CN"/>
              </w:rPr>
              <w:t>医疗器械</w:t>
            </w:r>
            <w:r>
              <w:rPr>
                <w:rFonts w:hint="eastAsia" w:ascii="宋体" w:hAnsi="宋体"/>
                <w:b w:val="0"/>
                <w:bCs/>
                <w:color w:val="auto"/>
                <w:sz w:val="21"/>
                <w:szCs w:val="21"/>
              </w:rPr>
              <w:t>管理员)</w:t>
            </w:r>
          </w:p>
        </w:tc>
        <w:tc>
          <w:tcPr>
            <w:tcW w:w="79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5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460"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36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486"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2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9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5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66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79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5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460"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36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486"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2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9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5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66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79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5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460"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36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486"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2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9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5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66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79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5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460"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36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486"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2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9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5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66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79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5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460"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36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486"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2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9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5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66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79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5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460"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36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486"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2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9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5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66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79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54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460"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36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486"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2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9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55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66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c>
          <w:tcPr>
            <w:tcW w:w="79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val="0"/>
                <w:bCs/>
                <w:color w:val="auto"/>
                <w:sz w:val="21"/>
                <w:szCs w:val="21"/>
              </w:rPr>
            </w:pPr>
          </w:p>
        </w:tc>
      </w:tr>
    </w:tbl>
    <w:p>
      <w:pPr>
        <w:spacing w:line="500" w:lineRule="exact"/>
        <w:rPr>
          <w:rFonts w:hint="eastAsia" w:ascii="宋体" w:hAnsi="宋体" w:cs="宋体"/>
          <w:b w:val="0"/>
          <w:bCs/>
          <w:color w:val="auto"/>
          <w:sz w:val="21"/>
          <w:szCs w:val="21"/>
        </w:rPr>
      </w:pPr>
      <w:r>
        <w:rPr>
          <w:rFonts w:hint="eastAsia" w:ascii="宋体" w:hAnsi="宋体" w:cs="宋体"/>
          <w:b w:val="0"/>
          <w:bCs/>
          <w:color w:val="auto"/>
          <w:sz w:val="21"/>
          <w:szCs w:val="21"/>
        </w:rPr>
        <w:t>本表一式两份（PI、医疗器械管理员各一份存档）</w:t>
      </w:r>
    </w:p>
    <w:p>
      <w:pPr>
        <w:spacing w:line="360" w:lineRule="auto"/>
        <w:jc w:val="left"/>
        <w:rPr>
          <w:rFonts w:hint="eastAsia" w:ascii="黑体" w:hAnsi="黑体" w:eastAsia="黑体" w:cs="宋体"/>
          <w:b w:val="0"/>
          <w:bCs/>
          <w:color w:val="auto"/>
          <w:sz w:val="24"/>
          <w:szCs w:val="24"/>
        </w:rPr>
      </w:pPr>
    </w:p>
    <w:p>
      <w:pPr>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附件6</w:t>
      </w:r>
      <w:r>
        <w:rPr>
          <w:rFonts w:hint="eastAsia" w:ascii="宋体" w:hAnsi="宋体" w:eastAsia="宋体" w:cs="宋体"/>
          <w:b w:val="0"/>
          <w:bCs/>
          <w:color w:val="auto"/>
          <w:sz w:val="24"/>
          <w:szCs w:val="24"/>
          <w:lang w:eastAsia="zh-CN"/>
        </w:rPr>
        <w:t>：</w:t>
      </w:r>
      <w:r>
        <w:rPr>
          <w:rFonts w:hint="eastAsia" w:asciiTheme="minorEastAsia" w:hAnsiTheme="minorEastAsia" w:cstheme="minorEastAsia"/>
          <w:b w:val="0"/>
          <w:bCs/>
          <w:color w:val="auto"/>
          <w:sz w:val="24"/>
          <w:szCs w:val="24"/>
          <w:lang w:val="en-US" w:eastAsia="zh-CN"/>
        </w:rPr>
        <w:t>YYH-SOP-CTC-012-3.1-A06</w:t>
      </w:r>
      <w:r>
        <w:rPr>
          <w:rFonts w:hint="eastAsia" w:ascii="宋体" w:hAnsi="宋体" w:eastAsia="宋体" w:cs="宋体"/>
          <w:b w:val="0"/>
          <w:bCs/>
          <w:color w:val="auto"/>
          <w:sz w:val="24"/>
          <w:szCs w:val="24"/>
        </w:rPr>
        <w:t>临床试验用医疗器械盘点表</w:t>
      </w:r>
    </w:p>
    <w:p>
      <w:pPr>
        <w:spacing w:line="360" w:lineRule="auto"/>
        <w:ind w:firstLine="5280" w:firstLineChars="2200"/>
        <w:rPr>
          <w:b w:val="0"/>
          <w:bCs/>
          <w:color w:val="auto"/>
          <w:sz w:val="24"/>
          <w:szCs w:val="24"/>
        </w:rPr>
      </w:pPr>
      <w:r>
        <w:rPr>
          <w:rFonts w:hint="eastAsia"/>
          <w:b w:val="0"/>
          <w:bCs/>
          <w:color w:val="auto"/>
          <w:sz w:val="24"/>
          <w:szCs w:val="24"/>
        </w:rPr>
        <w:t>临床试验用医疗器械盘点表</w:t>
      </w:r>
    </w:p>
    <w:p>
      <w:pPr>
        <w:spacing w:line="360" w:lineRule="auto"/>
        <w:rPr>
          <w:b w:val="0"/>
          <w:bCs/>
          <w:color w:val="auto"/>
          <w:sz w:val="24"/>
          <w:szCs w:val="24"/>
        </w:rPr>
      </w:pPr>
      <w:r>
        <w:rPr>
          <w:rFonts w:hint="eastAsia"/>
          <w:b w:val="0"/>
          <w:bCs/>
          <w:color w:val="auto"/>
          <w:sz w:val="24"/>
          <w:szCs w:val="24"/>
        </w:rPr>
        <w:t>试验项目名称 ：                                                                                 日期：</w:t>
      </w:r>
    </w:p>
    <w:tbl>
      <w:tblPr>
        <w:tblStyle w:val="2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80"/>
        <w:gridCol w:w="1610"/>
        <w:gridCol w:w="1624"/>
        <w:gridCol w:w="1108"/>
        <w:gridCol w:w="1907"/>
        <w:gridCol w:w="1749"/>
        <w:gridCol w:w="904"/>
        <w:gridCol w:w="1202"/>
        <w:gridCol w:w="1171"/>
        <w:gridCol w:w="1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593" w:type="pct"/>
            <w:vAlign w:val="center"/>
          </w:tcPr>
          <w:p>
            <w:pPr>
              <w:jc w:val="center"/>
              <w:rPr>
                <w:b w:val="0"/>
                <w:bCs/>
                <w:color w:val="auto"/>
              </w:rPr>
            </w:pPr>
            <w:r>
              <w:rPr>
                <w:rFonts w:hint="eastAsia"/>
                <w:b w:val="0"/>
                <w:bCs/>
                <w:color w:val="auto"/>
                <w:szCs w:val="21"/>
              </w:rPr>
              <w:t>医疗器械</w:t>
            </w:r>
            <w:r>
              <w:rPr>
                <w:rFonts w:hint="eastAsia"/>
                <w:b w:val="0"/>
                <w:bCs/>
                <w:color w:val="auto"/>
              </w:rPr>
              <w:t>名称</w:t>
            </w:r>
          </w:p>
        </w:tc>
        <w:tc>
          <w:tcPr>
            <w:tcW w:w="568" w:type="pct"/>
            <w:vAlign w:val="center"/>
          </w:tcPr>
          <w:p>
            <w:pPr>
              <w:jc w:val="center"/>
              <w:rPr>
                <w:b w:val="0"/>
                <w:bCs/>
                <w:color w:val="auto"/>
              </w:rPr>
            </w:pPr>
            <w:r>
              <w:rPr>
                <w:rFonts w:hint="eastAsia"/>
                <w:b w:val="0"/>
                <w:bCs/>
                <w:color w:val="auto"/>
                <w:szCs w:val="21"/>
              </w:rPr>
              <w:t>医疗器械</w:t>
            </w:r>
            <w:r>
              <w:rPr>
                <w:rFonts w:hint="eastAsia"/>
                <w:b w:val="0"/>
                <w:bCs/>
                <w:color w:val="auto"/>
              </w:rPr>
              <w:t>编号</w:t>
            </w:r>
          </w:p>
        </w:tc>
        <w:tc>
          <w:tcPr>
            <w:tcW w:w="573" w:type="pct"/>
            <w:vAlign w:val="center"/>
          </w:tcPr>
          <w:p>
            <w:pPr>
              <w:jc w:val="center"/>
              <w:rPr>
                <w:b w:val="0"/>
                <w:bCs/>
                <w:color w:val="auto"/>
              </w:rPr>
            </w:pPr>
            <w:r>
              <w:rPr>
                <w:rFonts w:hint="eastAsia"/>
                <w:b w:val="0"/>
                <w:bCs/>
                <w:color w:val="auto"/>
              </w:rPr>
              <w:t>型号</w:t>
            </w:r>
          </w:p>
        </w:tc>
        <w:tc>
          <w:tcPr>
            <w:tcW w:w="391" w:type="pct"/>
            <w:vAlign w:val="center"/>
          </w:tcPr>
          <w:p>
            <w:pPr>
              <w:jc w:val="center"/>
              <w:rPr>
                <w:b w:val="0"/>
                <w:bCs/>
                <w:color w:val="auto"/>
              </w:rPr>
            </w:pPr>
            <w:r>
              <w:rPr>
                <w:rFonts w:hint="eastAsia"/>
                <w:b w:val="0"/>
                <w:bCs/>
                <w:color w:val="auto"/>
              </w:rPr>
              <w:t>规格</w:t>
            </w:r>
          </w:p>
        </w:tc>
        <w:tc>
          <w:tcPr>
            <w:tcW w:w="673" w:type="pct"/>
            <w:vAlign w:val="center"/>
          </w:tcPr>
          <w:p>
            <w:pPr>
              <w:jc w:val="center"/>
              <w:rPr>
                <w:b w:val="0"/>
                <w:bCs/>
                <w:color w:val="auto"/>
              </w:rPr>
            </w:pPr>
            <w:r>
              <w:rPr>
                <w:rFonts w:hint="eastAsia"/>
                <w:b w:val="0"/>
                <w:bCs/>
                <w:color w:val="auto"/>
              </w:rPr>
              <w:t>批号</w:t>
            </w:r>
          </w:p>
        </w:tc>
        <w:tc>
          <w:tcPr>
            <w:tcW w:w="617" w:type="pct"/>
            <w:vAlign w:val="center"/>
          </w:tcPr>
          <w:p>
            <w:pPr>
              <w:jc w:val="center"/>
              <w:rPr>
                <w:b w:val="0"/>
                <w:bCs/>
                <w:color w:val="auto"/>
              </w:rPr>
            </w:pPr>
            <w:r>
              <w:rPr>
                <w:rFonts w:hint="eastAsia"/>
                <w:b w:val="0"/>
                <w:bCs/>
                <w:color w:val="auto"/>
              </w:rPr>
              <w:t>有效期</w:t>
            </w:r>
          </w:p>
        </w:tc>
        <w:tc>
          <w:tcPr>
            <w:tcW w:w="319" w:type="pct"/>
            <w:vAlign w:val="center"/>
          </w:tcPr>
          <w:p>
            <w:pPr>
              <w:jc w:val="center"/>
              <w:rPr>
                <w:b w:val="0"/>
                <w:bCs/>
                <w:color w:val="auto"/>
              </w:rPr>
            </w:pPr>
            <w:r>
              <w:rPr>
                <w:rFonts w:hint="eastAsia"/>
                <w:b w:val="0"/>
                <w:bCs/>
                <w:color w:val="auto"/>
              </w:rPr>
              <w:t>数量</w:t>
            </w:r>
          </w:p>
        </w:tc>
        <w:tc>
          <w:tcPr>
            <w:tcW w:w="424" w:type="pct"/>
            <w:vAlign w:val="center"/>
          </w:tcPr>
          <w:p>
            <w:pPr>
              <w:jc w:val="center"/>
              <w:rPr>
                <w:b w:val="0"/>
                <w:bCs/>
                <w:color w:val="auto"/>
              </w:rPr>
            </w:pPr>
            <w:r>
              <w:rPr>
                <w:rFonts w:hint="eastAsia"/>
                <w:b w:val="0"/>
                <w:bCs/>
                <w:color w:val="auto"/>
              </w:rPr>
              <w:t>质量检查</w:t>
            </w:r>
          </w:p>
        </w:tc>
        <w:tc>
          <w:tcPr>
            <w:tcW w:w="413" w:type="pct"/>
            <w:vAlign w:val="center"/>
          </w:tcPr>
          <w:p>
            <w:pPr>
              <w:jc w:val="center"/>
              <w:rPr>
                <w:b w:val="0"/>
                <w:bCs/>
                <w:color w:val="auto"/>
              </w:rPr>
            </w:pPr>
            <w:r>
              <w:rPr>
                <w:rFonts w:hint="eastAsia"/>
                <w:b w:val="0"/>
                <w:bCs/>
                <w:color w:val="auto"/>
              </w:rPr>
              <w:t>盘点人</w:t>
            </w:r>
          </w:p>
        </w:tc>
        <w:tc>
          <w:tcPr>
            <w:tcW w:w="424" w:type="pct"/>
            <w:vAlign w:val="center"/>
          </w:tcPr>
          <w:p>
            <w:pPr>
              <w:jc w:val="center"/>
              <w:rPr>
                <w:b w:val="0"/>
                <w:bCs/>
                <w:color w:val="auto"/>
              </w:rPr>
            </w:pPr>
            <w:r>
              <w:rPr>
                <w:rFonts w:hint="eastAsia"/>
                <w:b w:val="0"/>
                <w:bCs/>
                <w:color w:val="auto"/>
              </w:rPr>
              <w:t>复核人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593" w:type="pct"/>
          </w:tcPr>
          <w:p>
            <w:pPr>
              <w:spacing w:line="360" w:lineRule="auto"/>
              <w:jc w:val="left"/>
              <w:rPr>
                <w:b w:val="0"/>
                <w:bCs/>
                <w:color w:val="auto"/>
              </w:rPr>
            </w:pPr>
          </w:p>
        </w:tc>
        <w:tc>
          <w:tcPr>
            <w:tcW w:w="568" w:type="pct"/>
          </w:tcPr>
          <w:p>
            <w:pPr>
              <w:spacing w:line="360" w:lineRule="auto"/>
              <w:jc w:val="left"/>
              <w:rPr>
                <w:b w:val="0"/>
                <w:bCs/>
                <w:color w:val="auto"/>
              </w:rPr>
            </w:pPr>
          </w:p>
        </w:tc>
        <w:tc>
          <w:tcPr>
            <w:tcW w:w="573" w:type="pct"/>
          </w:tcPr>
          <w:p>
            <w:pPr>
              <w:spacing w:line="360" w:lineRule="auto"/>
              <w:jc w:val="left"/>
              <w:rPr>
                <w:b w:val="0"/>
                <w:bCs/>
                <w:color w:val="auto"/>
              </w:rPr>
            </w:pPr>
          </w:p>
        </w:tc>
        <w:tc>
          <w:tcPr>
            <w:tcW w:w="391" w:type="pct"/>
          </w:tcPr>
          <w:p>
            <w:pPr>
              <w:spacing w:line="360" w:lineRule="auto"/>
              <w:jc w:val="left"/>
              <w:rPr>
                <w:b w:val="0"/>
                <w:bCs/>
                <w:color w:val="auto"/>
              </w:rPr>
            </w:pPr>
          </w:p>
        </w:tc>
        <w:tc>
          <w:tcPr>
            <w:tcW w:w="673" w:type="pct"/>
          </w:tcPr>
          <w:p>
            <w:pPr>
              <w:spacing w:line="360" w:lineRule="auto"/>
              <w:jc w:val="left"/>
              <w:rPr>
                <w:b w:val="0"/>
                <w:bCs/>
                <w:color w:val="auto"/>
              </w:rPr>
            </w:pPr>
          </w:p>
        </w:tc>
        <w:tc>
          <w:tcPr>
            <w:tcW w:w="617" w:type="pct"/>
          </w:tcPr>
          <w:p>
            <w:pPr>
              <w:spacing w:line="360" w:lineRule="auto"/>
              <w:jc w:val="left"/>
              <w:rPr>
                <w:b w:val="0"/>
                <w:bCs/>
                <w:color w:val="auto"/>
              </w:rPr>
            </w:pPr>
          </w:p>
        </w:tc>
        <w:tc>
          <w:tcPr>
            <w:tcW w:w="319" w:type="pct"/>
          </w:tcPr>
          <w:p>
            <w:pPr>
              <w:spacing w:line="360" w:lineRule="auto"/>
              <w:jc w:val="left"/>
              <w:rPr>
                <w:b w:val="0"/>
                <w:bCs/>
                <w:color w:val="auto"/>
              </w:rPr>
            </w:pPr>
          </w:p>
        </w:tc>
        <w:tc>
          <w:tcPr>
            <w:tcW w:w="424" w:type="pct"/>
          </w:tcPr>
          <w:p>
            <w:pPr>
              <w:spacing w:line="360" w:lineRule="auto"/>
              <w:jc w:val="left"/>
              <w:rPr>
                <w:b w:val="0"/>
                <w:bCs/>
                <w:color w:val="auto"/>
              </w:rPr>
            </w:pPr>
          </w:p>
        </w:tc>
        <w:tc>
          <w:tcPr>
            <w:tcW w:w="413" w:type="pct"/>
          </w:tcPr>
          <w:p>
            <w:pPr>
              <w:spacing w:line="360" w:lineRule="auto"/>
              <w:jc w:val="left"/>
              <w:rPr>
                <w:b w:val="0"/>
                <w:bCs/>
                <w:color w:val="auto"/>
              </w:rPr>
            </w:pPr>
          </w:p>
        </w:tc>
        <w:tc>
          <w:tcPr>
            <w:tcW w:w="424" w:type="pct"/>
          </w:tcPr>
          <w:p>
            <w:pPr>
              <w:spacing w:line="360" w:lineRule="auto"/>
              <w:jc w:val="left"/>
              <w:rPr>
                <w:b w:val="0"/>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593" w:type="pct"/>
          </w:tcPr>
          <w:p>
            <w:pPr>
              <w:spacing w:line="360" w:lineRule="auto"/>
              <w:jc w:val="left"/>
              <w:rPr>
                <w:b w:val="0"/>
                <w:bCs/>
                <w:color w:val="auto"/>
              </w:rPr>
            </w:pPr>
          </w:p>
        </w:tc>
        <w:tc>
          <w:tcPr>
            <w:tcW w:w="568" w:type="pct"/>
          </w:tcPr>
          <w:p>
            <w:pPr>
              <w:spacing w:line="360" w:lineRule="auto"/>
              <w:jc w:val="left"/>
              <w:rPr>
                <w:b w:val="0"/>
                <w:bCs/>
                <w:color w:val="auto"/>
              </w:rPr>
            </w:pPr>
          </w:p>
        </w:tc>
        <w:tc>
          <w:tcPr>
            <w:tcW w:w="573" w:type="pct"/>
          </w:tcPr>
          <w:p>
            <w:pPr>
              <w:spacing w:line="360" w:lineRule="auto"/>
              <w:jc w:val="left"/>
              <w:rPr>
                <w:b w:val="0"/>
                <w:bCs/>
                <w:color w:val="auto"/>
              </w:rPr>
            </w:pPr>
          </w:p>
        </w:tc>
        <w:tc>
          <w:tcPr>
            <w:tcW w:w="391" w:type="pct"/>
          </w:tcPr>
          <w:p>
            <w:pPr>
              <w:spacing w:line="360" w:lineRule="auto"/>
              <w:jc w:val="left"/>
              <w:rPr>
                <w:b w:val="0"/>
                <w:bCs/>
                <w:color w:val="auto"/>
              </w:rPr>
            </w:pPr>
          </w:p>
        </w:tc>
        <w:tc>
          <w:tcPr>
            <w:tcW w:w="673" w:type="pct"/>
          </w:tcPr>
          <w:p>
            <w:pPr>
              <w:spacing w:line="360" w:lineRule="auto"/>
              <w:jc w:val="left"/>
              <w:rPr>
                <w:b w:val="0"/>
                <w:bCs/>
                <w:color w:val="auto"/>
              </w:rPr>
            </w:pPr>
          </w:p>
        </w:tc>
        <w:tc>
          <w:tcPr>
            <w:tcW w:w="617" w:type="pct"/>
          </w:tcPr>
          <w:p>
            <w:pPr>
              <w:spacing w:line="360" w:lineRule="auto"/>
              <w:jc w:val="left"/>
              <w:rPr>
                <w:b w:val="0"/>
                <w:bCs/>
                <w:color w:val="auto"/>
              </w:rPr>
            </w:pPr>
          </w:p>
        </w:tc>
        <w:tc>
          <w:tcPr>
            <w:tcW w:w="319" w:type="pct"/>
          </w:tcPr>
          <w:p>
            <w:pPr>
              <w:spacing w:line="360" w:lineRule="auto"/>
              <w:jc w:val="left"/>
              <w:rPr>
                <w:b w:val="0"/>
                <w:bCs/>
                <w:color w:val="auto"/>
              </w:rPr>
            </w:pPr>
          </w:p>
        </w:tc>
        <w:tc>
          <w:tcPr>
            <w:tcW w:w="424" w:type="pct"/>
          </w:tcPr>
          <w:p>
            <w:pPr>
              <w:spacing w:line="360" w:lineRule="auto"/>
              <w:jc w:val="left"/>
              <w:rPr>
                <w:b w:val="0"/>
                <w:bCs/>
                <w:color w:val="auto"/>
              </w:rPr>
            </w:pPr>
          </w:p>
        </w:tc>
        <w:tc>
          <w:tcPr>
            <w:tcW w:w="413" w:type="pct"/>
          </w:tcPr>
          <w:p>
            <w:pPr>
              <w:spacing w:line="360" w:lineRule="auto"/>
              <w:jc w:val="left"/>
              <w:rPr>
                <w:b w:val="0"/>
                <w:bCs/>
                <w:color w:val="auto"/>
              </w:rPr>
            </w:pPr>
          </w:p>
        </w:tc>
        <w:tc>
          <w:tcPr>
            <w:tcW w:w="424" w:type="pct"/>
          </w:tcPr>
          <w:p>
            <w:pPr>
              <w:spacing w:line="360" w:lineRule="auto"/>
              <w:jc w:val="left"/>
              <w:rPr>
                <w:b w:val="0"/>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593" w:type="pct"/>
          </w:tcPr>
          <w:p>
            <w:pPr>
              <w:spacing w:line="360" w:lineRule="auto"/>
              <w:jc w:val="left"/>
              <w:rPr>
                <w:b w:val="0"/>
                <w:bCs/>
                <w:color w:val="auto"/>
              </w:rPr>
            </w:pPr>
          </w:p>
        </w:tc>
        <w:tc>
          <w:tcPr>
            <w:tcW w:w="568" w:type="pct"/>
          </w:tcPr>
          <w:p>
            <w:pPr>
              <w:spacing w:line="360" w:lineRule="auto"/>
              <w:jc w:val="left"/>
              <w:rPr>
                <w:b w:val="0"/>
                <w:bCs/>
                <w:color w:val="auto"/>
              </w:rPr>
            </w:pPr>
          </w:p>
        </w:tc>
        <w:tc>
          <w:tcPr>
            <w:tcW w:w="573" w:type="pct"/>
          </w:tcPr>
          <w:p>
            <w:pPr>
              <w:spacing w:line="360" w:lineRule="auto"/>
              <w:jc w:val="left"/>
              <w:rPr>
                <w:b w:val="0"/>
                <w:bCs/>
                <w:color w:val="auto"/>
              </w:rPr>
            </w:pPr>
          </w:p>
        </w:tc>
        <w:tc>
          <w:tcPr>
            <w:tcW w:w="391" w:type="pct"/>
          </w:tcPr>
          <w:p>
            <w:pPr>
              <w:spacing w:line="360" w:lineRule="auto"/>
              <w:jc w:val="left"/>
              <w:rPr>
                <w:b w:val="0"/>
                <w:bCs/>
                <w:color w:val="auto"/>
              </w:rPr>
            </w:pPr>
          </w:p>
        </w:tc>
        <w:tc>
          <w:tcPr>
            <w:tcW w:w="673" w:type="pct"/>
          </w:tcPr>
          <w:p>
            <w:pPr>
              <w:spacing w:line="360" w:lineRule="auto"/>
              <w:jc w:val="left"/>
              <w:rPr>
                <w:b w:val="0"/>
                <w:bCs/>
                <w:color w:val="auto"/>
              </w:rPr>
            </w:pPr>
          </w:p>
        </w:tc>
        <w:tc>
          <w:tcPr>
            <w:tcW w:w="617" w:type="pct"/>
          </w:tcPr>
          <w:p>
            <w:pPr>
              <w:spacing w:line="360" w:lineRule="auto"/>
              <w:jc w:val="left"/>
              <w:rPr>
                <w:b w:val="0"/>
                <w:bCs/>
                <w:color w:val="auto"/>
              </w:rPr>
            </w:pPr>
          </w:p>
        </w:tc>
        <w:tc>
          <w:tcPr>
            <w:tcW w:w="319" w:type="pct"/>
          </w:tcPr>
          <w:p>
            <w:pPr>
              <w:spacing w:line="360" w:lineRule="auto"/>
              <w:jc w:val="left"/>
              <w:rPr>
                <w:b w:val="0"/>
                <w:bCs/>
                <w:color w:val="auto"/>
              </w:rPr>
            </w:pPr>
          </w:p>
        </w:tc>
        <w:tc>
          <w:tcPr>
            <w:tcW w:w="424" w:type="pct"/>
          </w:tcPr>
          <w:p>
            <w:pPr>
              <w:spacing w:line="360" w:lineRule="auto"/>
              <w:jc w:val="left"/>
              <w:rPr>
                <w:b w:val="0"/>
                <w:bCs/>
                <w:color w:val="auto"/>
              </w:rPr>
            </w:pPr>
          </w:p>
        </w:tc>
        <w:tc>
          <w:tcPr>
            <w:tcW w:w="413" w:type="pct"/>
          </w:tcPr>
          <w:p>
            <w:pPr>
              <w:spacing w:line="360" w:lineRule="auto"/>
              <w:jc w:val="left"/>
              <w:rPr>
                <w:b w:val="0"/>
                <w:bCs/>
                <w:color w:val="auto"/>
              </w:rPr>
            </w:pPr>
          </w:p>
        </w:tc>
        <w:tc>
          <w:tcPr>
            <w:tcW w:w="424" w:type="pct"/>
          </w:tcPr>
          <w:p>
            <w:pPr>
              <w:spacing w:line="360" w:lineRule="auto"/>
              <w:jc w:val="left"/>
              <w:rPr>
                <w:b w:val="0"/>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593" w:type="pct"/>
          </w:tcPr>
          <w:p>
            <w:pPr>
              <w:spacing w:line="360" w:lineRule="auto"/>
              <w:jc w:val="left"/>
              <w:rPr>
                <w:b w:val="0"/>
                <w:bCs/>
                <w:color w:val="auto"/>
              </w:rPr>
            </w:pPr>
          </w:p>
        </w:tc>
        <w:tc>
          <w:tcPr>
            <w:tcW w:w="568" w:type="pct"/>
          </w:tcPr>
          <w:p>
            <w:pPr>
              <w:spacing w:line="360" w:lineRule="auto"/>
              <w:jc w:val="left"/>
              <w:rPr>
                <w:b w:val="0"/>
                <w:bCs/>
                <w:color w:val="auto"/>
              </w:rPr>
            </w:pPr>
          </w:p>
        </w:tc>
        <w:tc>
          <w:tcPr>
            <w:tcW w:w="573" w:type="pct"/>
          </w:tcPr>
          <w:p>
            <w:pPr>
              <w:spacing w:line="360" w:lineRule="auto"/>
              <w:jc w:val="left"/>
              <w:rPr>
                <w:b w:val="0"/>
                <w:bCs/>
                <w:color w:val="auto"/>
              </w:rPr>
            </w:pPr>
          </w:p>
        </w:tc>
        <w:tc>
          <w:tcPr>
            <w:tcW w:w="391" w:type="pct"/>
          </w:tcPr>
          <w:p>
            <w:pPr>
              <w:spacing w:line="360" w:lineRule="auto"/>
              <w:jc w:val="left"/>
              <w:rPr>
                <w:b w:val="0"/>
                <w:bCs/>
                <w:color w:val="auto"/>
              </w:rPr>
            </w:pPr>
          </w:p>
        </w:tc>
        <w:tc>
          <w:tcPr>
            <w:tcW w:w="673" w:type="pct"/>
          </w:tcPr>
          <w:p>
            <w:pPr>
              <w:spacing w:line="360" w:lineRule="auto"/>
              <w:jc w:val="left"/>
              <w:rPr>
                <w:b w:val="0"/>
                <w:bCs/>
                <w:color w:val="auto"/>
              </w:rPr>
            </w:pPr>
          </w:p>
        </w:tc>
        <w:tc>
          <w:tcPr>
            <w:tcW w:w="617" w:type="pct"/>
          </w:tcPr>
          <w:p>
            <w:pPr>
              <w:spacing w:line="360" w:lineRule="auto"/>
              <w:jc w:val="left"/>
              <w:rPr>
                <w:b w:val="0"/>
                <w:bCs/>
                <w:color w:val="auto"/>
              </w:rPr>
            </w:pPr>
          </w:p>
        </w:tc>
        <w:tc>
          <w:tcPr>
            <w:tcW w:w="319" w:type="pct"/>
          </w:tcPr>
          <w:p>
            <w:pPr>
              <w:spacing w:line="360" w:lineRule="auto"/>
              <w:jc w:val="left"/>
              <w:rPr>
                <w:b w:val="0"/>
                <w:bCs/>
                <w:color w:val="auto"/>
              </w:rPr>
            </w:pPr>
          </w:p>
        </w:tc>
        <w:tc>
          <w:tcPr>
            <w:tcW w:w="424" w:type="pct"/>
          </w:tcPr>
          <w:p>
            <w:pPr>
              <w:spacing w:line="360" w:lineRule="auto"/>
              <w:jc w:val="left"/>
              <w:rPr>
                <w:b w:val="0"/>
                <w:bCs/>
                <w:color w:val="auto"/>
              </w:rPr>
            </w:pPr>
          </w:p>
        </w:tc>
        <w:tc>
          <w:tcPr>
            <w:tcW w:w="413" w:type="pct"/>
          </w:tcPr>
          <w:p>
            <w:pPr>
              <w:spacing w:line="360" w:lineRule="auto"/>
              <w:jc w:val="left"/>
              <w:rPr>
                <w:b w:val="0"/>
                <w:bCs/>
                <w:color w:val="auto"/>
              </w:rPr>
            </w:pPr>
          </w:p>
        </w:tc>
        <w:tc>
          <w:tcPr>
            <w:tcW w:w="424" w:type="pct"/>
          </w:tcPr>
          <w:p>
            <w:pPr>
              <w:spacing w:line="360" w:lineRule="auto"/>
              <w:jc w:val="left"/>
              <w:rPr>
                <w:b w:val="0"/>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593" w:type="pct"/>
          </w:tcPr>
          <w:p>
            <w:pPr>
              <w:spacing w:line="360" w:lineRule="auto"/>
              <w:jc w:val="left"/>
              <w:rPr>
                <w:b w:val="0"/>
                <w:bCs/>
                <w:color w:val="auto"/>
              </w:rPr>
            </w:pPr>
          </w:p>
        </w:tc>
        <w:tc>
          <w:tcPr>
            <w:tcW w:w="568" w:type="pct"/>
          </w:tcPr>
          <w:p>
            <w:pPr>
              <w:spacing w:line="360" w:lineRule="auto"/>
              <w:jc w:val="left"/>
              <w:rPr>
                <w:b w:val="0"/>
                <w:bCs/>
                <w:color w:val="auto"/>
              </w:rPr>
            </w:pPr>
          </w:p>
        </w:tc>
        <w:tc>
          <w:tcPr>
            <w:tcW w:w="573" w:type="pct"/>
          </w:tcPr>
          <w:p>
            <w:pPr>
              <w:spacing w:line="360" w:lineRule="auto"/>
              <w:jc w:val="left"/>
              <w:rPr>
                <w:b w:val="0"/>
                <w:bCs/>
                <w:color w:val="auto"/>
              </w:rPr>
            </w:pPr>
          </w:p>
        </w:tc>
        <w:tc>
          <w:tcPr>
            <w:tcW w:w="391" w:type="pct"/>
          </w:tcPr>
          <w:p>
            <w:pPr>
              <w:spacing w:line="360" w:lineRule="auto"/>
              <w:jc w:val="left"/>
              <w:rPr>
                <w:b w:val="0"/>
                <w:bCs/>
                <w:color w:val="auto"/>
              </w:rPr>
            </w:pPr>
          </w:p>
        </w:tc>
        <w:tc>
          <w:tcPr>
            <w:tcW w:w="673" w:type="pct"/>
          </w:tcPr>
          <w:p>
            <w:pPr>
              <w:spacing w:line="360" w:lineRule="auto"/>
              <w:jc w:val="left"/>
              <w:rPr>
                <w:b w:val="0"/>
                <w:bCs/>
                <w:color w:val="auto"/>
              </w:rPr>
            </w:pPr>
          </w:p>
        </w:tc>
        <w:tc>
          <w:tcPr>
            <w:tcW w:w="617" w:type="pct"/>
          </w:tcPr>
          <w:p>
            <w:pPr>
              <w:spacing w:line="360" w:lineRule="auto"/>
              <w:jc w:val="left"/>
              <w:rPr>
                <w:b w:val="0"/>
                <w:bCs/>
                <w:color w:val="auto"/>
              </w:rPr>
            </w:pPr>
          </w:p>
        </w:tc>
        <w:tc>
          <w:tcPr>
            <w:tcW w:w="319" w:type="pct"/>
          </w:tcPr>
          <w:p>
            <w:pPr>
              <w:spacing w:line="360" w:lineRule="auto"/>
              <w:jc w:val="left"/>
              <w:rPr>
                <w:b w:val="0"/>
                <w:bCs/>
                <w:color w:val="auto"/>
              </w:rPr>
            </w:pPr>
          </w:p>
        </w:tc>
        <w:tc>
          <w:tcPr>
            <w:tcW w:w="424" w:type="pct"/>
          </w:tcPr>
          <w:p>
            <w:pPr>
              <w:spacing w:line="360" w:lineRule="auto"/>
              <w:jc w:val="left"/>
              <w:rPr>
                <w:b w:val="0"/>
                <w:bCs/>
                <w:color w:val="auto"/>
              </w:rPr>
            </w:pPr>
          </w:p>
        </w:tc>
        <w:tc>
          <w:tcPr>
            <w:tcW w:w="413" w:type="pct"/>
          </w:tcPr>
          <w:p>
            <w:pPr>
              <w:spacing w:line="360" w:lineRule="auto"/>
              <w:jc w:val="left"/>
              <w:rPr>
                <w:b w:val="0"/>
                <w:bCs/>
                <w:color w:val="auto"/>
              </w:rPr>
            </w:pPr>
          </w:p>
        </w:tc>
        <w:tc>
          <w:tcPr>
            <w:tcW w:w="424" w:type="pct"/>
          </w:tcPr>
          <w:p>
            <w:pPr>
              <w:spacing w:line="360" w:lineRule="auto"/>
              <w:jc w:val="left"/>
              <w:rPr>
                <w:b w:val="0"/>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593" w:type="pct"/>
          </w:tcPr>
          <w:p>
            <w:pPr>
              <w:spacing w:line="360" w:lineRule="auto"/>
              <w:jc w:val="left"/>
              <w:rPr>
                <w:b w:val="0"/>
                <w:bCs/>
                <w:color w:val="auto"/>
              </w:rPr>
            </w:pPr>
          </w:p>
        </w:tc>
        <w:tc>
          <w:tcPr>
            <w:tcW w:w="568" w:type="pct"/>
          </w:tcPr>
          <w:p>
            <w:pPr>
              <w:spacing w:line="360" w:lineRule="auto"/>
              <w:jc w:val="left"/>
              <w:rPr>
                <w:b w:val="0"/>
                <w:bCs/>
                <w:color w:val="auto"/>
              </w:rPr>
            </w:pPr>
          </w:p>
        </w:tc>
        <w:tc>
          <w:tcPr>
            <w:tcW w:w="573" w:type="pct"/>
          </w:tcPr>
          <w:p>
            <w:pPr>
              <w:spacing w:line="360" w:lineRule="auto"/>
              <w:jc w:val="left"/>
              <w:rPr>
                <w:b w:val="0"/>
                <w:bCs/>
                <w:color w:val="auto"/>
              </w:rPr>
            </w:pPr>
          </w:p>
        </w:tc>
        <w:tc>
          <w:tcPr>
            <w:tcW w:w="391" w:type="pct"/>
          </w:tcPr>
          <w:p>
            <w:pPr>
              <w:spacing w:line="360" w:lineRule="auto"/>
              <w:jc w:val="left"/>
              <w:rPr>
                <w:b w:val="0"/>
                <w:bCs/>
                <w:color w:val="auto"/>
              </w:rPr>
            </w:pPr>
          </w:p>
        </w:tc>
        <w:tc>
          <w:tcPr>
            <w:tcW w:w="673" w:type="pct"/>
          </w:tcPr>
          <w:p>
            <w:pPr>
              <w:spacing w:line="360" w:lineRule="auto"/>
              <w:jc w:val="left"/>
              <w:rPr>
                <w:b w:val="0"/>
                <w:bCs/>
                <w:color w:val="auto"/>
              </w:rPr>
            </w:pPr>
          </w:p>
        </w:tc>
        <w:tc>
          <w:tcPr>
            <w:tcW w:w="617" w:type="pct"/>
          </w:tcPr>
          <w:p>
            <w:pPr>
              <w:spacing w:line="360" w:lineRule="auto"/>
              <w:jc w:val="left"/>
              <w:rPr>
                <w:b w:val="0"/>
                <w:bCs/>
                <w:color w:val="auto"/>
              </w:rPr>
            </w:pPr>
          </w:p>
        </w:tc>
        <w:tc>
          <w:tcPr>
            <w:tcW w:w="319" w:type="pct"/>
          </w:tcPr>
          <w:p>
            <w:pPr>
              <w:spacing w:line="360" w:lineRule="auto"/>
              <w:jc w:val="left"/>
              <w:rPr>
                <w:b w:val="0"/>
                <w:bCs/>
                <w:color w:val="auto"/>
              </w:rPr>
            </w:pPr>
          </w:p>
        </w:tc>
        <w:tc>
          <w:tcPr>
            <w:tcW w:w="424" w:type="pct"/>
          </w:tcPr>
          <w:p>
            <w:pPr>
              <w:spacing w:line="360" w:lineRule="auto"/>
              <w:jc w:val="left"/>
              <w:rPr>
                <w:b w:val="0"/>
                <w:bCs/>
                <w:color w:val="auto"/>
              </w:rPr>
            </w:pPr>
          </w:p>
        </w:tc>
        <w:tc>
          <w:tcPr>
            <w:tcW w:w="413" w:type="pct"/>
          </w:tcPr>
          <w:p>
            <w:pPr>
              <w:spacing w:line="360" w:lineRule="auto"/>
              <w:jc w:val="left"/>
              <w:rPr>
                <w:b w:val="0"/>
                <w:bCs/>
                <w:color w:val="auto"/>
              </w:rPr>
            </w:pPr>
          </w:p>
        </w:tc>
        <w:tc>
          <w:tcPr>
            <w:tcW w:w="424" w:type="pct"/>
          </w:tcPr>
          <w:p>
            <w:pPr>
              <w:spacing w:line="360" w:lineRule="auto"/>
              <w:jc w:val="left"/>
              <w:rPr>
                <w:b w:val="0"/>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593" w:type="pct"/>
          </w:tcPr>
          <w:p>
            <w:pPr>
              <w:spacing w:line="360" w:lineRule="auto"/>
              <w:jc w:val="left"/>
              <w:rPr>
                <w:b w:val="0"/>
                <w:bCs/>
                <w:color w:val="auto"/>
              </w:rPr>
            </w:pPr>
          </w:p>
        </w:tc>
        <w:tc>
          <w:tcPr>
            <w:tcW w:w="568" w:type="pct"/>
          </w:tcPr>
          <w:p>
            <w:pPr>
              <w:spacing w:line="360" w:lineRule="auto"/>
              <w:jc w:val="left"/>
              <w:rPr>
                <w:b w:val="0"/>
                <w:bCs/>
                <w:color w:val="auto"/>
              </w:rPr>
            </w:pPr>
          </w:p>
        </w:tc>
        <w:tc>
          <w:tcPr>
            <w:tcW w:w="573" w:type="pct"/>
          </w:tcPr>
          <w:p>
            <w:pPr>
              <w:spacing w:line="360" w:lineRule="auto"/>
              <w:jc w:val="left"/>
              <w:rPr>
                <w:b w:val="0"/>
                <w:bCs/>
                <w:color w:val="auto"/>
              </w:rPr>
            </w:pPr>
          </w:p>
        </w:tc>
        <w:tc>
          <w:tcPr>
            <w:tcW w:w="391" w:type="pct"/>
          </w:tcPr>
          <w:p>
            <w:pPr>
              <w:spacing w:line="360" w:lineRule="auto"/>
              <w:jc w:val="left"/>
              <w:rPr>
                <w:b w:val="0"/>
                <w:bCs/>
                <w:color w:val="auto"/>
              </w:rPr>
            </w:pPr>
          </w:p>
        </w:tc>
        <w:tc>
          <w:tcPr>
            <w:tcW w:w="673" w:type="pct"/>
          </w:tcPr>
          <w:p>
            <w:pPr>
              <w:spacing w:line="360" w:lineRule="auto"/>
              <w:jc w:val="left"/>
              <w:rPr>
                <w:b w:val="0"/>
                <w:bCs/>
                <w:color w:val="auto"/>
              </w:rPr>
            </w:pPr>
          </w:p>
        </w:tc>
        <w:tc>
          <w:tcPr>
            <w:tcW w:w="617" w:type="pct"/>
          </w:tcPr>
          <w:p>
            <w:pPr>
              <w:spacing w:line="360" w:lineRule="auto"/>
              <w:jc w:val="left"/>
              <w:rPr>
                <w:b w:val="0"/>
                <w:bCs/>
                <w:color w:val="auto"/>
              </w:rPr>
            </w:pPr>
          </w:p>
        </w:tc>
        <w:tc>
          <w:tcPr>
            <w:tcW w:w="319" w:type="pct"/>
          </w:tcPr>
          <w:p>
            <w:pPr>
              <w:spacing w:line="360" w:lineRule="auto"/>
              <w:jc w:val="left"/>
              <w:rPr>
                <w:b w:val="0"/>
                <w:bCs/>
                <w:color w:val="auto"/>
              </w:rPr>
            </w:pPr>
          </w:p>
        </w:tc>
        <w:tc>
          <w:tcPr>
            <w:tcW w:w="424" w:type="pct"/>
          </w:tcPr>
          <w:p>
            <w:pPr>
              <w:spacing w:line="360" w:lineRule="auto"/>
              <w:jc w:val="left"/>
              <w:rPr>
                <w:b w:val="0"/>
                <w:bCs/>
                <w:color w:val="auto"/>
              </w:rPr>
            </w:pPr>
          </w:p>
        </w:tc>
        <w:tc>
          <w:tcPr>
            <w:tcW w:w="413" w:type="pct"/>
          </w:tcPr>
          <w:p>
            <w:pPr>
              <w:spacing w:line="360" w:lineRule="auto"/>
              <w:jc w:val="left"/>
              <w:rPr>
                <w:b w:val="0"/>
                <w:bCs/>
                <w:color w:val="auto"/>
              </w:rPr>
            </w:pPr>
          </w:p>
        </w:tc>
        <w:tc>
          <w:tcPr>
            <w:tcW w:w="424" w:type="pct"/>
          </w:tcPr>
          <w:p>
            <w:pPr>
              <w:spacing w:line="360" w:lineRule="auto"/>
              <w:jc w:val="left"/>
              <w:rPr>
                <w:b w:val="0"/>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593" w:type="pct"/>
          </w:tcPr>
          <w:p>
            <w:pPr>
              <w:spacing w:line="360" w:lineRule="auto"/>
              <w:jc w:val="left"/>
              <w:rPr>
                <w:b w:val="0"/>
                <w:bCs/>
                <w:color w:val="auto"/>
              </w:rPr>
            </w:pPr>
          </w:p>
        </w:tc>
        <w:tc>
          <w:tcPr>
            <w:tcW w:w="568" w:type="pct"/>
          </w:tcPr>
          <w:p>
            <w:pPr>
              <w:spacing w:line="360" w:lineRule="auto"/>
              <w:jc w:val="left"/>
              <w:rPr>
                <w:b w:val="0"/>
                <w:bCs/>
                <w:color w:val="auto"/>
              </w:rPr>
            </w:pPr>
          </w:p>
        </w:tc>
        <w:tc>
          <w:tcPr>
            <w:tcW w:w="573" w:type="pct"/>
          </w:tcPr>
          <w:p>
            <w:pPr>
              <w:spacing w:line="360" w:lineRule="auto"/>
              <w:jc w:val="left"/>
              <w:rPr>
                <w:b w:val="0"/>
                <w:bCs/>
                <w:color w:val="auto"/>
              </w:rPr>
            </w:pPr>
          </w:p>
        </w:tc>
        <w:tc>
          <w:tcPr>
            <w:tcW w:w="391" w:type="pct"/>
          </w:tcPr>
          <w:p>
            <w:pPr>
              <w:spacing w:line="360" w:lineRule="auto"/>
              <w:jc w:val="left"/>
              <w:rPr>
                <w:b w:val="0"/>
                <w:bCs/>
                <w:color w:val="auto"/>
              </w:rPr>
            </w:pPr>
          </w:p>
        </w:tc>
        <w:tc>
          <w:tcPr>
            <w:tcW w:w="673" w:type="pct"/>
          </w:tcPr>
          <w:p>
            <w:pPr>
              <w:spacing w:line="360" w:lineRule="auto"/>
              <w:jc w:val="left"/>
              <w:rPr>
                <w:b w:val="0"/>
                <w:bCs/>
                <w:color w:val="auto"/>
              </w:rPr>
            </w:pPr>
          </w:p>
        </w:tc>
        <w:tc>
          <w:tcPr>
            <w:tcW w:w="617" w:type="pct"/>
          </w:tcPr>
          <w:p>
            <w:pPr>
              <w:spacing w:line="360" w:lineRule="auto"/>
              <w:jc w:val="left"/>
              <w:rPr>
                <w:b w:val="0"/>
                <w:bCs/>
                <w:color w:val="auto"/>
              </w:rPr>
            </w:pPr>
          </w:p>
        </w:tc>
        <w:tc>
          <w:tcPr>
            <w:tcW w:w="319" w:type="pct"/>
          </w:tcPr>
          <w:p>
            <w:pPr>
              <w:spacing w:line="360" w:lineRule="auto"/>
              <w:jc w:val="left"/>
              <w:rPr>
                <w:b w:val="0"/>
                <w:bCs/>
                <w:color w:val="auto"/>
              </w:rPr>
            </w:pPr>
          </w:p>
        </w:tc>
        <w:tc>
          <w:tcPr>
            <w:tcW w:w="424" w:type="pct"/>
          </w:tcPr>
          <w:p>
            <w:pPr>
              <w:spacing w:line="360" w:lineRule="auto"/>
              <w:jc w:val="left"/>
              <w:rPr>
                <w:b w:val="0"/>
                <w:bCs/>
                <w:color w:val="auto"/>
              </w:rPr>
            </w:pPr>
          </w:p>
        </w:tc>
        <w:tc>
          <w:tcPr>
            <w:tcW w:w="413" w:type="pct"/>
          </w:tcPr>
          <w:p>
            <w:pPr>
              <w:spacing w:line="360" w:lineRule="auto"/>
              <w:jc w:val="left"/>
              <w:rPr>
                <w:b w:val="0"/>
                <w:bCs/>
                <w:color w:val="auto"/>
              </w:rPr>
            </w:pPr>
          </w:p>
        </w:tc>
        <w:tc>
          <w:tcPr>
            <w:tcW w:w="424" w:type="pct"/>
          </w:tcPr>
          <w:p>
            <w:pPr>
              <w:spacing w:line="360" w:lineRule="auto"/>
              <w:jc w:val="left"/>
              <w:rPr>
                <w:b w:val="0"/>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593" w:type="pct"/>
          </w:tcPr>
          <w:p>
            <w:pPr>
              <w:spacing w:line="360" w:lineRule="auto"/>
              <w:jc w:val="left"/>
              <w:rPr>
                <w:b w:val="0"/>
                <w:bCs/>
                <w:color w:val="auto"/>
              </w:rPr>
            </w:pPr>
          </w:p>
        </w:tc>
        <w:tc>
          <w:tcPr>
            <w:tcW w:w="568" w:type="pct"/>
          </w:tcPr>
          <w:p>
            <w:pPr>
              <w:spacing w:line="360" w:lineRule="auto"/>
              <w:jc w:val="left"/>
              <w:rPr>
                <w:b w:val="0"/>
                <w:bCs/>
                <w:color w:val="auto"/>
              </w:rPr>
            </w:pPr>
          </w:p>
        </w:tc>
        <w:tc>
          <w:tcPr>
            <w:tcW w:w="573" w:type="pct"/>
          </w:tcPr>
          <w:p>
            <w:pPr>
              <w:spacing w:line="360" w:lineRule="auto"/>
              <w:jc w:val="left"/>
              <w:rPr>
                <w:b w:val="0"/>
                <w:bCs/>
                <w:color w:val="auto"/>
              </w:rPr>
            </w:pPr>
          </w:p>
        </w:tc>
        <w:tc>
          <w:tcPr>
            <w:tcW w:w="391" w:type="pct"/>
          </w:tcPr>
          <w:p>
            <w:pPr>
              <w:spacing w:line="360" w:lineRule="auto"/>
              <w:jc w:val="left"/>
              <w:rPr>
                <w:b w:val="0"/>
                <w:bCs/>
                <w:color w:val="auto"/>
              </w:rPr>
            </w:pPr>
          </w:p>
        </w:tc>
        <w:tc>
          <w:tcPr>
            <w:tcW w:w="673" w:type="pct"/>
          </w:tcPr>
          <w:p>
            <w:pPr>
              <w:spacing w:line="360" w:lineRule="auto"/>
              <w:jc w:val="left"/>
              <w:rPr>
                <w:b w:val="0"/>
                <w:bCs/>
                <w:color w:val="auto"/>
              </w:rPr>
            </w:pPr>
          </w:p>
        </w:tc>
        <w:tc>
          <w:tcPr>
            <w:tcW w:w="617" w:type="pct"/>
          </w:tcPr>
          <w:p>
            <w:pPr>
              <w:spacing w:line="360" w:lineRule="auto"/>
              <w:jc w:val="left"/>
              <w:rPr>
                <w:b w:val="0"/>
                <w:bCs/>
                <w:color w:val="auto"/>
              </w:rPr>
            </w:pPr>
          </w:p>
        </w:tc>
        <w:tc>
          <w:tcPr>
            <w:tcW w:w="319" w:type="pct"/>
          </w:tcPr>
          <w:p>
            <w:pPr>
              <w:spacing w:line="360" w:lineRule="auto"/>
              <w:jc w:val="left"/>
              <w:rPr>
                <w:b w:val="0"/>
                <w:bCs/>
                <w:color w:val="auto"/>
              </w:rPr>
            </w:pPr>
          </w:p>
        </w:tc>
        <w:tc>
          <w:tcPr>
            <w:tcW w:w="424" w:type="pct"/>
          </w:tcPr>
          <w:p>
            <w:pPr>
              <w:spacing w:line="360" w:lineRule="auto"/>
              <w:jc w:val="left"/>
              <w:rPr>
                <w:b w:val="0"/>
                <w:bCs/>
                <w:color w:val="auto"/>
              </w:rPr>
            </w:pPr>
          </w:p>
        </w:tc>
        <w:tc>
          <w:tcPr>
            <w:tcW w:w="413" w:type="pct"/>
          </w:tcPr>
          <w:p>
            <w:pPr>
              <w:spacing w:line="360" w:lineRule="auto"/>
              <w:jc w:val="left"/>
              <w:rPr>
                <w:b w:val="0"/>
                <w:bCs/>
                <w:color w:val="auto"/>
              </w:rPr>
            </w:pPr>
          </w:p>
        </w:tc>
        <w:tc>
          <w:tcPr>
            <w:tcW w:w="424" w:type="pct"/>
          </w:tcPr>
          <w:p>
            <w:pPr>
              <w:spacing w:line="360" w:lineRule="auto"/>
              <w:jc w:val="left"/>
              <w:rPr>
                <w:b w:val="0"/>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593" w:type="pct"/>
          </w:tcPr>
          <w:p>
            <w:pPr>
              <w:spacing w:line="360" w:lineRule="auto"/>
              <w:jc w:val="left"/>
              <w:rPr>
                <w:b w:val="0"/>
                <w:bCs/>
                <w:color w:val="auto"/>
              </w:rPr>
            </w:pPr>
          </w:p>
        </w:tc>
        <w:tc>
          <w:tcPr>
            <w:tcW w:w="568" w:type="pct"/>
          </w:tcPr>
          <w:p>
            <w:pPr>
              <w:spacing w:line="360" w:lineRule="auto"/>
              <w:jc w:val="left"/>
              <w:rPr>
                <w:b w:val="0"/>
                <w:bCs/>
                <w:color w:val="auto"/>
              </w:rPr>
            </w:pPr>
          </w:p>
        </w:tc>
        <w:tc>
          <w:tcPr>
            <w:tcW w:w="573" w:type="pct"/>
          </w:tcPr>
          <w:p>
            <w:pPr>
              <w:spacing w:line="360" w:lineRule="auto"/>
              <w:jc w:val="left"/>
              <w:rPr>
                <w:b w:val="0"/>
                <w:bCs/>
                <w:color w:val="auto"/>
              </w:rPr>
            </w:pPr>
          </w:p>
        </w:tc>
        <w:tc>
          <w:tcPr>
            <w:tcW w:w="391" w:type="pct"/>
          </w:tcPr>
          <w:p>
            <w:pPr>
              <w:spacing w:line="360" w:lineRule="auto"/>
              <w:jc w:val="left"/>
              <w:rPr>
                <w:b w:val="0"/>
                <w:bCs/>
                <w:color w:val="auto"/>
              </w:rPr>
            </w:pPr>
          </w:p>
        </w:tc>
        <w:tc>
          <w:tcPr>
            <w:tcW w:w="673" w:type="pct"/>
          </w:tcPr>
          <w:p>
            <w:pPr>
              <w:spacing w:line="360" w:lineRule="auto"/>
              <w:jc w:val="left"/>
              <w:rPr>
                <w:b w:val="0"/>
                <w:bCs/>
                <w:color w:val="auto"/>
              </w:rPr>
            </w:pPr>
          </w:p>
        </w:tc>
        <w:tc>
          <w:tcPr>
            <w:tcW w:w="617" w:type="pct"/>
          </w:tcPr>
          <w:p>
            <w:pPr>
              <w:spacing w:line="360" w:lineRule="auto"/>
              <w:jc w:val="left"/>
              <w:rPr>
                <w:b w:val="0"/>
                <w:bCs/>
                <w:color w:val="auto"/>
              </w:rPr>
            </w:pPr>
          </w:p>
        </w:tc>
        <w:tc>
          <w:tcPr>
            <w:tcW w:w="319" w:type="pct"/>
          </w:tcPr>
          <w:p>
            <w:pPr>
              <w:spacing w:line="360" w:lineRule="auto"/>
              <w:jc w:val="left"/>
              <w:rPr>
                <w:b w:val="0"/>
                <w:bCs/>
                <w:color w:val="auto"/>
              </w:rPr>
            </w:pPr>
          </w:p>
        </w:tc>
        <w:tc>
          <w:tcPr>
            <w:tcW w:w="424" w:type="pct"/>
          </w:tcPr>
          <w:p>
            <w:pPr>
              <w:spacing w:line="360" w:lineRule="auto"/>
              <w:jc w:val="left"/>
              <w:rPr>
                <w:b w:val="0"/>
                <w:bCs/>
                <w:color w:val="auto"/>
              </w:rPr>
            </w:pPr>
          </w:p>
        </w:tc>
        <w:tc>
          <w:tcPr>
            <w:tcW w:w="413" w:type="pct"/>
          </w:tcPr>
          <w:p>
            <w:pPr>
              <w:spacing w:line="360" w:lineRule="auto"/>
              <w:jc w:val="left"/>
              <w:rPr>
                <w:b w:val="0"/>
                <w:bCs/>
                <w:color w:val="auto"/>
              </w:rPr>
            </w:pPr>
          </w:p>
        </w:tc>
        <w:tc>
          <w:tcPr>
            <w:tcW w:w="424" w:type="pct"/>
          </w:tcPr>
          <w:p>
            <w:pPr>
              <w:spacing w:line="360" w:lineRule="auto"/>
              <w:jc w:val="left"/>
              <w:rPr>
                <w:b w:val="0"/>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593" w:type="pct"/>
          </w:tcPr>
          <w:p>
            <w:pPr>
              <w:spacing w:line="360" w:lineRule="auto"/>
              <w:jc w:val="left"/>
              <w:rPr>
                <w:b w:val="0"/>
                <w:bCs/>
                <w:color w:val="auto"/>
              </w:rPr>
            </w:pPr>
          </w:p>
        </w:tc>
        <w:tc>
          <w:tcPr>
            <w:tcW w:w="568" w:type="pct"/>
          </w:tcPr>
          <w:p>
            <w:pPr>
              <w:spacing w:line="360" w:lineRule="auto"/>
              <w:jc w:val="left"/>
              <w:rPr>
                <w:b w:val="0"/>
                <w:bCs/>
                <w:color w:val="auto"/>
              </w:rPr>
            </w:pPr>
          </w:p>
        </w:tc>
        <w:tc>
          <w:tcPr>
            <w:tcW w:w="573" w:type="pct"/>
          </w:tcPr>
          <w:p>
            <w:pPr>
              <w:spacing w:line="360" w:lineRule="auto"/>
              <w:jc w:val="left"/>
              <w:rPr>
                <w:b w:val="0"/>
                <w:bCs/>
                <w:color w:val="auto"/>
              </w:rPr>
            </w:pPr>
          </w:p>
        </w:tc>
        <w:tc>
          <w:tcPr>
            <w:tcW w:w="391" w:type="pct"/>
          </w:tcPr>
          <w:p>
            <w:pPr>
              <w:spacing w:line="360" w:lineRule="auto"/>
              <w:jc w:val="left"/>
              <w:rPr>
                <w:b w:val="0"/>
                <w:bCs/>
                <w:color w:val="auto"/>
              </w:rPr>
            </w:pPr>
          </w:p>
        </w:tc>
        <w:tc>
          <w:tcPr>
            <w:tcW w:w="673" w:type="pct"/>
          </w:tcPr>
          <w:p>
            <w:pPr>
              <w:spacing w:line="360" w:lineRule="auto"/>
              <w:jc w:val="left"/>
              <w:rPr>
                <w:b w:val="0"/>
                <w:bCs/>
                <w:color w:val="auto"/>
              </w:rPr>
            </w:pPr>
          </w:p>
        </w:tc>
        <w:tc>
          <w:tcPr>
            <w:tcW w:w="617" w:type="pct"/>
          </w:tcPr>
          <w:p>
            <w:pPr>
              <w:spacing w:line="360" w:lineRule="auto"/>
              <w:jc w:val="left"/>
              <w:rPr>
                <w:b w:val="0"/>
                <w:bCs/>
                <w:color w:val="auto"/>
              </w:rPr>
            </w:pPr>
          </w:p>
        </w:tc>
        <w:tc>
          <w:tcPr>
            <w:tcW w:w="319" w:type="pct"/>
          </w:tcPr>
          <w:p>
            <w:pPr>
              <w:spacing w:line="360" w:lineRule="auto"/>
              <w:jc w:val="left"/>
              <w:rPr>
                <w:b w:val="0"/>
                <w:bCs/>
                <w:color w:val="auto"/>
              </w:rPr>
            </w:pPr>
          </w:p>
        </w:tc>
        <w:tc>
          <w:tcPr>
            <w:tcW w:w="424" w:type="pct"/>
          </w:tcPr>
          <w:p>
            <w:pPr>
              <w:spacing w:line="360" w:lineRule="auto"/>
              <w:jc w:val="left"/>
              <w:rPr>
                <w:b w:val="0"/>
                <w:bCs/>
                <w:color w:val="auto"/>
              </w:rPr>
            </w:pPr>
          </w:p>
        </w:tc>
        <w:tc>
          <w:tcPr>
            <w:tcW w:w="413" w:type="pct"/>
          </w:tcPr>
          <w:p>
            <w:pPr>
              <w:spacing w:line="360" w:lineRule="auto"/>
              <w:jc w:val="left"/>
              <w:rPr>
                <w:b w:val="0"/>
                <w:bCs/>
                <w:color w:val="auto"/>
              </w:rPr>
            </w:pPr>
          </w:p>
        </w:tc>
        <w:tc>
          <w:tcPr>
            <w:tcW w:w="424" w:type="pct"/>
          </w:tcPr>
          <w:p>
            <w:pPr>
              <w:spacing w:line="360" w:lineRule="auto"/>
              <w:jc w:val="left"/>
              <w:rPr>
                <w:b w:val="0"/>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593" w:type="pct"/>
          </w:tcPr>
          <w:p>
            <w:pPr>
              <w:spacing w:line="360" w:lineRule="auto"/>
              <w:jc w:val="left"/>
              <w:rPr>
                <w:b w:val="0"/>
                <w:bCs/>
                <w:color w:val="auto"/>
              </w:rPr>
            </w:pPr>
          </w:p>
        </w:tc>
        <w:tc>
          <w:tcPr>
            <w:tcW w:w="568" w:type="pct"/>
          </w:tcPr>
          <w:p>
            <w:pPr>
              <w:spacing w:line="360" w:lineRule="auto"/>
              <w:jc w:val="left"/>
              <w:rPr>
                <w:b w:val="0"/>
                <w:bCs/>
                <w:color w:val="auto"/>
              </w:rPr>
            </w:pPr>
          </w:p>
        </w:tc>
        <w:tc>
          <w:tcPr>
            <w:tcW w:w="573" w:type="pct"/>
          </w:tcPr>
          <w:p>
            <w:pPr>
              <w:spacing w:line="360" w:lineRule="auto"/>
              <w:jc w:val="left"/>
              <w:rPr>
                <w:b w:val="0"/>
                <w:bCs/>
                <w:color w:val="auto"/>
              </w:rPr>
            </w:pPr>
          </w:p>
        </w:tc>
        <w:tc>
          <w:tcPr>
            <w:tcW w:w="391" w:type="pct"/>
          </w:tcPr>
          <w:p>
            <w:pPr>
              <w:spacing w:line="360" w:lineRule="auto"/>
              <w:jc w:val="left"/>
              <w:rPr>
                <w:b w:val="0"/>
                <w:bCs/>
                <w:color w:val="auto"/>
              </w:rPr>
            </w:pPr>
          </w:p>
        </w:tc>
        <w:tc>
          <w:tcPr>
            <w:tcW w:w="673" w:type="pct"/>
          </w:tcPr>
          <w:p>
            <w:pPr>
              <w:spacing w:line="360" w:lineRule="auto"/>
              <w:jc w:val="left"/>
              <w:rPr>
                <w:b w:val="0"/>
                <w:bCs/>
                <w:color w:val="auto"/>
              </w:rPr>
            </w:pPr>
          </w:p>
        </w:tc>
        <w:tc>
          <w:tcPr>
            <w:tcW w:w="617" w:type="pct"/>
          </w:tcPr>
          <w:p>
            <w:pPr>
              <w:spacing w:line="360" w:lineRule="auto"/>
              <w:jc w:val="left"/>
              <w:rPr>
                <w:b w:val="0"/>
                <w:bCs/>
                <w:color w:val="auto"/>
              </w:rPr>
            </w:pPr>
          </w:p>
        </w:tc>
        <w:tc>
          <w:tcPr>
            <w:tcW w:w="319" w:type="pct"/>
          </w:tcPr>
          <w:p>
            <w:pPr>
              <w:spacing w:line="360" w:lineRule="auto"/>
              <w:jc w:val="left"/>
              <w:rPr>
                <w:b w:val="0"/>
                <w:bCs/>
                <w:color w:val="auto"/>
              </w:rPr>
            </w:pPr>
          </w:p>
        </w:tc>
        <w:tc>
          <w:tcPr>
            <w:tcW w:w="424" w:type="pct"/>
          </w:tcPr>
          <w:p>
            <w:pPr>
              <w:spacing w:line="360" w:lineRule="auto"/>
              <w:jc w:val="left"/>
              <w:rPr>
                <w:b w:val="0"/>
                <w:bCs/>
                <w:color w:val="auto"/>
              </w:rPr>
            </w:pPr>
          </w:p>
        </w:tc>
        <w:tc>
          <w:tcPr>
            <w:tcW w:w="413" w:type="pct"/>
          </w:tcPr>
          <w:p>
            <w:pPr>
              <w:spacing w:line="360" w:lineRule="auto"/>
              <w:jc w:val="left"/>
              <w:rPr>
                <w:b w:val="0"/>
                <w:bCs/>
                <w:color w:val="auto"/>
              </w:rPr>
            </w:pPr>
          </w:p>
        </w:tc>
        <w:tc>
          <w:tcPr>
            <w:tcW w:w="424" w:type="pct"/>
          </w:tcPr>
          <w:p>
            <w:pPr>
              <w:spacing w:line="360" w:lineRule="auto"/>
              <w:jc w:val="left"/>
              <w:rPr>
                <w:b w:val="0"/>
                <w:bCs/>
                <w:color w:val="auto"/>
              </w:rPr>
            </w:pPr>
          </w:p>
        </w:tc>
      </w:tr>
    </w:tbl>
    <w:p>
      <w:pPr>
        <w:spacing w:line="480" w:lineRule="auto"/>
        <w:ind w:firstLine="1960" w:firstLineChars="700"/>
        <w:rPr>
          <w:rFonts w:ascii="黑体" w:hAnsi="黑体" w:eastAsia="黑体" w:cs="黑体"/>
          <w:b w:val="0"/>
          <w:bCs/>
          <w:color w:val="auto"/>
          <w:sz w:val="28"/>
          <w:szCs w:val="28"/>
        </w:rPr>
      </w:pPr>
    </w:p>
    <w:p>
      <w:pPr>
        <w:spacing w:line="480" w:lineRule="auto"/>
        <w:ind w:firstLine="1960" w:firstLineChars="700"/>
        <w:rPr>
          <w:rFonts w:ascii="黑体" w:hAnsi="黑体" w:eastAsia="黑体" w:cs="黑体"/>
          <w:b w:val="0"/>
          <w:bCs/>
          <w:color w:val="auto"/>
          <w:sz w:val="28"/>
          <w:szCs w:val="28"/>
        </w:rPr>
        <w:sectPr>
          <w:footerReference r:id="rId112" w:type="default"/>
          <w:pgSz w:w="16838" w:h="11906" w:orient="landscape"/>
          <w:pgMar w:top="1474" w:right="1417" w:bottom="1191" w:left="1474" w:header="0" w:footer="992" w:gutter="0"/>
          <w:pgBorders>
            <w:top w:val="none" w:sz="0" w:space="0"/>
            <w:left w:val="none" w:sz="0" w:space="0"/>
            <w:bottom w:val="none" w:sz="0" w:space="0"/>
            <w:right w:val="none" w:sz="0" w:space="0"/>
          </w:pgBorders>
          <w:pgNumType w:fmt="decimal"/>
          <w:cols w:space="0" w:num="1"/>
          <w:docGrid w:type="lines" w:linePitch="318" w:charSpace="0"/>
        </w:sectPr>
      </w:pPr>
    </w:p>
    <w:p>
      <w:pP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附件7</w:t>
      </w:r>
      <w:r>
        <w:rPr>
          <w:rFonts w:hint="eastAsia" w:ascii="宋体" w:hAnsi="宋体" w:eastAsia="宋体" w:cs="宋体"/>
          <w:b w:val="0"/>
          <w:bCs/>
          <w:color w:val="auto"/>
          <w:sz w:val="24"/>
          <w:szCs w:val="24"/>
          <w:lang w:eastAsia="zh-CN"/>
        </w:rPr>
        <w:t>：</w:t>
      </w:r>
      <w:r>
        <w:rPr>
          <w:rFonts w:hint="eastAsia" w:asciiTheme="minorEastAsia" w:hAnsiTheme="minorEastAsia" w:cstheme="minorEastAsia"/>
          <w:b w:val="0"/>
          <w:bCs/>
          <w:color w:val="auto"/>
          <w:sz w:val="24"/>
          <w:szCs w:val="24"/>
          <w:lang w:val="en-US" w:eastAsia="zh-CN"/>
        </w:rPr>
        <w:t>YYH-SOP-CTC-012-3.1-A07</w:t>
      </w:r>
      <w:r>
        <w:rPr>
          <w:rFonts w:hint="eastAsia" w:ascii="宋体" w:hAnsi="宋体" w:eastAsia="宋体" w:cs="宋体"/>
          <w:b w:val="0"/>
          <w:bCs/>
          <w:color w:val="auto"/>
          <w:sz w:val="24"/>
          <w:szCs w:val="24"/>
        </w:rPr>
        <w:t>医疗器械临床试验专用</w:t>
      </w:r>
      <w:r>
        <w:rPr>
          <w:rFonts w:hint="eastAsia" w:ascii="宋体" w:hAnsi="宋体" w:eastAsia="宋体" w:cs="宋体"/>
          <w:b w:val="0"/>
          <w:bCs/>
          <w:color w:val="auto"/>
          <w:sz w:val="24"/>
          <w:szCs w:val="24"/>
          <w:lang w:val="en-US" w:eastAsia="zh-CN"/>
        </w:rPr>
        <w:t>处置单</w:t>
      </w:r>
    </w:p>
    <w:p>
      <w:pPr>
        <w:rPr>
          <w:rFonts w:ascii="黑体" w:hAnsi="黑体" w:eastAsia="黑体" w:cs="黑体"/>
          <w:b w:val="0"/>
          <w:bCs/>
          <w:color w:val="auto"/>
          <w:sz w:val="24"/>
          <w:szCs w:val="24"/>
        </w:rPr>
      </w:pPr>
    </w:p>
    <w:p>
      <w:pPr>
        <w:spacing w:line="360" w:lineRule="auto"/>
        <w:ind w:firstLine="1680" w:firstLineChars="700"/>
        <w:rPr>
          <w:rFonts w:hint="eastAsia" w:ascii="宋体" w:hAnsi="宋体" w:cs="宋体" w:eastAsiaTheme="minorEastAsia"/>
          <w:b w:val="0"/>
          <w:bCs/>
          <w:color w:val="auto"/>
          <w:sz w:val="24"/>
          <w:szCs w:val="24"/>
          <w:lang w:val="en-US" w:eastAsia="zh-CN"/>
        </w:rPr>
      </w:pPr>
      <w:r>
        <w:rPr>
          <w:rFonts w:hint="eastAsia" w:ascii="宋体" w:hAnsi="宋体" w:cs="宋体"/>
          <w:b w:val="0"/>
          <w:bCs/>
          <w:color w:val="auto"/>
          <w:sz w:val="24"/>
          <w:szCs w:val="24"/>
        </w:rPr>
        <w:t>沂源县人民医院医疗器械临床试验专用</w:t>
      </w:r>
      <w:r>
        <w:rPr>
          <w:rFonts w:hint="eastAsia" w:ascii="宋体" w:hAnsi="宋体" w:cs="宋体"/>
          <w:b w:val="0"/>
          <w:bCs/>
          <w:color w:val="auto"/>
          <w:sz w:val="24"/>
          <w:szCs w:val="24"/>
          <w:lang w:val="en-US" w:eastAsia="zh-CN"/>
        </w:rPr>
        <w:t>处置单</w:t>
      </w:r>
    </w:p>
    <w:p>
      <w:pPr>
        <w:spacing w:line="360" w:lineRule="auto"/>
        <w:rPr>
          <w:rFonts w:ascii="宋体" w:hAnsi="宋体" w:cs="宋体"/>
          <w:b w:val="0"/>
          <w:bCs/>
          <w:color w:val="auto"/>
          <w:sz w:val="24"/>
          <w:szCs w:val="24"/>
          <w:u w:val="single"/>
        </w:rPr>
      </w:pPr>
    </w:p>
    <w:p>
      <w:pPr>
        <w:spacing w:line="360" w:lineRule="auto"/>
        <w:rPr>
          <w:rFonts w:ascii="宋体" w:hAnsi="宋体" w:cs="宋体"/>
          <w:b w:val="0"/>
          <w:bCs/>
          <w:color w:val="auto"/>
          <w:sz w:val="24"/>
          <w:szCs w:val="24"/>
          <w:u w:val="single"/>
        </w:rPr>
      </w:pPr>
      <w:r>
        <w:rPr>
          <w:rFonts w:hint="eastAsia" w:ascii="宋体" w:hAnsi="宋体" w:cs="宋体"/>
          <w:b w:val="0"/>
          <w:bCs/>
          <w:color w:val="auto"/>
          <w:sz w:val="24"/>
          <w:szCs w:val="24"/>
          <w:u w:val="single"/>
          <w:lang w:val="en-US" w:eastAsia="zh-CN"/>
        </w:rPr>
        <w:t>处置单</w:t>
      </w:r>
      <w:r>
        <w:rPr>
          <w:rFonts w:hint="eastAsia" w:ascii="宋体" w:hAnsi="宋体" w:cs="宋体"/>
          <w:b w:val="0"/>
          <w:bCs/>
          <w:color w:val="auto"/>
          <w:sz w:val="24"/>
          <w:szCs w:val="24"/>
          <w:u w:val="single"/>
        </w:rPr>
        <w:t xml:space="preserve">编号：                                 日期：                        </w:t>
      </w:r>
    </w:p>
    <w:p>
      <w:pPr>
        <w:spacing w:line="360" w:lineRule="auto"/>
        <w:rPr>
          <w:rFonts w:ascii="宋体" w:hAnsi="宋体" w:cs="宋体"/>
          <w:b w:val="0"/>
          <w:bCs/>
          <w:color w:val="auto"/>
          <w:sz w:val="24"/>
          <w:szCs w:val="24"/>
        </w:rPr>
      </w:pPr>
      <w:r>
        <w:rPr>
          <w:rFonts w:hint="eastAsia" w:ascii="宋体" w:hAnsi="宋体" w:cs="宋体"/>
          <w:b w:val="0"/>
          <w:bCs/>
          <w:color w:val="auto"/>
          <w:sz w:val="24"/>
          <w:szCs w:val="24"/>
        </w:rPr>
        <w:t>专业组：                           试验项目名称：</w:t>
      </w:r>
    </w:p>
    <w:p>
      <w:pPr>
        <w:spacing w:line="360" w:lineRule="auto"/>
        <w:rPr>
          <w:rFonts w:ascii="宋体" w:hAnsi="宋体" w:cs="宋体"/>
          <w:b w:val="0"/>
          <w:bCs/>
          <w:color w:val="auto"/>
          <w:sz w:val="24"/>
          <w:szCs w:val="24"/>
        </w:rPr>
      </w:pPr>
      <w:r>
        <w:rPr>
          <w:rFonts w:hint="eastAsia" w:ascii="宋体" w:hAnsi="宋体" w:cs="宋体"/>
          <w:b w:val="0"/>
          <w:bCs/>
          <w:color w:val="auto"/>
          <w:sz w:val="24"/>
          <w:szCs w:val="24"/>
        </w:rPr>
        <w:t xml:space="preserve">受试者姓名：           性别：      年龄：       </w:t>
      </w:r>
    </w:p>
    <w:p>
      <w:pPr>
        <w:spacing w:line="360" w:lineRule="auto"/>
        <w:rPr>
          <w:rFonts w:ascii="宋体" w:hAnsi="宋体" w:cs="宋体"/>
          <w:b w:val="0"/>
          <w:bCs/>
          <w:color w:val="auto"/>
          <w:sz w:val="24"/>
          <w:szCs w:val="24"/>
          <w:u w:val="single"/>
        </w:rPr>
      </w:pPr>
      <w:r>
        <w:rPr>
          <w:rFonts w:hint="eastAsia" w:ascii="宋体" w:hAnsi="宋体" w:cs="宋体"/>
          <w:b w:val="0"/>
          <w:bCs/>
          <w:color w:val="auto"/>
          <w:sz w:val="24"/>
          <w:szCs w:val="24"/>
        </w:rPr>
        <w:t xml:space="preserve">受试者编号：                       门诊/住院号:      </w:t>
      </w:r>
    </w:p>
    <w:p>
      <w:pPr>
        <w:spacing w:line="360" w:lineRule="auto"/>
        <w:rPr>
          <w:rFonts w:ascii="宋体" w:hAnsi="宋体" w:cs="宋体"/>
          <w:b w:val="0"/>
          <w:bCs/>
          <w:color w:val="auto"/>
          <w:sz w:val="24"/>
          <w:szCs w:val="24"/>
          <w:u w:val="single"/>
        </w:rPr>
      </w:pPr>
      <w:r>
        <w:rPr>
          <w:rFonts w:hint="eastAsia" w:ascii="宋体" w:hAnsi="宋体" w:cs="宋体"/>
          <w:b w:val="0"/>
          <w:bCs/>
          <w:color w:val="auto"/>
          <w:sz w:val="24"/>
          <w:szCs w:val="24"/>
          <w:u w:val="single"/>
        </w:rPr>
        <w:t xml:space="preserve">                                                                         </w:t>
      </w:r>
    </w:p>
    <w:p>
      <w:pPr>
        <w:spacing w:line="360" w:lineRule="auto"/>
        <w:ind w:firstLine="352" w:firstLineChars="147"/>
        <w:rPr>
          <w:rFonts w:ascii="宋体" w:hAnsi="宋体" w:cs="宋体"/>
          <w:b w:val="0"/>
          <w:bCs/>
          <w:color w:val="auto"/>
          <w:sz w:val="24"/>
          <w:szCs w:val="24"/>
        </w:rPr>
      </w:pPr>
    </w:p>
    <w:p>
      <w:pPr>
        <w:spacing w:line="360" w:lineRule="auto"/>
        <w:rPr>
          <w:rFonts w:ascii="宋体" w:hAnsi="宋体" w:cs="宋体"/>
          <w:b w:val="0"/>
          <w:bCs/>
          <w:color w:val="auto"/>
          <w:sz w:val="28"/>
          <w:szCs w:val="28"/>
        </w:rPr>
      </w:pPr>
    </w:p>
    <w:p>
      <w:pPr>
        <w:rPr>
          <w:rFonts w:ascii="宋体" w:hAnsi="宋体" w:cs="宋体"/>
          <w:b w:val="0"/>
          <w:bCs/>
          <w:color w:val="auto"/>
          <w:sz w:val="72"/>
          <w:szCs w:val="72"/>
        </w:rPr>
      </w:pPr>
    </w:p>
    <w:p>
      <w:pPr>
        <w:rPr>
          <w:rFonts w:ascii="宋体" w:hAnsi="宋体" w:cs="宋体"/>
          <w:b w:val="0"/>
          <w:bCs/>
          <w:color w:val="auto"/>
          <w:sz w:val="72"/>
          <w:szCs w:val="72"/>
        </w:rPr>
      </w:pPr>
    </w:p>
    <w:p>
      <w:pPr>
        <w:rPr>
          <w:rFonts w:ascii="宋体" w:hAnsi="宋体" w:cs="宋体"/>
          <w:b w:val="0"/>
          <w:bCs/>
          <w:color w:val="auto"/>
          <w:sz w:val="72"/>
          <w:szCs w:val="72"/>
        </w:rPr>
      </w:pPr>
    </w:p>
    <w:p>
      <w:pPr>
        <w:rPr>
          <w:rFonts w:ascii="宋体" w:hAnsi="宋体" w:cs="宋体"/>
          <w:b w:val="0"/>
          <w:bCs/>
          <w:color w:val="auto"/>
          <w:sz w:val="72"/>
          <w:szCs w:val="72"/>
        </w:rPr>
      </w:pPr>
    </w:p>
    <w:p>
      <w:pPr>
        <w:rPr>
          <w:rFonts w:ascii="宋体" w:hAnsi="宋体" w:cs="宋体"/>
          <w:b w:val="0"/>
          <w:bCs/>
          <w:color w:val="auto"/>
          <w:sz w:val="24"/>
          <w:szCs w:val="24"/>
          <w:u w:val="single"/>
        </w:rPr>
      </w:pPr>
      <w:r>
        <w:rPr>
          <w:rFonts w:hint="eastAsia" w:ascii="宋体" w:hAnsi="宋体" w:cs="宋体"/>
          <w:b w:val="0"/>
          <w:bCs/>
          <w:color w:val="auto"/>
          <w:sz w:val="24"/>
          <w:szCs w:val="24"/>
          <w:u w:val="single"/>
        </w:rPr>
        <w:t xml:space="preserve">                                                                       </w:t>
      </w:r>
    </w:p>
    <w:p>
      <w:pPr>
        <w:rPr>
          <w:rFonts w:ascii="宋体" w:hAnsi="宋体" w:cs="宋体"/>
          <w:b w:val="0"/>
          <w:bCs/>
          <w:color w:val="auto"/>
          <w:sz w:val="24"/>
          <w:szCs w:val="24"/>
        </w:rPr>
      </w:pPr>
      <w:r>
        <w:rPr>
          <w:rFonts w:hint="eastAsia" w:ascii="宋体" w:hAnsi="宋体" w:cs="宋体"/>
          <w:b w:val="0"/>
          <w:bCs/>
          <w:color w:val="auto"/>
          <w:sz w:val="24"/>
          <w:szCs w:val="24"/>
        </w:rPr>
        <w:t xml:space="preserve">研究者：              领取人：                 医疗器械管理员：        </w:t>
      </w:r>
    </w:p>
    <w:p>
      <w:pPr>
        <w:rPr>
          <w:rFonts w:ascii="宋体" w:hAnsi="宋体" w:cs="宋体"/>
          <w:b w:val="0"/>
          <w:bCs/>
          <w:color w:val="auto"/>
          <w:sz w:val="24"/>
          <w:szCs w:val="24"/>
          <w:u w:val="single"/>
        </w:rPr>
      </w:pPr>
    </w:p>
    <w:p>
      <w:pPr>
        <w:rPr>
          <w:rFonts w:ascii="宋体" w:hAnsi="宋体" w:cs="宋体"/>
          <w:b w:val="0"/>
          <w:bCs/>
          <w:color w:val="auto"/>
          <w:sz w:val="24"/>
          <w:szCs w:val="24"/>
          <w:u w:val="single"/>
        </w:rPr>
      </w:pPr>
    </w:p>
    <w:p>
      <w:pPr>
        <w:rPr>
          <w:rFonts w:ascii="黑体" w:hAnsi="黑体" w:eastAsia="黑体" w:cs="黑体"/>
          <w:b w:val="0"/>
          <w:bCs/>
          <w:color w:val="auto"/>
          <w:sz w:val="24"/>
          <w:szCs w:val="24"/>
        </w:rPr>
      </w:pPr>
    </w:p>
    <w:p>
      <w:pPr>
        <w:rPr>
          <w:rFonts w:ascii="黑体" w:hAnsi="黑体" w:eastAsia="黑体" w:cs="黑体"/>
          <w:b w:val="0"/>
          <w:bCs/>
          <w:color w:val="auto"/>
          <w:sz w:val="24"/>
          <w:szCs w:val="24"/>
        </w:rPr>
      </w:pPr>
    </w:p>
    <w:p>
      <w:pPr>
        <w:rPr>
          <w:rFonts w:ascii="黑体" w:hAnsi="黑体" w:eastAsia="黑体" w:cs="黑体"/>
          <w:b w:val="0"/>
          <w:bCs/>
          <w:color w:val="auto"/>
          <w:sz w:val="24"/>
          <w:szCs w:val="24"/>
        </w:rPr>
      </w:pPr>
    </w:p>
    <w:p>
      <w:pPr>
        <w:rPr>
          <w:rFonts w:ascii="黑体" w:hAnsi="黑体" w:eastAsia="黑体" w:cs="黑体"/>
          <w:b w:val="0"/>
          <w:bCs/>
          <w:color w:val="auto"/>
          <w:sz w:val="24"/>
          <w:szCs w:val="24"/>
        </w:rPr>
      </w:pPr>
    </w:p>
    <w:p>
      <w:pPr>
        <w:spacing w:line="360" w:lineRule="exact"/>
        <w:ind w:right="-521" w:rightChars="-248" w:firstLine="1260" w:firstLineChars="600"/>
        <w:rPr>
          <w:rFonts w:ascii="宋体" w:hAnsi="宋体"/>
          <w:b w:val="0"/>
          <w:bCs/>
          <w:color w:val="auto"/>
          <w:szCs w:val="21"/>
        </w:rPr>
      </w:pPr>
    </w:p>
    <w:p>
      <w:pPr>
        <w:spacing w:line="360" w:lineRule="exact"/>
        <w:ind w:right="-521" w:rightChars="-248" w:firstLine="1260" w:firstLineChars="600"/>
        <w:rPr>
          <w:rFonts w:ascii="宋体" w:hAnsi="宋体"/>
          <w:b w:val="0"/>
          <w:bCs/>
          <w:color w:val="auto"/>
          <w:szCs w:val="21"/>
        </w:rPr>
      </w:pPr>
    </w:p>
    <w:p>
      <w:pPr>
        <w:spacing w:line="500" w:lineRule="exact"/>
        <w:rPr>
          <w:rFonts w:ascii="黑体" w:hAnsi="黑体" w:eastAsia="黑体" w:cs="宋体"/>
          <w:b w:val="0"/>
          <w:bCs/>
          <w:color w:val="auto"/>
          <w:sz w:val="24"/>
          <w:szCs w:val="24"/>
        </w:rPr>
      </w:pPr>
    </w:p>
    <w:p>
      <w:pPr>
        <w:spacing w:line="500" w:lineRule="exact"/>
        <w:rPr>
          <w:rFonts w:ascii="黑体" w:hAnsi="黑体" w:eastAsia="黑体" w:cs="宋体"/>
          <w:b w:val="0"/>
          <w:bCs/>
          <w:color w:val="auto"/>
          <w:sz w:val="24"/>
          <w:szCs w:val="24"/>
        </w:rPr>
      </w:pPr>
    </w:p>
    <w:p>
      <w:pPr>
        <w:spacing w:line="500" w:lineRule="exact"/>
        <w:rPr>
          <w:rFonts w:ascii="黑体" w:hAnsi="黑体" w:eastAsia="黑体" w:cs="黑体"/>
          <w:b w:val="0"/>
          <w:bCs/>
          <w:color w:val="auto"/>
          <w:sz w:val="24"/>
          <w:szCs w:val="24"/>
        </w:rPr>
      </w:pPr>
    </w:p>
    <w:p>
      <w:pPr>
        <w:spacing w:line="500" w:lineRule="exact"/>
        <w:rPr>
          <w:rFonts w:ascii="黑体" w:hAnsi="黑体" w:eastAsia="黑体" w:cs="黑体"/>
          <w:b w:val="0"/>
          <w:bCs/>
          <w:color w:val="auto"/>
          <w:sz w:val="24"/>
          <w:szCs w:val="24"/>
        </w:rPr>
      </w:pPr>
    </w:p>
    <w:p>
      <w:pPr>
        <w:spacing w:line="500" w:lineRule="exact"/>
        <w:rPr>
          <w:rFonts w:hint="eastAsia" w:ascii="黑体" w:hAnsi="黑体" w:eastAsia="黑体" w:cs="黑体"/>
          <w:b w:val="0"/>
          <w:bCs/>
          <w:color w:val="auto"/>
          <w:sz w:val="24"/>
          <w:szCs w:val="24"/>
        </w:rPr>
        <w:sectPr>
          <w:headerReference r:id="rId113" w:type="default"/>
          <w:footerReference r:id="rId114" w:type="default"/>
          <w:pgSz w:w="11907" w:h="16840"/>
          <w:pgMar w:top="1134" w:right="1134" w:bottom="1418" w:left="1418" w:header="0" w:footer="992" w:gutter="0"/>
          <w:pgBorders>
            <w:top w:val="none" w:sz="0" w:space="0"/>
            <w:left w:val="none" w:sz="0" w:space="0"/>
            <w:bottom w:val="none" w:sz="0" w:space="0"/>
            <w:right w:val="none" w:sz="0" w:space="0"/>
          </w:pgBorders>
          <w:pgNumType w:fmt="decimal"/>
          <w:cols w:space="720" w:num="1"/>
          <w:docGrid w:linePitch="286" w:charSpace="0"/>
        </w:sectPr>
      </w:pPr>
    </w:p>
    <w:p>
      <w:pPr>
        <w:tabs>
          <w:tab w:val="left" w:pos="3060"/>
        </w:tabs>
        <w:spacing w:line="500" w:lineRule="exact"/>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附件8：</w:t>
      </w:r>
      <w:r>
        <w:rPr>
          <w:rFonts w:hint="eastAsia" w:asciiTheme="minorEastAsia" w:hAnsiTheme="minorEastAsia" w:cstheme="minorEastAsia"/>
          <w:b w:val="0"/>
          <w:bCs/>
          <w:color w:val="auto"/>
          <w:sz w:val="24"/>
          <w:szCs w:val="24"/>
          <w:lang w:val="en-US" w:eastAsia="zh-CN"/>
        </w:rPr>
        <w:t>YYH-SOP-CTC-012-3.1-A08</w:t>
      </w:r>
      <w:r>
        <w:rPr>
          <w:rFonts w:hint="eastAsia" w:ascii="宋体" w:hAnsi="宋体" w:eastAsia="宋体" w:cs="宋体"/>
          <w:b w:val="0"/>
          <w:bCs/>
          <w:color w:val="auto"/>
          <w:sz w:val="24"/>
          <w:szCs w:val="24"/>
        </w:rPr>
        <w:t>试验用</w:t>
      </w:r>
      <w:r>
        <w:rPr>
          <w:rFonts w:hint="eastAsia" w:ascii="宋体" w:hAnsi="宋体" w:eastAsia="宋体" w:cs="宋体"/>
          <w:b w:val="0"/>
          <w:bCs/>
          <w:color w:val="auto"/>
          <w:sz w:val="24"/>
          <w:szCs w:val="24"/>
          <w:lang w:val="en-US" w:eastAsia="zh-CN"/>
        </w:rPr>
        <w:t>医疗器械</w:t>
      </w:r>
      <w:r>
        <w:rPr>
          <w:rFonts w:hint="eastAsia" w:ascii="宋体" w:hAnsi="宋体" w:eastAsia="宋体" w:cs="宋体"/>
          <w:b w:val="0"/>
          <w:bCs/>
          <w:color w:val="auto"/>
          <w:sz w:val="24"/>
          <w:szCs w:val="24"/>
        </w:rPr>
        <w:t>请领单</w:t>
      </w:r>
    </w:p>
    <w:p>
      <w:pPr>
        <w:tabs>
          <w:tab w:val="left" w:pos="3060"/>
        </w:tabs>
        <w:spacing w:line="500" w:lineRule="exact"/>
        <w:jc w:val="center"/>
        <w:rPr>
          <w:rFonts w:ascii="宋体" w:hAnsi="宋体"/>
          <w:b w:val="0"/>
          <w:bCs/>
          <w:color w:val="auto"/>
          <w:sz w:val="24"/>
          <w:szCs w:val="24"/>
        </w:rPr>
      </w:pPr>
      <w:r>
        <w:rPr>
          <w:rFonts w:hint="eastAsia" w:ascii="宋体" w:hAnsi="宋体"/>
          <w:b w:val="0"/>
          <w:bCs/>
          <w:color w:val="auto"/>
          <w:sz w:val="24"/>
          <w:szCs w:val="24"/>
        </w:rPr>
        <w:t>试验用</w:t>
      </w:r>
      <w:r>
        <w:rPr>
          <w:rFonts w:hint="eastAsia" w:ascii="宋体" w:hAnsi="宋体"/>
          <w:b w:val="0"/>
          <w:bCs/>
          <w:color w:val="auto"/>
          <w:sz w:val="24"/>
          <w:szCs w:val="24"/>
          <w:lang w:val="en-US" w:eastAsia="zh-CN"/>
        </w:rPr>
        <w:t>医疗器械</w:t>
      </w:r>
      <w:r>
        <w:rPr>
          <w:rFonts w:hint="eastAsia" w:ascii="宋体" w:hAnsi="宋体"/>
          <w:b w:val="0"/>
          <w:bCs/>
          <w:color w:val="auto"/>
          <w:sz w:val="24"/>
          <w:szCs w:val="24"/>
        </w:rPr>
        <w:t>请领单</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1398"/>
        <w:gridCol w:w="1398"/>
        <w:gridCol w:w="1564"/>
        <w:gridCol w:w="1439"/>
        <w:gridCol w:w="1590"/>
        <w:gridCol w:w="1790"/>
        <w:gridCol w:w="1781"/>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exact"/>
          <w:jc w:val="center"/>
        </w:trPr>
        <w:tc>
          <w:tcPr>
            <w:tcW w:w="618" w:type="pct"/>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试验名称</w:t>
            </w:r>
          </w:p>
        </w:tc>
        <w:tc>
          <w:tcPr>
            <w:tcW w:w="2547" w:type="pct"/>
            <w:gridSpan w:val="5"/>
            <w:vAlign w:val="center"/>
          </w:tcPr>
          <w:p>
            <w:pPr>
              <w:jc w:val="center"/>
              <w:rPr>
                <w:rFonts w:ascii="宋体" w:hAnsi="宋体"/>
                <w:b w:val="0"/>
                <w:bCs/>
                <w:color w:val="auto"/>
                <w:sz w:val="21"/>
                <w:szCs w:val="21"/>
              </w:rPr>
            </w:pPr>
          </w:p>
        </w:tc>
        <w:tc>
          <w:tcPr>
            <w:tcW w:w="617" w:type="pct"/>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申办方/方案编号</w:t>
            </w:r>
          </w:p>
        </w:tc>
        <w:tc>
          <w:tcPr>
            <w:tcW w:w="1216" w:type="pct"/>
            <w:gridSpan w:val="2"/>
            <w:vAlign w:val="center"/>
          </w:tcPr>
          <w:p>
            <w:pPr>
              <w:jc w:val="center"/>
              <w:rPr>
                <w:rFonts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18" w:type="pct"/>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科室名称</w:t>
            </w:r>
          </w:p>
        </w:tc>
        <w:tc>
          <w:tcPr>
            <w:tcW w:w="2547" w:type="pct"/>
            <w:gridSpan w:val="5"/>
            <w:vAlign w:val="center"/>
          </w:tcPr>
          <w:p>
            <w:pPr>
              <w:ind w:firstLine="210" w:firstLineChars="100"/>
              <w:rPr>
                <w:rFonts w:ascii="宋体" w:hAnsi="宋体"/>
                <w:b w:val="0"/>
                <w:bCs/>
                <w:color w:val="auto"/>
                <w:sz w:val="21"/>
                <w:szCs w:val="21"/>
              </w:rPr>
            </w:pPr>
          </w:p>
        </w:tc>
        <w:tc>
          <w:tcPr>
            <w:tcW w:w="617" w:type="pct"/>
            <w:vAlign w:val="center"/>
          </w:tcPr>
          <w:p>
            <w:pPr>
              <w:jc w:val="center"/>
              <w:rPr>
                <w:rFonts w:ascii="宋体" w:hAnsi="宋体"/>
                <w:b w:val="0"/>
                <w:bCs/>
                <w:color w:val="auto"/>
                <w:sz w:val="21"/>
                <w:szCs w:val="21"/>
              </w:rPr>
            </w:pPr>
            <w:r>
              <w:rPr>
                <w:rFonts w:hint="eastAsia" w:ascii="宋体" w:hAnsi="宋体"/>
                <w:b w:val="0"/>
                <w:bCs/>
                <w:color w:val="auto"/>
                <w:sz w:val="21"/>
                <w:szCs w:val="21"/>
              </w:rPr>
              <w:t>研究者</w:t>
            </w:r>
          </w:p>
        </w:tc>
        <w:tc>
          <w:tcPr>
            <w:tcW w:w="1216" w:type="pct"/>
            <w:gridSpan w:val="2"/>
            <w:vAlign w:val="center"/>
          </w:tcPr>
          <w:p>
            <w:pPr>
              <w:rPr>
                <w:rFonts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8" w:type="pct"/>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医疗器械名称</w:t>
            </w:r>
          </w:p>
        </w:tc>
        <w:tc>
          <w:tcPr>
            <w:tcW w:w="482" w:type="pct"/>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医疗器械编号</w:t>
            </w:r>
          </w:p>
        </w:tc>
        <w:tc>
          <w:tcPr>
            <w:tcW w:w="482" w:type="pct"/>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规格</w:t>
            </w:r>
          </w:p>
        </w:tc>
        <w:tc>
          <w:tcPr>
            <w:tcW w:w="539" w:type="pct"/>
            <w:vAlign w:val="center"/>
          </w:tcPr>
          <w:p>
            <w:pPr>
              <w:jc w:val="center"/>
              <w:rPr>
                <w:rFonts w:hint="default" w:ascii="宋体" w:hAnsi="宋体" w:eastAsiaTheme="minorEastAsia"/>
                <w:b w:val="0"/>
                <w:bCs/>
                <w:color w:val="auto"/>
                <w:sz w:val="21"/>
                <w:szCs w:val="21"/>
                <w:lang w:val="en-US" w:eastAsia="zh-CN"/>
              </w:rPr>
            </w:pPr>
            <w:r>
              <w:rPr>
                <w:rFonts w:hint="eastAsia" w:ascii="宋体" w:hAnsi="宋体"/>
                <w:b w:val="0"/>
                <w:bCs/>
                <w:color w:val="auto"/>
                <w:sz w:val="21"/>
                <w:szCs w:val="21"/>
                <w:lang w:val="en-US" w:eastAsia="zh-CN"/>
              </w:rPr>
              <w:t>型号</w:t>
            </w:r>
          </w:p>
        </w:tc>
        <w:tc>
          <w:tcPr>
            <w:tcW w:w="496" w:type="pct"/>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批号</w:t>
            </w:r>
          </w:p>
        </w:tc>
        <w:tc>
          <w:tcPr>
            <w:tcW w:w="546" w:type="pct"/>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有效期</w:t>
            </w:r>
          </w:p>
        </w:tc>
        <w:tc>
          <w:tcPr>
            <w:tcW w:w="617" w:type="pct"/>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领</w:t>
            </w:r>
            <w:r>
              <w:rPr>
                <w:rFonts w:hint="eastAsia" w:ascii="宋体" w:hAnsi="宋体"/>
                <w:b w:val="0"/>
                <w:bCs/>
                <w:color w:val="auto"/>
                <w:sz w:val="21"/>
                <w:szCs w:val="21"/>
                <w:lang w:val="en-US" w:eastAsia="zh-CN"/>
              </w:rPr>
              <w:t>取</w:t>
            </w:r>
            <w:r>
              <w:rPr>
                <w:rFonts w:hint="eastAsia" w:ascii="宋体" w:hAnsi="宋体"/>
                <w:b w:val="0"/>
                <w:bCs/>
                <w:color w:val="auto"/>
                <w:sz w:val="21"/>
                <w:szCs w:val="21"/>
              </w:rPr>
              <w:t>数量</w:t>
            </w:r>
          </w:p>
        </w:tc>
        <w:tc>
          <w:tcPr>
            <w:tcW w:w="614" w:type="pct"/>
            <w:vAlign w:val="center"/>
          </w:tcPr>
          <w:p>
            <w:pPr>
              <w:jc w:val="center"/>
              <w:rPr>
                <w:rFonts w:hint="eastAsia" w:ascii="宋体" w:hAnsi="宋体"/>
                <w:b w:val="0"/>
                <w:bCs/>
                <w:color w:val="auto"/>
                <w:sz w:val="21"/>
                <w:szCs w:val="21"/>
              </w:rPr>
            </w:pPr>
            <w:r>
              <w:rPr>
                <w:rFonts w:hint="eastAsia" w:ascii="宋体" w:hAnsi="宋体"/>
                <w:b w:val="0"/>
                <w:bCs/>
                <w:color w:val="auto"/>
                <w:sz w:val="21"/>
                <w:szCs w:val="21"/>
              </w:rPr>
              <w:t>领</w:t>
            </w:r>
            <w:r>
              <w:rPr>
                <w:rFonts w:hint="eastAsia" w:ascii="宋体" w:hAnsi="宋体"/>
                <w:b w:val="0"/>
                <w:bCs/>
                <w:color w:val="auto"/>
                <w:sz w:val="21"/>
                <w:szCs w:val="21"/>
                <w:lang w:val="en-US" w:eastAsia="zh-CN"/>
              </w:rPr>
              <w:t>取</w:t>
            </w:r>
            <w:r>
              <w:rPr>
                <w:rFonts w:hint="eastAsia" w:ascii="宋体" w:hAnsi="宋体"/>
                <w:b w:val="0"/>
                <w:bCs/>
                <w:color w:val="auto"/>
                <w:sz w:val="21"/>
                <w:szCs w:val="21"/>
              </w:rPr>
              <w:t>人/日期</w:t>
            </w:r>
          </w:p>
        </w:tc>
        <w:tc>
          <w:tcPr>
            <w:tcW w:w="601" w:type="pct"/>
            <w:vAlign w:val="center"/>
          </w:tcPr>
          <w:p>
            <w:pPr>
              <w:jc w:val="center"/>
              <w:rPr>
                <w:rFonts w:hint="eastAsia" w:ascii="宋体" w:hAnsi="宋体"/>
                <w:b w:val="0"/>
                <w:bCs/>
                <w:color w:val="auto"/>
                <w:sz w:val="21"/>
                <w:szCs w:val="21"/>
              </w:rPr>
            </w:pPr>
            <w:r>
              <w:rPr>
                <w:rFonts w:hint="eastAsia" w:ascii="宋体" w:hAnsi="宋体"/>
                <w:b w:val="0"/>
                <w:bCs/>
                <w:color w:val="auto"/>
                <w:sz w:val="21"/>
                <w:szCs w:val="21"/>
                <w:lang w:val="en-US" w:eastAsia="zh-CN"/>
              </w:rPr>
              <w:t>发放</w:t>
            </w:r>
            <w:r>
              <w:rPr>
                <w:rFonts w:hint="eastAsia" w:ascii="宋体" w:hAnsi="宋体"/>
                <w:b w:val="0"/>
                <w:bCs/>
                <w:color w:val="auto"/>
                <w:sz w:val="21"/>
                <w:szCs w:val="21"/>
              </w:rPr>
              <w:t>人/日期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18" w:type="pct"/>
            <w:vAlign w:val="center"/>
          </w:tcPr>
          <w:p>
            <w:pPr>
              <w:jc w:val="center"/>
              <w:rPr>
                <w:rFonts w:ascii="宋体" w:hAnsi="宋体"/>
                <w:b w:val="0"/>
                <w:bCs/>
                <w:color w:val="auto"/>
                <w:sz w:val="21"/>
                <w:szCs w:val="21"/>
              </w:rPr>
            </w:pPr>
          </w:p>
        </w:tc>
        <w:tc>
          <w:tcPr>
            <w:tcW w:w="482" w:type="pct"/>
            <w:vAlign w:val="center"/>
          </w:tcPr>
          <w:p>
            <w:pPr>
              <w:jc w:val="center"/>
              <w:rPr>
                <w:rFonts w:hint="eastAsia" w:ascii="宋体" w:hAnsi="宋体"/>
                <w:b w:val="0"/>
                <w:bCs/>
                <w:color w:val="auto"/>
                <w:sz w:val="21"/>
                <w:szCs w:val="21"/>
              </w:rPr>
            </w:pPr>
          </w:p>
        </w:tc>
        <w:tc>
          <w:tcPr>
            <w:tcW w:w="482" w:type="pct"/>
            <w:vAlign w:val="center"/>
          </w:tcPr>
          <w:p>
            <w:pPr>
              <w:jc w:val="center"/>
              <w:rPr>
                <w:rFonts w:ascii="宋体" w:hAnsi="宋体"/>
                <w:b w:val="0"/>
                <w:bCs/>
                <w:color w:val="auto"/>
                <w:sz w:val="21"/>
                <w:szCs w:val="21"/>
              </w:rPr>
            </w:pPr>
          </w:p>
        </w:tc>
        <w:tc>
          <w:tcPr>
            <w:tcW w:w="539" w:type="pct"/>
            <w:vAlign w:val="center"/>
          </w:tcPr>
          <w:p>
            <w:pPr>
              <w:jc w:val="center"/>
              <w:rPr>
                <w:rFonts w:ascii="宋体" w:hAnsi="宋体"/>
                <w:b w:val="0"/>
                <w:bCs/>
                <w:color w:val="auto"/>
                <w:sz w:val="21"/>
                <w:szCs w:val="21"/>
              </w:rPr>
            </w:pPr>
          </w:p>
        </w:tc>
        <w:tc>
          <w:tcPr>
            <w:tcW w:w="496" w:type="pct"/>
            <w:vAlign w:val="center"/>
          </w:tcPr>
          <w:p>
            <w:pPr>
              <w:jc w:val="center"/>
              <w:rPr>
                <w:rFonts w:ascii="宋体" w:hAnsi="宋体"/>
                <w:b w:val="0"/>
                <w:bCs/>
                <w:color w:val="auto"/>
                <w:sz w:val="21"/>
                <w:szCs w:val="21"/>
              </w:rPr>
            </w:pPr>
          </w:p>
        </w:tc>
        <w:tc>
          <w:tcPr>
            <w:tcW w:w="546" w:type="pct"/>
            <w:vAlign w:val="center"/>
          </w:tcPr>
          <w:p>
            <w:pPr>
              <w:jc w:val="center"/>
              <w:rPr>
                <w:rFonts w:ascii="宋体" w:hAnsi="宋体"/>
                <w:b w:val="0"/>
                <w:bCs/>
                <w:color w:val="auto"/>
                <w:sz w:val="21"/>
                <w:szCs w:val="21"/>
              </w:rPr>
            </w:pPr>
          </w:p>
        </w:tc>
        <w:tc>
          <w:tcPr>
            <w:tcW w:w="617" w:type="pct"/>
            <w:vAlign w:val="center"/>
          </w:tcPr>
          <w:p>
            <w:pPr>
              <w:jc w:val="center"/>
              <w:rPr>
                <w:rFonts w:hint="eastAsia" w:ascii="宋体" w:hAnsi="宋体"/>
                <w:b w:val="0"/>
                <w:bCs/>
                <w:color w:val="auto"/>
                <w:sz w:val="21"/>
                <w:szCs w:val="21"/>
              </w:rPr>
            </w:pPr>
          </w:p>
        </w:tc>
        <w:tc>
          <w:tcPr>
            <w:tcW w:w="614" w:type="pct"/>
            <w:vAlign w:val="center"/>
          </w:tcPr>
          <w:p>
            <w:pPr>
              <w:jc w:val="center"/>
              <w:rPr>
                <w:rFonts w:ascii="宋体" w:hAnsi="宋体"/>
                <w:b w:val="0"/>
                <w:bCs/>
                <w:color w:val="auto"/>
                <w:sz w:val="21"/>
                <w:szCs w:val="21"/>
              </w:rPr>
            </w:pPr>
          </w:p>
        </w:tc>
        <w:tc>
          <w:tcPr>
            <w:tcW w:w="601" w:type="pct"/>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618" w:type="pct"/>
            <w:vAlign w:val="center"/>
          </w:tcPr>
          <w:p>
            <w:pPr>
              <w:jc w:val="center"/>
              <w:rPr>
                <w:rFonts w:ascii="宋体" w:hAnsi="宋体"/>
                <w:b w:val="0"/>
                <w:bCs/>
                <w:color w:val="auto"/>
                <w:sz w:val="21"/>
                <w:szCs w:val="21"/>
              </w:rPr>
            </w:pPr>
          </w:p>
        </w:tc>
        <w:tc>
          <w:tcPr>
            <w:tcW w:w="482" w:type="pct"/>
            <w:vAlign w:val="center"/>
          </w:tcPr>
          <w:p>
            <w:pPr>
              <w:jc w:val="center"/>
              <w:rPr>
                <w:rFonts w:hint="eastAsia" w:ascii="宋体" w:hAnsi="宋体"/>
                <w:b w:val="0"/>
                <w:bCs/>
                <w:color w:val="auto"/>
                <w:sz w:val="21"/>
                <w:szCs w:val="21"/>
              </w:rPr>
            </w:pPr>
          </w:p>
        </w:tc>
        <w:tc>
          <w:tcPr>
            <w:tcW w:w="482" w:type="pct"/>
            <w:vAlign w:val="center"/>
          </w:tcPr>
          <w:p>
            <w:pPr>
              <w:jc w:val="center"/>
              <w:rPr>
                <w:rFonts w:ascii="宋体" w:hAnsi="宋体"/>
                <w:b w:val="0"/>
                <w:bCs/>
                <w:color w:val="auto"/>
                <w:sz w:val="21"/>
                <w:szCs w:val="21"/>
              </w:rPr>
            </w:pPr>
          </w:p>
        </w:tc>
        <w:tc>
          <w:tcPr>
            <w:tcW w:w="539" w:type="pct"/>
            <w:vAlign w:val="center"/>
          </w:tcPr>
          <w:p>
            <w:pPr>
              <w:jc w:val="center"/>
              <w:rPr>
                <w:rFonts w:ascii="宋体" w:hAnsi="宋体"/>
                <w:b w:val="0"/>
                <w:bCs/>
                <w:color w:val="auto"/>
                <w:sz w:val="21"/>
                <w:szCs w:val="21"/>
              </w:rPr>
            </w:pPr>
          </w:p>
        </w:tc>
        <w:tc>
          <w:tcPr>
            <w:tcW w:w="496" w:type="pct"/>
            <w:vAlign w:val="center"/>
          </w:tcPr>
          <w:p>
            <w:pPr>
              <w:jc w:val="center"/>
              <w:rPr>
                <w:rFonts w:ascii="宋体" w:hAnsi="宋体"/>
                <w:b w:val="0"/>
                <w:bCs/>
                <w:color w:val="auto"/>
                <w:sz w:val="21"/>
                <w:szCs w:val="21"/>
              </w:rPr>
            </w:pPr>
          </w:p>
        </w:tc>
        <w:tc>
          <w:tcPr>
            <w:tcW w:w="546" w:type="pct"/>
            <w:vAlign w:val="center"/>
          </w:tcPr>
          <w:p>
            <w:pPr>
              <w:jc w:val="center"/>
              <w:rPr>
                <w:rFonts w:ascii="宋体" w:hAnsi="宋体"/>
                <w:b w:val="0"/>
                <w:bCs/>
                <w:color w:val="auto"/>
                <w:sz w:val="21"/>
                <w:szCs w:val="21"/>
              </w:rPr>
            </w:pPr>
          </w:p>
        </w:tc>
        <w:tc>
          <w:tcPr>
            <w:tcW w:w="617" w:type="pct"/>
            <w:vAlign w:val="center"/>
          </w:tcPr>
          <w:p>
            <w:pPr>
              <w:jc w:val="center"/>
              <w:rPr>
                <w:rFonts w:hint="eastAsia" w:ascii="宋体" w:hAnsi="宋体"/>
                <w:b w:val="0"/>
                <w:bCs/>
                <w:color w:val="auto"/>
                <w:sz w:val="21"/>
                <w:szCs w:val="21"/>
              </w:rPr>
            </w:pPr>
          </w:p>
        </w:tc>
        <w:tc>
          <w:tcPr>
            <w:tcW w:w="614" w:type="pct"/>
            <w:vAlign w:val="center"/>
          </w:tcPr>
          <w:p>
            <w:pPr>
              <w:jc w:val="center"/>
              <w:rPr>
                <w:rFonts w:hint="eastAsia" w:ascii="宋体" w:hAnsi="宋体"/>
                <w:b w:val="0"/>
                <w:bCs/>
                <w:color w:val="auto"/>
                <w:sz w:val="21"/>
                <w:szCs w:val="21"/>
              </w:rPr>
            </w:pPr>
          </w:p>
        </w:tc>
        <w:tc>
          <w:tcPr>
            <w:tcW w:w="601" w:type="pct"/>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618" w:type="pct"/>
            <w:vAlign w:val="center"/>
          </w:tcPr>
          <w:p>
            <w:pPr>
              <w:jc w:val="center"/>
              <w:rPr>
                <w:rFonts w:hint="eastAsia" w:ascii="宋体" w:hAnsi="宋体"/>
                <w:b w:val="0"/>
                <w:bCs/>
                <w:color w:val="auto"/>
                <w:sz w:val="21"/>
                <w:szCs w:val="21"/>
              </w:rPr>
            </w:pPr>
          </w:p>
        </w:tc>
        <w:tc>
          <w:tcPr>
            <w:tcW w:w="482" w:type="pct"/>
            <w:vAlign w:val="center"/>
          </w:tcPr>
          <w:p>
            <w:pPr>
              <w:jc w:val="center"/>
              <w:rPr>
                <w:rFonts w:hint="eastAsia" w:ascii="宋体" w:hAnsi="宋体"/>
                <w:b w:val="0"/>
                <w:bCs/>
                <w:color w:val="auto"/>
                <w:sz w:val="21"/>
                <w:szCs w:val="21"/>
              </w:rPr>
            </w:pPr>
          </w:p>
        </w:tc>
        <w:tc>
          <w:tcPr>
            <w:tcW w:w="482" w:type="pct"/>
            <w:vAlign w:val="center"/>
          </w:tcPr>
          <w:p>
            <w:pPr>
              <w:jc w:val="center"/>
              <w:rPr>
                <w:rFonts w:hint="eastAsia" w:ascii="宋体" w:hAnsi="宋体"/>
                <w:b w:val="0"/>
                <w:bCs/>
                <w:color w:val="auto"/>
                <w:sz w:val="21"/>
                <w:szCs w:val="21"/>
              </w:rPr>
            </w:pPr>
          </w:p>
        </w:tc>
        <w:tc>
          <w:tcPr>
            <w:tcW w:w="539" w:type="pct"/>
            <w:vAlign w:val="center"/>
          </w:tcPr>
          <w:p>
            <w:pPr>
              <w:jc w:val="center"/>
              <w:rPr>
                <w:rFonts w:hint="eastAsia" w:ascii="宋体" w:hAnsi="宋体"/>
                <w:b w:val="0"/>
                <w:bCs/>
                <w:color w:val="auto"/>
                <w:sz w:val="21"/>
                <w:szCs w:val="21"/>
              </w:rPr>
            </w:pPr>
          </w:p>
        </w:tc>
        <w:tc>
          <w:tcPr>
            <w:tcW w:w="496" w:type="pct"/>
            <w:vAlign w:val="center"/>
          </w:tcPr>
          <w:p>
            <w:pPr>
              <w:jc w:val="center"/>
              <w:rPr>
                <w:rFonts w:hint="eastAsia" w:ascii="宋体" w:hAnsi="宋体"/>
                <w:b w:val="0"/>
                <w:bCs/>
                <w:color w:val="auto"/>
                <w:sz w:val="21"/>
                <w:szCs w:val="21"/>
              </w:rPr>
            </w:pPr>
          </w:p>
        </w:tc>
        <w:tc>
          <w:tcPr>
            <w:tcW w:w="546" w:type="pct"/>
            <w:vAlign w:val="center"/>
          </w:tcPr>
          <w:p>
            <w:pPr>
              <w:jc w:val="center"/>
              <w:rPr>
                <w:rFonts w:hint="eastAsia" w:ascii="宋体" w:hAnsi="宋体"/>
                <w:b w:val="0"/>
                <w:bCs/>
                <w:color w:val="auto"/>
                <w:sz w:val="21"/>
                <w:szCs w:val="21"/>
              </w:rPr>
            </w:pPr>
          </w:p>
        </w:tc>
        <w:tc>
          <w:tcPr>
            <w:tcW w:w="617" w:type="pct"/>
            <w:vAlign w:val="center"/>
          </w:tcPr>
          <w:p>
            <w:pPr>
              <w:jc w:val="center"/>
              <w:rPr>
                <w:rFonts w:hint="eastAsia" w:ascii="宋体" w:hAnsi="宋体"/>
                <w:b w:val="0"/>
                <w:bCs/>
                <w:color w:val="auto"/>
                <w:sz w:val="21"/>
                <w:szCs w:val="21"/>
              </w:rPr>
            </w:pPr>
          </w:p>
        </w:tc>
        <w:tc>
          <w:tcPr>
            <w:tcW w:w="614" w:type="pct"/>
            <w:vAlign w:val="center"/>
          </w:tcPr>
          <w:p>
            <w:pPr>
              <w:jc w:val="center"/>
              <w:rPr>
                <w:rFonts w:hint="eastAsia" w:ascii="宋体" w:hAnsi="宋体"/>
                <w:b w:val="0"/>
                <w:bCs/>
                <w:color w:val="auto"/>
                <w:sz w:val="21"/>
                <w:szCs w:val="21"/>
              </w:rPr>
            </w:pPr>
          </w:p>
        </w:tc>
        <w:tc>
          <w:tcPr>
            <w:tcW w:w="601" w:type="pct"/>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618" w:type="pct"/>
            <w:vAlign w:val="center"/>
          </w:tcPr>
          <w:p>
            <w:pPr>
              <w:jc w:val="center"/>
              <w:rPr>
                <w:rFonts w:hint="eastAsia" w:ascii="宋体" w:hAnsi="宋体"/>
                <w:b w:val="0"/>
                <w:bCs/>
                <w:color w:val="auto"/>
                <w:sz w:val="21"/>
                <w:szCs w:val="21"/>
              </w:rPr>
            </w:pPr>
          </w:p>
        </w:tc>
        <w:tc>
          <w:tcPr>
            <w:tcW w:w="482" w:type="pct"/>
            <w:vAlign w:val="center"/>
          </w:tcPr>
          <w:p>
            <w:pPr>
              <w:jc w:val="center"/>
              <w:rPr>
                <w:rFonts w:hint="eastAsia" w:ascii="宋体" w:hAnsi="宋体"/>
                <w:b w:val="0"/>
                <w:bCs/>
                <w:color w:val="auto"/>
                <w:sz w:val="21"/>
                <w:szCs w:val="21"/>
              </w:rPr>
            </w:pPr>
          </w:p>
        </w:tc>
        <w:tc>
          <w:tcPr>
            <w:tcW w:w="482" w:type="pct"/>
            <w:vAlign w:val="center"/>
          </w:tcPr>
          <w:p>
            <w:pPr>
              <w:jc w:val="center"/>
              <w:rPr>
                <w:rFonts w:hint="eastAsia" w:ascii="宋体" w:hAnsi="宋体"/>
                <w:b w:val="0"/>
                <w:bCs/>
                <w:color w:val="auto"/>
                <w:sz w:val="21"/>
                <w:szCs w:val="21"/>
              </w:rPr>
            </w:pPr>
          </w:p>
        </w:tc>
        <w:tc>
          <w:tcPr>
            <w:tcW w:w="539" w:type="pct"/>
            <w:vAlign w:val="center"/>
          </w:tcPr>
          <w:p>
            <w:pPr>
              <w:jc w:val="center"/>
              <w:rPr>
                <w:rFonts w:hint="eastAsia" w:ascii="宋体" w:hAnsi="宋体"/>
                <w:b w:val="0"/>
                <w:bCs/>
                <w:color w:val="auto"/>
                <w:sz w:val="21"/>
                <w:szCs w:val="21"/>
              </w:rPr>
            </w:pPr>
          </w:p>
        </w:tc>
        <w:tc>
          <w:tcPr>
            <w:tcW w:w="496" w:type="pct"/>
            <w:vAlign w:val="center"/>
          </w:tcPr>
          <w:p>
            <w:pPr>
              <w:jc w:val="center"/>
              <w:rPr>
                <w:rFonts w:hint="eastAsia" w:ascii="宋体" w:hAnsi="宋体"/>
                <w:b w:val="0"/>
                <w:bCs/>
                <w:color w:val="auto"/>
                <w:sz w:val="21"/>
                <w:szCs w:val="21"/>
              </w:rPr>
            </w:pPr>
          </w:p>
        </w:tc>
        <w:tc>
          <w:tcPr>
            <w:tcW w:w="546" w:type="pct"/>
            <w:vAlign w:val="center"/>
          </w:tcPr>
          <w:p>
            <w:pPr>
              <w:jc w:val="center"/>
              <w:rPr>
                <w:rFonts w:hint="eastAsia" w:ascii="宋体" w:hAnsi="宋体"/>
                <w:b w:val="0"/>
                <w:bCs/>
                <w:color w:val="auto"/>
                <w:sz w:val="21"/>
                <w:szCs w:val="21"/>
              </w:rPr>
            </w:pPr>
          </w:p>
        </w:tc>
        <w:tc>
          <w:tcPr>
            <w:tcW w:w="617" w:type="pct"/>
            <w:vAlign w:val="center"/>
          </w:tcPr>
          <w:p>
            <w:pPr>
              <w:jc w:val="center"/>
              <w:rPr>
                <w:rFonts w:hint="eastAsia" w:ascii="宋体" w:hAnsi="宋体"/>
                <w:b w:val="0"/>
                <w:bCs/>
                <w:color w:val="auto"/>
                <w:sz w:val="21"/>
                <w:szCs w:val="21"/>
              </w:rPr>
            </w:pPr>
          </w:p>
        </w:tc>
        <w:tc>
          <w:tcPr>
            <w:tcW w:w="614" w:type="pct"/>
            <w:vAlign w:val="center"/>
          </w:tcPr>
          <w:p>
            <w:pPr>
              <w:jc w:val="center"/>
              <w:rPr>
                <w:rFonts w:hint="eastAsia" w:ascii="宋体" w:hAnsi="宋体"/>
                <w:b w:val="0"/>
                <w:bCs/>
                <w:color w:val="auto"/>
                <w:sz w:val="21"/>
                <w:szCs w:val="21"/>
              </w:rPr>
            </w:pPr>
          </w:p>
        </w:tc>
        <w:tc>
          <w:tcPr>
            <w:tcW w:w="601" w:type="pct"/>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618" w:type="pct"/>
            <w:vAlign w:val="center"/>
          </w:tcPr>
          <w:p>
            <w:pPr>
              <w:jc w:val="center"/>
              <w:rPr>
                <w:rFonts w:hint="eastAsia" w:ascii="宋体" w:hAnsi="宋体"/>
                <w:b w:val="0"/>
                <w:bCs/>
                <w:color w:val="auto"/>
                <w:sz w:val="21"/>
                <w:szCs w:val="21"/>
              </w:rPr>
            </w:pPr>
          </w:p>
        </w:tc>
        <w:tc>
          <w:tcPr>
            <w:tcW w:w="482" w:type="pct"/>
            <w:vAlign w:val="center"/>
          </w:tcPr>
          <w:p>
            <w:pPr>
              <w:jc w:val="center"/>
              <w:rPr>
                <w:rFonts w:hint="eastAsia" w:ascii="宋体" w:hAnsi="宋体"/>
                <w:b w:val="0"/>
                <w:bCs/>
                <w:color w:val="auto"/>
                <w:sz w:val="21"/>
                <w:szCs w:val="21"/>
              </w:rPr>
            </w:pPr>
          </w:p>
        </w:tc>
        <w:tc>
          <w:tcPr>
            <w:tcW w:w="482" w:type="pct"/>
            <w:vAlign w:val="center"/>
          </w:tcPr>
          <w:p>
            <w:pPr>
              <w:jc w:val="center"/>
              <w:rPr>
                <w:rFonts w:hint="eastAsia" w:ascii="宋体" w:hAnsi="宋体"/>
                <w:b w:val="0"/>
                <w:bCs/>
                <w:color w:val="auto"/>
                <w:sz w:val="21"/>
                <w:szCs w:val="21"/>
              </w:rPr>
            </w:pPr>
          </w:p>
        </w:tc>
        <w:tc>
          <w:tcPr>
            <w:tcW w:w="539" w:type="pct"/>
            <w:vAlign w:val="center"/>
          </w:tcPr>
          <w:p>
            <w:pPr>
              <w:jc w:val="center"/>
              <w:rPr>
                <w:rFonts w:hint="eastAsia" w:ascii="宋体" w:hAnsi="宋体"/>
                <w:b w:val="0"/>
                <w:bCs/>
                <w:color w:val="auto"/>
                <w:sz w:val="21"/>
                <w:szCs w:val="21"/>
              </w:rPr>
            </w:pPr>
          </w:p>
        </w:tc>
        <w:tc>
          <w:tcPr>
            <w:tcW w:w="496" w:type="pct"/>
            <w:vAlign w:val="center"/>
          </w:tcPr>
          <w:p>
            <w:pPr>
              <w:jc w:val="center"/>
              <w:rPr>
                <w:rFonts w:hint="eastAsia" w:ascii="宋体" w:hAnsi="宋体"/>
                <w:b w:val="0"/>
                <w:bCs/>
                <w:color w:val="auto"/>
                <w:sz w:val="21"/>
                <w:szCs w:val="21"/>
              </w:rPr>
            </w:pPr>
          </w:p>
        </w:tc>
        <w:tc>
          <w:tcPr>
            <w:tcW w:w="546" w:type="pct"/>
            <w:vAlign w:val="center"/>
          </w:tcPr>
          <w:p>
            <w:pPr>
              <w:jc w:val="center"/>
              <w:rPr>
                <w:rFonts w:hint="eastAsia" w:ascii="宋体" w:hAnsi="宋体"/>
                <w:b w:val="0"/>
                <w:bCs/>
                <w:color w:val="auto"/>
                <w:sz w:val="21"/>
                <w:szCs w:val="21"/>
              </w:rPr>
            </w:pPr>
          </w:p>
        </w:tc>
        <w:tc>
          <w:tcPr>
            <w:tcW w:w="617" w:type="pct"/>
            <w:vAlign w:val="center"/>
          </w:tcPr>
          <w:p>
            <w:pPr>
              <w:jc w:val="center"/>
              <w:rPr>
                <w:rFonts w:hint="eastAsia" w:ascii="宋体" w:hAnsi="宋体"/>
                <w:b w:val="0"/>
                <w:bCs/>
                <w:color w:val="auto"/>
                <w:sz w:val="21"/>
                <w:szCs w:val="21"/>
              </w:rPr>
            </w:pPr>
          </w:p>
        </w:tc>
        <w:tc>
          <w:tcPr>
            <w:tcW w:w="614" w:type="pct"/>
            <w:vAlign w:val="center"/>
          </w:tcPr>
          <w:p>
            <w:pPr>
              <w:jc w:val="center"/>
              <w:rPr>
                <w:rFonts w:hint="eastAsia" w:ascii="宋体" w:hAnsi="宋体"/>
                <w:b w:val="0"/>
                <w:bCs/>
                <w:color w:val="auto"/>
                <w:sz w:val="21"/>
                <w:szCs w:val="21"/>
              </w:rPr>
            </w:pPr>
          </w:p>
        </w:tc>
        <w:tc>
          <w:tcPr>
            <w:tcW w:w="601" w:type="pct"/>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9" w:hRule="atLeast"/>
          <w:jc w:val="center"/>
        </w:trPr>
        <w:tc>
          <w:tcPr>
            <w:tcW w:w="618" w:type="pct"/>
            <w:vAlign w:val="center"/>
          </w:tcPr>
          <w:p>
            <w:pPr>
              <w:jc w:val="center"/>
              <w:rPr>
                <w:rFonts w:hint="eastAsia" w:ascii="宋体" w:hAnsi="宋体"/>
                <w:b w:val="0"/>
                <w:bCs/>
                <w:color w:val="auto"/>
                <w:sz w:val="21"/>
                <w:szCs w:val="21"/>
              </w:rPr>
            </w:pPr>
          </w:p>
        </w:tc>
        <w:tc>
          <w:tcPr>
            <w:tcW w:w="482" w:type="pct"/>
            <w:vAlign w:val="center"/>
          </w:tcPr>
          <w:p>
            <w:pPr>
              <w:jc w:val="center"/>
              <w:rPr>
                <w:rFonts w:hint="eastAsia" w:ascii="宋体" w:hAnsi="宋体"/>
                <w:b w:val="0"/>
                <w:bCs/>
                <w:color w:val="auto"/>
                <w:sz w:val="21"/>
                <w:szCs w:val="21"/>
              </w:rPr>
            </w:pPr>
          </w:p>
        </w:tc>
        <w:tc>
          <w:tcPr>
            <w:tcW w:w="482" w:type="pct"/>
            <w:vAlign w:val="center"/>
          </w:tcPr>
          <w:p>
            <w:pPr>
              <w:jc w:val="center"/>
              <w:rPr>
                <w:rFonts w:hint="eastAsia" w:ascii="宋体" w:hAnsi="宋体"/>
                <w:b w:val="0"/>
                <w:bCs/>
                <w:color w:val="auto"/>
                <w:sz w:val="21"/>
                <w:szCs w:val="21"/>
              </w:rPr>
            </w:pPr>
          </w:p>
        </w:tc>
        <w:tc>
          <w:tcPr>
            <w:tcW w:w="539" w:type="pct"/>
            <w:vAlign w:val="center"/>
          </w:tcPr>
          <w:p>
            <w:pPr>
              <w:jc w:val="center"/>
              <w:rPr>
                <w:rFonts w:hint="eastAsia" w:ascii="宋体" w:hAnsi="宋体"/>
                <w:b w:val="0"/>
                <w:bCs/>
                <w:color w:val="auto"/>
                <w:sz w:val="21"/>
                <w:szCs w:val="21"/>
              </w:rPr>
            </w:pPr>
          </w:p>
        </w:tc>
        <w:tc>
          <w:tcPr>
            <w:tcW w:w="496" w:type="pct"/>
            <w:vAlign w:val="center"/>
          </w:tcPr>
          <w:p>
            <w:pPr>
              <w:jc w:val="center"/>
              <w:rPr>
                <w:rFonts w:hint="eastAsia" w:ascii="宋体" w:hAnsi="宋体"/>
                <w:b w:val="0"/>
                <w:bCs/>
                <w:color w:val="auto"/>
                <w:sz w:val="21"/>
                <w:szCs w:val="21"/>
              </w:rPr>
            </w:pPr>
          </w:p>
        </w:tc>
        <w:tc>
          <w:tcPr>
            <w:tcW w:w="546" w:type="pct"/>
            <w:vAlign w:val="center"/>
          </w:tcPr>
          <w:p>
            <w:pPr>
              <w:jc w:val="center"/>
              <w:rPr>
                <w:rFonts w:hint="eastAsia" w:ascii="宋体" w:hAnsi="宋体"/>
                <w:b w:val="0"/>
                <w:bCs/>
                <w:color w:val="auto"/>
                <w:sz w:val="21"/>
                <w:szCs w:val="21"/>
              </w:rPr>
            </w:pPr>
          </w:p>
        </w:tc>
        <w:tc>
          <w:tcPr>
            <w:tcW w:w="617" w:type="pct"/>
            <w:vAlign w:val="center"/>
          </w:tcPr>
          <w:p>
            <w:pPr>
              <w:jc w:val="center"/>
              <w:rPr>
                <w:rFonts w:hint="eastAsia" w:ascii="宋体" w:hAnsi="宋体"/>
                <w:b w:val="0"/>
                <w:bCs/>
                <w:color w:val="auto"/>
                <w:sz w:val="21"/>
                <w:szCs w:val="21"/>
              </w:rPr>
            </w:pPr>
          </w:p>
        </w:tc>
        <w:tc>
          <w:tcPr>
            <w:tcW w:w="614" w:type="pct"/>
            <w:vAlign w:val="center"/>
          </w:tcPr>
          <w:p>
            <w:pPr>
              <w:jc w:val="center"/>
              <w:rPr>
                <w:rFonts w:hint="eastAsia" w:ascii="宋体" w:hAnsi="宋体"/>
                <w:b w:val="0"/>
                <w:bCs/>
                <w:color w:val="auto"/>
                <w:sz w:val="21"/>
                <w:szCs w:val="21"/>
              </w:rPr>
            </w:pPr>
          </w:p>
        </w:tc>
        <w:tc>
          <w:tcPr>
            <w:tcW w:w="601" w:type="pct"/>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618" w:type="pct"/>
            <w:vAlign w:val="center"/>
          </w:tcPr>
          <w:p>
            <w:pPr>
              <w:jc w:val="center"/>
              <w:rPr>
                <w:rFonts w:hint="eastAsia" w:ascii="宋体" w:hAnsi="宋体"/>
                <w:b w:val="0"/>
                <w:bCs/>
                <w:color w:val="auto"/>
                <w:sz w:val="21"/>
                <w:szCs w:val="21"/>
              </w:rPr>
            </w:pPr>
          </w:p>
        </w:tc>
        <w:tc>
          <w:tcPr>
            <w:tcW w:w="482" w:type="pct"/>
            <w:vAlign w:val="center"/>
          </w:tcPr>
          <w:p>
            <w:pPr>
              <w:jc w:val="center"/>
              <w:rPr>
                <w:rFonts w:hint="eastAsia" w:ascii="宋体" w:hAnsi="宋体"/>
                <w:b w:val="0"/>
                <w:bCs/>
                <w:color w:val="auto"/>
                <w:sz w:val="21"/>
                <w:szCs w:val="21"/>
              </w:rPr>
            </w:pPr>
          </w:p>
        </w:tc>
        <w:tc>
          <w:tcPr>
            <w:tcW w:w="482" w:type="pct"/>
            <w:vAlign w:val="center"/>
          </w:tcPr>
          <w:p>
            <w:pPr>
              <w:jc w:val="center"/>
              <w:rPr>
                <w:rFonts w:hint="eastAsia" w:ascii="宋体" w:hAnsi="宋体"/>
                <w:b w:val="0"/>
                <w:bCs/>
                <w:color w:val="auto"/>
                <w:sz w:val="21"/>
                <w:szCs w:val="21"/>
              </w:rPr>
            </w:pPr>
          </w:p>
        </w:tc>
        <w:tc>
          <w:tcPr>
            <w:tcW w:w="539" w:type="pct"/>
            <w:vAlign w:val="center"/>
          </w:tcPr>
          <w:p>
            <w:pPr>
              <w:jc w:val="center"/>
              <w:rPr>
                <w:rFonts w:hint="eastAsia" w:ascii="宋体" w:hAnsi="宋体"/>
                <w:b w:val="0"/>
                <w:bCs/>
                <w:color w:val="auto"/>
                <w:sz w:val="21"/>
                <w:szCs w:val="21"/>
              </w:rPr>
            </w:pPr>
          </w:p>
        </w:tc>
        <w:tc>
          <w:tcPr>
            <w:tcW w:w="496" w:type="pct"/>
            <w:vAlign w:val="center"/>
          </w:tcPr>
          <w:p>
            <w:pPr>
              <w:jc w:val="center"/>
              <w:rPr>
                <w:rFonts w:hint="eastAsia" w:ascii="宋体" w:hAnsi="宋体"/>
                <w:b w:val="0"/>
                <w:bCs/>
                <w:color w:val="auto"/>
                <w:sz w:val="21"/>
                <w:szCs w:val="21"/>
              </w:rPr>
            </w:pPr>
          </w:p>
        </w:tc>
        <w:tc>
          <w:tcPr>
            <w:tcW w:w="546" w:type="pct"/>
            <w:vAlign w:val="center"/>
          </w:tcPr>
          <w:p>
            <w:pPr>
              <w:jc w:val="center"/>
              <w:rPr>
                <w:rFonts w:hint="eastAsia" w:ascii="宋体" w:hAnsi="宋体"/>
                <w:b w:val="0"/>
                <w:bCs/>
                <w:color w:val="auto"/>
                <w:sz w:val="21"/>
                <w:szCs w:val="21"/>
              </w:rPr>
            </w:pPr>
          </w:p>
        </w:tc>
        <w:tc>
          <w:tcPr>
            <w:tcW w:w="617" w:type="pct"/>
            <w:vAlign w:val="center"/>
          </w:tcPr>
          <w:p>
            <w:pPr>
              <w:jc w:val="center"/>
              <w:rPr>
                <w:rFonts w:hint="eastAsia" w:ascii="宋体" w:hAnsi="宋体"/>
                <w:b w:val="0"/>
                <w:bCs/>
                <w:color w:val="auto"/>
                <w:sz w:val="21"/>
                <w:szCs w:val="21"/>
              </w:rPr>
            </w:pPr>
          </w:p>
        </w:tc>
        <w:tc>
          <w:tcPr>
            <w:tcW w:w="614" w:type="pct"/>
            <w:vAlign w:val="center"/>
          </w:tcPr>
          <w:p>
            <w:pPr>
              <w:jc w:val="center"/>
              <w:rPr>
                <w:rFonts w:hint="eastAsia" w:ascii="宋体" w:hAnsi="宋体"/>
                <w:b w:val="0"/>
                <w:bCs/>
                <w:color w:val="auto"/>
                <w:sz w:val="21"/>
                <w:szCs w:val="21"/>
              </w:rPr>
            </w:pPr>
          </w:p>
        </w:tc>
        <w:tc>
          <w:tcPr>
            <w:tcW w:w="601" w:type="pct"/>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618" w:type="pct"/>
            <w:vAlign w:val="center"/>
          </w:tcPr>
          <w:p>
            <w:pPr>
              <w:jc w:val="center"/>
              <w:rPr>
                <w:rFonts w:hint="eastAsia" w:ascii="宋体" w:hAnsi="宋体"/>
                <w:b w:val="0"/>
                <w:bCs/>
                <w:color w:val="auto"/>
                <w:sz w:val="21"/>
                <w:szCs w:val="21"/>
              </w:rPr>
            </w:pPr>
          </w:p>
        </w:tc>
        <w:tc>
          <w:tcPr>
            <w:tcW w:w="482" w:type="pct"/>
            <w:vAlign w:val="center"/>
          </w:tcPr>
          <w:p>
            <w:pPr>
              <w:jc w:val="center"/>
              <w:rPr>
                <w:rFonts w:hint="eastAsia" w:ascii="宋体" w:hAnsi="宋体"/>
                <w:b w:val="0"/>
                <w:bCs/>
                <w:color w:val="auto"/>
                <w:sz w:val="21"/>
                <w:szCs w:val="21"/>
              </w:rPr>
            </w:pPr>
          </w:p>
        </w:tc>
        <w:tc>
          <w:tcPr>
            <w:tcW w:w="482" w:type="pct"/>
            <w:vAlign w:val="center"/>
          </w:tcPr>
          <w:p>
            <w:pPr>
              <w:jc w:val="center"/>
              <w:rPr>
                <w:rFonts w:hint="eastAsia" w:ascii="宋体" w:hAnsi="宋体"/>
                <w:b w:val="0"/>
                <w:bCs/>
                <w:color w:val="auto"/>
                <w:sz w:val="21"/>
                <w:szCs w:val="21"/>
              </w:rPr>
            </w:pPr>
          </w:p>
        </w:tc>
        <w:tc>
          <w:tcPr>
            <w:tcW w:w="539" w:type="pct"/>
            <w:vAlign w:val="center"/>
          </w:tcPr>
          <w:p>
            <w:pPr>
              <w:jc w:val="center"/>
              <w:rPr>
                <w:rFonts w:hint="eastAsia" w:ascii="宋体" w:hAnsi="宋体"/>
                <w:b w:val="0"/>
                <w:bCs/>
                <w:color w:val="auto"/>
                <w:sz w:val="21"/>
                <w:szCs w:val="21"/>
              </w:rPr>
            </w:pPr>
          </w:p>
        </w:tc>
        <w:tc>
          <w:tcPr>
            <w:tcW w:w="496" w:type="pct"/>
            <w:vAlign w:val="center"/>
          </w:tcPr>
          <w:p>
            <w:pPr>
              <w:jc w:val="center"/>
              <w:rPr>
                <w:rFonts w:hint="eastAsia" w:ascii="宋体" w:hAnsi="宋体"/>
                <w:b w:val="0"/>
                <w:bCs/>
                <w:color w:val="auto"/>
                <w:sz w:val="21"/>
                <w:szCs w:val="21"/>
              </w:rPr>
            </w:pPr>
          </w:p>
        </w:tc>
        <w:tc>
          <w:tcPr>
            <w:tcW w:w="546" w:type="pct"/>
            <w:vAlign w:val="center"/>
          </w:tcPr>
          <w:p>
            <w:pPr>
              <w:jc w:val="center"/>
              <w:rPr>
                <w:rFonts w:hint="eastAsia" w:ascii="宋体" w:hAnsi="宋体"/>
                <w:b w:val="0"/>
                <w:bCs/>
                <w:color w:val="auto"/>
                <w:sz w:val="21"/>
                <w:szCs w:val="21"/>
              </w:rPr>
            </w:pPr>
          </w:p>
        </w:tc>
        <w:tc>
          <w:tcPr>
            <w:tcW w:w="617" w:type="pct"/>
            <w:vAlign w:val="center"/>
          </w:tcPr>
          <w:p>
            <w:pPr>
              <w:jc w:val="center"/>
              <w:rPr>
                <w:rFonts w:hint="eastAsia" w:ascii="宋体" w:hAnsi="宋体"/>
                <w:b w:val="0"/>
                <w:bCs/>
                <w:color w:val="auto"/>
                <w:sz w:val="21"/>
                <w:szCs w:val="21"/>
              </w:rPr>
            </w:pPr>
          </w:p>
        </w:tc>
        <w:tc>
          <w:tcPr>
            <w:tcW w:w="614" w:type="pct"/>
            <w:vAlign w:val="center"/>
          </w:tcPr>
          <w:p>
            <w:pPr>
              <w:jc w:val="center"/>
              <w:rPr>
                <w:rFonts w:hint="eastAsia" w:ascii="宋体" w:hAnsi="宋体"/>
                <w:b w:val="0"/>
                <w:bCs/>
                <w:color w:val="auto"/>
                <w:sz w:val="21"/>
                <w:szCs w:val="21"/>
              </w:rPr>
            </w:pPr>
          </w:p>
        </w:tc>
        <w:tc>
          <w:tcPr>
            <w:tcW w:w="601" w:type="pct"/>
            <w:vAlign w:val="center"/>
          </w:tcPr>
          <w:p>
            <w:pPr>
              <w:jc w:val="center"/>
              <w:rPr>
                <w:rFonts w:hint="eastAsia" w:ascii="宋体" w:hAnsi="宋体"/>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618" w:type="pct"/>
            <w:vAlign w:val="center"/>
          </w:tcPr>
          <w:p>
            <w:pPr>
              <w:jc w:val="center"/>
              <w:rPr>
                <w:rFonts w:hint="eastAsia" w:ascii="宋体" w:hAnsi="宋体"/>
                <w:b w:val="0"/>
                <w:bCs/>
                <w:color w:val="auto"/>
                <w:sz w:val="21"/>
                <w:szCs w:val="21"/>
              </w:rPr>
            </w:pPr>
          </w:p>
        </w:tc>
        <w:tc>
          <w:tcPr>
            <w:tcW w:w="482" w:type="pct"/>
            <w:vAlign w:val="center"/>
          </w:tcPr>
          <w:p>
            <w:pPr>
              <w:jc w:val="center"/>
              <w:rPr>
                <w:rFonts w:hint="eastAsia" w:ascii="宋体" w:hAnsi="宋体"/>
                <w:b w:val="0"/>
                <w:bCs/>
                <w:color w:val="auto"/>
                <w:sz w:val="21"/>
                <w:szCs w:val="21"/>
              </w:rPr>
            </w:pPr>
          </w:p>
        </w:tc>
        <w:tc>
          <w:tcPr>
            <w:tcW w:w="482" w:type="pct"/>
            <w:vAlign w:val="center"/>
          </w:tcPr>
          <w:p>
            <w:pPr>
              <w:jc w:val="center"/>
              <w:rPr>
                <w:rFonts w:hint="eastAsia" w:ascii="宋体" w:hAnsi="宋体"/>
                <w:b w:val="0"/>
                <w:bCs/>
                <w:color w:val="auto"/>
                <w:sz w:val="21"/>
                <w:szCs w:val="21"/>
              </w:rPr>
            </w:pPr>
          </w:p>
        </w:tc>
        <w:tc>
          <w:tcPr>
            <w:tcW w:w="539" w:type="pct"/>
            <w:vAlign w:val="center"/>
          </w:tcPr>
          <w:p>
            <w:pPr>
              <w:jc w:val="center"/>
              <w:rPr>
                <w:rFonts w:hint="eastAsia" w:ascii="宋体" w:hAnsi="宋体"/>
                <w:b w:val="0"/>
                <w:bCs/>
                <w:color w:val="auto"/>
                <w:sz w:val="21"/>
                <w:szCs w:val="21"/>
              </w:rPr>
            </w:pPr>
          </w:p>
        </w:tc>
        <w:tc>
          <w:tcPr>
            <w:tcW w:w="496" w:type="pct"/>
            <w:vAlign w:val="center"/>
          </w:tcPr>
          <w:p>
            <w:pPr>
              <w:jc w:val="center"/>
              <w:rPr>
                <w:rFonts w:hint="eastAsia" w:ascii="宋体" w:hAnsi="宋体"/>
                <w:b w:val="0"/>
                <w:bCs/>
                <w:color w:val="auto"/>
                <w:sz w:val="21"/>
                <w:szCs w:val="21"/>
              </w:rPr>
            </w:pPr>
          </w:p>
        </w:tc>
        <w:tc>
          <w:tcPr>
            <w:tcW w:w="546" w:type="pct"/>
            <w:vAlign w:val="center"/>
          </w:tcPr>
          <w:p>
            <w:pPr>
              <w:jc w:val="center"/>
              <w:rPr>
                <w:rFonts w:hint="eastAsia" w:ascii="宋体" w:hAnsi="宋体"/>
                <w:b w:val="0"/>
                <w:bCs/>
                <w:color w:val="auto"/>
                <w:sz w:val="21"/>
                <w:szCs w:val="21"/>
              </w:rPr>
            </w:pPr>
          </w:p>
        </w:tc>
        <w:tc>
          <w:tcPr>
            <w:tcW w:w="617" w:type="pct"/>
            <w:vAlign w:val="center"/>
          </w:tcPr>
          <w:p>
            <w:pPr>
              <w:jc w:val="center"/>
              <w:rPr>
                <w:rFonts w:hint="eastAsia" w:ascii="宋体" w:hAnsi="宋体"/>
                <w:b w:val="0"/>
                <w:bCs/>
                <w:color w:val="auto"/>
                <w:sz w:val="21"/>
                <w:szCs w:val="21"/>
              </w:rPr>
            </w:pPr>
          </w:p>
        </w:tc>
        <w:tc>
          <w:tcPr>
            <w:tcW w:w="614" w:type="pct"/>
            <w:vAlign w:val="center"/>
          </w:tcPr>
          <w:p>
            <w:pPr>
              <w:jc w:val="center"/>
              <w:rPr>
                <w:rFonts w:hint="eastAsia" w:ascii="宋体" w:hAnsi="宋体"/>
                <w:b w:val="0"/>
                <w:bCs/>
                <w:color w:val="auto"/>
                <w:sz w:val="21"/>
                <w:szCs w:val="21"/>
              </w:rPr>
            </w:pPr>
          </w:p>
        </w:tc>
        <w:tc>
          <w:tcPr>
            <w:tcW w:w="601" w:type="pct"/>
            <w:vAlign w:val="center"/>
          </w:tcPr>
          <w:p>
            <w:pPr>
              <w:jc w:val="center"/>
              <w:rPr>
                <w:rFonts w:hint="eastAsia" w:ascii="宋体" w:hAnsi="宋体"/>
                <w:b w:val="0"/>
                <w:bCs/>
                <w:color w:val="auto"/>
                <w:sz w:val="21"/>
                <w:szCs w:val="21"/>
              </w:rPr>
            </w:pPr>
          </w:p>
        </w:tc>
      </w:tr>
    </w:tbl>
    <w:p>
      <w:pPr>
        <w:spacing w:line="500" w:lineRule="exact"/>
        <w:rPr>
          <w:rFonts w:hint="eastAsia" w:ascii="黑体" w:hAnsi="黑体" w:eastAsia="黑体" w:cs="黑体"/>
          <w:b w:val="0"/>
          <w:bCs/>
          <w:color w:val="auto"/>
          <w:sz w:val="24"/>
          <w:szCs w:val="24"/>
        </w:rPr>
        <w:sectPr>
          <w:headerReference r:id="rId115" w:type="default"/>
          <w:pgSz w:w="16840" w:h="11907" w:orient="landscape"/>
          <w:pgMar w:top="1417" w:right="1134" w:bottom="1134" w:left="1418" w:header="0" w:footer="992" w:gutter="0"/>
          <w:pgBorders>
            <w:top w:val="none" w:sz="0" w:space="0"/>
            <w:left w:val="none" w:sz="0" w:space="0"/>
            <w:bottom w:val="none" w:sz="0" w:space="0"/>
            <w:right w:val="none" w:sz="0" w:space="0"/>
          </w:pgBorders>
          <w:pgNumType w:fmt="decimal"/>
          <w:cols w:space="0" w:num="1"/>
          <w:rtlGutter w:val="0"/>
          <w:docGrid w:linePitch="286" w:charSpace="0"/>
        </w:sectPr>
      </w:pPr>
    </w:p>
    <w:p>
      <w:pPr>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附件9:：</w:t>
      </w:r>
      <w:r>
        <w:rPr>
          <w:rFonts w:hint="eastAsia" w:asciiTheme="minorEastAsia" w:hAnsiTheme="minorEastAsia" w:cstheme="minorEastAsia"/>
          <w:b w:val="0"/>
          <w:bCs/>
          <w:color w:val="auto"/>
          <w:sz w:val="24"/>
          <w:szCs w:val="24"/>
          <w:lang w:val="en-US" w:eastAsia="zh-CN"/>
        </w:rPr>
        <w:t>YYH-SOP-CTC-012-3.1-A09</w:t>
      </w:r>
      <w:r>
        <w:rPr>
          <w:rFonts w:hint="eastAsia" w:ascii="宋体" w:hAnsi="宋体" w:eastAsia="宋体" w:cs="宋体"/>
          <w:b w:val="0"/>
          <w:bCs/>
          <w:color w:val="auto"/>
          <w:sz w:val="24"/>
          <w:szCs w:val="24"/>
        </w:rPr>
        <w:t>试验医疗器械发放回收记录表</w:t>
      </w:r>
    </w:p>
    <w:p>
      <w:pPr>
        <w:spacing w:line="360" w:lineRule="auto"/>
        <w:jc w:val="center"/>
        <w:rPr>
          <w:rFonts w:hint="eastAsia" w:ascii="宋体" w:hAnsi="宋体" w:cs="宋体"/>
          <w:b w:val="0"/>
          <w:bCs/>
          <w:color w:val="auto"/>
          <w:sz w:val="24"/>
          <w:szCs w:val="24"/>
        </w:rPr>
      </w:pPr>
      <w:r>
        <w:rPr>
          <w:rFonts w:hint="eastAsia" w:ascii="宋体" w:hAnsi="宋体" w:cs="宋体"/>
          <w:b w:val="0"/>
          <w:bCs/>
          <w:color w:val="auto"/>
          <w:sz w:val="24"/>
          <w:szCs w:val="24"/>
        </w:rPr>
        <w:t>试验医疗器械发放回收记录表</w:t>
      </w:r>
    </w:p>
    <w:p>
      <w:pPr>
        <w:spacing w:line="360" w:lineRule="auto"/>
        <w:rPr>
          <w:rFonts w:hint="eastAsia" w:ascii="宋体" w:hAnsi="宋体"/>
          <w:b w:val="0"/>
          <w:bCs/>
          <w:color w:val="auto"/>
          <w:kern w:val="0"/>
          <w:sz w:val="21"/>
          <w:szCs w:val="21"/>
          <w:u w:val="single"/>
        </w:rPr>
      </w:pPr>
      <w:r>
        <w:rPr>
          <w:rFonts w:hint="eastAsia" w:ascii="宋体" w:hAnsi="宋体" w:cs="宋体"/>
          <w:b w:val="0"/>
          <w:bCs/>
          <w:color w:val="auto"/>
          <w:sz w:val="21"/>
          <w:szCs w:val="21"/>
        </w:rPr>
        <w:t>试验名称：</w:t>
      </w:r>
      <w:r>
        <w:rPr>
          <w:rFonts w:hint="eastAsia" w:ascii="宋体" w:hAnsi="宋体"/>
          <w:b w:val="0"/>
          <w:bCs/>
          <w:color w:val="auto"/>
          <w:kern w:val="0"/>
          <w:sz w:val="21"/>
          <w:szCs w:val="21"/>
          <w:u w:val="single"/>
        </w:rPr>
        <w:t xml:space="preserve">                                                                                                                 </w:t>
      </w:r>
    </w:p>
    <w:p>
      <w:pPr>
        <w:spacing w:line="360" w:lineRule="auto"/>
        <w:rPr>
          <w:rFonts w:hint="eastAsia" w:ascii="宋体" w:hAnsi="宋体" w:cs="宋体"/>
          <w:b w:val="0"/>
          <w:bCs/>
          <w:color w:val="auto"/>
          <w:sz w:val="21"/>
          <w:szCs w:val="21"/>
          <w:u w:val="single"/>
        </w:rPr>
      </w:pPr>
      <w:r>
        <w:rPr>
          <w:rFonts w:hint="eastAsia"/>
          <w:b w:val="0"/>
          <w:bCs/>
          <w:color w:val="auto"/>
          <w:sz w:val="21"/>
          <w:szCs w:val="21"/>
        </w:rPr>
        <w:t>方案编号：</w:t>
      </w:r>
      <w:r>
        <w:rPr>
          <w:rFonts w:hint="eastAsia"/>
          <w:b w:val="0"/>
          <w:bCs/>
          <w:color w:val="auto"/>
          <w:sz w:val="21"/>
          <w:szCs w:val="21"/>
          <w:u w:val="single"/>
        </w:rPr>
        <w:t xml:space="preserve">                             </w:t>
      </w:r>
      <w:r>
        <w:rPr>
          <w:rFonts w:hint="eastAsia"/>
          <w:b w:val="0"/>
          <w:bCs/>
          <w:color w:val="auto"/>
          <w:sz w:val="21"/>
          <w:szCs w:val="21"/>
        </w:rPr>
        <w:t xml:space="preserve">        </w:t>
      </w:r>
      <w:r>
        <w:rPr>
          <w:rFonts w:hint="eastAsia"/>
          <w:b w:val="0"/>
          <w:bCs/>
          <w:color w:val="auto"/>
          <w:sz w:val="21"/>
          <w:szCs w:val="21"/>
          <w:lang w:val="en-US" w:eastAsia="zh-CN"/>
        </w:rPr>
        <w:t xml:space="preserve">             </w:t>
      </w:r>
      <w:r>
        <w:rPr>
          <w:rFonts w:hint="eastAsia"/>
          <w:b w:val="0"/>
          <w:bCs/>
          <w:color w:val="auto"/>
          <w:sz w:val="21"/>
          <w:szCs w:val="21"/>
        </w:rPr>
        <w:t xml:space="preserve"> </w:t>
      </w:r>
      <w:r>
        <w:rPr>
          <w:rFonts w:hint="eastAsia" w:ascii="宋体" w:hAnsi="宋体" w:cs="宋体"/>
          <w:b w:val="0"/>
          <w:bCs/>
          <w:color w:val="auto"/>
          <w:sz w:val="21"/>
          <w:szCs w:val="21"/>
        </w:rPr>
        <w:t>申办方：</w:t>
      </w:r>
      <w:r>
        <w:rPr>
          <w:rFonts w:hint="eastAsia" w:ascii="宋体" w:hAnsi="宋体"/>
          <w:b w:val="0"/>
          <w:bCs/>
          <w:color w:val="auto"/>
          <w:kern w:val="0"/>
          <w:sz w:val="21"/>
          <w:szCs w:val="21"/>
          <w:u w:val="single"/>
        </w:rPr>
        <w:t xml:space="preserve">                               </w:t>
      </w:r>
      <w:r>
        <w:rPr>
          <w:rFonts w:hint="eastAsia" w:ascii="宋体" w:hAnsi="宋体" w:cs="宋体"/>
          <w:b w:val="0"/>
          <w:bCs/>
          <w:color w:val="auto"/>
          <w:sz w:val="21"/>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 w:val="0"/>
          <w:bCs/>
          <w:color w:val="auto"/>
          <w:sz w:val="21"/>
          <w:szCs w:val="21"/>
          <w:u w:val="single"/>
        </w:rPr>
      </w:pPr>
      <w:r>
        <w:rPr>
          <w:rFonts w:hint="eastAsia" w:ascii="宋体" w:hAnsi="宋体" w:cs="宋体"/>
          <w:b w:val="0"/>
          <w:bCs/>
          <w:color w:val="auto"/>
          <w:sz w:val="21"/>
          <w:szCs w:val="21"/>
        </w:rPr>
        <w:t>机构名称：</w:t>
      </w:r>
      <w:r>
        <w:rPr>
          <w:rFonts w:hint="eastAsia"/>
          <w:b w:val="0"/>
          <w:bCs/>
          <w:color w:val="auto"/>
          <w:sz w:val="21"/>
          <w:szCs w:val="21"/>
        </w:rPr>
        <w:t>沂源县人民医院药物</w:t>
      </w:r>
      <w:r>
        <w:rPr>
          <w:rFonts w:hint="eastAsia"/>
          <w:b w:val="0"/>
          <w:bCs/>
          <w:color w:val="auto"/>
          <w:sz w:val="21"/>
          <w:szCs w:val="21"/>
          <w:lang w:val="en-US" w:eastAsia="zh-CN"/>
        </w:rPr>
        <w:t>/</w:t>
      </w:r>
      <w:r>
        <w:rPr>
          <w:rFonts w:hint="eastAsia"/>
          <w:b w:val="0"/>
          <w:bCs/>
          <w:color w:val="auto"/>
          <w:sz w:val="21"/>
          <w:szCs w:val="21"/>
        </w:rPr>
        <w:t>医疗器械临床试验机构</w:t>
      </w:r>
      <w:r>
        <w:rPr>
          <w:rFonts w:hint="eastAsia" w:ascii="宋体" w:hAnsi="宋体" w:cs="宋体"/>
          <w:b w:val="0"/>
          <w:bCs/>
          <w:color w:val="auto"/>
          <w:sz w:val="21"/>
          <w:szCs w:val="21"/>
        </w:rPr>
        <w:t xml:space="preserve">                         主要研究者：</w:t>
      </w:r>
      <w:r>
        <w:rPr>
          <w:rFonts w:hint="eastAsia" w:ascii="宋体" w:hAnsi="宋体" w:cs="宋体"/>
          <w:b w:val="0"/>
          <w:bCs/>
          <w:color w:val="auto"/>
          <w:sz w:val="21"/>
          <w:szCs w:val="21"/>
          <w:u w:val="single"/>
        </w:rPr>
        <w:t xml:space="preserve">               </w:t>
      </w:r>
    </w:p>
    <w:tbl>
      <w:tblPr>
        <w:tblStyle w:val="27"/>
        <w:tblpPr w:leftFromText="180" w:rightFromText="180" w:vertAnchor="text" w:horzAnchor="page" w:tblpX="1405" w:tblpY="329"/>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28"/>
        <w:gridCol w:w="1578"/>
        <w:gridCol w:w="1216"/>
        <w:gridCol w:w="676"/>
        <w:gridCol w:w="676"/>
        <w:gridCol w:w="899"/>
        <w:gridCol w:w="1439"/>
        <w:gridCol w:w="1477"/>
        <w:gridCol w:w="676"/>
        <w:gridCol w:w="1126"/>
        <w:gridCol w:w="899"/>
        <w:gridCol w:w="926"/>
        <w:gridCol w:w="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3443" w:type="pct"/>
            <w:gridSpan w:val="8"/>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发放</w:t>
            </w:r>
          </w:p>
        </w:tc>
        <w:tc>
          <w:tcPr>
            <w:tcW w:w="1250" w:type="pct"/>
            <w:gridSpan w:val="4"/>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1950" w:firstLineChars="929"/>
              <w:textAlignment w:val="auto"/>
              <w:rPr>
                <w:rFonts w:hint="eastAsia"/>
                <w:b w:val="0"/>
                <w:bCs/>
                <w:color w:val="auto"/>
                <w:sz w:val="21"/>
                <w:szCs w:val="21"/>
              </w:rPr>
            </w:pPr>
            <w:r>
              <w:rPr>
                <w:rFonts w:hint="eastAsia"/>
                <w:b w:val="0"/>
                <w:bCs/>
                <w:color w:val="auto"/>
                <w:sz w:val="21"/>
                <w:szCs w:val="21"/>
              </w:rPr>
              <w:t>退还</w:t>
            </w:r>
          </w:p>
        </w:tc>
        <w:tc>
          <w:tcPr>
            <w:tcW w:w="305" w:type="pct"/>
            <w:vMerge w:val="restart"/>
            <w:tcBorders>
              <w:left w:val="single" w:color="auto" w:sz="4" w:space="0"/>
            </w:tcBorders>
            <w:vAlign w:val="center"/>
          </w:tcPr>
          <w:p>
            <w:pPr>
              <w:spacing w:line="360" w:lineRule="auto"/>
              <w:jc w:val="center"/>
              <w:rPr>
                <w:b w:val="0"/>
                <w:bCs/>
                <w:color w:val="auto"/>
                <w:sz w:val="21"/>
                <w:szCs w:val="21"/>
              </w:rPr>
            </w:pPr>
            <w:r>
              <w:rPr>
                <w:rFonts w:hint="eastAsia"/>
                <w:b w:val="0"/>
                <w:bCs/>
                <w:color w:val="auto"/>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69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color w:val="auto"/>
                <w:sz w:val="21"/>
                <w:szCs w:val="21"/>
              </w:rPr>
            </w:pPr>
            <w:r>
              <w:rPr>
                <w:rFonts w:hint="eastAsia" w:ascii="宋体" w:hAnsi="宋体" w:cs="宋体"/>
                <w:b w:val="0"/>
                <w:bCs/>
                <w:color w:val="auto"/>
                <w:sz w:val="21"/>
                <w:szCs w:val="21"/>
              </w:rPr>
              <w:t>试验</w:t>
            </w:r>
            <w:r>
              <w:rPr>
                <w:rFonts w:hint="eastAsia"/>
                <w:b w:val="0"/>
                <w:bCs/>
                <w:color w:val="auto"/>
                <w:sz w:val="21"/>
                <w:szCs w:val="21"/>
              </w:rPr>
              <w:t>医疗器械</w:t>
            </w:r>
            <w:r>
              <w:rPr>
                <w:rFonts w:hint="eastAsia" w:ascii="宋体" w:hAnsi="宋体" w:cs="宋体"/>
                <w:b w:val="0"/>
                <w:bCs/>
                <w:color w:val="auto"/>
                <w:sz w:val="21"/>
                <w:szCs w:val="21"/>
              </w:rPr>
              <w:t>名称</w:t>
            </w:r>
          </w:p>
        </w:tc>
        <w:tc>
          <w:tcPr>
            <w:tcW w:w="544"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color w:val="auto"/>
                <w:sz w:val="21"/>
                <w:szCs w:val="21"/>
              </w:rPr>
            </w:pPr>
            <w:r>
              <w:rPr>
                <w:rFonts w:hint="eastAsia"/>
                <w:b w:val="0"/>
                <w:bCs/>
                <w:color w:val="auto"/>
                <w:sz w:val="21"/>
                <w:szCs w:val="21"/>
              </w:rPr>
              <w:t>医疗器械编号</w:t>
            </w:r>
          </w:p>
        </w:tc>
        <w:tc>
          <w:tcPr>
            <w:tcW w:w="419"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b w:val="0"/>
                <w:bCs/>
                <w:color w:val="auto"/>
                <w:sz w:val="21"/>
                <w:szCs w:val="21"/>
                <w:lang w:val="en-US" w:eastAsia="zh-CN"/>
              </w:rPr>
            </w:pPr>
            <w:r>
              <w:rPr>
                <w:rFonts w:hint="eastAsia"/>
                <w:b w:val="0"/>
                <w:bCs/>
                <w:color w:val="auto"/>
                <w:sz w:val="21"/>
                <w:szCs w:val="21"/>
              </w:rPr>
              <w:t>规格</w:t>
            </w:r>
            <w:r>
              <w:rPr>
                <w:rFonts w:hint="eastAsia"/>
                <w:b w:val="0"/>
                <w:bCs/>
                <w:color w:val="auto"/>
                <w:sz w:val="21"/>
                <w:szCs w:val="21"/>
                <w:lang w:val="en-US" w:eastAsia="zh-CN"/>
              </w:rPr>
              <w:t>/型号</w:t>
            </w:r>
          </w:p>
        </w:tc>
        <w:tc>
          <w:tcPr>
            <w:tcW w:w="233"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数量</w:t>
            </w:r>
          </w:p>
        </w:tc>
        <w:tc>
          <w:tcPr>
            <w:tcW w:w="233"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color w:val="auto"/>
                <w:sz w:val="21"/>
                <w:szCs w:val="21"/>
              </w:rPr>
            </w:pPr>
            <w:r>
              <w:rPr>
                <w:rFonts w:hint="eastAsia"/>
                <w:b w:val="0"/>
                <w:bCs/>
                <w:color w:val="auto"/>
                <w:sz w:val="21"/>
                <w:szCs w:val="21"/>
              </w:rPr>
              <w:t>批号</w:t>
            </w:r>
          </w:p>
        </w:tc>
        <w:tc>
          <w:tcPr>
            <w:tcW w:w="310"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有效期</w:t>
            </w:r>
          </w:p>
        </w:tc>
        <w:tc>
          <w:tcPr>
            <w:tcW w:w="49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color w:val="auto"/>
                <w:sz w:val="21"/>
                <w:szCs w:val="21"/>
              </w:rPr>
            </w:pPr>
            <w:r>
              <w:rPr>
                <w:rFonts w:hint="eastAsia"/>
                <w:b w:val="0"/>
                <w:bCs/>
                <w:color w:val="auto"/>
                <w:sz w:val="21"/>
                <w:szCs w:val="21"/>
              </w:rPr>
              <w:t>领</w:t>
            </w:r>
            <w:r>
              <w:rPr>
                <w:rFonts w:hint="eastAsia"/>
                <w:b w:val="0"/>
                <w:bCs/>
                <w:color w:val="auto"/>
                <w:sz w:val="21"/>
                <w:szCs w:val="21"/>
                <w:lang w:val="en-US" w:eastAsia="zh-CN"/>
              </w:rPr>
              <w:t>取</w:t>
            </w:r>
            <w:r>
              <w:rPr>
                <w:rFonts w:hint="eastAsia"/>
                <w:b w:val="0"/>
                <w:bCs/>
                <w:color w:val="auto"/>
                <w:sz w:val="21"/>
                <w:szCs w:val="21"/>
              </w:rPr>
              <w:t>人/时间</w:t>
            </w:r>
          </w:p>
        </w:tc>
        <w:tc>
          <w:tcPr>
            <w:tcW w:w="5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lang w:val="en-US" w:eastAsia="zh-CN"/>
              </w:rPr>
              <w:t>发放</w:t>
            </w:r>
            <w:r>
              <w:rPr>
                <w:rFonts w:hint="eastAsia"/>
                <w:b w:val="0"/>
                <w:bCs/>
                <w:color w:val="auto"/>
                <w:sz w:val="21"/>
                <w:szCs w:val="21"/>
              </w:rPr>
              <w:t>人/时间</w:t>
            </w:r>
          </w:p>
        </w:tc>
        <w:tc>
          <w:tcPr>
            <w:tcW w:w="233"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日期</w:t>
            </w:r>
          </w:p>
        </w:tc>
        <w:tc>
          <w:tcPr>
            <w:tcW w:w="388"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回收数量</w:t>
            </w:r>
          </w:p>
        </w:tc>
        <w:tc>
          <w:tcPr>
            <w:tcW w:w="3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color w:val="auto"/>
                <w:sz w:val="21"/>
                <w:szCs w:val="21"/>
              </w:rPr>
            </w:pPr>
            <w:r>
              <w:rPr>
                <w:rFonts w:hint="eastAsia"/>
                <w:b w:val="0"/>
                <w:bCs/>
                <w:color w:val="auto"/>
                <w:sz w:val="21"/>
                <w:szCs w:val="21"/>
              </w:rPr>
              <w:t>退回人</w:t>
            </w:r>
          </w:p>
        </w:tc>
        <w:tc>
          <w:tcPr>
            <w:tcW w:w="317"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接收人</w:t>
            </w:r>
          </w:p>
        </w:tc>
        <w:tc>
          <w:tcPr>
            <w:tcW w:w="305" w:type="pct"/>
            <w:vMerge w:val="continue"/>
            <w:tcBorders>
              <w:left w:val="single" w:color="auto" w:sz="4" w:space="0"/>
            </w:tcBorders>
            <w:vAlign w:val="center"/>
          </w:tcPr>
          <w:p>
            <w:pPr>
              <w:spacing w:line="360" w:lineRule="auto"/>
              <w:jc w:val="center"/>
              <w:rPr>
                <w:b w:val="0"/>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699" w:type="pct"/>
            <w:vAlign w:val="top"/>
          </w:tcPr>
          <w:p>
            <w:pPr>
              <w:spacing w:line="360" w:lineRule="auto"/>
              <w:jc w:val="left"/>
              <w:rPr>
                <w:b w:val="0"/>
                <w:bCs/>
                <w:color w:val="auto"/>
                <w:sz w:val="21"/>
                <w:szCs w:val="21"/>
              </w:rPr>
            </w:pPr>
          </w:p>
        </w:tc>
        <w:tc>
          <w:tcPr>
            <w:tcW w:w="544" w:type="pct"/>
            <w:tcBorders>
              <w:right w:val="single" w:color="auto" w:sz="4" w:space="0"/>
            </w:tcBorders>
            <w:vAlign w:val="top"/>
          </w:tcPr>
          <w:p>
            <w:pPr>
              <w:spacing w:line="360" w:lineRule="auto"/>
              <w:jc w:val="left"/>
              <w:rPr>
                <w:b w:val="0"/>
                <w:bCs/>
                <w:color w:val="auto"/>
                <w:sz w:val="21"/>
                <w:szCs w:val="21"/>
              </w:rPr>
            </w:pPr>
          </w:p>
        </w:tc>
        <w:tc>
          <w:tcPr>
            <w:tcW w:w="419" w:type="pct"/>
            <w:tcBorders>
              <w:left w:val="single" w:color="auto" w:sz="4" w:space="0"/>
              <w:right w:val="single" w:color="auto" w:sz="4" w:space="0"/>
            </w:tcBorders>
            <w:vAlign w:val="top"/>
          </w:tcPr>
          <w:p>
            <w:pPr>
              <w:spacing w:line="360" w:lineRule="auto"/>
              <w:jc w:val="left"/>
              <w:rPr>
                <w:b w:val="0"/>
                <w:bCs/>
                <w:color w:val="auto"/>
                <w:sz w:val="21"/>
                <w:szCs w:val="21"/>
              </w:rPr>
            </w:pPr>
          </w:p>
        </w:tc>
        <w:tc>
          <w:tcPr>
            <w:tcW w:w="233" w:type="pct"/>
            <w:tcBorders>
              <w:left w:val="single" w:color="auto" w:sz="4" w:space="0"/>
            </w:tcBorders>
            <w:vAlign w:val="top"/>
          </w:tcPr>
          <w:p>
            <w:pPr>
              <w:spacing w:line="360" w:lineRule="auto"/>
              <w:jc w:val="left"/>
              <w:rPr>
                <w:b w:val="0"/>
                <w:bCs/>
                <w:color w:val="auto"/>
                <w:sz w:val="21"/>
                <w:szCs w:val="21"/>
              </w:rPr>
            </w:pPr>
          </w:p>
        </w:tc>
        <w:tc>
          <w:tcPr>
            <w:tcW w:w="233" w:type="pct"/>
            <w:tcBorders>
              <w:right w:val="single" w:color="auto" w:sz="4" w:space="0"/>
            </w:tcBorders>
            <w:vAlign w:val="top"/>
          </w:tcPr>
          <w:p>
            <w:pPr>
              <w:spacing w:line="360" w:lineRule="auto"/>
              <w:jc w:val="left"/>
              <w:rPr>
                <w:b w:val="0"/>
                <w:bCs/>
                <w:color w:val="auto"/>
                <w:sz w:val="21"/>
                <w:szCs w:val="21"/>
              </w:rPr>
            </w:pPr>
          </w:p>
        </w:tc>
        <w:tc>
          <w:tcPr>
            <w:tcW w:w="310" w:type="pct"/>
            <w:tcBorders>
              <w:left w:val="single" w:color="auto" w:sz="4" w:space="0"/>
            </w:tcBorders>
            <w:vAlign w:val="top"/>
          </w:tcPr>
          <w:p>
            <w:pPr>
              <w:spacing w:line="360" w:lineRule="auto"/>
              <w:jc w:val="left"/>
              <w:rPr>
                <w:b w:val="0"/>
                <w:bCs/>
                <w:color w:val="auto"/>
                <w:sz w:val="21"/>
                <w:szCs w:val="21"/>
              </w:rPr>
            </w:pPr>
          </w:p>
        </w:tc>
        <w:tc>
          <w:tcPr>
            <w:tcW w:w="496" w:type="pct"/>
            <w:vAlign w:val="top"/>
          </w:tcPr>
          <w:p>
            <w:pPr>
              <w:spacing w:line="360" w:lineRule="auto"/>
              <w:jc w:val="left"/>
              <w:rPr>
                <w:b w:val="0"/>
                <w:bCs/>
                <w:color w:val="auto"/>
                <w:sz w:val="21"/>
                <w:szCs w:val="21"/>
              </w:rPr>
            </w:pPr>
          </w:p>
        </w:tc>
        <w:tc>
          <w:tcPr>
            <w:tcW w:w="506" w:type="pct"/>
            <w:vAlign w:val="top"/>
          </w:tcPr>
          <w:p>
            <w:pPr>
              <w:spacing w:line="360" w:lineRule="auto"/>
              <w:jc w:val="left"/>
              <w:rPr>
                <w:b w:val="0"/>
                <w:bCs/>
                <w:color w:val="auto"/>
                <w:sz w:val="21"/>
                <w:szCs w:val="21"/>
              </w:rPr>
            </w:pPr>
          </w:p>
        </w:tc>
        <w:tc>
          <w:tcPr>
            <w:tcW w:w="233" w:type="pct"/>
            <w:tcBorders>
              <w:right w:val="single" w:color="auto" w:sz="4" w:space="0"/>
            </w:tcBorders>
            <w:vAlign w:val="top"/>
          </w:tcPr>
          <w:p>
            <w:pPr>
              <w:spacing w:line="360" w:lineRule="auto"/>
              <w:jc w:val="left"/>
              <w:rPr>
                <w:b w:val="0"/>
                <w:bCs/>
                <w:color w:val="auto"/>
                <w:sz w:val="21"/>
                <w:szCs w:val="21"/>
              </w:rPr>
            </w:pPr>
          </w:p>
        </w:tc>
        <w:tc>
          <w:tcPr>
            <w:tcW w:w="388" w:type="pct"/>
            <w:tcBorders>
              <w:left w:val="single" w:color="auto" w:sz="4" w:space="0"/>
            </w:tcBorders>
            <w:vAlign w:val="top"/>
          </w:tcPr>
          <w:p>
            <w:pPr>
              <w:spacing w:line="360" w:lineRule="auto"/>
              <w:jc w:val="left"/>
              <w:rPr>
                <w:b w:val="0"/>
                <w:bCs/>
                <w:color w:val="auto"/>
                <w:sz w:val="21"/>
                <w:szCs w:val="21"/>
              </w:rPr>
            </w:pPr>
          </w:p>
        </w:tc>
        <w:tc>
          <w:tcPr>
            <w:tcW w:w="310" w:type="pct"/>
            <w:vAlign w:val="top"/>
          </w:tcPr>
          <w:p>
            <w:pPr>
              <w:spacing w:line="360" w:lineRule="auto"/>
              <w:jc w:val="left"/>
              <w:rPr>
                <w:b w:val="0"/>
                <w:bCs/>
                <w:color w:val="auto"/>
                <w:sz w:val="21"/>
                <w:szCs w:val="21"/>
              </w:rPr>
            </w:pPr>
          </w:p>
        </w:tc>
        <w:tc>
          <w:tcPr>
            <w:tcW w:w="317" w:type="pct"/>
            <w:vAlign w:val="top"/>
          </w:tcPr>
          <w:p>
            <w:pPr>
              <w:spacing w:line="360" w:lineRule="auto"/>
              <w:jc w:val="left"/>
              <w:rPr>
                <w:b w:val="0"/>
                <w:bCs/>
                <w:color w:val="auto"/>
                <w:sz w:val="21"/>
                <w:szCs w:val="21"/>
              </w:rPr>
            </w:pPr>
          </w:p>
        </w:tc>
        <w:tc>
          <w:tcPr>
            <w:tcW w:w="305" w:type="pct"/>
            <w:vAlign w:val="top"/>
          </w:tcPr>
          <w:p>
            <w:pPr>
              <w:spacing w:line="360" w:lineRule="auto"/>
              <w:jc w:val="left"/>
              <w:rPr>
                <w:b w:val="0"/>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699" w:type="pct"/>
            <w:vAlign w:val="top"/>
          </w:tcPr>
          <w:p>
            <w:pPr>
              <w:spacing w:line="360" w:lineRule="auto"/>
              <w:jc w:val="left"/>
              <w:rPr>
                <w:b w:val="0"/>
                <w:bCs/>
                <w:color w:val="auto"/>
                <w:sz w:val="21"/>
                <w:szCs w:val="21"/>
              </w:rPr>
            </w:pPr>
          </w:p>
        </w:tc>
        <w:tc>
          <w:tcPr>
            <w:tcW w:w="544" w:type="pct"/>
            <w:tcBorders>
              <w:right w:val="single" w:color="auto" w:sz="4" w:space="0"/>
            </w:tcBorders>
            <w:vAlign w:val="top"/>
          </w:tcPr>
          <w:p>
            <w:pPr>
              <w:spacing w:line="360" w:lineRule="auto"/>
              <w:jc w:val="left"/>
              <w:rPr>
                <w:b w:val="0"/>
                <w:bCs/>
                <w:color w:val="auto"/>
                <w:sz w:val="21"/>
                <w:szCs w:val="21"/>
              </w:rPr>
            </w:pPr>
          </w:p>
        </w:tc>
        <w:tc>
          <w:tcPr>
            <w:tcW w:w="419" w:type="pct"/>
            <w:tcBorders>
              <w:left w:val="single" w:color="auto" w:sz="4" w:space="0"/>
              <w:right w:val="single" w:color="auto" w:sz="4" w:space="0"/>
            </w:tcBorders>
            <w:vAlign w:val="top"/>
          </w:tcPr>
          <w:p>
            <w:pPr>
              <w:spacing w:line="360" w:lineRule="auto"/>
              <w:jc w:val="left"/>
              <w:rPr>
                <w:b w:val="0"/>
                <w:bCs/>
                <w:color w:val="auto"/>
                <w:sz w:val="21"/>
                <w:szCs w:val="21"/>
              </w:rPr>
            </w:pPr>
          </w:p>
        </w:tc>
        <w:tc>
          <w:tcPr>
            <w:tcW w:w="233" w:type="pct"/>
            <w:tcBorders>
              <w:left w:val="single" w:color="auto" w:sz="4" w:space="0"/>
            </w:tcBorders>
            <w:vAlign w:val="top"/>
          </w:tcPr>
          <w:p>
            <w:pPr>
              <w:spacing w:line="360" w:lineRule="auto"/>
              <w:jc w:val="left"/>
              <w:rPr>
                <w:b w:val="0"/>
                <w:bCs/>
                <w:color w:val="auto"/>
                <w:sz w:val="21"/>
                <w:szCs w:val="21"/>
              </w:rPr>
            </w:pPr>
          </w:p>
        </w:tc>
        <w:tc>
          <w:tcPr>
            <w:tcW w:w="233" w:type="pct"/>
            <w:tcBorders>
              <w:right w:val="single" w:color="auto" w:sz="4" w:space="0"/>
            </w:tcBorders>
            <w:vAlign w:val="top"/>
          </w:tcPr>
          <w:p>
            <w:pPr>
              <w:spacing w:line="360" w:lineRule="auto"/>
              <w:jc w:val="left"/>
              <w:rPr>
                <w:b w:val="0"/>
                <w:bCs/>
                <w:color w:val="auto"/>
                <w:sz w:val="21"/>
                <w:szCs w:val="21"/>
              </w:rPr>
            </w:pPr>
          </w:p>
        </w:tc>
        <w:tc>
          <w:tcPr>
            <w:tcW w:w="310" w:type="pct"/>
            <w:tcBorders>
              <w:left w:val="single" w:color="auto" w:sz="4" w:space="0"/>
            </w:tcBorders>
            <w:vAlign w:val="top"/>
          </w:tcPr>
          <w:p>
            <w:pPr>
              <w:spacing w:line="360" w:lineRule="auto"/>
              <w:jc w:val="left"/>
              <w:rPr>
                <w:b w:val="0"/>
                <w:bCs/>
                <w:color w:val="auto"/>
                <w:sz w:val="21"/>
                <w:szCs w:val="21"/>
              </w:rPr>
            </w:pPr>
          </w:p>
        </w:tc>
        <w:tc>
          <w:tcPr>
            <w:tcW w:w="496" w:type="pct"/>
            <w:vAlign w:val="top"/>
          </w:tcPr>
          <w:p>
            <w:pPr>
              <w:spacing w:line="360" w:lineRule="auto"/>
              <w:jc w:val="left"/>
              <w:rPr>
                <w:b w:val="0"/>
                <w:bCs/>
                <w:color w:val="auto"/>
                <w:sz w:val="21"/>
                <w:szCs w:val="21"/>
              </w:rPr>
            </w:pPr>
          </w:p>
        </w:tc>
        <w:tc>
          <w:tcPr>
            <w:tcW w:w="506" w:type="pct"/>
            <w:vAlign w:val="top"/>
          </w:tcPr>
          <w:p>
            <w:pPr>
              <w:spacing w:line="360" w:lineRule="auto"/>
              <w:jc w:val="left"/>
              <w:rPr>
                <w:b w:val="0"/>
                <w:bCs/>
                <w:color w:val="auto"/>
                <w:sz w:val="21"/>
                <w:szCs w:val="21"/>
              </w:rPr>
            </w:pPr>
          </w:p>
        </w:tc>
        <w:tc>
          <w:tcPr>
            <w:tcW w:w="233" w:type="pct"/>
            <w:tcBorders>
              <w:right w:val="single" w:color="auto" w:sz="4" w:space="0"/>
            </w:tcBorders>
            <w:vAlign w:val="top"/>
          </w:tcPr>
          <w:p>
            <w:pPr>
              <w:spacing w:line="360" w:lineRule="auto"/>
              <w:jc w:val="left"/>
              <w:rPr>
                <w:b w:val="0"/>
                <w:bCs/>
                <w:color w:val="auto"/>
                <w:sz w:val="21"/>
                <w:szCs w:val="21"/>
              </w:rPr>
            </w:pPr>
          </w:p>
        </w:tc>
        <w:tc>
          <w:tcPr>
            <w:tcW w:w="388" w:type="pct"/>
            <w:tcBorders>
              <w:left w:val="single" w:color="auto" w:sz="4" w:space="0"/>
            </w:tcBorders>
            <w:vAlign w:val="top"/>
          </w:tcPr>
          <w:p>
            <w:pPr>
              <w:spacing w:line="360" w:lineRule="auto"/>
              <w:jc w:val="left"/>
              <w:rPr>
                <w:b w:val="0"/>
                <w:bCs/>
                <w:color w:val="auto"/>
                <w:sz w:val="21"/>
                <w:szCs w:val="21"/>
              </w:rPr>
            </w:pPr>
          </w:p>
        </w:tc>
        <w:tc>
          <w:tcPr>
            <w:tcW w:w="310" w:type="pct"/>
            <w:vAlign w:val="top"/>
          </w:tcPr>
          <w:p>
            <w:pPr>
              <w:spacing w:line="360" w:lineRule="auto"/>
              <w:jc w:val="left"/>
              <w:rPr>
                <w:b w:val="0"/>
                <w:bCs/>
                <w:color w:val="auto"/>
                <w:sz w:val="21"/>
                <w:szCs w:val="21"/>
              </w:rPr>
            </w:pPr>
          </w:p>
        </w:tc>
        <w:tc>
          <w:tcPr>
            <w:tcW w:w="317" w:type="pct"/>
            <w:vAlign w:val="top"/>
          </w:tcPr>
          <w:p>
            <w:pPr>
              <w:spacing w:line="360" w:lineRule="auto"/>
              <w:jc w:val="left"/>
              <w:rPr>
                <w:b w:val="0"/>
                <w:bCs/>
                <w:color w:val="auto"/>
                <w:sz w:val="21"/>
                <w:szCs w:val="21"/>
              </w:rPr>
            </w:pPr>
          </w:p>
        </w:tc>
        <w:tc>
          <w:tcPr>
            <w:tcW w:w="305" w:type="pct"/>
            <w:vAlign w:val="top"/>
          </w:tcPr>
          <w:p>
            <w:pPr>
              <w:spacing w:line="360" w:lineRule="auto"/>
              <w:jc w:val="left"/>
              <w:rPr>
                <w:b w:val="0"/>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699" w:type="pct"/>
            <w:vAlign w:val="top"/>
          </w:tcPr>
          <w:p>
            <w:pPr>
              <w:spacing w:line="360" w:lineRule="auto"/>
              <w:jc w:val="left"/>
              <w:rPr>
                <w:b w:val="0"/>
                <w:bCs/>
                <w:color w:val="auto"/>
                <w:sz w:val="21"/>
                <w:szCs w:val="21"/>
              </w:rPr>
            </w:pPr>
          </w:p>
        </w:tc>
        <w:tc>
          <w:tcPr>
            <w:tcW w:w="544" w:type="pct"/>
            <w:tcBorders>
              <w:right w:val="single" w:color="auto" w:sz="4" w:space="0"/>
            </w:tcBorders>
            <w:vAlign w:val="top"/>
          </w:tcPr>
          <w:p>
            <w:pPr>
              <w:spacing w:line="360" w:lineRule="auto"/>
              <w:jc w:val="left"/>
              <w:rPr>
                <w:b w:val="0"/>
                <w:bCs/>
                <w:color w:val="auto"/>
                <w:sz w:val="21"/>
                <w:szCs w:val="21"/>
              </w:rPr>
            </w:pPr>
          </w:p>
        </w:tc>
        <w:tc>
          <w:tcPr>
            <w:tcW w:w="419" w:type="pct"/>
            <w:tcBorders>
              <w:left w:val="single" w:color="auto" w:sz="4" w:space="0"/>
              <w:right w:val="single" w:color="auto" w:sz="4" w:space="0"/>
            </w:tcBorders>
            <w:vAlign w:val="top"/>
          </w:tcPr>
          <w:p>
            <w:pPr>
              <w:spacing w:line="360" w:lineRule="auto"/>
              <w:jc w:val="left"/>
              <w:rPr>
                <w:b w:val="0"/>
                <w:bCs/>
                <w:color w:val="auto"/>
                <w:sz w:val="21"/>
                <w:szCs w:val="21"/>
              </w:rPr>
            </w:pPr>
          </w:p>
        </w:tc>
        <w:tc>
          <w:tcPr>
            <w:tcW w:w="233" w:type="pct"/>
            <w:tcBorders>
              <w:left w:val="single" w:color="auto" w:sz="4" w:space="0"/>
            </w:tcBorders>
            <w:vAlign w:val="top"/>
          </w:tcPr>
          <w:p>
            <w:pPr>
              <w:spacing w:line="360" w:lineRule="auto"/>
              <w:jc w:val="left"/>
              <w:rPr>
                <w:b w:val="0"/>
                <w:bCs/>
                <w:color w:val="auto"/>
                <w:sz w:val="21"/>
                <w:szCs w:val="21"/>
              </w:rPr>
            </w:pPr>
          </w:p>
        </w:tc>
        <w:tc>
          <w:tcPr>
            <w:tcW w:w="233" w:type="pct"/>
            <w:tcBorders>
              <w:right w:val="single" w:color="auto" w:sz="4" w:space="0"/>
            </w:tcBorders>
            <w:vAlign w:val="top"/>
          </w:tcPr>
          <w:p>
            <w:pPr>
              <w:spacing w:line="360" w:lineRule="auto"/>
              <w:jc w:val="left"/>
              <w:rPr>
                <w:b w:val="0"/>
                <w:bCs/>
                <w:color w:val="auto"/>
                <w:sz w:val="21"/>
                <w:szCs w:val="21"/>
              </w:rPr>
            </w:pPr>
          </w:p>
        </w:tc>
        <w:tc>
          <w:tcPr>
            <w:tcW w:w="310" w:type="pct"/>
            <w:tcBorders>
              <w:left w:val="single" w:color="auto" w:sz="4" w:space="0"/>
            </w:tcBorders>
            <w:vAlign w:val="top"/>
          </w:tcPr>
          <w:p>
            <w:pPr>
              <w:spacing w:line="360" w:lineRule="auto"/>
              <w:jc w:val="left"/>
              <w:rPr>
                <w:b w:val="0"/>
                <w:bCs/>
                <w:color w:val="auto"/>
                <w:sz w:val="21"/>
                <w:szCs w:val="21"/>
              </w:rPr>
            </w:pPr>
          </w:p>
        </w:tc>
        <w:tc>
          <w:tcPr>
            <w:tcW w:w="496" w:type="pct"/>
            <w:vAlign w:val="top"/>
          </w:tcPr>
          <w:p>
            <w:pPr>
              <w:spacing w:line="360" w:lineRule="auto"/>
              <w:jc w:val="left"/>
              <w:rPr>
                <w:b w:val="0"/>
                <w:bCs/>
                <w:color w:val="auto"/>
                <w:sz w:val="21"/>
                <w:szCs w:val="21"/>
              </w:rPr>
            </w:pPr>
          </w:p>
        </w:tc>
        <w:tc>
          <w:tcPr>
            <w:tcW w:w="506" w:type="pct"/>
            <w:vAlign w:val="top"/>
          </w:tcPr>
          <w:p>
            <w:pPr>
              <w:spacing w:line="360" w:lineRule="auto"/>
              <w:jc w:val="left"/>
              <w:rPr>
                <w:b w:val="0"/>
                <w:bCs/>
                <w:color w:val="auto"/>
                <w:sz w:val="21"/>
                <w:szCs w:val="21"/>
              </w:rPr>
            </w:pPr>
          </w:p>
        </w:tc>
        <w:tc>
          <w:tcPr>
            <w:tcW w:w="233" w:type="pct"/>
            <w:tcBorders>
              <w:right w:val="single" w:color="auto" w:sz="4" w:space="0"/>
            </w:tcBorders>
            <w:vAlign w:val="top"/>
          </w:tcPr>
          <w:p>
            <w:pPr>
              <w:spacing w:line="360" w:lineRule="auto"/>
              <w:jc w:val="left"/>
              <w:rPr>
                <w:b w:val="0"/>
                <w:bCs/>
                <w:color w:val="auto"/>
                <w:sz w:val="21"/>
                <w:szCs w:val="21"/>
              </w:rPr>
            </w:pPr>
          </w:p>
        </w:tc>
        <w:tc>
          <w:tcPr>
            <w:tcW w:w="388" w:type="pct"/>
            <w:tcBorders>
              <w:left w:val="single" w:color="auto" w:sz="4" w:space="0"/>
            </w:tcBorders>
            <w:vAlign w:val="top"/>
          </w:tcPr>
          <w:p>
            <w:pPr>
              <w:spacing w:line="360" w:lineRule="auto"/>
              <w:jc w:val="left"/>
              <w:rPr>
                <w:b w:val="0"/>
                <w:bCs/>
                <w:color w:val="auto"/>
                <w:sz w:val="21"/>
                <w:szCs w:val="21"/>
              </w:rPr>
            </w:pPr>
          </w:p>
        </w:tc>
        <w:tc>
          <w:tcPr>
            <w:tcW w:w="310" w:type="pct"/>
            <w:vAlign w:val="top"/>
          </w:tcPr>
          <w:p>
            <w:pPr>
              <w:spacing w:line="360" w:lineRule="auto"/>
              <w:jc w:val="left"/>
              <w:rPr>
                <w:b w:val="0"/>
                <w:bCs/>
                <w:color w:val="auto"/>
                <w:sz w:val="21"/>
                <w:szCs w:val="21"/>
              </w:rPr>
            </w:pPr>
          </w:p>
        </w:tc>
        <w:tc>
          <w:tcPr>
            <w:tcW w:w="317" w:type="pct"/>
            <w:vAlign w:val="top"/>
          </w:tcPr>
          <w:p>
            <w:pPr>
              <w:spacing w:line="360" w:lineRule="auto"/>
              <w:jc w:val="left"/>
              <w:rPr>
                <w:b w:val="0"/>
                <w:bCs/>
                <w:color w:val="auto"/>
                <w:sz w:val="21"/>
                <w:szCs w:val="21"/>
              </w:rPr>
            </w:pPr>
          </w:p>
        </w:tc>
        <w:tc>
          <w:tcPr>
            <w:tcW w:w="305" w:type="pct"/>
            <w:vAlign w:val="top"/>
          </w:tcPr>
          <w:p>
            <w:pPr>
              <w:spacing w:line="360" w:lineRule="auto"/>
              <w:jc w:val="left"/>
              <w:rPr>
                <w:b w:val="0"/>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699" w:type="pct"/>
            <w:vAlign w:val="top"/>
          </w:tcPr>
          <w:p>
            <w:pPr>
              <w:spacing w:line="360" w:lineRule="auto"/>
              <w:jc w:val="left"/>
              <w:rPr>
                <w:b w:val="0"/>
                <w:bCs/>
                <w:color w:val="auto"/>
                <w:sz w:val="21"/>
                <w:szCs w:val="21"/>
              </w:rPr>
            </w:pPr>
          </w:p>
        </w:tc>
        <w:tc>
          <w:tcPr>
            <w:tcW w:w="544" w:type="pct"/>
            <w:tcBorders>
              <w:right w:val="single" w:color="auto" w:sz="4" w:space="0"/>
            </w:tcBorders>
            <w:vAlign w:val="top"/>
          </w:tcPr>
          <w:p>
            <w:pPr>
              <w:spacing w:line="360" w:lineRule="auto"/>
              <w:jc w:val="left"/>
              <w:rPr>
                <w:b w:val="0"/>
                <w:bCs/>
                <w:color w:val="auto"/>
                <w:sz w:val="21"/>
                <w:szCs w:val="21"/>
              </w:rPr>
            </w:pPr>
          </w:p>
        </w:tc>
        <w:tc>
          <w:tcPr>
            <w:tcW w:w="419" w:type="pct"/>
            <w:tcBorders>
              <w:left w:val="single" w:color="auto" w:sz="4" w:space="0"/>
              <w:right w:val="single" w:color="auto" w:sz="4" w:space="0"/>
            </w:tcBorders>
            <w:vAlign w:val="top"/>
          </w:tcPr>
          <w:p>
            <w:pPr>
              <w:spacing w:line="360" w:lineRule="auto"/>
              <w:jc w:val="left"/>
              <w:rPr>
                <w:b w:val="0"/>
                <w:bCs/>
                <w:color w:val="auto"/>
                <w:sz w:val="21"/>
                <w:szCs w:val="21"/>
              </w:rPr>
            </w:pPr>
          </w:p>
        </w:tc>
        <w:tc>
          <w:tcPr>
            <w:tcW w:w="233" w:type="pct"/>
            <w:tcBorders>
              <w:left w:val="single" w:color="auto" w:sz="4" w:space="0"/>
            </w:tcBorders>
            <w:vAlign w:val="top"/>
          </w:tcPr>
          <w:p>
            <w:pPr>
              <w:spacing w:line="360" w:lineRule="auto"/>
              <w:jc w:val="left"/>
              <w:rPr>
                <w:b w:val="0"/>
                <w:bCs/>
                <w:color w:val="auto"/>
                <w:sz w:val="21"/>
                <w:szCs w:val="21"/>
              </w:rPr>
            </w:pPr>
          </w:p>
        </w:tc>
        <w:tc>
          <w:tcPr>
            <w:tcW w:w="233" w:type="pct"/>
            <w:tcBorders>
              <w:right w:val="single" w:color="auto" w:sz="4" w:space="0"/>
            </w:tcBorders>
            <w:vAlign w:val="top"/>
          </w:tcPr>
          <w:p>
            <w:pPr>
              <w:spacing w:line="360" w:lineRule="auto"/>
              <w:jc w:val="left"/>
              <w:rPr>
                <w:b w:val="0"/>
                <w:bCs/>
                <w:color w:val="auto"/>
                <w:sz w:val="21"/>
                <w:szCs w:val="21"/>
              </w:rPr>
            </w:pPr>
          </w:p>
        </w:tc>
        <w:tc>
          <w:tcPr>
            <w:tcW w:w="310" w:type="pct"/>
            <w:tcBorders>
              <w:left w:val="single" w:color="auto" w:sz="4" w:space="0"/>
            </w:tcBorders>
            <w:vAlign w:val="top"/>
          </w:tcPr>
          <w:p>
            <w:pPr>
              <w:spacing w:line="360" w:lineRule="auto"/>
              <w:jc w:val="left"/>
              <w:rPr>
                <w:b w:val="0"/>
                <w:bCs/>
                <w:color w:val="auto"/>
                <w:sz w:val="21"/>
                <w:szCs w:val="21"/>
              </w:rPr>
            </w:pPr>
          </w:p>
        </w:tc>
        <w:tc>
          <w:tcPr>
            <w:tcW w:w="496" w:type="pct"/>
            <w:vAlign w:val="top"/>
          </w:tcPr>
          <w:p>
            <w:pPr>
              <w:spacing w:line="360" w:lineRule="auto"/>
              <w:jc w:val="left"/>
              <w:rPr>
                <w:b w:val="0"/>
                <w:bCs/>
                <w:color w:val="auto"/>
                <w:sz w:val="21"/>
                <w:szCs w:val="21"/>
              </w:rPr>
            </w:pPr>
          </w:p>
        </w:tc>
        <w:tc>
          <w:tcPr>
            <w:tcW w:w="506" w:type="pct"/>
            <w:vAlign w:val="top"/>
          </w:tcPr>
          <w:p>
            <w:pPr>
              <w:spacing w:line="360" w:lineRule="auto"/>
              <w:jc w:val="left"/>
              <w:rPr>
                <w:b w:val="0"/>
                <w:bCs/>
                <w:color w:val="auto"/>
                <w:sz w:val="21"/>
                <w:szCs w:val="21"/>
              </w:rPr>
            </w:pPr>
          </w:p>
        </w:tc>
        <w:tc>
          <w:tcPr>
            <w:tcW w:w="233" w:type="pct"/>
            <w:tcBorders>
              <w:right w:val="single" w:color="auto" w:sz="4" w:space="0"/>
            </w:tcBorders>
            <w:vAlign w:val="top"/>
          </w:tcPr>
          <w:p>
            <w:pPr>
              <w:spacing w:line="360" w:lineRule="auto"/>
              <w:jc w:val="left"/>
              <w:rPr>
                <w:b w:val="0"/>
                <w:bCs/>
                <w:color w:val="auto"/>
                <w:sz w:val="21"/>
                <w:szCs w:val="21"/>
              </w:rPr>
            </w:pPr>
          </w:p>
        </w:tc>
        <w:tc>
          <w:tcPr>
            <w:tcW w:w="388" w:type="pct"/>
            <w:tcBorders>
              <w:left w:val="single" w:color="auto" w:sz="4" w:space="0"/>
            </w:tcBorders>
            <w:vAlign w:val="top"/>
          </w:tcPr>
          <w:p>
            <w:pPr>
              <w:spacing w:line="360" w:lineRule="auto"/>
              <w:jc w:val="left"/>
              <w:rPr>
                <w:b w:val="0"/>
                <w:bCs/>
                <w:color w:val="auto"/>
                <w:sz w:val="21"/>
                <w:szCs w:val="21"/>
              </w:rPr>
            </w:pPr>
          </w:p>
        </w:tc>
        <w:tc>
          <w:tcPr>
            <w:tcW w:w="310" w:type="pct"/>
            <w:vAlign w:val="top"/>
          </w:tcPr>
          <w:p>
            <w:pPr>
              <w:spacing w:line="360" w:lineRule="auto"/>
              <w:jc w:val="left"/>
              <w:rPr>
                <w:b w:val="0"/>
                <w:bCs/>
                <w:color w:val="auto"/>
                <w:sz w:val="21"/>
                <w:szCs w:val="21"/>
              </w:rPr>
            </w:pPr>
          </w:p>
        </w:tc>
        <w:tc>
          <w:tcPr>
            <w:tcW w:w="317" w:type="pct"/>
            <w:vAlign w:val="top"/>
          </w:tcPr>
          <w:p>
            <w:pPr>
              <w:spacing w:line="360" w:lineRule="auto"/>
              <w:jc w:val="left"/>
              <w:rPr>
                <w:b w:val="0"/>
                <w:bCs/>
                <w:color w:val="auto"/>
                <w:sz w:val="21"/>
                <w:szCs w:val="21"/>
              </w:rPr>
            </w:pPr>
          </w:p>
        </w:tc>
        <w:tc>
          <w:tcPr>
            <w:tcW w:w="305" w:type="pct"/>
            <w:vAlign w:val="top"/>
          </w:tcPr>
          <w:p>
            <w:pPr>
              <w:spacing w:line="360" w:lineRule="auto"/>
              <w:jc w:val="left"/>
              <w:rPr>
                <w:b w:val="0"/>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699" w:type="pct"/>
            <w:vAlign w:val="top"/>
          </w:tcPr>
          <w:p>
            <w:pPr>
              <w:spacing w:line="360" w:lineRule="auto"/>
              <w:jc w:val="left"/>
              <w:rPr>
                <w:b w:val="0"/>
                <w:bCs/>
                <w:color w:val="auto"/>
                <w:sz w:val="21"/>
                <w:szCs w:val="21"/>
              </w:rPr>
            </w:pPr>
          </w:p>
        </w:tc>
        <w:tc>
          <w:tcPr>
            <w:tcW w:w="544" w:type="pct"/>
            <w:tcBorders>
              <w:right w:val="single" w:color="auto" w:sz="4" w:space="0"/>
            </w:tcBorders>
            <w:vAlign w:val="top"/>
          </w:tcPr>
          <w:p>
            <w:pPr>
              <w:spacing w:line="360" w:lineRule="auto"/>
              <w:jc w:val="left"/>
              <w:rPr>
                <w:b w:val="0"/>
                <w:bCs/>
                <w:color w:val="auto"/>
                <w:sz w:val="21"/>
                <w:szCs w:val="21"/>
              </w:rPr>
            </w:pPr>
          </w:p>
        </w:tc>
        <w:tc>
          <w:tcPr>
            <w:tcW w:w="419" w:type="pct"/>
            <w:tcBorders>
              <w:left w:val="single" w:color="auto" w:sz="4" w:space="0"/>
              <w:right w:val="single" w:color="auto" w:sz="4" w:space="0"/>
            </w:tcBorders>
            <w:vAlign w:val="top"/>
          </w:tcPr>
          <w:p>
            <w:pPr>
              <w:spacing w:line="360" w:lineRule="auto"/>
              <w:jc w:val="left"/>
              <w:rPr>
                <w:b w:val="0"/>
                <w:bCs/>
                <w:color w:val="auto"/>
                <w:sz w:val="21"/>
                <w:szCs w:val="21"/>
              </w:rPr>
            </w:pPr>
          </w:p>
        </w:tc>
        <w:tc>
          <w:tcPr>
            <w:tcW w:w="233" w:type="pct"/>
            <w:tcBorders>
              <w:left w:val="single" w:color="auto" w:sz="4" w:space="0"/>
            </w:tcBorders>
            <w:vAlign w:val="top"/>
          </w:tcPr>
          <w:p>
            <w:pPr>
              <w:spacing w:line="360" w:lineRule="auto"/>
              <w:jc w:val="left"/>
              <w:rPr>
                <w:b w:val="0"/>
                <w:bCs/>
                <w:color w:val="auto"/>
                <w:sz w:val="21"/>
                <w:szCs w:val="21"/>
              </w:rPr>
            </w:pPr>
          </w:p>
        </w:tc>
        <w:tc>
          <w:tcPr>
            <w:tcW w:w="233" w:type="pct"/>
            <w:tcBorders>
              <w:right w:val="single" w:color="auto" w:sz="4" w:space="0"/>
            </w:tcBorders>
            <w:vAlign w:val="top"/>
          </w:tcPr>
          <w:p>
            <w:pPr>
              <w:spacing w:line="360" w:lineRule="auto"/>
              <w:jc w:val="left"/>
              <w:rPr>
                <w:b w:val="0"/>
                <w:bCs/>
                <w:color w:val="auto"/>
                <w:sz w:val="21"/>
                <w:szCs w:val="21"/>
              </w:rPr>
            </w:pPr>
          </w:p>
        </w:tc>
        <w:tc>
          <w:tcPr>
            <w:tcW w:w="310" w:type="pct"/>
            <w:tcBorders>
              <w:left w:val="single" w:color="auto" w:sz="4" w:space="0"/>
            </w:tcBorders>
            <w:vAlign w:val="top"/>
          </w:tcPr>
          <w:p>
            <w:pPr>
              <w:spacing w:line="360" w:lineRule="auto"/>
              <w:jc w:val="left"/>
              <w:rPr>
                <w:b w:val="0"/>
                <w:bCs/>
                <w:color w:val="auto"/>
                <w:sz w:val="21"/>
                <w:szCs w:val="21"/>
              </w:rPr>
            </w:pPr>
          </w:p>
        </w:tc>
        <w:tc>
          <w:tcPr>
            <w:tcW w:w="496" w:type="pct"/>
            <w:vAlign w:val="top"/>
          </w:tcPr>
          <w:p>
            <w:pPr>
              <w:spacing w:line="360" w:lineRule="auto"/>
              <w:jc w:val="left"/>
              <w:rPr>
                <w:b w:val="0"/>
                <w:bCs/>
                <w:color w:val="auto"/>
                <w:sz w:val="21"/>
                <w:szCs w:val="21"/>
              </w:rPr>
            </w:pPr>
          </w:p>
        </w:tc>
        <w:tc>
          <w:tcPr>
            <w:tcW w:w="506" w:type="pct"/>
            <w:vAlign w:val="top"/>
          </w:tcPr>
          <w:p>
            <w:pPr>
              <w:spacing w:line="360" w:lineRule="auto"/>
              <w:jc w:val="left"/>
              <w:rPr>
                <w:b w:val="0"/>
                <w:bCs/>
                <w:color w:val="auto"/>
                <w:sz w:val="21"/>
                <w:szCs w:val="21"/>
              </w:rPr>
            </w:pPr>
          </w:p>
        </w:tc>
        <w:tc>
          <w:tcPr>
            <w:tcW w:w="233" w:type="pct"/>
            <w:tcBorders>
              <w:right w:val="single" w:color="auto" w:sz="4" w:space="0"/>
            </w:tcBorders>
            <w:vAlign w:val="top"/>
          </w:tcPr>
          <w:p>
            <w:pPr>
              <w:spacing w:line="360" w:lineRule="auto"/>
              <w:jc w:val="left"/>
              <w:rPr>
                <w:b w:val="0"/>
                <w:bCs/>
                <w:color w:val="auto"/>
                <w:sz w:val="21"/>
                <w:szCs w:val="21"/>
              </w:rPr>
            </w:pPr>
          </w:p>
        </w:tc>
        <w:tc>
          <w:tcPr>
            <w:tcW w:w="388" w:type="pct"/>
            <w:tcBorders>
              <w:left w:val="single" w:color="auto" w:sz="4" w:space="0"/>
            </w:tcBorders>
            <w:vAlign w:val="top"/>
          </w:tcPr>
          <w:p>
            <w:pPr>
              <w:spacing w:line="360" w:lineRule="auto"/>
              <w:jc w:val="left"/>
              <w:rPr>
                <w:b w:val="0"/>
                <w:bCs/>
                <w:color w:val="auto"/>
                <w:sz w:val="21"/>
                <w:szCs w:val="21"/>
              </w:rPr>
            </w:pPr>
          </w:p>
        </w:tc>
        <w:tc>
          <w:tcPr>
            <w:tcW w:w="310" w:type="pct"/>
            <w:vAlign w:val="top"/>
          </w:tcPr>
          <w:p>
            <w:pPr>
              <w:spacing w:line="360" w:lineRule="auto"/>
              <w:jc w:val="left"/>
              <w:rPr>
                <w:b w:val="0"/>
                <w:bCs/>
                <w:color w:val="auto"/>
                <w:sz w:val="21"/>
                <w:szCs w:val="21"/>
              </w:rPr>
            </w:pPr>
          </w:p>
        </w:tc>
        <w:tc>
          <w:tcPr>
            <w:tcW w:w="317" w:type="pct"/>
            <w:vAlign w:val="top"/>
          </w:tcPr>
          <w:p>
            <w:pPr>
              <w:spacing w:line="360" w:lineRule="auto"/>
              <w:jc w:val="left"/>
              <w:rPr>
                <w:b w:val="0"/>
                <w:bCs/>
                <w:color w:val="auto"/>
                <w:sz w:val="21"/>
                <w:szCs w:val="21"/>
              </w:rPr>
            </w:pPr>
          </w:p>
        </w:tc>
        <w:tc>
          <w:tcPr>
            <w:tcW w:w="305" w:type="pct"/>
            <w:vAlign w:val="top"/>
          </w:tcPr>
          <w:p>
            <w:pPr>
              <w:spacing w:line="360" w:lineRule="auto"/>
              <w:jc w:val="left"/>
              <w:rPr>
                <w:b w:val="0"/>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699" w:type="pct"/>
            <w:vAlign w:val="top"/>
          </w:tcPr>
          <w:p>
            <w:pPr>
              <w:spacing w:line="360" w:lineRule="auto"/>
              <w:jc w:val="left"/>
              <w:rPr>
                <w:b w:val="0"/>
                <w:bCs/>
                <w:color w:val="auto"/>
                <w:sz w:val="21"/>
                <w:szCs w:val="21"/>
              </w:rPr>
            </w:pPr>
          </w:p>
        </w:tc>
        <w:tc>
          <w:tcPr>
            <w:tcW w:w="544" w:type="pct"/>
            <w:tcBorders>
              <w:right w:val="single" w:color="auto" w:sz="4" w:space="0"/>
            </w:tcBorders>
            <w:vAlign w:val="top"/>
          </w:tcPr>
          <w:p>
            <w:pPr>
              <w:spacing w:line="360" w:lineRule="auto"/>
              <w:jc w:val="left"/>
              <w:rPr>
                <w:b w:val="0"/>
                <w:bCs/>
                <w:color w:val="auto"/>
                <w:sz w:val="21"/>
                <w:szCs w:val="21"/>
              </w:rPr>
            </w:pPr>
          </w:p>
        </w:tc>
        <w:tc>
          <w:tcPr>
            <w:tcW w:w="419" w:type="pct"/>
            <w:tcBorders>
              <w:left w:val="single" w:color="auto" w:sz="4" w:space="0"/>
              <w:right w:val="single" w:color="auto" w:sz="4" w:space="0"/>
            </w:tcBorders>
            <w:vAlign w:val="top"/>
          </w:tcPr>
          <w:p>
            <w:pPr>
              <w:spacing w:line="360" w:lineRule="auto"/>
              <w:jc w:val="left"/>
              <w:rPr>
                <w:b w:val="0"/>
                <w:bCs/>
                <w:color w:val="auto"/>
                <w:sz w:val="21"/>
                <w:szCs w:val="21"/>
              </w:rPr>
            </w:pPr>
          </w:p>
        </w:tc>
        <w:tc>
          <w:tcPr>
            <w:tcW w:w="233" w:type="pct"/>
            <w:tcBorders>
              <w:left w:val="single" w:color="auto" w:sz="4" w:space="0"/>
            </w:tcBorders>
            <w:vAlign w:val="top"/>
          </w:tcPr>
          <w:p>
            <w:pPr>
              <w:spacing w:line="360" w:lineRule="auto"/>
              <w:jc w:val="left"/>
              <w:rPr>
                <w:b w:val="0"/>
                <w:bCs/>
                <w:color w:val="auto"/>
                <w:sz w:val="21"/>
                <w:szCs w:val="21"/>
              </w:rPr>
            </w:pPr>
          </w:p>
        </w:tc>
        <w:tc>
          <w:tcPr>
            <w:tcW w:w="233" w:type="pct"/>
            <w:tcBorders>
              <w:right w:val="single" w:color="auto" w:sz="4" w:space="0"/>
            </w:tcBorders>
            <w:vAlign w:val="top"/>
          </w:tcPr>
          <w:p>
            <w:pPr>
              <w:spacing w:line="360" w:lineRule="auto"/>
              <w:jc w:val="left"/>
              <w:rPr>
                <w:b w:val="0"/>
                <w:bCs/>
                <w:color w:val="auto"/>
                <w:sz w:val="21"/>
                <w:szCs w:val="21"/>
              </w:rPr>
            </w:pPr>
          </w:p>
        </w:tc>
        <w:tc>
          <w:tcPr>
            <w:tcW w:w="310" w:type="pct"/>
            <w:tcBorders>
              <w:left w:val="single" w:color="auto" w:sz="4" w:space="0"/>
            </w:tcBorders>
            <w:vAlign w:val="top"/>
          </w:tcPr>
          <w:p>
            <w:pPr>
              <w:spacing w:line="360" w:lineRule="auto"/>
              <w:jc w:val="left"/>
              <w:rPr>
                <w:b w:val="0"/>
                <w:bCs/>
                <w:color w:val="auto"/>
                <w:sz w:val="21"/>
                <w:szCs w:val="21"/>
              </w:rPr>
            </w:pPr>
          </w:p>
        </w:tc>
        <w:tc>
          <w:tcPr>
            <w:tcW w:w="496" w:type="pct"/>
            <w:vAlign w:val="top"/>
          </w:tcPr>
          <w:p>
            <w:pPr>
              <w:spacing w:line="360" w:lineRule="auto"/>
              <w:jc w:val="left"/>
              <w:rPr>
                <w:b w:val="0"/>
                <w:bCs/>
                <w:color w:val="auto"/>
                <w:sz w:val="21"/>
                <w:szCs w:val="21"/>
              </w:rPr>
            </w:pPr>
          </w:p>
        </w:tc>
        <w:tc>
          <w:tcPr>
            <w:tcW w:w="506" w:type="pct"/>
            <w:vAlign w:val="top"/>
          </w:tcPr>
          <w:p>
            <w:pPr>
              <w:spacing w:line="360" w:lineRule="auto"/>
              <w:jc w:val="left"/>
              <w:rPr>
                <w:b w:val="0"/>
                <w:bCs/>
                <w:color w:val="auto"/>
                <w:sz w:val="21"/>
                <w:szCs w:val="21"/>
              </w:rPr>
            </w:pPr>
          </w:p>
        </w:tc>
        <w:tc>
          <w:tcPr>
            <w:tcW w:w="233" w:type="pct"/>
            <w:tcBorders>
              <w:right w:val="single" w:color="auto" w:sz="4" w:space="0"/>
            </w:tcBorders>
            <w:vAlign w:val="top"/>
          </w:tcPr>
          <w:p>
            <w:pPr>
              <w:spacing w:line="360" w:lineRule="auto"/>
              <w:jc w:val="left"/>
              <w:rPr>
                <w:b w:val="0"/>
                <w:bCs/>
                <w:color w:val="auto"/>
                <w:sz w:val="21"/>
                <w:szCs w:val="21"/>
              </w:rPr>
            </w:pPr>
          </w:p>
        </w:tc>
        <w:tc>
          <w:tcPr>
            <w:tcW w:w="388" w:type="pct"/>
            <w:tcBorders>
              <w:left w:val="single" w:color="auto" w:sz="4" w:space="0"/>
            </w:tcBorders>
            <w:vAlign w:val="top"/>
          </w:tcPr>
          <w:p>
            <w:pPr>
              <w:spacing w:line="360" w:lineRule="auto"/>
              <w:jc w:val="left"/>
              <w:rPr>
                <w:b w:val="0"/>
                <w:bCs/>
                <w:color w:val="auto"/>
                <w:sz w:val="21"/>
                <w:szCs w:val="21"/>
              </w:rPr>
            </w:pPr>
          </w:p>
        </w:tc>
        <w:tc>
          <w:tcPr>
            <w:tcW w:w="310" w:type="pct"/>
            <w:vAlign w:val="top"/>
          </w:tcPr>
          <w:p>
            <w:pPr>
              <w:spacing w:line="360" w:lineRule="auto"/>
              <w:jc w:val="left"/>
              <w:rPr>
                <w:b w:val="0"/>
                <w:bCs/>
                <w:color w:val="auto"/>
                <w:sz w:val="21"/>
                <w:szCs w:val="21"/>
              </w:rPr>
            </w:pPr>
          </w:p>
        </w:tc>
        <w:tc>
          <w:tcPr>
            <w:tcW w:w="317" w:type="pct"/>
            <w:vAlign w:val="top"/>
          </w:tcPr>
          <w:p>
            <w:pPr>
              <w:spacing w:line="360" w:lineRule="auto"/>
              <w:jc w:val="left"/>
              <w:rPr>
                <w:b w:val="0"/>
                <w:bCs/>
                <w:color w:val="auto"/>
                <w:sz w:val="21"/>
                <w:szCs w:val="21"/>
              </w:rPr>
            </w:pPr>
          </w:p>
        </w:tc>
        <w:tc>
          <w:tcPr>
            <w:tcW w:w="305" w:type="pct"/>
            <w:vAlign w:val="top"/>
          </w:tcPr>
          <w:p>
            <w:pPr>
              <w:spacing w:line="360" w:lineRule="auto"/>
              <w:jc w:val="left"/>
              <w:rPr>
                <w:b w:val="0"/>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699" w:type="pct"/>
            <w:vAlign w:val="top"/>
          </w:tcPr>
          <w:p>
            <w:pPr>
              <w:spacing w:line="360" w:lineRule="auto"/>
              <w:jc w:val="left"/>
              <w:rPr>
                <w:b w:val="0"/>
                <w:bCs/>
                <w:color w:val="auto"/>
                <w:sz w:val="21"/>
                <w:szCs w:val="21"/>
              </w:rPr>
            </w:pPr>
          </w:p>
        </w:tc>
        <w:tc>
          <w:tcPr>
            <w:tcW w:w="544" w:type="pct"/>
            <w:tcBorders>
              <w:right w:val="single" w:color="auto" w:sz="4" w:space="0"/>
            </w:tcBorders>
            <w:vAlign w:val="top"/>
          </w:tcPr>
          <w:p>
            <w:pPr>
              <w:spacing w:line="360" w:lineRule="auto"/>
              <w:jc w:val="left"/>
              <w:rPr>
                <w:b w:val="0"/>
                <w:bCs/>
                <w:color w:val="auto"/>
                <w:sz w:val="21"/>
                <w:szCs w:val="21"/>
              </w:rPr>
            </w:pPr>
          </w:p>
        </w:tc>
        <w:tc>
          <w:tcPr>
            <w:tcW w:w="419" w:type="pct"/>
            <w:tcBorders>
              <w:left w:val="single" w:color="auto" w:sz="4" w:space="0"/>
              <w:right w:val="single" w:color="auto" w:sz="4" w:space="0"/>
            </w:tcBorders>
            <w:vAlign w:val="top"/>
          </w:tcPr>
          <w:p>
            <w:pPr>
              <w:spacing w:line="360" w:lineRule="auto"/>
              <w:jc w:val="left"/>
              <w:rPr>
                <w:b w:val="0"/>
                <w:bCs/>
                <w:color w:val="auto"/>
                <w:sz w:val="21"/>
                <w:szCs w:val="21"/>
              </w:rPr>
            </w:pPr>
          </w:p>
        </w:tc>
        <w:tc>
          <w:tcPr>
            <w:tcW w:w="233" w:type="pct"/>
            <w:tcBorders>
              <w:left w:val="single" w:color="auto" w:sz="4" w:space="0"/>
            </w:tcBorders>
            <w:vAlign w:val="top"/>
          </w:tcPr>
          <w:p>
            <w:pPr>
              <w:spacing w:line="360" w:lineRule="auto"/>
              <w:jc w:val="left"/>
              <w:rPr>
                <w:b w:val="0"/>
                <w:bCs/>
                <w:color w:val="auto"/>
                <w:sz w:val="21"/>
                <w:szCs w:val="21"/>
              </w:rPr>
            </w:pPr>
          </w:p>
        </w:tc>
        <w:tc>
          <w:tcPr>
            <w:tcW w:w="233" w:type="pct"/>
            <w:tcBorders>
              <w:right w:val="single" w:color="auto" w:sz="4" w:space="0"/>
            </w:tcBorders>
            <w:vAlign w:val="top"/>
          </w:tcPr>
          <w:p>
            <w:pPr>
              <w:spacing w:line="360" w:lineRule="auto"/>
              <w:jc w:val="left"/>
              <w:rPr>
                <w:b w:val="0"/>
                <w:bCs/>
                <w:color w:val="auto"/>
                <w:sz w:val="21"/>
                <w:szCs w:val="21"/>
              </w:rPr>
            </w:pPr>
          </w:p>
        </w:tc>
        <w:tc>
          <w:tcPr>
            <w:tcW w:w="310" w:type="pct"/>
            <w:tcBorders>
              <w:left w:val="single" w:color="auto" w:sz="4" w:space="0"/>
            </w:tcBorders>
            <w:vAlign w:val="top"/>
          </w:tcPr>
          <w:p>
            <w:pPr>
              <w:spacing w:line="360" w:lineRule="auto"/>
              <w:jc w:val="left"/>
              <w:rPr>
                <w:b w:val="0"/>
                <w:bCs/>
                <w:color w:val="auto"/>
                <w:sz w:val="21"/>
                <w:szCs w:val="21"/>
              </w:rPr>
            </w:pPr>
          </w:p>
        </w:tc>
        <w:tc>
          <w:tcPr>
            <w:tcW w:w="496" w:type="pct"/>
            <w:vAlign w:val="top"/>
          </w:tcPr>
          <w:p>
            <w:pPr>
              <w:spacing w:line="360" w:lineRule="auto"/>
              <w:jc w:val="left"/>
              <w:rPr>
                <w:b w:val="0"/>
                <w:bCs/>
                <w:color w:val="auto"/>
                <w:sz w:val="21"/>
                <w:szCs w:val="21"/>
              </w:rPr>
            </w:pPr>
          </w:p>
        </w:tc>
        <w:tc>
          <w:tcPr>
            <w:tcW w:w="506" w:type="pct"/>
            <w:vAlign w:val="top"/>
          </w:tcPr>
          <w:p>
            <w:pPr>
              <w:spacing w:line="360" w:lineRule="auto"/>
              <w:jc w:val="left"/>
              <w:rPr>
                <w:b w:val="0"/>
                <w:bCs/>
                <w:color w:val="auto"/>
                <w:sz w:val="21"/>
                <w:szCs w:val="21"/>
              </w:rPr>
            </w:pPr>
          </w:p>
        </w:tc>
        <w:tc>
          <w:tcPr>
            <w:tcW w:w="233" w:type="pct"/>
            <w:tcBorders>
              <w:right w:val="single" w:color="auto" w:sz="4" w:space="0"/>
            </w:tcBorders>
            <w:vAlign w:val="top"/>
          </w:tcPr>
          <w:p>
            <w:pPr>
              <w:spacing w:line="360" w:lineRule="auto"/>
              <w:jc w:val="left"/>
              <w:rPr>
                <w:b w:val="0"/>
                <w:bCs/>
                <w:color w:val="auto"/>
                <w:sz w:val="21"/>
                <w:szCs w:val="21"/>
              </w:rPr>
            </w:pPr>
          </w:p>
        </w:tc>
        <w:tc>
          <w:tcPr>
            <w:tcW w:w="388" w:type="pct"/>
            <w:tcBorders>
              <w:left w:val="single" w:color="auto" w:sz="4" w:space="0"/>
            </w:tcBorders>
            <w:vAlign w:val="top"/>
          </w:tcPr>
          <w:p>
            <w:pPr>
              <w:spacing w:line="360" w:lineRule="auto"/>
              <w:jc w:val="left"/>
              <w:rPr>
                <w:b w:val="0"/>
                <w:bCs/>
                <w:color w:val="auto"/>
                <w:sz w:val="21"/>
                <w:szCs w:val="21"/>
              </w:rPr>
            </w:pPr>
          </w:p>
        </w:tc>
        <w:tc>
          <w:tcPr>
            <w:tcW w:w="310" w:type="pct"/>
            <w:vAlign w:val="top"/>
          </w:tcPr>
          <w:p>
            <w:pPr>
              <w:spacing w:line="360" w:lineRule="auto"/>
              <w:jc w:val="left"/>
              <w:rPr>
                <w:b w:val="0"/>
                <w:bCs/>
                <w:color w:val="auto"/>
                <w:sz w:val="21"/>
                <w:szCs w:val="21"/>
              </w:rPr>
            </w:pPr>
          </w:p>
        </w:tc>
        <w:tc>
          <w:tcPr>
            <w:tcW w:w="317" w:type="pct"/>
            <w:vAlign w:val="top"/>
          </w:tcPr>
          <w:p>
            <w:pPr>
              <w:spacing w:line="360" w:lineRule="auto"/>
              <w:jc w:val="left"/>
              <w:rPr>
                <w:b w:val="0"/>
                <w:bCs/>
                <w:color w:val="auto"/>
                <w:sz w:val="21"/>
                <w:szCs w:val="21"/>
              </w:rPr>
            </w:pPr>
          </w:p>
        </w:tc>
        <w:tc>
          <w:tcPr>
            <w:tcW w:w="305" w:type="pct"/>
            <w:vAlign w:val="top"/>
          </w:tcPr>
          <w:p>
            <w:pPr>
              <w:spacing w:line="360" w:lineRule="auto"/>
              <w:jc w:val="left"/>
              <w:rPr>
                <w:b w:val="0"/>
                <w:bCs/>
                <w:color w:val="auto"/>
                <w:sz w:val="21"/>
                <w:szCs w:val="21"/>
              </w:rPr>
            </w:pP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val="0"/>
          <w:bCs/>
          <w:color w:val="auto"/>
          <w:sz w:val="24"/>
          <w:szCs w:val="24"/>
        </w:rPr>
      </w:pPr>
    </w:p>
    <w:p>
      <w:pPr>
        <w:spacing w:line="360" w:lineRule="auto"/>
        <w:jc w:val="left"/>
        <w:rPr>
          <w:rFonts w:hint="eastAsia" w:ascii="宋体" w:hAnsi="宋体" w:eastAsia="宋体" w:cs="宋体"/>
          <w:b w:val="0"/>
          <w:bCs/>
          <w:color w:val="auto"/>
          <w:sz w:val="24"/>
          <w:szCs w:val="24"/>
        </w:rPr>
      </w:pPr>
    </w:p>
    <w:p>
      <w:pPr>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附件</w:t>
      </w:r>
      <w:r>
        <w:rPr>
          <w:rFonts w:hint="eastAsia" w:ascii="宋体" w:hAnsi="宋体" w:eastAsia="宋体" w:cs="宋体"/>
          <w:b w:val="0"/>
          <w:bCs/>
          <w:color w:val="auto"/>
          <w:sz w:val="24"/>
          <w:szCs w:val="24"/>
          <w:lang w:val="en-US" w:eastAsia="zh-CN"/>
        </w:rPr>
        <w:t>10：</w:t>
      </w:r>
      <w:r>
        <w:rPr>
          <w:rFonts w:hint="eastAsia" w:asciiTheme="minorEastAsia" w:hAnsiTheme="minorEastAsia" w:cstheme="minorEastAsia"/>
          <w:b w:val="0"/>
          <w:bCs/>
          <w:color w:val="auto"/>
          <w:sz w:val="24"/>
          <w:szCs w:val="24"/>
          <w:lang w:val="en-US" w:eastAsia="zh-CN"/>
        </w:rPr>
        <w:t>YYH-SOP-CTC-012-3.1-A10</w:t>
      </w:r>
      <w:r>
        <w:rPr>
          <w:rFonts w:hint="eastAsia" w:ascii="宋体" w:hAnsi="宋体" w:eastAsia="宋体" w:cs="宋体"/>
          <w:b w:val="0"/>
          <w:bCs/>
          <w:color w:val="auto"/>
          <w:sz w:val="24"/>
          <w:szCs w:val="24"/>
        </w:rPr>
        <w:t>临床试验用医疗器械退还表</w:t>
      </w:r>
    </w:p>
    <w:p>
      <w:pPr>
        <w:spacing w:line="360" w:lineRule="auto"/>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临床试验用医疗器械退还表</w:t>
      </w:r>
    </w:p>
    <w:p>
      <w:pPr>
        <w:spacing w:line="360" w:lineRule="auto"/>
        <w:rPr>
          <w:rFonts w:hint="eastAsia" w:ascii="黑体" w:eastAsia="黑体"/>
          <w:b w:val="0"/>
          <w:bCs/>
          <w:i w:val="0"/>
          <w:iCs w:val="0"/>
          <w:color w:val="auto"/>
          <w:sz w:val="28"/>
          <w:szCs w:val="28"/>
          <w:u w:val="single"/>
        </w:rPr>
      </w:pPr>
      <w:r>
        <w:rPr>
          <w:rFonts w:hint="eastAsia" w:ascii="宋体" w:hAnsi="宋体"/>
          <w:b w:val="0"/>
          <w:bCs/>
          <w:i w:val="0"/>
          <w:iCs w:val="0"/>
          <w:color w:val="auto"/>
          <w:szCs w:val="21"/>
        </w:rPr>
        <w:t>试验名称</w:t>
      </w:r>
      <w:r>
        <w:rPr>
          <w:rFonts w:hint="eastAsia" w:ascii="黑体" w:eastAsia="黑体"/>
          <w:b w:val="0"/>
          <w:bCs/>
          <w:i w:val="0"/>
          <w:iCs w:val="0"/>
          <w:color w:val="auto"/>
          <w:sz w:val="28"/>
          <w:szCs w:val="28"/>
        </w:rPr>
        <w:t>：</w:t>
      </w:r>
      <w:r>
        <w:rPr>
          <w:rFonts w:hint="eastAsia" w:ascii="黑体" w:eastAsia="黑体"/>
          <w:b w:val="0"/>
          <w:bCs/>
          <w:i w:val="0"/>
          <w:iCs w:val="0"/>
          <w:color w:val="auto"/>
          <w:sz w:val="28"/>
          <w:szCs w:val="28"/>
          <w:u w:val="single"/>
        </w:rPr>
        <w:t xml:space="preserve">                                                  </w:t>
      </w:r>
      <w:r>
        <w:rPr>
          <w:rFonts w:hint="eastAsia" w:ascii="黑体" w:eastAsia="黑体"/>
          <w:b w:val="0"/>
          <w:bCs/>
          <w:i w:val="0"/>
          <w:iCs w:val="0"/>
          <w:color w:val="auto"/>
          <w:sz w:val="28"/>
          <w:szCs w:val="28"/>
          <w:u w:val="single"/>
          <w:lang w:val="en-US" w:eastAsia="zh-CN"/>
        </w:rPr>
        <w:t xml:space="preserve">  </w:t>
      </w:r>
      <w:r>
        <w:rPr>
          <w:rFonts w:hint="eastAsia" w:ascii="宋体" w:hAnsi="宋体"/>
          <w:b w:val="0"/>
          <w:bCs/>
          <w:i w:val="0"/>
          <w:iCs w:val="0"/>
          <w:color w:val="auto"/>
          <w:szCs w:val="21"/>
        </w:rPr>
        <w:t xml:space="preserve"> 方案编号：</w:t>
      </w:r>
      <w:r>
        <w:rPr>
          <w:rFonts w:hint="eastAsia" w:ascii="宋体" w:hAnsi="宋体"/>
          <w:b w:val="0"/>
          <w:bCs/>
          <w:i w:val="0"/>
          <w:iCs w:val="0"/>
          <w:color w:val="auto"/>
          <w:szCs w:val="21"/>
          <w:u w:val="single"/>
        </w:rPr>
        <w:t xml:space="preserve">                                  </w:t>
      </w:r>
    </w:p>
    <w:p>
      <w:pPr>
        <w:spacing w:line="360" w:lineRule="auto"/>
        <w:rPr>
          <w:rFonts w:hint="eastAsia" w:ascii="宋体" w:hAnsi="宋体"/>
          <w:b w:val="0"/>
          <w:bCs/>
          <w:i w:val="0"/>
          <w:iCs w:val="0"/>
          <w:color w:val="auto"/>
          <w:sz w:val="24"/>
          <w:szCs w:val="24"/>
        </w:rPr>
      </w:pPr>
      <w:r>
        <w:rPr>
          <w:rFonts w:hint="eastAsia" w:ascii="宋体" w:hAnsi="宋体"/>
          <w:b w:val="0"/>
          <w:bCs/>
          <w:i w:val="0"/>
          <w:iCs w:val="0"/>
          <w:color w:val="auto"/>
          <w:szCs w:val="21"/>
        </w:rPr>
        <w:t>机构名称：</w:t>
      </w:r>
      <w:r>
        <w:rPr>
          <w:rFonts w:hint="eastAsia"/>
          <w:b w:val="0"/>
          <w:bCs/>
          <w:i w:val="0"/>
          <w:iCs w:val="0"/>
          <w:color w:val="auto"/>
        </w:rPr>
        <w:t>沂源县人民医院药物</w:t>
      </w:r>
      <w:r>
        <w:rPr>
          <w:rFonts w:hint="eastAsia"/>
          <w:b w:val="0"/>
          <w:bCs/>
          <w:i w:val="0"/>
          <w:iCs w:val="0"/>
          <w:color w:val="auto"/>
          <w:lang w:val="en-US" w:eastAsia="zh-CN"/>
        </w:rPr>
        <w:t>/</w:t>
      </w:r>
      <w:r>
        <w:rPr>
          <w:rFonts w:hint="eastAsia"/>
          <w:b w:val="0"/>
          <w:bCs/>
          <w:i w:val="0"/>
          <w:iCs w:val="0"/>
          <w:color w:val="auto"/>
        </w:rPr>
        <w:t>医疗器械临床试验机构         主要研究者：</w:t>
      </w:r>
      <w:r>
        <w:rPr>
          <w:rFonts w:hint="eastAsia"/>
          <w:b w:val="0"/>
          <w:bCs/>
          <w:i w:val="0"/>
          <w:iCs w:val="0"/>
          <w:color w:val="auto"/>
          <w:u w:val="single"/>
        </w:rPr>
        <w:t xml:space="preserve">      </w:t>
      </w:r>
      <w:r>
        <w:rPr>
          <w:rFonts w:hint="eastAsia"/>
          <w:b w:val="0"/>
          <w:bCs/>
          <w:i w:val="0"/>
          <w:iCs w:val="0"/>
          <w:color w:val="auto"/>
          <w:u w:val="single"/>
          <w:lang w:val="en-US" w:eastAsia="zh-CN"/>
        </w:rPr>
        <w:t xml:space="preserve">  </w:t>
      </w:r>
      <w:r>
        <w:rPr>
          <w:rFonts w:hint="eastAsia"/>
          <w:b w:val="0"/>
          <w:bCs/>
          <w:i w:val="0"/>
          <w:iCs w:val="0"/>
          <w:color w:val="auto"/>
          <w:u w:val="single"/>
        </w:rPr>
        <w:t xml:space="preserve">           </w:t>
      </w:r>
      <w:r>
        <w:rPr>
          <w:rFonts w:hint="eastAsia"/>
          <w:b w:val="0"/>
          <w:bCs/>
          <w:i w:val="0"/>
          <w:iCs w:val="0"/>
          <w:color w:val="auto"/>
        </w:rPr>
        <w:t xml:space="preserve">  申办方：</w:t>
      </w:r>
      <w:r>
        <w:rPr>
          <w:rFonts w:hint="eastAsia"/>
          <w:b w:val="0"/>
          <w:bCs/>
          <w:i w:val="0"/>
          <w:iCs w:val="0"/>
          <w:color w:val="auto"/>
          <w:u w:val="single"/>
        </w:rPr>
        <w:t xml:space="preserve">                                 </w:t>
      </w:r>
      <w:r>
        <w:rPr>
          <w:rFonts w:hint="eastAsia"/>
          <w:b w:val="0"/>
          <w:bCs/>
          <w:i w:val="0"/>
          <w:iCs w:val="0"/>
          <w:color w:val="auto"/>
          <w:u w:val="single"/>
          <w:lang w:val="en-US" w:eastAsia="zh-CN"/>
        </w:rPr>
        <w:t xml:space="preserve"> </w:t>
      </w:r>
      <w:r>
        <w:rPr>
          <w:rFonts w:hint="eastAsia"/>
          <w:b w:val="0"/>
          <w:bCs/>
          <w:i w:val="0"/>
          <w:iCs w:val="0"/>
          <w:color w:val="auto"/>
          <w:u w:val="single"/>
        </w:rPr>
        <w:t xml:space="preserve"> </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1588"/>
        <w:gridCol w:w="1480"/>
        <w:gridCol w:w="1692"/>
        <w:gridCol w:w="2012"/>
        <w:gridCol w:w="1692"/>
        <w:gridCol w:w="2223"/>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76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b w:val="0"/>
                <w:bCs/>
                <w:i w:val="0"/>
                <w:iCs w:val="0"/>
                <w:color w:val="auto"/>
              </w:rPr>
            </w:pPr>
            <w:r>
              <w:rPr>
                <w:rFonts w:hint="eastAsia"/>
                <w:b w:val="0"/>
                <w:bCs/>
                <w:color w:val="auto"/>
                <w:sz w:val="21"/>
                <w:szCs w:val="21"/>
              </w:rPr>
              <w:t>医疗器械</w:t>
            </w:r>
            <w:r>
              <w:rPr>
                <w:rFonts w:hint="eastAsia"/>
                <w:b w:val="0"/>
                <w:bCs/>
                <w:i w:val="0"/>
                <w:iCs w:val="0"/>
                <w:color w:val="auto"/>
              </w:rPr>
              <w:t>名称及编号</w:t>
            </w:r>
          </w:p>
        </w:tc>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b w:val="0"/>
                <w:bCs/>
                <w:i w:val="0"/>
                <w:iCs w:val="0"/>
                <w:color w:val="auto"/>
                <w:lang w:val="en-US" w:eastAsia="zh-CN"/>
              </w:rPr>
            </w:pPr>
            <w:r>
              <w:rPr>
                <w:rFonts w:hint="eastAsia"/>
                <w:b w:val="0"/>
                <w:bCs/>
                <w:i w:val="0"/>
                <w:iCs w:val="0"/>
                <w:color w:val="auto"/>
              </w:rPr>
              <w:t>规格</w:t>
            </w:r>
            <w:r>
              <w:rPr>
                <w:rFonts w:hint="eastAsia"/>
                <w:b w:val="0"/>
                <w:bCs/>
                <w:i w:val="0"/>
                <w:iCs w:val="0"/>
                <w:color w:val="auto"/>
                <w:lang w:val="en-US" w:eastAsia="zh-CN"/>
              </w:rPr>
              <w:t>/型号</w:t>
            </w:r>
          </w:p>
        </w:tc>
        <w:tc>
          <w:tcPr>
            <w:tcW w:w="5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i w:val="0"/>
                <w:iCs w:val="0"/>
                <w:color w:val="auto"/>
              </w:rPr>
            </w:pPr>
            <w:r>
              <w:rPr>
                <w:rFonts w:hint="eastAsia"/>
                <w:b w:val="0"/>
                <w:bCs/>
                <w:i w:val="0"/>
                <w:iCs w:val="0"/>
                <w:color w:val="auto"/>
              </w:rPr>
              <w:t>单位</w:t>
            </w:r>
          </w:p>
        </w:tc>
        <w:tc>
          <w:tcPr>
            <w:tcW w:w="5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i w:val="0"/>
                <w:iCs w:val="0"/>
                <w:color w:val="auto"/>
              </w:rPr>
            </w:pPr>
            <w:r>
              <w:rPr>
                <w:rFonts w:hint="eastAsia"/>
                <w:b w:val="0"/>
                <w:bCs/>
                <w:i w:val="0"/>
                <w:iCs w:val="0"/>
                <w:color w:val="auto"/>
              </w:rPr>
              <w:t>数量</w:t>
            </w:r>
          </w:p>
        </w:tc>
        <w:tc>
          <w:tcPr>
            <w:tcW w:w="6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i w:val="0"/>
                <w:iCs w:val="0"/>
                <w:color w:val="auto"/>
              </w:rPr>
            </w:pPr>
            <w:r>
              <w:rPr>
                <w:rFonts w:hint="eastAsia"/>
                <w:b w:val="0"/>
                <w:bCs/>
                <w:i w:val="0"/>
                <w:iCs w:val="0"/>
                <w:color w:val="auto"/>
              </w:rPr>
              <w:t>批号</w:t>
            </w:r>
          </w:p>
        </w:tc>
        <w:tc>
          <w:tcPr>
            <w:tcW w:w="5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i w:val="0"/>
                <w:iCs w:val="0"/>
                <w:color w:val="auto"/>
              </w:rPr>
            </w:pPr>
            <w:r>
              <w:rPr>
                <w:rFonts w:hint="eastAsia"/>
                <w:b w:val="0"/>
                <w:bCs/>
                <w:i w:val="0"/>
                <w:iCs w:val="0"/>
                <w:color w:val="auto"/>
              </w:rPr>
              <w:t>有效期</w:t>
            </w:r>
          </w:p>
        </w:tc>
        <w:tc>
          <w:tcPr>
            <w:tcW w:w="7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i w:val="0"/>
                <w:iCs w:val="0"/>
                <w:color w:val="auto"/>
              </w:rPr>
            </w:pPr>
            <w:r>
              <w:rPr>
                <w:rFonts w:hint="eastAsia"/>
                <w:b w:val="0"/>
                <w:bCs/>
                <w:i w:val="0"/>
                <w:iCs w:val="0"/>
                <w:color w:val="auto"/>
              </w:rPr>
              <w:t>应急信件退还情况</w:t>
            </w:r>
          </w:p>
        </w:tc>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i w:val="0"/>
                <w:iCs w:val="0"/>
                <w:color w:val="auto"/>
              </w:rPr>
            </w:pPr>
            <w:r>
              <w:rPr>
                <w:rFonts w:hint="eastAsia"/>
                <w:b w:val="0"/>
                <w:bCs/>
                <w:i w:val="0"/>
                <w:iCs w:val="0"/>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66" w:type="pct"/>
            <w:vAlign w:val="top"/>
          </w:tcPr>
          <w:p>
            <w:pPr>
              <w:spacing w:line="360" w:lineRule="auto"/>
              <w:jc w:val="left"/>
              <w:rPr>
                <w:b w:val="0"/>
                <w:bCs/>
                <w:color w:val="auto"/>
              </w:rPr>
            </w:pPr>
          </w:p>
        </w:tc>
        <w:tc>
          <w:tcPr>
            <w:tcW w:w="547" w:type="pct"/>
            <w:vAlign w:val="top"/>
          </w:tcPr>
          <w:p>
            <w:pPr>
              <w:spacing w:line="360" w:lineRule="auto"/>
              <w:jc w:val="left"/>
              <w:rPr>
                <w:b w:val="0"/>
                <w:bCs/>
                <w:color w:val="auto"/>
              </w:rPr>
            </w:pPr>
          </w:p>
        </w:tc>
        <w:tc>
          <w:tcPr>
            <w:tcW w:w="510" w:type="pct"/>
            <w:vAlign w:val="top"/>
          </w:tcPr>
          <w:p>
            <w:pPr>
              <w:spacing w:line="360" w:lineRule="auto"/>
              <w:jc w:val="left"/>
              <w:rPr>
                <w:b w:val="0"/>
                <w:bCs/>
                <w:color w:val="auto"/>
              </w:rPr>
            </w:pPr>
          </w:p>
        </w:tc>
        <w:tc>
          <w:tcPr>
            <w:tcW w:w="583" w:type="pct"/>
            <w:vAlign w:val="top"/>
          </w:tcPr>
          <w:p>
            <w:pPr>
              <w:spacing w:line="360" w:lineRule="auto"/>
              <w:jc w:val="left"/>
              <w:rPr>
                <w:b w:val="0"/>
                <w:bCs/>
                <w:color w:val="auto"/>
              </w:rPr>
            </w:pPr>
          </w:p>
        </w:tc>
        <w:tc>
          <w:tcPr>
            <w:tcW w:w="693" w:type="pct"/>
            <w:vAlign w:val="top"/>
          </w:tcPr>
          <w:p>
            <w:pPr>
              <w:spacing w:line="360" w:lineRule="auto"/>
              <w:jc w:val="left"/>
              <w:rPr>
                <w:b w:val="0"/>
                <w:bCs/>
                <w:color w:val="auto"/>
              </w:rPr>
            </w:pPr>
          </w:p>
        </w:tc>
        <w:tc>
          <w:tcPr>
            <w:tcW w:w="583" w:type="pct"/>
            <w:vAlign w:val="top"/>
          </w:tcPr>
          <w:p>
            <w:pPr>
              <w:spacing w:line="360" w:lineRule="auto"/>
              <w:jc w:val="left"/>
              <w:rPr>
                <w:b w:val="0"/>
                <w:bCs/>
                <w:color w:val="auto"/>
              </w:rPr>
            </w:pPr>
          </w:p>
        </w:tc>
        <w:tc>
          <w:tcPr>
            <w:tcW w:w="766" w:type="pct"/>
            <w:vAlign w:val="top"/>
          </w:tcPr>
          <w:p>
            <w:pPr>
              <w:spacing w:line="360" w:lineRule="auto"/>
              <w:jc w:val="left"/>
              <w:rPr>
                <w:b w:val="0"/>
                <w:bCs/>
                <w:color w:val="auto"/>
              </w:rPr>
            </w:pPr>
          </w:p>
        </w:tc>
        <w:tc>
          <w:tcPr>
            <w:tcW w:w="547" w:type="pct"/>
            <w:vAlign w:val="top"/>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66" w:type="pct"/>
            <w:vAlign w:val="top"/>
          </w:tcPr>
          <w:p>
            <w:pPr>
              <w:spacing w:line="360" w:lineRule="auto"/>
              <w:jc w:val="left"/>
              <w:rPr>
                <w:b w:val="0"/>
                <w:bCs/>
                <w:color w:val="auto"/>
              </w:rPr>
            </w:pPr>
          </w:p>
        </w:tc>
        <w:tc>
          <w:tcPr>
            <w:tcW w:w="547" w:type="pct"/>
            <w:vAlign w:val="top"/>
          </w:tcPr>
          <w:p>
            <w:pPr>
              <w:spacing w:line="360" w:lineRule="auto"/>
              <w:jc w:val="left"/>
              <w:rPr>
                <w:b w:val="0"/>
                <w:bCs/>
                <w:color w:val="auto"/>
              </w:rPr>
            </w:pPr>
          </w:p>
        </w:tc>
        <w:tc>
          <w:tcPr>
            <w:tcW w:w="510" w:type="pct"/>
            <w:vAlign w:val="top"/>
          </w:tcPr>
          <w:p>
            <w:pPr>
              <w:spacing w:line="360" w:lineRule="auto"/>
              <w:jc w:val="left"/>
              <w:rPr>
                <w:b w:val="0"/>
                <w:bCs/>
                <w:color w:val="auto"/>
              </w:rPr>
            </w:pPr>
          </w:p>
        </w:tc>
        <w:tc>
          <w:tcPr>
            <w:tcW w:w="583" w:type="pct"/>
            <w:vAlign w:val="top"/>
          </w:tcPr>
          <w:p>
            <w:pPr>
              <w:spacing w:line="360" w:lineRule="auto"/>
              <w:jc w:val="left"/>
              <w:rPr>
                <w:b w:val="0"/>
                <w:bCs/>
                <w:color w:val="auto"/>
              </w:rPr>
            </w:pPr>
          </w:p>
        </w:tc>
        <w:tc>
          <w:tcPr>
            <w:tcW w:w="693" w:type="pct"/>
            <w:vAlign w:val="top"/>
          </w:tcPr>
          <w:p>
            <w:pPr>
              <w:spacing w:line="360" w:lineRule="auto"/>
              <w:jc w:val="left"/>
              <w:rPr>
                <w:b w:val="0"/>
                <w:bCs/>
                <w:color w:val="auto"/>
              </w:rPr>
            </w:pPr>
          </w:p>
        </w:tc>
        <w:tc>
          <w:tcPr>
            <w:tcW w:w="583" w:type="pct"/>
            <w:vAlign w:val="top"/>
          </w:tcPr>
          <w:p>
            <w:pPr>
              <w:spacing w:line="360" w:lineRule="auto"/>
              <w:jc w:val="left"/>
              <w:rPr>
                <w:b w:val="0"/>
                <w:bCs/>
                <w:color w:val="auto"/>
              </w:rPr>
            </w:pPr>
          </w:p>
        </w:tc>
        <w:tc>
          <w:tcPr>
            <w:tcW w:w="766" w:type="pct"/>
            <w:vAlign w:val="top"/>
          </w:tcPr>
          <w:p>
            <w:pPr>
              <w:spacing w:line="360" w:lineRule="auto"/>
              <w:jc w:val="left"/>
              <w:rPr>
                <w:b w:val="0"/>
                <w:bCs/>
                <w:color w:val="auto"/>
              </w:rPr>
            </w:pPr>
          </w:p>
        </w:tc>
        <w:tc>
          <w:tcPr>
            <w:tcW w:w="547" w:type="pct"/>
            <w:vAlign w:val="top"/>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66" w:type="pct"/>
            <w:vAlign w:val="top"/>
          </w:tcPr>
          <w:p>
            <w:pPr>
              <w:spacing w:line="360" w:lineRule="auto"/>
              <w:jc w:val="left"/>
              <w:rPr>
                <w:b w:val="0"/>
                <w:bCs/>
                <w:color w:val="auto"/>
              </w:rPr>
            </w:pPr>
          </w:p>
        </w:tc>
        <w:tc>
          <w:tcPr>
            <w:tcW w:w="547" w:type="pct"/>
            <w:vAlign w:val="top"/>
          </w:tcPr>
          <w:p>
            <w:pPr>
              <w:spacing w:line="360" w:lineRule="auto"/>
              <w:jc w:val="left"/>
              <w:rPr>
                <w:b w:val="0"/>
                <w:bCs/>
                <w:color w:val="auto"/>
              </w:rPr>
            </w:pPr>
          </w:p>
        </w:tc>
        <w:tc>
          <w:tcPr>
            <w:tcW w:w="510" w:type="pct"/>
            <w:vAlign w:val="top"/>
          </w:tcPr>
          <w:p>
            <w:pPr>
              <w:spacing w:line="360" w:lineRule="auto"/>
              <w:jc w:val="left"/>
              <w:rPr>
                <w:b w:val="0"/>
                <w:bCs/>
                <w:color w:val="auto"/>
              </w:rPr>
            </w:pPr>
          </w:p>
        </w:tc>
        <w:tc>
          <w:tcPr>
            <w:tcW w:w="583" w:type="pct"/>
            <w:vAlign w:val="top"/>
          </w:tcPr>
          <w:p>
            <w:pPr>
              <w:spacing w:line="360" w:lineRule="auto"/>
              <w:jc w:val="left"/>
              <w:rPr>
                <w:b w:val="0"/>
                <w:bCs/>
                <w:color w:val="auto"/>
              </w:rPr>
            </w:pPr>
          </w:p>
        </w:tc>
        <w:tc>
          <w:tcPr>
            <w:tcW w:w="693" w:type="pct"/>
            <w:vAlign w:val="top"/>
          </w:tcPr>
          <w:p>
            <w:pPr>
              <w:spacing w:line="360" w:lineRule="auto"/>
              <w:jc w:val="left"/>
              <w:rPr>
                <w:b w:val="0"/>
                <w:bCs/>
                <w:color w:val="auto"/>
              </w:rPr>
            </w:pPr>
          </w:p>
        </w:tc>
        <w:tc>
          <w:tcPr>
            <w:tcW w:w="583" w:type="pct"/>
            <w:vAlign w:val="top"/>
          </w:tcPr>
          <w:p>
            <w:pPr>
              <w:spacing w:line="360" w:lineRule="auto"/>
              <w:jc w:val="left"/>
              <w:rPr>
                <w:b w:val="0"/>
                <w:bCs/>
                <w:color w:val="auto"/>
              </w:rPr>
            </w:pPr>
          </w:p>
        </w:tc>
        <w:tc>
          <w:tcPr>
            <w:tcW w:w="766" w:type="pct"/>
            <w:vAlign w:val="top"/>
          </w:tcPr>
          <w:p>
            <w:pPr>
              <w:spacing w:line="360" w:lineRule="auto"/>
              <w:jc w:val="left"/>
              <w:rPr>
                <w:b w:val="0"/>
                <w:bCs/>
                <w:color w:val="auto"/>
              </w:rPr>
            </w:pPr>
          </w:p>
        </w:tc>
        <w:tc>
          <w:tcPr>
            <w:tcW w:w="547" w:type="pct"/>
            <w:vAlign w:val="top"/>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66" w:type="pct"/>
            <w:vAlign w:val="top"/>
          </w:tcPr>
          <w:p>
            <w:pPr>
              <w:spacing w:line="360" w:lineRule="auto"/>
              <w:jc w:val="left"/>
              <w:rPr>
                <w:b w:val="0"/>
                <w:bCs/>
                <w:color w:val="auto"/>
              </w:rPr>
            </w:pPr>
          </w:p>
        </w:tc>
        <w:tc>
          <w:tcPr>
            <w:tcW w:w="547" w:type="pct"/>
            <w:vAlign w:val="top"/>
          </w:tcPr>
          <w:p>
            <w:pPr>
              <w:spacing w:line="360" w:lineRule="auto"/>
              <w:jc w:val="left"/>
              <w:rPr>
                <w:b w:val="0"/>
                <w:bCs/>
                <w:color w:val="auto"/>
              </w:rPr>
            </w:pPr>
          </w:p>
        </w:tc>
        <w:tc>
          <w:tcPr>
            <w:tcW w:w="510" w:type="pct"/>
            <w:vAlign w:val="top"/>
          </w:tcPr>
          <w:p>
            <w:pPr>
              <w:spacing w:line="360" w:lineRule="auto"/>
              <w:jc w:val="left"/>
              <w:rPr>
                <w:b w:val="0"/>
                <w:bCs/>
                <w:color w:val="auto"/>
              </w:rPr>
            </w:pPr>
          </w:p>
        </w:tc>
        <w:tc>
          <w:tcPr>
            <w:tcW w:w="583" w:type="pct"/>
            <w:vAlign w:val="top"/>
          </w:tcPr>
          <w:p>
            <w:pPr>
              <w:spacing w:line="360" w:lineRule="auto"/>
              <w:jc w:val="left"/>
              <w:rPr>
                <w:b w:val="0"/>
                <w:bCs/>
                <w:color w:val="auto"/>
              </w:rPr>
            </w:pPr>
          </w:p>
        </w:tc>
        <w:tc>
          <w:tcPr>
            <w:tcW w:w="693" w:type="pct"/>
            <w:vAlign w:val="top"/>
          </w:tcPr>
          <w:p>
            <w:pPr>
              <w:spacing w:line="360" w:lineRule="auto"/>
              <w:jc w:val="left"/>
              <w:rPr>
                <w:b w:val="0"/>
                <w:bCs/>
                <w:color w:val="auto"/>
              </w:rPr>
            </w:pPr>
          </w:p>
        </w:tc>
        <w:tc>
          <w:tcPr>
            <w:tcW w:w="583" w:type="pct"/>
            <w:vAlign w:val="top"/>
          </w:tcPr>
          <w:p>
            <w:pPr>
              <w:spacing w:line="360" w:lineRule="auto"/>
              <w:jc w:val="left"/>
              <w:rPr>
                <w:b w:val="0"/>
                <w:bCs/>
                <w:color w:val="auto"/>
              </w:rPr>
            </w:pPr>
          </w:p>
        </w:tc>
        <w:tc>
          <w:tcPr>
            <w:tcW w:w="766" w:type="pct"/>
            <w:vAlign w:val="top"/>
          </w:tcPr>
          <w:p>
            <w:pPr>
              <w:spacing w:line="360" w:lineRule="auto"/>
              <w:jc w:val="left"/>
              <w:rPr>
                <w:b w:val="0"/>
                <w:bCs/>
                <w:color w:val="auto"/>
              </w:rPr>
            </w:pPr>
          </w:p>
        </w:tc>
        <w:tc>
          <w:tcPr>
            <w:tcW w:w="547" w:type="pct"/>
            <w:vAlign w:val="top"/>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66" w:type="pct"/>
            <w:vAlign w:val="top"/>
          </w:tcPr>
          <w:p>
            <w:pPr>
              <w:spacing w:line="360" w:lineRule="auto"/>
              <w:jc w:val="left"/>
              <w:rPr>
                <w:b w:val="0"/>
                <w:bCs/>
                <w:color w:val="auto"/>
              </w:rPr>
            </w:pPr>
          </w:p>
        </w:tc>
        <w:tc>
          <w:tcPr>
            <w:tcW w:w="547" w:type="pct"/>
            <w:vAlign w:val="top"/>
          </w:tcPr>
          <w:p>
            <w:pPr>
              <w:spacing w:line="360" w:lineRule="auto"/>
              <w:jc w:val="left"/>
              <w:rPr>
                <w:b w:val="0"/>
                <w:bCs/>
                <w:color w:val="auto"/>
              </w:rPr>
            </w:pPr>
          </w:p>
        </w:tc>
        <w:tc>
          <w:tcPr>
            <w:tcW w:w="510" w:type="pct"/>
            <w:vAlign w:val="top"/>
          </w:tcPr>
          <w:p>
            <w:pPr>
              <w:spacing w:line="360" w:lineRule="auto"/>
              <w:jc w:val="left"/>
              <w:rPr>
                <w:b w:val="0"/>
                <w:bCs/>
                <w:color w:val="auto"/>
              </w:rPr>
            </w:pPr>
          </w:p>
        </w:tc>
        <w:tc>
          <w:tcPr>
            <w:tcW w:w="583" w:type="pct"/>
            <w:vAlign w:val="top"/>
          </w:tcPr>
          <w:p>
            <w:pPr>
              <w:spacing w:line="360" w:lineRule="auto"/>
              <w:jc w:val="left"/>
              <w:rPr>
                <w:b w:val="0"/>
                <w:bCs/>
                <w:color w:val="auto"/>
              </w:rPr>
            </w:pPr>
          </w:p>
        </w:tc>
        <w:tc>
          <w:tcPr>
            <w:tcW w:w="693" w:type="pct"/>
            <w:vAlign w:val="top"/>
          </w:tcPr>
          <w:p>
            <w:pPr>
              <w:spacing w:line="360" w:lineRule="auto"/>
              <w:jc w:val="left"/>
              <w:rPr>
                <w:b w:val="0"/>
                <w:bCs/>
                <w:color w:val="auto"/>
              </w:rPr>
            </w:pPr>
          </w:p>
        </w:tc>
        <w:tc>
          <w:tcPr>
            <w:tcW w:w="583" w:type="pct"/>
            <w:vAlign w:val="top"/>
          </w:tcPr>
          <w:p>
            <w:pPr>
              <w:spacing w:line="360" w:lineRule="auto"/>
              <w:jc w:val="left"/>
              <w:rPr>
                <w:b w:val="0"/>
                <w:bCs/>
                <w:color w:val="auto"/>
              </w:rPr>
            </w:pPr>
          </w:p>
        </w:tc>
        <w:tc>
          <w:tcPr>
            <w:tcW w:w="766" w:type="pct"/>
            <w:vAlign w:val="top"/>
          </w:tcPr>
          <w:p>
            <w:pPr>
              <w:spacing w:line="360" w:lineRule="auto"/>
              <w:jc w:val="left"/>
              <w:rPr>
                <w:b w:val="0"/>
                <w:bCs/>
                <w:color w:val="auto"/>
              </w:rPr>
            </w:pPr>
          </w:p>
        </w:tc>
        <w:tc>
          <w:tcPr>
            <w:tcW w:w="547" w:type="pct"/>
            <w:vAlign w:val="top"/>
          </w:tcPr>
          <w:p>
            <w:pPr>
              <w:spacing w:line="360" w:lineRule="auto"/>
              <w:jc w:val="left"/>
              <w:rPr>
                <w:b w:val="0"/>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66" w:type="pct"/>
            <w:vAlign w:val="top"/>
          </w:tcPr>
          <w:p>
            <w:pPr>
              <w:spacing w:line="360" w:lineRule="auto"/>
              <w:jc w:val="left"/>
              <w:rPr>
                <w:b w:val="0"/>
                <w:bCs/>
                <w:color w:val="auto"/>
              </w:rPr>
            </w:pPr>
          </w:p>
        </w:tc>
        <w:tc>
          <w:tcPr>
            <w:tcW w:w="547" w:type="pct"/>
            <w:vAlign w:val="top"/>
          </w:tcPr>
          <w:p>
            <w:pPr>
              <w:spacing w:line="360" w:lineRule="auto"/>
              <w:jc w:val="left"/>
              <w:rPr>
                <w:b w:val="0"/>
                <w:bCs/>
                <w:color w:val="auto"/>
              </w:rPr>
            </w:pPr>
          </w:p>
        </w:tc>
        <w:tc>
          <w:tcPr>
            <w:tcW w:w="510" w:type="pct"/>
            <w:vAlign w:val="top"/>
          </w:tcPr>
          <w:p>
            <w:pPr>
              <w:spacing w:line="360" w:lineRule="auto"/>
              <w:jc w:val="left"/>
              <w:rPr>
                <w:b w:val="0"/>
                <w:bCs/>
                <w:color w:val="auto"/>
              </w:rPr>
            </w:pPr>
          </w:p>
        </w:tc>
        <w:tc>
          <w:tcPr>
            <w:tcW w:w="583" w:type="pct"/>
            <w:vAlign w:val="top"/>
          </w:tcPr>
          <w:p>
            <w:pPr>
              <w:spacing w:line="360" w:lineRule="auto"/>
              <w:jc w:val="left"/>
              <w:rPr>
                <w:b w:val="0"/>
                <w:bCs/>
                <w:color w:val="auto"/>
              </w:rPr>
            </w:pPr>
          </w:p>
        </w:tc>
        <w:tc>
          <w:tcPr>
            <w:tcW w:w="693" w:type="pct"/>
            <w:vAlign w:val="top"/>
          </w:tcPr>
          <w:p>
            <w:pPr>
              <w:spacing w:line="360" w:lineRule="auto"/>
              <w:jc w:val="left"/>
              <w:rPr>
                <w:b w:val="0"/>
                <w:bCs/>
                <w:color w:val="auto"/>
              </w:rPr>
            </w:pPr>
          </w:p>
        </w:tc>
        <w:tc>
          <w:tcPr>
            <w:tcW w:w="583" w:type="pct"/>
            <w:vAlign w:val="top"/>
          </w:tcPr>
          <w:p>
            <w:pPr>
              <w:spacing w:line="360" w:lineRule="auto"/>
              <w:jc w:val="left"/>
              <w:rPr>
                <w:b w:val="0"/>
                <w:bCs/>
                <w:color w:val="auto"/>
              </w:rPr>
            </w:pPr>
          </w:p>
        </w:tc>
        <w:tc>
          <w:tcPr>
            <w:tcW w:w="766" w:type="pct"/>
            <w:vAlign w:val="top"/>
          </w:tcPr>
          <w:p>
            <w:pPr>
              <w:spacing w:line="360" w:lineRule="auto"/>
              <w:jc w:val="left"/>
              <w:rPr>
                <w:b w:val="0"/>
                <w:bCs/>
                <w:color w:val="auto"/>
              </w:rPr>
            </w:pPr>
          </w:p>
        </w:tc>
        <w:tc>
          <w:tcPr>
            <w:tcW w:w="547" w:type="pct"/>
            <w:vAlign w:val="top"/>
          </w:tcPr>
          <w:p>
            <w:pPr>
              <w:spacing w:line="360" w:lineRule="auto"/>
              <w:jc w:val="left"/>
              <w:rPr>
                <w:b w:val="0"/>
                <w:bCs/>
                <w:color w:val="auto"/>
              </w:rPr>
            </w:pPr>
          </w:p>
        </w:tc>
      </w:tr>
    </w:tbl>
    <w:p>
      <w:pPr>
        <w:spacing w:line="360" w:lineRule="auto"/>
        <w:rPr>
          <w:rFonts w:hint="eastAsia"/>
          <w:b w:val="0"/>
          <w:bCs/>
          <w:color w:val="auto"/>
          <w:sz w:val="21"/>
          <w:szCs w:val="21"/>
          <w:u w:val="single"/>
        </w:rPr>
      </w:pPr>
      <w:r>
        <w:rPr>
          <w:rFonts w:hint="eastAsia"/>
          <w:b w:val="0"/>
          <w:bCs/>
          <w:color w:val="auto"/>
          <w:sz w:val="21"/>
          <w:szCs w:val="21"/>
        </w:rPr>
        <w:t>医疗器械管理员：</w:t>
      </w:r>
      <w:r>
        <w:rPr>
          <w:rFonts w:hint="eastAsia"/>
          <w:b w:val="0"/>
          <w:bCs/>
          <w:color w:val="auto"/>
          <w:sz w:val="21"/>
          <w:szCs w:val="21"/>
          <w:u w:val="single"/>
        </w:rPr>
        <w:t xml:space="preserve">              </w:t>
      </w:r>
      <w:r>
        <w:rPr>
          <w:rFonts w:hint="eastAsia"/>
          <w:b w:val="0"/>
          <w:bCs/>
          <w:color w:val="auto"/>
          <w:sz w:val="21"/>
          <w:szCs w:val="21"/>
        </w:rPr>
        <w:t xml:space="preserve">                    日期：</w:t>
      </w:r>
      <w:r>
        <w:rPr>
          <w:rFonts w:hint="eastAsia"/>
          <w:b w:val="0"/>
          <w:bCs/>
          <w:color w:val="auto"/>
          <w:sz w:val="21"/>
          <w:szCs w:val="21"/>
          <w:u w:val="single"/>
        </w:rPr>
        <w:t xml:space="preserve">                </w:t>
      </w:r>
    </w:p>
    <w:p>
      <w:pPr>
        <w:spacing w:line="360" w:lineRule="auto"/>
        <w:ind w:firstLine="840" w:firstLineChars="400"/>
        <w:rPr>
          <w:rFonts w:hint="eastAsia" w:eastAsiaTheme="minorEastAsia"/>
          <w:b w:val="0"/>
          <w:bCs/>
          <w:color w:val="auto"/>
          <w:sz w:val="24"/>
          <w:szCs w:val="24"/>
          <w:u w:val="single"/>
          <w:lang w:eastAsia="zh-CN"/>
        </w:rPr>
        <w:sectPr>
          <w:headerReference r:id="rId116" w:type="default"/>
          <w:footerReference r:id="rId117" w:type="default"/>
          <w:pgSz w:w="16840" w:h="11907" w:orient="landscape"/>
          <w:pgMar w:top="1418" w:right="1134" w:bottom="1134" w:left="1418" w:header="0" w:footer="992" w:gutter="0"/>
          <w:pgNumType w:fmt="decimal"/>
          <w:cols w:space="720" w:num="1"/>
          <w:docGrid w:linePitch="312" w:charSpace="0"/>
        </w:sectPr>
      </w:pPr>
      <w:r>
        <w:rPr>
          <w:rFonts w:hint="eastAsia"/>
          <w:b w:val="0"/>
          <w:bCs/>
          <w:color w:val="auto"/>
          <w:sz w:val="21"/>
          <w:szCs w:val="21"/>
        </w:rPr>
        <w:t>接收人：</w:t>
      </w:r>
      <w:r>
        <w:rPr>
          <w:rFonts w:hint="eastAsia"/>
          <w:b w:val="0"/>
          <w:bCs/>
          <w:color w:val="auto"/>
          <w:sz w:val="21"/>
          <w:szCs w:val="21"/>
          <w:u w:val="single"/>
        </w:rPr>
        <w:t xml:space="preserve">              </w:t>
      </w:r>
      <w:r>
        <w:rPr>
          <w:rFonts w:hint="eastAsia"/>
          <w:b w:val="0"/>
          <w:bCs/>
          <w:color w:val="auto"/>
          <w:sz w:val="21"/>
          <w:szCs w:val="21"/>
        </w:rPr>
        <w:t xml:space="preserve">               </w:t>
      </w:r>
      <w:r>
        <w:rPr>
          <w:rFonts w:hint="eastAsia"/>
          <w:b w:val="0"/>
          <w:bCs/>
          <w:color w:val="auto"/>
          <w:sz w:val="21"/>
          <w:szCs w:val="21"/>
          <w:lang w:val="en-US" w:eastAsia="zh-CN"/>
        </w:rPr>
        <w:t xml:space="preserve">     </w:t>
      </w:r>
      <w:r>
        <w:rPr>
          <w:rFonts w:hint="eastAsia"/>
          <w:b w:val="0"/>
          <w:bCs/>
          <w:color w:val="auto"/>
          <w:sz w:val="21"/>
          <w:szCs w:val="21"/>
        </w:rPr>
        <w:t>日期：</w:t>
      </w:r>
      <w:r>
        <w:rPr>
          <w:rFonts w:hint="eastAsia"/>
          <w:b w:val="0"/>
          <w:bCs/>
          <w:color w:val="auto"/>
          <w:sz w:val="21"/>
          <w:szCs w:val="21"/>
          <w:u w:val="single"/>
        </w:rPr>
        <w:t xml:space="preserve">                </w:t>
      </w:r>
    </w:p>
    <w:p>
      <w:pPr>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附件</w:t>
      </w:r>
      <w:r>
        <w:rPr>
          <w:rFonts w:hint="eastAsia" w:ascii="宋体" w:hAnsi="宋体" w:eastAsia="宋体" w:cs="宋体"/>
          <w:b w:val="0"/>
          <w:bCs/>
          <w:color w:val="auto"/>
          <w:sz w:val="24"/>
          <w:szCs w:val="24"/>
          <w:lang w:val="en-US" w:eastAsia="zh-CN"/>
        </w:rPr>
        <w:t>11</w:t>
      </w:r>
      <w:r>
        <w:rPr>
          <w:rFonts w:hint="eastAsia" w:ascii="宋体" w:hAnsi="宋体" w:eastAsia="宋体" w:cs="宋体"/>
          <w:b w:val="0"/>
          <w:bCs/>
          <w:color w:val="auto"/>
          <w:sz w:val="24"/>
          <w:szCs w:val="24"/>
        </w:rPr>
        <w:t>：</w:t>
      </w:r>
      <w:r>
        <w:rPr>
          <w:rFonts w:hint="eastAsia" w:asciiTheme="minorEastAsia" w:hAnsiTheme="minorEastAsia" w:cstheme="minorEastAsia"/>
          <w:b w:val="0"/>
          <w:bCs/>
          <w:color w:val="auto"/>
          <w:sz w:val="24"/>
          <w:szCs w:val="24"/>
          <w:lang w:val="en-US" w:eastAsia="zh-CN"/>
        </w:rPr>
        <w:t>YYH-SOP-CTC-012-3.1-A11</w:t>
      </w:r>
      <w:r>
        <w:rPr>
          <w:rFonts w:hint="eastAsia" w:ascii="宋体" w:hAnsi="宋体" w:eastAsia="宋体" w:cs="宋体"/>
          <w:b w:val="0"/>
          <w:bCs/>
          <w:color w:val="auto"/>
          <w:sz w:val="24"/>
          <w:szCs w:val="24"/>
        </w:rPr>
        <w:t>临床试验用医疗器械销毁授权书</w:t>
      </w:r>
    </w:p>
    <w:p>
      <w:pPr>
        <w:spacing w:line="360" w:lineRule="auto"/>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临床试验用医疗器械销毁授权书</w:t>
      </w:r>
    </w:p>
    <w:p>
      <w:pPr>
        <w:spacing w:line="360" w:lineRule="auto"/>
        <w:jc w:val="both"/>
        <w:rPr>
          <w:rFonts w:hint="eastAsia" w:ascii="宋体" w:hAnsi="宋体" w:cs="宋体"/>
          <w:b w:val="0"/>
          <w:bCs/>
          <w:color w:val="auto"/>
          <w:sz w:val="24"/>
          <w:szCs w:val="24"/>
          <w:u w:val="single"/>
        </w:rPr>
      </w:pPr>
      <w:r>
        <w:rPr>
          <w:rFonts w:hint="eastAsia" w:ascii="宋体" w:hAnsi="宋体" w:cs="宋体"/>
          <w:b w:val="0"/>
          <w:bCs/>
          <w:color w:val="auto"/>
          <w:sz w:val="24"/>
          <w:szCs w:val="24"/>
        </w:rPr>
        <w:t>兹</w:t>
      </w:r>
      <w:r>
        <w:rPr>
          <w:rFonts w:hint="eastAsia" w:ascii="宋体" w:hAnsi="宋体" w:cs="宋体"/>
          <w:b w:val="0"/>
          <w:bCs/>
          <w:color w:val="auto"/>
          <w:sz w:val="24"/>
          <w:szCs w:val="24"/>
          <w:u w:val="single"/>
        </w:rPr>
        <w:t xml:space="preserve">                   </w:t>
      </w:r>
      <w:r>
        <w:rPr>
          <w:rFonts w:hint="eastAsia" w:ascii="宋体" w:hAnsi="宋体" w:cs="宋体"/>
          <w:b w:val="0"/>
          <w:bCs/>
          <w:color w:val="auto"/>
          <w:sz w:val="24"/>
          <w:szCs w:val="24"/>
        </w:rPr>
        <w:t>公司，授权沂源县人民医院药物</w:t>
      </w:r>
      <w:r>
        <w:rPr>
          <w:rFonts w:hint="eastAsia" w:ascii="宋体" w:hAnsi="宋体" w:cs="宋体"/>
          <w:b w:val="0"/>
          <w:bCs/>
          <w:color w:val="auto"/>
          <w:sz w:val="24"/>
          <w:szCs w:val="24"/>
          <w:lang w:val="en-US" w:eastAsia="zh-CN"/>
        </w:rPr>
        <w:t>/医疗器械</w:t>
      </w:r>
      <w:r>
        <w:rPr>
          <w:rFonts w:hint="eastAsia" w:ascii="宋体" w:hAnsi="宋体" w:cs="宋体"/>
          <w:b w:val="0"/>
          <w:bCs/>
          <w:color w:val="auto"/>
          <w:sz w:val="24"/>
          <w:szCs w:val="24"/>
        </w:rPr>
        <w:t>临床试验机构销毁</w:t>
      </w:r>
    </w:p>
    <w:p>
      <w:pPr>
        <w:spacing w:line="360" w:lineRule="auto"/>
        <w:rPr>
          <w:rFonts w:hint="eastAsia" w:ascii="宋体" w:cs="宋体"/>
          <w:b w:val="0"/>
          <w:bCs/>
          <w:color w:val="auto"/>
          <w:sz w:val="24"/>
          <w:szCs w:val="24"/>
        </w:rPr>
      </w:pPr>
      <w:r>
        <w:rPr>
          <w:rFonts w:hint="eastAsia" w:ascii="宋体" w:hAnsi="宋体" w:cs="宋体"/>
          <w:b w:val="0"/>
          <w:bCs/>
          <w:color w:val="auto"/>
          <w:sz w:val="24"/>
          <w:szCs w:val="24"/>
          <w:u w:val="single"/>
        </w:rPr>
        <w:t xml:space="preserve">                      </w:t>
      </w:r>
      <w:r>
        <w:rPr>
          <w:rFonts w:hint="eastAsia" w:ascii="宋体" w:hAnsi="宋体" w:cs="宋体"/>
          <w:b w:val="0"/>
          <w:bCs/>
          <w:color w:val="auto"/>
          <w:sz w:val="24"/>
          <w:szCs w:val="24"/>
          <w:u w:val="single"/>
          <w:lang w:val="en-US" w:eastAsia="zh-CN"/>
        </w:rPr>
        <w:t xml:space="preserve">             </w:t>
      </w:r>
      <w:r>
        <w:rPr>
          <w:rFonts w:hint="eastAsia" w:ascii="宋体" w:hAnsi="宋体" w:cs="宋体"/>
          <w:b w:val="0"/>
          <w:bCs/>
          <w:color w:val="auto"/>
          <w:sz w:val="24"/>
          <w:szCs w:val="24"/>
          <w:u w:val="single"/>
        </w:rPr>
        <w:t xml:space="preserve"> </w:t>
      </w:r>
      <w:r>
        <w:rPr>
          <w:rFonts w:hint="eastAsia" w:ascii="宋体" w:hAnsi="宋体" w:cs="宋体"/>
          <w:b w:val="0"/>
          <w:bCs/>
          <w:color w:val="auto"/>
          <w:sz w:val="24"/>
          <w:szCs w:val="24"/>
        </w:rPr>
        <w:t>临床试验项目的试验用药品一批，详细如下：</w:t>
      </w:r>
    </w:p>
    <w:tbl>
      <w:tblPr>
        <w:tblStyle w:val="27"/>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12"/>
        <w:gridCol w:w="1912"/>
        <w:gridCol w:w="1912"/>
        <w:gridCol w:w="1914"/>
        <w:gridCol w:w="1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rPr>
        <w:tc>
          <w:tcPr>
            <w:tcW w:w="999" w:type="pct"/>
            <w:vAlign w:val="top"/>
          </w:tcPr>
          <w:p>
            <w:pPr>
              <w:keepNext w:val="0"/>
              <w:keepLines w:val="0"/>
              <w:pageBreakBefore w:val="0"/>
              <w:widowControl w:val="0"/>
              <w:kinsoku/>
              <w:wordWrap/>
              <w:overflowPunct/>
              <w:topLinePunct w:val="0"/>
              <w:autoSpaceDE/>
              <w:autoSpaceDN/>
              <w:bidi w:val="0"/>
              <w:adjustRightInd/>
              <w:snapToGrid w:val="0"/>
              <w:spacing w:before="219" w:beforeLines="70" w:line="240" w:lineRule="auto"/>
              <w:jc w:val="center"/>
              <w:textAlignment w:val="auto"/>
              <w:rPr>
                <w:b w:val="0"/>
                <w:bCs/>
                <w:color w:val="auto"/>
                <w:sz w:val="24"/>
                <w:szCs w:val="24"/>
              </w:rPr>
            </w:pPr>
            <w:r>
              <w:rPr>
                <w:rFonts w:hint="eastAsia"/>
                <w:b w:val="0"/>
                <w:bCs/>
                <w:color w:val="auto"/>
                <w:sz w:val="24"/>
                <w:szCs w:val="24"/>
              </w:rPr>
              <w:t>医疗器械名称</w:t>
            </w:r>
          </w:p>
        </w:tc>
        <w:tc>
          <w:tcPr>
            <w:tcW w:w="999" w:type="pct"/>
            <w:vAlign w:val="top"/>
          </w:tcPr>
          <w:p>
            <w:pPr>
              <w:keepNext w:val="0"/>
              <w:keepLines w:val="0"/>
              <w:pageBreakBefore w:val="0"/>
              <w:widowControl w:val="0"/>
              <w:kinsoku/>
              <w:wordWrap/>
              <w:overflowPunct/>
              <w:topLinePunct w:val="0"/>
              <w:autoSpaceDE/>
              <w:autoSpaceDN/>
              <w:bidi w:val="0"/>
              <w:adjustRightInd/>
              <w:snapToGrid w:val="0"/>
              <w:spacing w:before="219" w:beforeLines="70" w:line="240" w:lineRule="auto"/>
              <w:jc w:val="center"/>
              <w:textAlignment w:val="auto"/>
              <w:rPr>
                <w:b w:val="0"/>
                <w:bCs/>
                <w:color w:val="auto"/>
                <w:sz w:val="24"/>
                <w:szCs w:val="24"/>
              </w:rPr>
            </w:pPr>
            <w:r>
              <w:rPr>
                <w:rFonts w:hint="eastAsia"/>
                <w:b w:val="0"/>
                <w:bCs/>
                <w:color w:val="auto"/>
                <w:sz w:val="24"/>
                <w:szCs w:val="24"/>
              </w:rPr>
              <w:t>医疗器械编码</w:t>
            </w:r>
          </w:p>
        </w:tc>
        <w:tc>
          <w:tcPr>
            <w:tcW w:w="999" w:type="pct"/>
            <w:vAlign w:val="top"/>
          </w:tcPr>
          <w:p>
            <w:pPr>
              <w:keepNext w:val="0"/>
              <w:keepLines w:val="0"/>
              <w:pageBreakBefore w:val="0"/>
              <w:widowControl w:val="0"/>
              <w:kinsoku/>
              <w:wordWrap/>
              <w:overflowPunct/>
              <w:topLinePunct w:val="0"/>
              <w:autoSpaceDE/>
              <w:autoSpaceDN/>
              <w:bidi w:val="0"/>
              <w:adjustRightInd/>
              <w:snapToGrid w:val="0"/>
              <w:spacing w:before="219" w:beforeLines="70" w:line="240" w:lineRule="auto"/>
              <w:jc w:val="center"/>
              <w:textAlignment w:val="auto"/>
              <w:rPr>
                <w:b w:val="0"/>
                <w:bCs/>
                <w:color w:val="auto"/>
                <w:sz w:val="24"/>
                <w:szCs w:val="24"/>
              </w:rPr>
            </w:pPr>
            <w:r>
              <w:rPr>
                <w:rFonts w:hint="eastAsia"/>
                <w:b w:val="0"/>
                <w:bCs/>
                <w:color w:val="auto"/>
                <w:sz w:val="24"/>
                <w:szCs w:val="24"/>
              </w:rPr>
              <w:t>规格</w:t>
            </w:r>
          </w:p>
        </w:tc>
        <w:tc>
          <w:tcPr>
            <w:tcW w:w="1000" w:type="pct"/>
            <w:vAlign w:val="top"/>
          </w:tcPr>
          <w:p>
            <w:pPr>
              <w:keepNext w:val="0"/>
              <w:keepLines w:val="0"/>
              <w:pageBreakBefore w:val="0"/>
              <w:widowControl w:val="0"/>
              <w:kinsoku/>
              <w:wordWrap/>
              <w:overflowPunct/>
              <w:topLinePunct w:val="0"/>
              <w:autoSpaceDE/>
              <w:autoSpaceDN/>
              <w:bidi w:val="0"/>
              <w:adjustRightInd/>
              <w:snapToGrid w:val="0"/>
              <w:spacing w:before="219" w:beforeLines="70" w:line="240" w:lineRule="auto"/>
              <w:jc w:val="center"/>
              <w:textAlignment w:val="auto"/>
              <w:rPr>
                <w:b w:val="0"/>
                <w:bCs/>
                <w:color w:val="auto"/>
                <w:sz w:val="24"/>
                <w:szCs w:val="24"/>
              </w:rPr>
            </w:pPr>
            <w:r>
              <w:rPr>
                <w:rFonts w:hint="eastAsia"/>
                <w:b w:val="0"/>
                <w:bCs/>
                <w:color w:val="auto"/>
                <w:sz w:val="24"/>
                <w:szCs w:val="24"/>
              </w:rPr>
              <w:t>批号</w:t>
            </w:r>
          </w:p>
        </w:tc>
        <w:tc>
          <w:tcPr>
            <w:tcW w:w="1000" w:type="pct"/>
            <w:vAlign w:val="top"/>
          </w:tcPr>
          <w:p>
            <w:pPr>
              <w:keepNext w:val="0"/>
              <w:keepLines w:val="0"/>
              <w:pageBreakBefore w:val="0"/>
              <w:widowControl w:val="0"/>
              <w:kinsoku/>
              <w:wordWrap/>
              <w:overflowPunct/>
              <w:topLinePunct w:val="0"/>
              <w:autoSpaceDE/>
              <w:autoSpaceDN/>
              <w:bidi w:val="0"/>
              <w:adjustRightInd/>
              <w:snapToGrid w:val="0"/>
              <w:spacing w:before="219" w:beforeLines="70" w:line="240" w:lineRule="auto"/>
              <w:jc w:val="center"/>
              <w:textAlignment w:val="auto"/>
              <w:rPr>
                <w:b w:val="0"/>
                <w:bCs/>
                <w:color w:val="auto"/>
                <w:sz w:val="24"/>
                <w:szCs w:val="24"/>
              </w:rPr>
            </w:pPr>
            <w:r>
              <w:rPr>
                <w:rFonts w:hint="eastAsia"/>
                <w:b w:val="0"/>
                <w:bCs/>
                <w:color w:val="auto"/>
                <w:sz w:val="24"/>
                <w:szCs w:val="24"/>
              </w:rPr>
              <w:t>销毁数量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999" w:type="pct"/>
            <w:vAlign w:val="top"/>
          </w:tcPr>
          <w:p>
            <w:pPr>
              <w:spacing w:line="360" w:lineRule="auto"/>
              <w:jc w:val="center"/>
              <w:rPr>
                <w:b w:val="0"/>
                <w:bCs/>
                <w:color w:val="auto"/>
                <w:sz w:val="24"/>
                <w:szCs w:val="24"/>
              </w:rPr>
            </w:pPr>
          </w:p>
        </w:tc>
        <w:tc>
          <w:tcPr>
            <w:tcW w:w="999" w:type="pct"/>
            <w:vAlign w:val="top"/>
          </w:tcPr>
          <w:p>
            <w:pPr>
              <w:spacing w:line="360" w:lineRule="auto"/>
              <w:jc w:val="center"/>
              <w:rPr>
                <w:b w:val="0"/>
                <w:bCs/>
                <w:color w:val="auto"/>
                <w:sz w:val="24"/>
                <w:szCs w:val="24"/>
              </w:rPr>
            </w:pPr>
          </w:p>
        </w:tc>
        <w:tc>
          <w:tcPr>
            <w:tcW w:w="999" w:type="pct"/>
            <w:vAlign w:val="top"/>
          </w:tcPr>
          <w:p>
            <w:pPr>
              <w:spacing w:line="360" w:lineRule="auto"/>
              <w:jc w:val="center"/>
              <w:rPr>
                <w:b w:val="0"/>
                <w:bCs/>
                <w:color w:val="auto"/>
                <w:sz w:val="24"/>
                <w:szCs w:val="24"/>
              </w:rPr>
            </w:pPr>
          </w:p>
        </w:tc>
        <w:tc>
          <w:tcPr>
            <w:tcW w:w="1000" w:type="pct"/>
            <w:vAlign w:val="top"/>
          </w:tcPr>
          <w:p>
            <w:pPr>
              <w:spacing w:line="360" w:lineRule="auto"/>
              <w:jc w:val="center"/>
              <w:rPr>
                <w:b w:val="0"/>
                <w:bCs/>
                <w:color w:val="auto"/>
                <w:sz w:val="24"/>
                <w:szCs w:val="24"/>
              </w:rPr>
            </w:pPr>
          </w:p>
        </w:tc>
        <w:tc>
          <w:tcPr>
            <w:tcW w:w="1000" w:type="pct"/>
            <w:vAlign w:val="top"/>
          </w:tcPr>
          <w:p>
            <w:pPr>
              <w:spacing w:line="360" w:lineRule="auto"/>
              <w:jc w:val="center"/>
              <w:rPr>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999" w:type="pct"/>
            <w:vAlign w:val="top"/>
          </w:tcPr>
          <w:p>
            <w:pPr>
              <w:spacing w:line="360" w:lineRule="auto"/>
              <w:jc w:val="center"/>
              <w:rPr>
                <w:b w:val="0"/>
                <w:bCs/>
                <w:color w:val="auto"/>
                <w:sz w:val="24"/>
                <w:szCs w:val="24"/>
              </w:rPr>
            </w:pPr>
          </w:p>
        </w:tc>
        <w:tc>
          <w:tcPr>
            <w:tcW w:w="999" w:type="pct"/>
            <w:vAlign w:val="top"/>
          </w:tcPr>
          <w:p>
            <w:pPr>
              <w:spacing w:line="360" w:lineRule="auto"/>
              <w:jc w:val="center"/>
              <w:rPr>
                <w:b w:val="0"/>
                <w:bCs/>
                <w:color w:val="auto"/>
                <w:sz w:val="24"/>
                <w:szCs w:val="24"/>
              </w:rPr>
            </w:pPr>
          </w:p>
        </w:tc>
        <w:tc>
          <w:tcPr>
            <w:tcW w:w="999" w:type="pct"/>
            <w:vAlign w:val="top"/>
          </w:tcPr>
          <w:p>
            <w:pPr>
              <w:spacing w:line="360" w:lineRule="auto"/>
              <w:jc w:val="center"/>
              <w:rPr>
                <w:b w:val="0"/>
                <w:bCs/>
                <w:color w:val="auto"/>
                <w:sz w:val="24"/>
                <w:szCs w:val="24"/>
              </w:rPr>
            </w:pPr>
          </w:p>
        </w:tc>
        <w:tc>
          <w:tcPr>
            <w:tcW w:w="1000" w:type="pct"/>
            <w:vAlign w:val="top"/>
          </w:tcPr>
          <w:p>
            <w:pPr>
              <w:spacing w:line="360" w:lineRule="auto"/>
              <w:jc w:val="center"/>
              <w:rPr>
                <w:b w:val="0"/>
                <w:bCs/>
                <w:color w:val="auto"/>
                <w:sz w:val="24"/>
                <w:szCs w:val="24"/>
              </w:rPr>
            </w:pPr>
          </w:p>
        </w:tc>
        <w:tc>
          <w:tcPr>
            <w:tcW w:w="1000" w:type="pct"/>
            <w:vAlign w:val="top"/>
          </w:tcPr>
          <w:p>
            <w:pPr>
              <w:spacing w:line="360" w:lineRule="auto"/>
              <w:jc w:val="center"/>
              <w:rPr>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999" w:type="pct"/>
            <w:vAlign w:val="top"/>
          </w:tcPr>
          <w:p>
            <w:pPr>
              <w:spacing w:line="360" w:lineRule="auto"/>
              <w:jc w:val="center"/>
              <w:rPr>
                <w:b w:val="0"/>
                <w:bCs/>
                <w:color w:val="auto"/>
                <w:sz w:val="24"/>
                <w:szCs w:val="24"/>
              </w:rPr>
            </w:pPr>
          </w:p>
        </w:tc>
        <w:tc>
          <w:tcPr>
            <w:tcW w:w="999" w:type="pct"/>
            <w:vAlign w:val="top"/>
          </w:tcPr>
          <w:p>
            <w:pPr>
              <w:spacing w:line="360" w:lineRule="auto"/>
              <w:jc w:val="center"/>
              <w:rPr>
                <w:b w:val="0"/>
                <w:bCs/>
                <w:color w:val="auto"/>
                <w:sz w:val="24"/>
                <w:szCs w:val="24"/>
              </w:rPr>
            </w:pPr>
          </w:p>
        </w:tc>
        <w:tc>
          <w:tcPr>
            <w:tcW w:w="999" w:type="pct"/>
            <w:vAlign w:val="top"/>
          </w:tcPr>
          <w:p>
            <w:pPr>
              <w:spacing w:line="360" w:lineRule="auto"/>
              <w:jc w:val="center"/>
              <w:rPr>
                <w:b w:val="0"/>
                <w:bCs/>
                <w:color w:val="auto"/>
                <w:sz w:val="24"/>
                <w:szCs w:val="24"/>
              </w:rPr>
            </w:pPr>
          </w:p>
        </w:tc>
        <w:tc>
          <w:tcPr>
            <w:tcW w:w="1000" w:type="pct"/>
            <w:vAlign w:val="top"/>
          </w:tcPr>
          <w:p>
            <w:pPr>
              <w:spacing w:line="360" w:lineRule="auto"/>
              <w:jc w:val="center"/>
              <w:rPr>
                <w:b w:val="0"/>
                <w:bCs/>
                <w:color w:val="auto"/>
                <w:sz w:val="24"/>
                <w:szCs w:val="24"/>
              </w:rPr>
            </w:pPr>
          </w:p>
        </w:tc>
        <w:tc>
          <w:tcPr>
            <w:tcW w:w="1000" w:type="pct"/>
            <w:vAlign w:val="top"/>
          </w:tcPr>
          <w:p>
            <w:pPr>
              <w:spacing w:line="360" w:lineRule="auto"/>
              <w:jc w:val="center"/>
              <w:rPr>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999" w:type="pct"/>
            <w:vAlign w:val="top"/>
          </w:tcPr>
          <w:p>
            <w:pPr>
              <w:spacing w:line="360" w:lineRule="auto"/>
              <w:jc w:val="center"/>
              <w:rPr>
                <w:b w:val="0"/>
                <w:bCs/>
                <w:color w:val="auto"/>
                <w:sz w:val="24"/>
                <w:szCs w:val="24"/>
              </w:rPr>
            </w:pPr>
          </w:p>
        </w:tc>
        <w:tc>
          <w:tcPr>
            <w:tcW w:w="999" w:type="pct"/>
            <w:vAlign w:val="top"/>
          </w:tcPr>
          <w:p>
            <w:pPr>
              <w:spacing w:line="360" w:lineRule="auto"/>
              <w:jc w:val="center"/>
              <w:rPr>
                <w:b w:val="0"/>
                <w:bCs/>
                <w:color w:val="auto"/>
                <w:sz w:val="24"/>
                <w:szCs w:val="24"/>
              </w:rPr>
            </w:pPr>
          </w:p>
        </w:tc>
        <w:tc>
          <w:tcPr>
            <w:tcW w:w="999" w:type="pct"/>
            <w:vAlign w:val="top"/>
          </w:tcPr>
          <w:p>
            <w:pPr>
              <w:spacing w:line="360" w:lineRule="auto"/>
              <w:jc w:val="center"/>
              <w:rPr>
                <w:b w:val="0"/>
                <w:bCs/>
                <w:color w:val="auto"/>
                <w:sz w:val="24"/>
                <w:szCs w:val="24"/>
              </w:rPr>
            </w:pPr>
          </w:p>
        </w:tc>
        <w:tc>
          <w:tcPr>
            <w:tcW w:w="1000" w:type="pct"/>
            <w:vAlign w:val="top"/>
          </w:tcPr>
          <w:p>
            <w:pPr>
              <w:spacing w:line="360" w:lineRule="auto"/>
              <w:jc w:val="center"/>
              <w:rPr>
                <w:b w:val="0"/>
                <w:bCs/>
                <w:color w:val="auto"/>
                <w:sz w:val="24"/>
                <w:szCs w:val="24"/>
              </w:rPr>
            </w:pPr>
          </w:p>
        </w:tc>
        <w:tc>
          <w:tcPr>
            <w:tcW w:w="1000" w:type="pct"/>
            <w:vAlign w:val="top"/>
          </w:tcPr>
          <w:p>
            <w:pPr>
              <w:spacing w:line="360" w:lineRule="auto"/>
              <w:jc w:val="center"/>
              <w:rPr>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999" w:type="pct"/>
            <w:vAlign w:val="top"/>
          </w:tcPr>
          <w:p>
            <w:pPr>
              <w:spacing w:line="360" w:lineRule="auto"/>
              <w:jc w:val="center"/>
              <w:rPr>
                <w:b w:val="0"/>
                <w:bCs/>
                <w:color w:val="auto"/>
                <w:sz w:val="24"/>
                <w:szCs w:val="24"/>
              </w:rPr>
            </w:pPr>
          </w:p>
        </w:tc>
        <w:tc>
          <w:tcPr>
            <w:tcW w:w="999" w:type="pct"/>
            <w:vAlign w:val="top"/>
          </w:tcPr>
          <w:p>
            <w:pPr>
              <w:spacing w:line="360" w:lineRule="auto"/>
              <w:jc w:val="center"/>
              <w:rPr>
                <w:b w:val="0"/>
                <w:bCs/>
                <w:color w:val="auto"/>
                <w:sz w:val="24"/>
                <w:szCs w:val="24"/>
              </w:rPr>
            </w:pPr>
          </w:p>
        </w:tc>
        <w:tc>
          <w:tcPr>
            <w:tcW w:w="999" w:type="pct"/>
            <w:vAlign w:val="top"/>
          </w:tcPr>
          <w:p>
            <w:pPr>
              <w:spacing w:line="360" w:lineRule="auto"/>
              <w:jc w:val="center"/>
              <w:rPr>
                <w:b w:val="0"/>
                <w:bCs/>
                <w:color w:val="auto"/>
                <w:sz w:val="24"/>
                <w:szCs w:val="24"/>
              </w:rPr>
            </w:pPr>
          </w:p>
        </w:tc>
        <w:tc>
          <w:tcPr>
            <w:tcW w:w="1000" w:type="pct"/>
            <w:vAlign w:val="top"/>
          </w:tcPr>
          <w:p>
            <w:pPr>
              <w:spacing w:line="360" w:lineRule="auto"/>
              <w:jc w:val="center"/>
              <w:rPr>
                <w:b w:val="0"/>
                <w:bCs/>
                <w:color w:val="auto"/>
                <w:sz w:val="24"/>
                <w:szCs w:val="24"/>
              </w:rPr>
            </w:pPr>
          </w:p>
        </w:tc>
        <w:tc>
          <w:tcPr>
            <w:tcW w:w="1000" w:type="pct"/>
            <w:vAlign w:val="top"/>
          </w:tcPr>
          <w:p>
            <w:pPr>
              <w:spacing w:line="360" w:lineRule="auto"/>
              <w:jc w:val="center"/>
              <w:rPr>
                <w:b w:val="0"/>
                <w:bCs/>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999" w:type="pct"/>
            <w:vAlign w:val="top"/>
          </w:tcPr>
          <w:p>
            <w:pPr>
              <w:spacing w:line="360" w:lineRule="auto"/>
              <w:jc w:val="center"/>
              <w:rPr>
                <w:b w:val="0"/>
                <w:bCs/>
                <w:color w:val="auto"/>
                <w:sz w:val="24"/>
                <w:szCs w:val="24"/>
              </w:rPr>
            </w:pPr>
          </w:p>
        </w:tc>
        <w:tc>
          <w:tcPr>
            <w:tcW w:w="999" w:type="pct"/>
            <w:vAlign w:val="top"/>
          </w:tcPr>
          <w:p>
            <w:pPr>
              <w:spacing w:line="360" w:lineRule="auto"/>
              <w:jc w:val="center"/>
              <w:rPr>
                <w:b w:val="0"/>
                <w:bCs/>
                <w:color w:val="auto"/>
                <w:sz w:val="24"/>
                <w:szCs w:val="24"/>
              </w:rPr>
            </w:pPr>
          </w:p>
        </w:tc>
        <w:tc>
          <w:tcPr>
            <w:tcW w:w="999" w:type="pct"/>
            <w:vAlign w:val="top"/>
          </w:tcPr>
          <w:p>
            <w:pPr>
              <w:spacing w:line="360" w:lineRule="auto"/>
              <w:jc w:val="center"/>
              <w:rPr>
                <w:b w:val="0"/>
                <w:bCs/>
                <w:color w:val="auto"/>
                <w:sz w:val="24"/>
                <w:szCs w:val="24"/>
              </w:rPr>
            </w:pPr>
          </w:p>
        </w:tc>
        <w:tc>
          <w:tcPr>
            <w:tcW w:w="1000" w:type="pct"/>
            <w:vAlign w:val="top"/>
          </w:tcPr>
          <w:p>
            <w:pPr>
              <w:spacing w:line="360" w:lineRule="auto"/>
              <w:jc w:val="center"/>
              <w:rPr>
                <w:b w:val="0"/>
                <w:bCs/>
                <w:color w:val="auto"/>
                <w:sz w:val="24"/>
                <w:szCs w:val="24"/>
              </w:rPr>
            </w:pPr>
          </w:p>
        </w:tc>
        <w:tc>
          <w:tcPr>
            <w:tcW w:w="1000" w:type="pct"/>
            <w:vAlign w:val="top"/>
          </w:tcPr>
          <w:p>
            <w:pPr>
              <w:spacing w:line="360" w:lineRule="auto"/>
              <w:jc w:val="center"/>
              <w:rPr>
                <w:b w:val="0"/>
                <w:bCs/>
                <w:color w:val="auto"/>
                <w:sz w:val="24"/>
                <w:szCs w:val="24"/>
              </w:rPr>
            </w:pPr>
          </w:p>
        </w:tc>
      </w:tr>
    </w:tbl>
    <w:p>
      <w:pPr>
        <w:spacing w:line="360" w:lineRule="auto"/>
        <w:jc w:val="left"/>
        <w:rPr>
          <w:b w:val="0"/>
          <w:bCs/>
          <w:color w:val="auto"/>
          <w:sz w:val="24"/>
          <w:szCs w:val="24"/>
        </w:rPr>
      </w:pPr>
      <w:r>
        <w:rPr>
          <w:rFonts w:hint="eastAsia"/>
          <w:b w:val="0"/>
          <w:bCs/>
          <w:color w:val="auto"/>
          <w:sz w:val="24"/>
          <w:szCs w:val="24"/>
        </w:rPr>
        <w:t>特此授权！</w:t>
      </w:r>
    </w:p>
    <w:p>
      <w:pPr>
        <w:spacing w:line="360" w:lineRule="auto"/>
        <w:jc w:val="left"/>
        <w:rPr>
          <w:rFonts w:hint="eastAsia"/>
          <w:b w:val="0"/>
          <w:bCs/>
          <w:color w:val="auto"/>
          <w:sz w:val="24"/>
          <w:szCs w:val="24"/>
        </w:rPr>
      </w:pPr>
    </w:p>
    <w:p>
      <w:pPr>
        <w:spacing w:line="360" w:lineRule="auto"/>
        <w:ind w:firstLine="5880" w:firstLineChars="2450"/>
        <w:jc w:val="left"/>
        <w:rPr>
          <w:rFonts w:hint="eastAsia" w:eastAsiaTheme="minorEastAsia"/>
          <w:b w:val="0"/>
          <w:bCs/>
          <w:color w:val="auto"/>
          <w:sz w:val="24"/>
          <w:szCs w:val="24"/>
          <w:lang w:val="en-US" w:eastAsia="zh-CN"/>
        </w:rPr>
      </w:pPr>
      <w:r>
        <w:rPr>
          <w:rFonts w:hint="eastAsia"/>
          <w:b w:val="0"/>
          <w:bCs/>
          <w:color w:val="auto"/>
          <w:sz w:val="24"/>
          <w:szCs w:val="24"/>
        </w:rPr>
        <w:t>授权方：</w:t>
      </w:r>
      <w:r>
        <w:rPr>
          <w:rFonts w:hint="eastAsia"/>
          <w:b w:val="0"/>
          <w:bCs/>
          <w:color w:val="auto"/>
          <w:sz w:val="24"/>
          <w:szCs w:val="24"/>
          <w:u w:val="single"/>
        </w:rPr>
        <w:t xml:space="preserve">      </w:t>
      </w:r>
      <w:r>
        <w:rPr>
          <w:rFonts w:hint="eastAsia"/>
          <w:b w:val="0"/>
          <w:bCs/>
          <w:color w:val="auto"/>
          <w:sz w:val="24"/>
          <w:szCs w:val="24"/>
          <w:u w:val="single"/>
          <w:lang w:val="en-US" w:eastAsia="zh-CN"/>
        </w:rPr>
        <w:t xml:space="preserve"> </w:t>
      </w:r>
      <w:r>
        <w:rPr>
          <w:rFonts w:hint="eastAsia"/>
          <w:b w:val="0"/>
          <w:bCs/>
          <w:color w:val="auto"/>
          <w:sz w:val="24"/>
          <w:szCs w:val="24"/>
          <w:u w:val="single"/>
        </w:rPr>
        <w:t xml:space="preserve">  </w:t>
      </w:r>
      <w:r>
        <w:rPr>
          <w:rFonts w:hint="eastAsia"/>
          <w:b w:val="0"/>
          <w:bCs/>
          <w:color w:val="auto"/>
          <w:sz w:val="24"/>
          <w:szCs w:val="24"/>
          <w:u w:val="single"/>
          <w:lang w:val="en-US" w:eastAsia="zh-CN"/>
        </w:rPr>
        <w:t xml:space="preserve"> </w:t>
      </w:r>
      <w:r>
        <w:rPr>
          <w:rFonts w:hint="eastAsia"/>
          <w:b w:val="0"/>
          <w:bCs/>
          <w:color w:val="auto"/>
          <w:sz w:val="24"/>
          <w:szCs w:val="24"/>
          <w:u w:val="single"/>
        </w:rPr>
        <w:t xml:space="preserve">  </w:t>
      </w:r>
      <w:r>
        <w:rPr>
          <w:rFonts w:hint="eastAsia"/>
          <w:b w:val="0"/>
          <w:bCs/>
          <w:color w:val="auto"/>
          <w:sz w:val="24"/>
          <w:szCs w:val="24"/>
          <w:u w:val="single"/>
          <w:lang w:val="en-US" w:eastAsia="zh-CN"/>
        </w:rPr>
        <w:t xml:space="preserve"> </w:t>
      </w:r>
    </w:p>
    <w:p>
      <w:pPr>
        <w:spacing w:line="360" w:lineRule="auto"/>
        <w:ind w:firstLine="5880" w:firstLineChars="2450"/>
        <w:jc w:val="left"/>
        <w:rPr>
          <w:b w:val="0"/>
          <w:bCs/>
          <w:color w:val="auto"/>
          <w:sz w:val="24"/>
          <w:szCs w:val="24"/>
          <w:u w:val="single"/>
        </w:rPr>
      </w:pPr>
      <w:r>
        <w:rPr>
          <w:rFonts w:hint="eastAsia"/>
          <w:b w:val="0"/>
          <w:bCs/>
          <w:color w:val="auto"/>
          <w:sz w:val="24"/>
          <w:szCs w:val="24"/>
        </w:rPr>
        <w:t>被授权方：</w:t>
      </w:r>
      <w:r>
        <w:rPr>
          <w:rFonts w:hint="eastAsia"/>
          <w:b w:val="0"/>
          <w:bCs/>
          <w:color w:val="auto"/>
          <w:sz w:val="24"/>
          <w:szCs w:val="24"/>
          <w:u w:val="single"/>
        </w:rPr>
        <w:t xml:space="preserve">     </w:t>
      </w:r>
      <w:r>
        <w:rPr>
          <w:rFonts w:hint="eastAsia"/>
          <w:b w:val="0"/>
          <w:bCs/>
          <w:color w:val="auto"/>
          <w:sz w:val="24"/>
          <w:szCs w:val="24"/>
          <w:u w:val="single"/>
          <w:lang w:val="en-US" w:eastAsia="zh-CN"/>
        </w:rPr>
        <w:t xml:space="preserve"> </w:t>
      </w:r>
      <w:r>
        <w:rPr>
          <w:rFonts w:hint="eastAsia"/>
          <w:b w:val="0"/>
          <w:bCs/>
          <w:color w:val="auto"/>
          <w:sz w:val="24"/>
          <w:szCs w:val="24"/>
          <w:u w:val="single"/>
        </w:rPr>
        <w:t xml:space="preserve"> </w:t>
      </w:r>
      <w:r>
        <w:rPr>
          <w:rFonts w:hint="eastAsia"/>
          <w:b w:val="0"/>
          <w:bCs/>
          <w:color w:val="auto"/>
          <w:sz w:val="24"/>
          <w:szCs w:val="24"/>
          <w:u w:val="single"/>
          <w:lang w:val="en-US" w:eastAsia="zh-CN"/>
        </w:rPr>
        <w:t xml:space="preserve"> </w:t>
      </w:r>
      <w:r>
        <w:rPr>
          <w:rFonts w:hint="eastAsia"/>
          <w:b w:val="0"/>
          <w:bCs/>
          <w:color w:val="auto"/>
          <w:sz w:val="24"/>
          <w:szCs w:val="24"/>
          <w:u w:val="single"/>
        </w:rPr>
        <w:t xml:space="preserve"> </w:t>
      </w:r>
      <w:r>
        <w:rPr>
          <w:rFonts w:hint="eastAsia"/>
          <w:b w:val="0"/>
          <w:bCs/>
          <w:color w:val="auto"/>
          <w:sz w:val="24"/>
          <w:szCs w:val="24"/>
          <w:u w:val="single"/>
          <w:lang w:val="en-US" w:eastAsia="zh-CN"/>
        </w:rPr>
        <w:t xml:space="preserve"> </w:t>
      </w:r>
      <w:r>
        <w:rPr>
          <w:rFonts w:hint="eastAsia"/>
          <w:b w:val="0"/>
          <w:bCs/>
          <w:color w:val="auto"/>
          <w:sz w:val="24"/>
          <w:szCs w:val="24"/>
          <w:u w:val="single"/>
        </w:rPr>
        <w:t xml:space="preserve"> </w:t>
      </w:r>
    </w:p>
    <w:p>
      <w:pPr>
        <w:spacing w:line="360" w:lineRule="auto"/>
        <w:ind w:firstLine="5880" w:firstLineChars="2450"/>
        <w:jc w:val="left"/>
        <w:rPr>
          <w:rFonts w:hint="eastAsia"/>
          <w:b w:val="0"/>
          <w:bCs/>
          <w:color w:val="auto"/>
          <w:sz w:val="24"/>
          <w:szCs w:val="24"/>
        </w:rPr>
      </w:pPr>
      <w:r>
        <w:rPr>
          <w:rFonts w:hint="eastAsia"/>
          <w:b w:val="0"/>
          <w:bCs/>
          <w:color w:val="auto"/>
          <w:sz w:val="24"/>
          <w:szCs w:val="24"/>
        </w:rPr>
        <w:t>授权时间：</w:t>
      </w:r>
      <w:r>
        <w:rPr>
          <w:rFonts w:hint="eastAsia"/>
          <w:b w:val="0"/>
          <w:bCs/>
          <w:color w:val="auto"/>
          <w:sz w:val="24"/>
          <w:szCs w:val="24"/>
          <w:u w:val="single"/>
        </w:rPr>
        <w:t xml:space="preserve">    </w:t>
      </w:r>
      <w:r>
        <w:rPr>
          <w:rFonts w:hint="eastAsia"/>
          <w:b w:val="0"/>
          <w:bCs/>
          <w:color w:val="auto"/>
          <w:sz w:val="24"/>
          <w:szCs w:val="24"/>
          <w:u w:val="single"/>
          <w:lang w:val="en-US" w:eastAsia="zh-CN"/>
        </w:rPr>
        <w:t xml:space="preserve"> </w:t>
      </w:r>
      <w:r>
        <w:rPr>
          <w:rFonts w:hint="eastAsia"/>
          <w:b w:val="0"/>
          <w:bCs/>
          <w:color w:val="auto"/>
          <w:sz w:val="24"/>
          <w:szCs w:val="24"/>
          <w:u w:val="single"/>
        </w:rPr>
        <w:t xml:space="preserve">      </w:t>
      </w:r>
    </w:p>
    <w:p>
      <w:pPr>
        <w:spacing w:line="360" w:lineRule="auto"/>
        <w:jc w:val="left"/>
        <w:rPr>
          <w:rFonts w:hint="eastAsia" w:ascii="宋体" w:cs="宋体"/>
          <w:b w:val="0"/>
          <w:bCs/>
          <w:color w:val="auto"/>
          <w:sz w:val="24"/>
          <w:szCs w:val="24"/>
        </w:rPr>
        <w:sectPr>
          <w:headerReference r:id="rId118" w:type="default"/>
          <w:footerReference r:id="rId119" w:type="default"/>
          <w:pgSz w:w="11907" w:h="16840"/>
          <w:pgMar w:top="1134" w:right="1134" w:bottom="1418" w:left="1418" w:header="0" w:footer="992" w:gutter="0"/>
          <w:pgNumType w:fmt="decimal"/>
          <w:cols w:space="720" w:num="1"/>
          <w:docGrid w:linePitch="312" w:charSpace="0"/>
        </w:sectPr>
      </w:pPr>
    </w:p>
    <w:p>
      <w:pPr>
        <w:spacing w:line="360" w:lineRule="auto"/>
        <w:jc w:val="left"/>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附件1</w:t>
      </w: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lang w:eastAsia="zh-CN"/>
        </w:rPr>
        <w:t>：</w:t>
      </w:r>
      <w:r>
        <w:rPr>
          <w:rFonts w:hint="eastAsia" w:asciiTheme="minorEastAsia" w:hAnsiTheme="minorEastAsia" w:cstheme="minorEastAsia"/>
          <w:b w:val="0"/>
          <w:bCs/>
          <w:color w:val="auto"/>
          <w:sz w:val="24"/>
          <w:szCs w:val="24"/>
          <w:lang w:val="en-US" w:eastAsia="zh-CN"/>
        </w:rPr>
        <w:t>YYH-SOP-CTC-012-3.1-A12</w:t>
      </w:r>
      <w:r>
        <w:rPr>
          <w:rFonts w:hint="eastAsia" w:ascii="宋体" w:hAnsi="宋体" w:eastAsia="宋体" w:cs="宋体"/>
          <w:b w:val="0"/>
          <w:bCs/>
          <w:color w:val="auto"/>
          <w:sz w:val="24"/>
          <w:szCs w:val="24"/>
        </w:rPr>
        <w:t>临床试验用医疗器械/包装物销毁记录表</w:t>
      </w:r>
    </w:p>
    <w:p>
      <w:pPr>
        <w:spacing w:line="360" w:lineRule="auto"/>
        <w:jc w:val="center"/>
        <w:rPr>
          <w:rFonts w:ascii="宋体" w:cs="宋体"/>
          <w:b w:val="0"/>
          <w:bCs/>
          <w:color w:val="auto"/>
          <w:sz w:val="24"/>
          <w:szCs w:val="24"/>
        </w:rPr>
      </w:pPr>
      <w:r>
        <w:rPr>
          <w:rFonts w:hint="eastAsia" w:ascii="宋体" w:hAnsi="宋体" w:cs="宋体"/>
          <w:b w:val="0"/>
          <w:bCs/>
          <w:color w:val="auto"/>
          <w:sz w:val="24"/>
          <w:szCs w:val="24"/>
        </w:rPr>
        <w:t>临床试验用医疗器械</w:t>
      </w:r>
      <w:r>
        <w:rPr>
          <w:rFonts w:ascii="宋体" w:hAnsi="宋体" w:cs="宋体"/>
          <w:b w:val="0"/>
          <w:bCs/>
          <w:color w:val="auto"/>
          <w:sz w:val="24"/>
          <w:szCs w:val="24"/>
        </w:rPr>
        <w:t>/</w:t>
      </w:r>
      <w:r>
        <w:rPr>
          <w:rFonts w:hint="eastAsia" w:ascii="宋体" w:hAnsi="宋体" w:cs="宋体"/>
          <w:b w:val="0"/>
          <w:bCs/>
          <w:color w:val="auto"/>
          <w:sz w:val="24"/>
          <w:szCs w:val="24"/>
        </w:rPr>
        <w:t>包装物销毁记录表</w:t>
      </w:r>
    </w:p>
    <w:tbl>
      <w:tblPr>
        <w:tblStyle w:val="2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29"/>
        <w:gridCol w:w="3219"/>
        <w:gridCol w:w="1833"/>
        <w:gridCol w:w="3625"/>
        <w:gridCol w:w="174"/>
        <w:gridCol w:w="1183"/>
        <w:gridCol w:w="70"/>
        <w:gridCol w:w="18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b w:val="0"/>
                <w:bCs/>
                <w:color w:val="auto"/>
                <w:sz w:val="21"/>
                <w:szCs w:val="21"/>
              </w:rPr>
            </w:pPr>
            <w:r>
              <w:rPr>
                <w:rFonts w:hint="eastAsia"/>
                <w:b w:val="0"/>
                <w:bCs/>
                <w:color w:val="auto"/>
                <w:sz w:val="21"/>
                <w:szCs w:val="21"/>
              </w:rPr>
              <w:t>项目名称</w:t>
            </w:r>
          </w:p>
        </w:tc>
        <w:tc>
          <w:tcPr>
            <w:tcW w:w="4127" w:type="pct"/>
            <w:gridSpan w:val="7"/>
            <w:vAlign w:val="center"/>
          </w:tcPr>
          <w:p>
            <w:pPr>
              <w:spacing w:line="360" w:lineRule="auto"/>
              <w:ind w:firstLine="525" w:firstLineChars="250"/>
              <w:jc w:val="center"/>
              <w:rPr>
                <w:b w:val="0"/>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b w:val="0"/>
                <w:bCs/>
                <w:color w:val="auto"/>
                <w:sz w:val="21"/>
                <w:szCs w:val="21"/>
              </w:rPr>
            </w:pPr>
            <w:r>
              <w:rPr>
                <w:rFonts w:hint="eastAsia"/>
                <w:b w:val="0"/>
                <w:bCs/>
                <w:color w:val="auto"/>
                <w:sz w:val="21"/>
                <w:szCs w:val="21"/>
              </w:rPr>
              <w:t>申办方</w:t>
            </w:r>
          </w:p>
        </w:tc>
        <w:tc>
          <w:tcPr>
            <w:tcW w:w="4127" w:type="pct"/>
            <w:gridSpan w:val="7"/>
            <w:vAlign w:val="center"/>
          </w:tcPr>
          <w:p>
            <w:pPr>
              <w:spacing w:line="360" w:lineRule="auto"/>
              <w:jc w:val="center"/>
              <w:rPr>
                <w:b w:val="0"/>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试验用医疗器械名称</w:t>
            </w:r>
          </w:p>
        </w:tc>
        <w:tc>
          <w:tcPr>
            <w:tcW w:w="1110" w:type="pct"/>
            <w:vAlign w:val="center"/>
          </w:tcPr>
          <w:p>
            <w:pPr>
              <w:spacing w:line="360" w:lineRule="auto"/>
              <w:jc w:val="center"/>
              <w:rPr>
                <w:b w:val="0"/>
                <w:bCs/>
                <w:color w:val="auto"/>
                <w:sz w:val="21"/>
                <w:szCs w:val="21"/>
              </w:rPr>
            </w:pPr>
          </w:p>
        </w:tc>
        <w:tc>
          <w:tcPr>
            <w:tcW w:w="6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试验用医疗器械编码</w:t>
            </w:r>
          </w:p>
        </w:tc>
        <w:tc>
          <w:tcPr>
            <w:tcW w:w="131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color w:val="auto"/>
                <w:sz w:val="21"/>
                <w:szCs w:val="21"/>
              </w:rPr>
            </w:pPr>
          </w:p>
        </w:tc>
        <w:tc>
          <w:tcPr>
            <w:tcW w:w="40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批号</w:t>
            </w:r>
          </w:p>
        </w:tc>
        <w:tc>
          <w:tcPr>
            <w:tcW w:w="665" w:type="pct"/>
            <w:gridSpan w:val="2"/>
            <w:vAlign w:val="center"/>
          </w:tcPr>
          <w:p>
            <w:pPr>
              <w:spacing w:line="360" w:lineRule="auto"/>
              <w:jc w:val="center"/>
              <w:rPr>
                <w:b w:val="0"/>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销毁内容</w:t>
            </w:r>
          </w:p>
        </w:tc>
        <w:tc>
          <w:tcPr>
            <w:tcW w:w="1110" w:type="pct"/>
            <w:vAlign w:val="center"/>
          </w:tcPr>
          <w:p>
            <w:pPr>
              <w:spacing w:line="360" w:lineRule="auto"/>
              <w:jc w:val="center"/>
              <w:rPr>
                <w:b w:val="0"/>
                <w:bCs/>
                <w:color w:val="auto"/>
                <w:sz w:val="21"/>
                <w:szCs w:val="21"/>
              </w:rPr>
            </w:pPr>
          </w:p>
        </w:tc>
        <w:tc>
          <w:tcPr>
            <w:tcW w:w="6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销毁数量</w:t>
            </w:r>
          </w:p>
        </w:tc>
        <w:tc>
          <w:tcPr>
            <w:tcW w:w="131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color w:val="auto"/>
                <w:sz w:val="21"/>
                <w:szCs w:val="21"/>
              </w:rPr>
            </w:pPr>
          </w:p>
        </w:tc>
        <w:tc>
          <w:tcPr>
            <w:tcW w:w="40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规格</w:t>
            </w:r>
          </w:p>
        </w:tc>
        <w:tc>
          <w:tcPr>
            <w:tcW w:w="665" w:type="pct"/>
            <w:gridSpan w:val="2"/>
            <w:vAlign w:val="center"/>
          </w:tcPr>
          <w:p>
            <w:pPr>
              <w:spacing w:line="360" w:lineRule="auto"/>
              <w:jc w:val="center"/>
              <w:rPr>
                <w:b w:val="0"/>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医疗器械管理员签字</w:t>
            </w:r>
          </w:p>
        </w:tc>
        <w:tc>
          <w:tcPr>
            <w:tcW w:w="4127" w:type="pct"/>
            <w:gridSpan w:val="7"/>
            <w:vAlign w:val="bottom"/>
          </w:tcPr>
          <w:p>
            <w:pPr>
              <w:spacing w:line="360" w:lineRule="auto"/>
              <w:jc w:val="right"/>
              <w:rPr>
                <w:rFonts w:hint="eastAsia"/>
                <w:b w:val="0"/>
                <w:bCs/>
                <w:color w:val="auto"/>
                <w:sz w:val="21"/>
                <w:szCs w:val="21"/>
              </w:rPr>
            </w:pPr>
            <w:r>
              <w:rPr>
                <w:rFonts w:hint="eastAsia"/>
                <w:b w:val="0"/>
                <w:bCs/>
                <w:color w:val="auto"/>
                <w:sz w:val="21"/>
                <w:szCs w:val="21"/>
              </w:rPr>
              <w:t xml:space="preserve">                                                                签字：               年       月     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机构办公室主任意见</w:t>
            </w:r>
          </w:p>
        </w:tc>
        <w:tc>
          <w:tcPr>
            <w:tcW w:w="4127" w:type="pct"/>
            <w:gridSpan w:val="7"/>
            <w:vAlign w:val="bottom"/>
          </w:tcPr>
          <w:p>
            <w:pPr>
              <w:spacing w:line="360" w:lineRule="auto"/>
              <w:jc w:val="right"/>
              <w:rPr>
                <w:rFonts w:hint="eastAsia"/>
                <w:b w:val="0"/>
                <w:bCs/>
                <w:color w:val="auto"/>
                <w:sz w:val="21"/>
                <w:szCs w:val="21"/>
              </w:rPr>
            </w:pPr>
            <w:r>
              <w:rPr>
                <w:rFonts w:hint="eastAsia"/>
                <w:b w:val="0"/>
                <w:bCs/>
                <w:color w:val="auto"/>
                <w:sz w:val="21"/>
                <w:szCs w:val="21"/>
              </w:rPr>
              <w:t xml:space="preserve">                                                                签字：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5000" w:type="pct"/>
            <w:gridSpan w:val="8"/>
            <w:vAlign w:val="center"/>
          </w:tcPr>
          <w:p>
            <w:pPr>
              <w:spacing w:line="360" w:lineRule="auto"/>
              <w:jc w:val="center"/>
              <w:rPr>
                <w:rFonts w:hint="eastAsia"/>
                <w:b w:val="0"/>
                <w:bCs/>
                <w:color w:val="auto"/>
                <w:sz w:val="21"/>
                <w:szCs w:val="21"/>
              </w:rPr>
            </w:pPr>
            <w:r>
              <w:rPr>
                <w:rFonts w:hint="eastAsia"/>
                <w:b w:val="0"/>
                <w:bCs/>
                <w:color w:val="auto"/>
                <w:sz w:val="21"/>
                <w:szCs w:val="21"/>
              </w:rPr>
              <w:t>执行情况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销毁日期</w:t>
            </w:r>
          </w:p>
        </w:tc>
        <w:tc>
          <w:tcPr>
            <w:tcW w:w="1110" w:type="pct"/>
            <w:vAlign w:val="top"/>
          </w:tcPr>
          <w:p>
            <w:pPr>
              <w:spacing w:line="360" w:lineRule="auto"/>
              <w:jc w:val="left"/>
              <w:rPr>
                <w:b w:val="0"/>
                <w:bCs/>
                <w:color w:val="auto"/>
                <w:sz w:val="21"/>
                <w:szCs w:val="21"/>
              </w:rPr>
            </w:pPr>
          </w:p>
        </w:tc>
        <w:tc>
          <w:tcPr>
            <w:tcW w:w="6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销毁地点</w:t>
            </w:r>
          </w:p>
        </w:tc>
        <w:tc>
          <w:tcPr>
            <w:tcW w:w="1250" w:type="pct"/>
            <w:vAlign w:val="top"/>
          </w:tcPr>
          <w:p>
            <w:pPr>
              <w:spacing w:line="360" w:lineRule="auto"/>
              <w:jc w:val="left"/>
              <w:rPr>
                <w:b w:val="0"/>
                <w:bCs/>
                <w:color w:val="auto"/>
                <w:sz w:val="21"/>
                <w:szCs w:val="21"/>
              </w:rPr>
            </w:pPr>
          </w:p>
        </w:tc>
        <w:tc>
          <w:tcPr>
            <w:tcW w:w="492"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b w:val="0"/>
                <w:bCs/>
                <w:color w:val="auto"/>
                <w:sz w:val="21"/>
                <w:szCs w:val="21"/>
                <w:lang w:val="en-US" w:eastAsia="zh-CN"/>
              </w:rPr>
            </w:pPr>
            <w:r>
              <w:rPr>
                <w:rFonts w:hint="eastAsia"/>
                <w:b w:val="0"/>
                <w:bCs/>
                <w:color w:val="auto"/>
                <w:sz w:val="21"/>
                <w:szCs w:val="21"/>
                <w:lang w:val="en-US" w:eastAsia="zh-CN"/>
              </w:rPr>
              <w:t>销毁方式</w:t>
            </w:r>
          </w:p>
        </w:tc>
        <w:tc>
          <w:tcPr>
            <w:tcW w:w="642" w:type="pct"/>
            <w:vAlign w:val="top"/>
          </w:tcPr>
          <w:p>
            <w:pPr>
              <w:spacing w:line="360" w:lineRule="auto"/>
              <w:jc w:val="left"/>
              <w:rPr>
                <w:b w:val="0"/>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销毁执行人签字</w:t>
            </w:r>
          </w:p>
        </w:tc>
        <w:tc>
          <w:tcPr>
            <w:tcW w:w="4127" w:type="pct"/>
            <w:gridSpan w:val="7"/>
            <w:vAlign w:val="top"/>
          </w:tcPr>
          <w:p>
            <w:pPr>
              <w:spacing w:line="360" w:lineRule="auto"/>
              <w:jc w:val="left"/>
              <w:rPr>
                <w:rFonts w:hint="eastAsia"/>
                <w:b w:val="0"/>
                <w:bCs/>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 xml:space="preserve">                                                                 签字：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销毁监督人签字</w:t>
            </w:r>
          </w:p>
        </w:tc>
        <w:tc>
          <w:tcPr>
            <w:tcW w:w="4127" w:type="pct"/>
            <w:gridSpan w:val="7"/>
            <w:vAlign w:val="top"/>
          </w:tcPr>
          <w:p>
            <w:pPr>
              <w:spacing w:line="360" w:lineRule="auto"/>
              <w:jc w:val="left"/>
              <w:rPr>
                <w:rFonts w:hint="eastAsia"/>
                <w:b w:val="0"/>
                <w:bCs/>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 xml:space="preserve">                                                                 签字：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rPr>
            </w:pPr>
            <w:r>
              <w:rPr>
                <w:rFonts w:hint="eastAsia"/>
                <w:b w:val="0"/>
                <w:bCs/>
                <w:color w:val="auto"/>
                <w:sz w:val="21"/>
                <w:szCs w:val="21"/>
              </w:rPr>
              <w:t>备注</w:t>
            </w:r>
          </w:p>
        </w:tc>
        <w:tc>
          <w:tcPr>
            <w:tcW w:w="4127" w:type="pct"/>
            <w:gridSpan w:val="7"/>
            <w:vAlign w:val="top"/>
          </w:tcPr>
          <w:p>
            <w:pPr>
              <w:spacing w:line="360" w:lineRule="auto"/>
              <w:jc w:val="left"/>
              <w:rPr>
                <w:rFonts w:hint="eastAsia"/>
                <w:b w:val="0"/>
                <w:bCs/>
                <w:color w:val="auto"/>
                <w:sz w:val="21"/>
                <w:szCs w:val="21"/>
              </w:rPr>
            </w:pPr>
          </w:p>
        </w:tc>
      </w:tr>
    </w:tbl>
    <w:p>
      <w:pPr>
        <w:spacing w:line="360" w:lineRule="auto"/>
        <w:jc w:val="left"/>
        <w:rPr>
          <w:rFonts w:hint="eastAsia"/>
          <w:b w:val="0"/>
          <w:bCs/>
          <w:color w:val="auto"/>
          <w:szCs w:val="21"/>
          <w:lang w:val="en-US" w:eastAsia="zh-CN"/>
        </w:rPr>
        <w:sectPr>
          <w:headerReference r:id="rId120" w:type="default"/>
          <w:footerReference r:id="rId121" w:type="default"/>
          <w:pgSz w:w="16840" w:h="11907" w:orient="landscape"/>
          <w:pgMar w:top="1418" w:right="1134" w:bottom="1134" w:left="1418" w:header="0" w:footer="992" w:gutter="0"/>
          <w:pgNumType w:fmt="decimal"/>
          <w:cols w:space="720" w:num="1"/>
          <w:docGrid w:linePitch="312" w:charSpace="0"/>
        </w:sectPr>
      </w:pPr>
      <w:r>
        <w:rPr>
          <w:rFonts w:hint="eastAsia"/>
          <w:b w:val="0"/>
          <w:bCs/>
          <w:color w:val="auto"/>
          <w:szCs w:val="21"/>
        </w:rPr>
        <w:t>备注：“销毁内容”一栏必须写明具体内容，例如医疗器械、外包装盒、说明书、内包装盒等。如同时销毁同一医疗器械的多样包装物，必须分行填</w:t>
      </w:r>
      <w:r>
        <w:rPr>
          <w:rFonts w:hint="eastAsia"/>
          <w:b w:val="0"/>
          <w:bCs/>
          <w:color w:val="auto"/>
          <w:szCs w:val="21"/>
          <w:lang w:val="en-US" w:eastAsia="zh-CN"/>
        </w:rPr>
        <w:t>写。</w:t>
      </w:r>
    </w:p>
    <w:p>
      <w:pPr>
        <w:spacing w:line="360" w:lineRule="auto"/>
        <w:jc w:val="left"/>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附件13：YYH-SOP-CTC-012-3.1-A13临床试验用医疗器械维护保养登记表</w:t>
      </w:r>
    </w:p>
    <w:p>
      <w:pPr>
        <w:spacing w:line="360" w:lineRule="auto"/>
        <w:jc w:val="center"/>
        <w:rPr>
          <w:rFonts w:hint="eastAsia"/>
          <w:b w:val="0"/>
          <w:bCs/>
          <w:color w:val="auto"/>
          <w:vertAlign w:val="baseline"/>
          <w:lang w:val="en-US" w:eastAsia="zh-CN"/>
        </w:rPr>
      </w:pPr>
      <w:r>
        <w:rPr>
          <w:rFonts w:hint="eastAsia" w:ascii="宋体" w:hAnsi="宋体" w:eastAsia="宋体" w:cs="宋体"/>
          <w:b w:val="0"/>
          <w:bCs/>
          <w:color w:val="auto"/>
          <w:sz w:val="24"/>
          <w:szCs w:val="24"/>
          <w:lang w:val="en-US" w:eastAsia="zh-CN"/>
        </w:rPr>
        <w:t>临床试验用医疗器械维护保养登记表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3"/>
        <w:gridCol w:w="1813"/>
        <w:gridCol w:w="1813"/>
        <w:gridCol w:w="1949"/>
        <w:gridCol w:w="1674"/>
        <w:gridCol w:w="1813"/>
        <w:gridCol w:w="1813"/>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r>
              <w:rPr>
                <w:rFonts w:hint="eastAsia"/>
                <w:b w:val="0"/>
                <w:bCs/>
                <w:color w:val="auto"/>
                <w:vertAlign w:val="baseline"/>
                <w:lang w:val="en-US" w:eastAsia="zh-CN"/>
              </w:rPr>
              <w:t>项目名称</w:t>
            </w:r>
          </w:p>
        </w:tc>
        <w:tc>
          <w:tcPr>
            <w:tcW w:w="4375" w:type="pct"/>
            <w:gridSpan w:val="7"/>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r>
              <w:rPr>
                <w:rFonts w:hint="eastAsia"/>
                <w:b w:val="0"/>
                <w:bCs/>
                <w:color w:val="auto"/>
                <w:vertAlign w:val="baseline"/>
                <w:lang w:val="en-US" w:eastAsia="zh-CN"/>
              </w:rPr>
              <w:t>申办者</w:t>
            </w:r>
          </w:p>
        </w:tc>
        <w:tc>
          <w:tcPr>
            <w:tcW w:w="1922" w:type="pct"/>
            <w:gridSpan w:val="3"/>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577"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r>
              <w:rPr>
                <w:rFonts w:hint="eastAsia"/>
                <w:b w:val="0"/>
                <w:bCs/>
                <w:color w:val="auto"/>
                <w:vertAlign w:val="baseline"/>
                <w:lang w:val="en-US" w:eastAsia="zh-CN"/>
              </w:rPr>
              <w:t>CRO</w:t>
            </w:r>
          </w:p>
        </w:tc>
        <w:tc>
          <w:tcPr>
            <w:tcW w:w="1875" w:type="pct"/>
            <w:gridSpan w:val="3"/>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r>
              <w:rPr>
                <w:rFonts w:hint="eastAsia"/>
                <w:b w:val="0"/>
                <w:bCs/>
                <w:color w:val="auto"/>
                <w:vertAlign w:val="baseline"/>
                <w:lang w:val="en-US" w:eastAsia="zh-CN"/>
              </w:rPr>
              <w:t>主要研究者</w:t>
            </w:r>
          </w:p>
        </w:tc>
        <w:tc>
          <w:tcPr>
            <w:tcW w:w="1250" w:type="pct"/>
            <w:gridSpan w:val="2"/>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7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color w:val="auto"/>
                <w:vertAlign w:val="baseline"/>
                <w:lang w:val="en-US" w:eastAsia="zh-CN"/>
              </w:rPr>
            </w:pPr>
            <w:r>
              <w:rPr>
                <w:rFonts w:hint="eastAsia"/>
                <w:b w:val="0"/>
                <w:bCs/>
                <w:color w:val="auto"/>
                <w:vertAlign w:val="baseline"/>
                <w:lang w:val="en-US" w:eastAsia="zh-CN"/>
              </w:rPr>
              <w:t>试验医疗器械名称</w:t>
            </w:r>
          </w:p>
        </w:tc>
        <w:tc>
          <w:tcPr>
            <w:tcW w:w="2452" w:type="pct"/>
            <w:gridSpan w:val="4"/>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r>
              <w:rPr>
                <w:rFonts w:hint="eastAsia"/>
                <w:b w:val="0"/>
                <w:bCs/>
                <w:color w:val="auto"/>
                <w:vertAlign w:val="baseline"/>
                <w:lang w:val="en-US" w:eastAsia="zh-CN"/>
              </w:rPr>
              <w:t>存放位置</w:t>
            </w:r>
          </w:p>
        </w:tc>
        <w:tc>
          <w:tcPr>
            <w:tcW w:w="1250" w:type="pct"/>
            <w:gridSpan w:val="2"/>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7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color w:val="auto"/>
                <w:vertAlign w:val="baseline"/>
                <w:lang w:val="en-US" w:eastAsia="zh-CN"/>
              </w:rPr>
            </w:pPr>
            <w:r>
              <w:rPr>
                <w:rFonts w:hint="eastAsia"/>
                <w:b w:val="0"/>
                <w:bCs/>
                <w:color w:val="auto"/>
                <w:vertAlign w:val="baseline"/>
                <w:lang w:val="en-US" w:eastAsia="zh-CN"/>
              </w:rPr>
              <w:t>存放条件</w:t>
            </w:r>
          </w:p>
        </w:tc>
        <w:tc>
          <w:tcPr>
            <w:tcW w:w="2452" w:type="pct"/>
            <w:gridSpan w:val="4"/>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val="0"/>
                <w:bCs/>
                <w:color w:val="auto"/>
                <w:kern w:val="2"/>
                <w:sz w:val="21"/>
                <w:szCs w:val="22"/>
                <w:vertAlign w:val="baseline"/>
                <w:lang w:val="en-US" w:eastAsia="zh-CN" w:bidi="ar-SA"/>
              </w:rPr>
            </w:pPr>
            <w:r>
              <w:rPr>
                <w:rFonts w:hint="eastAsia"/>
                <w:b w:val="0"/>
                <w:bCs/>
                <w:color w:val="auto"/>
                <w:vertAlign w:val="baseline"/>
                <w:lang w:val="en-US" w:eastAsia="zh-CN"/>
              </w:rPr>
              <w:t>日期/时间</w:t>
            </w:r>
          </w:p>
        </w:tc>
        <w:tc>
          <w:tcPr>
            <w:tcW w:w="62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color w:val="auto"/>
                <w:vertAlign w:val="baseline"/>
                <w:lang w:val="en-US" w:eastAsia="zh-CN"/>
              </w:rPr>
            </w:pPr>
            <w:r>
              <w:rPr>
                <w:rFonts w:hint="eastAsia"/>
                <w:b w:val="0"/>
                <w:bCs/>
                <w:color w:val="auto"/>
                <w:vertAlign w:val="baseline"/>
                <w:lang w:val="en-US" w:eastAsia="zh-CN"/>
              </w:rPr>
              <w:t>医疗器械名称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val="0"/>
                <w:bCs/>
                <w:color w:val="auto"/>
                <w:kern w:val="2"/>
                <w:sz w:val="21"/>
                <w:szCs w:val="22"/>
                <w:vertAlign w:val="baseline"/>
                <w:lang w:val="en-US" w:eastAsia="zh-CN" w:bidi="ar-SA"/>
              </w:rPr>
            </w:pPr>
            <w:r>
              <w:rPr>
                <w:rFonts w:hint="eastAsia"/>
                <w:b w:val="0"/>
                <w:bCs/>
                <w:color w:val="auto"/>
                <w:vertAlign w:val="baseline"/>
                <w:lang w:val="en-US" w:eastAsia="zh-CN"/>
              </w:rPr>
              <w:t>和序列号</w:t>
            </w:r>
          </w:p>
        </w:tc>
        <w:tc>
          <w:tcPr>
            <w:tcW w:w="62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val="0"/>
                <w:bCs/>
                <w:color w:val="auto"/>
                <w:kern w:val="2"/>
                <w:sz w:val="21"/>
                <w:szCs w:val="22"/>
                <w:vertAlign w:val="baseline"/>
                <w:lang w:val="en-US" w:eastAsia="zh-CN" w:bidi="ar-SA"/>
              </w:rPr>
            </w:pPr>
            <w:r>
              <w:rPr>
                <w:rFonts w:hint="eastAsia"/>
                <w:b w:val="0"/>
                <w:bCs/>
                <w:color w:val="auto"/>
                <w:vertAlign w:val="baseline"/>
                <w:lang w:val="en-US" w:eastAsia="zh-CN"/>
              </w:rPr>
              <w:t>规格型号</w:t>
            </w:r>
          </w:p>
        </w:tc>
        <w:tc>
          <w:tcPr>
            <w:tcW w:w="67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val="0"/>
                <w:bCs/>
                <w:color w:val="auto"/>
                <w:kern w:val="2"/>
                <w:sz w:val="21"/>
                <w:szCs w:val="22"/>
                <w:vertAlign w:val="baseline"/>
                <w:lang w:val="en-US" w:eastAsia="zh-CN" w:bidi="ar-SA"/>
              </w:rPr>
            </w:pPr>
            <w:r>
              <w:rPr>
                <w:rFonts w:hint="eastAsia"/>
                <w:b w:val="0"/>
                <w:bCs/>
                <w:color w:val="auto"/>
                <w:vertAlign w:val="baseline"/>
                <w:lang w:val="en-US" w:eastAsia="zh-CN"/>
              </w:rPr>
              <w:t>医疗器械状态</w:t>
            </w:r>
          </w:p>
        </w:tc>
        <w:tc>
          <w:tcPr>
            <w:tcW w:w="57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val="0"/>
                <w:bCs/>
                <w:color w:val="auto"/>
                <w:kern w:val="2"/>
                <w:sz w:val="21"/>
                <w:szCs w:val="22"/>
                <w:vertAlign w:val="baseline"/>
                <w:lang w:val="en-US" w:eastAsia="zh-CN" w:bidi="ar-SA"/>
              </w:rPr>
            </w:pPr>
            <w:r>
              <w:rPr>
                <w:rFonts w:hint="eastAsia"/>
                <w:b w:val="0"/>
                <w:bCs/>
                <w:color w:val="auto"/>
                <w:vertAlign w:val="baseline"/>
                <w:lang w:val="en-US" w:eastAsia="zh-CN"/>
              </w:rPr>
              <w:t>维护保养内容</w:t>
            </w:r>
          </w:p>
        </w:tc>
        <w:tc>
          <w:tcPr>
            <w:tcW w:w="62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val="0"/>
                <w:bCs/>
                <w:color w:val="auto"/>
                <w:kern w:val="2"/>
                <w:sz w:val="21"/>
                <w:szCs w:val="22"/>
                <w:vertAlign w:val="baseline"/>
                <w:lang w:val="en-US" w:eastAsia="zh-CN" w:bidi="ar-SA"/>
              </w:rPr>
            </w:pPr>
            <w:r>
              <w:rPr>
                <w:rFonts w:hint="eastAsia"/>
                <w:b w:val="0"/>
                <w:bCs/>
                <w:color w:val="auto"/>
                <w:vertAlign w:val="baseline"/>
                <w:lang w:val="en-US" w:eastAsia="zh-CN"/>
              </w:rPr>
              <w:t>维护保养人员</w:t>
            </w:r>
          </w:p>
        </w:tc>
        <w:tc>
          <w:tcPr>
            <w:tcW w:w="62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val="0"/>
                <w:bCs/>
                <w:color w:val="auto"/>
                <w:kern w:val="2"/>
                <w:sz w:val="21"/>
                <w:szCs w:val="22"/>
                <w:vertAlign w:val="baseline"/>
                <w:lang w:val="en-US" w:eastAsia="zh-CN" w:bidi="ar-SA"/>
              </w:rPr>
            </w:pPr>
            <w:r>
              <w:rPr>
                <w:rFonts w:hint="eastAsia"/>
                <w:b w:val="0"/>
                <w:bCs/>
                <w:color w:val="auto"/>
                <w:vertAlign w:val="baseline"/>
                <w:lang w:val="en-US" w:eastAsia="zh-CN"/>
              </w:rPr>
              <w:t>医疗器械管理员签名</w:t>
            </w:r>
          </w:p>
        </w:tc>
        <w:tc>
          <w:tcPr>
            <w:tcW w:w="62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 w:val="0"/>
                <w:bCs/>
                <w:color w:val="auto"/>
                <w:kern w:val="2"/>
                <w:sz w:val="21"/>
                <w:szCs w:val="22"/>
                <w:vertAlign w:val="baseline"/>
                <w:lang w:val="en-US" w:eastAsia="zh-CN" w:bidi="ar-SA"/>
              </w:rPr>
            </w:pPr>
            <w:r>
              <w:rPr>
                <w:rFonts w:hint="eastAsia"/>
                <w:b w:val="0"/>
                <w:bCs/>
                <w:color w:val="auto"/>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72"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577"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72"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577"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72"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577"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72"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577"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72"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577"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72"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577"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72"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577"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72"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577"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72"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577"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72"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577"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72"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577"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72"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577"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c>
          <w:tcPr>
            <w:tcW w:w="625" w:type="pct"/>
            <w:vAlign w:val="center"/>
          </w:tcPr>
          <w:p>
            <w:pPr>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val="0"/>
                <w:bCs/>
                <w:color w:val="auto"/>
                <w:vertAlign w:val="baseline"/>
                <w:lang w:val="en-US" w:eastAsia="zh-CN"/>
              </w:rPr>
            </w:pPr>
          </w:p>
        </w:tc>
      </w:tr>
    </w:tbl>
    <w:p>
      <w:pPr>
        <w:rPr>
          <w:rFonts w:hint="eastAsia"/>
          <w:b w:val="0"/>
          <w:bCs/>
          <w:color w:val="auto"/>
          <w:lang w:val="en-US" w:eastAsia="zh-CN"/>
        </w:rPr>
      </w:pPr>
    </w:p>
    <w:p>
      <w:pPr>
        <w:rPr>
          <w:rFonts w:hint="eastAsia"/>
          <w:b w:val="0"/>
          <w:bCs/>
          <w:color w:val="auto"/>
          <w:szCs w:val="21"/>
          <w:lang w:val="en-US" w:eastAsia="zh-CN"/>
        </w:rPr>
      </w:pPr>
      <w:r>
        <w:rPr>
          <w:rFonts w:hint="eastAsia"/>
          <w:b w:val="0"/>
          <w:bCs/>
          <w:color w:val="auto"/>
          <w:szCs w:val="21"/>
          <w:lang w:val="en-US" w:eastAsia="zh-CN"/>
        </w:rPr>
        <w:br w:type="page"/>
      </w:r>
    </w:p>
    <w:p>
      <w:pPr>
        <w:pStyle w:val="33"/>
        <w:rPr>
          <w:rFonts w:hint="eastAsia"/>
          <w:b w:val="0"/>
          <w:bCs/>
          <w:color w:val="auto"/>
          <w:lang w:val="en-US" w:eastAsia="zh-CN"/>
        </w:rPr>
        <w:sectPr>
          <w:pgSz w:w="16840" w:h="11907" w:orient="landscape"/>
          <w:pgMar w:top="1418" w:right="1134" w:bottom="1134" w:left="1418" w:header="0" w:footer="992" w:gutter="0"/>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color w:val="auto"/>
          <w:sz w:val="24"/>
          <w:szCs w:val="24"/>
          <w:lang w:val="en-US" w:eastAsia="zh-CN"/>
        </w:rPr>
      </w:pPr>
      <w:r>
        <w:rPr>
          <w:rFonts w:hint="eastAsia" w:ascii="黑体" w:hAnsi="黑体" w:eastAsia="黑体" w:cs="黑体"/>
          <w:b w:val="0"/>
          <w:bCs/>
          <w:color w:val="auto"/>
          <w:sz w:val="24"/>
          <w:szCs w:val="24"/>
          <w:lang w:val="en-US" w:eastAsia="zh-CN"/>
        </w:rPr>
        <w:t>修订记录</w:t>
      </w:r>
    </w:p>
    <w:tbl>
      <w:tblPr>
        <w:tblStyle w:val="28"/>
        <w:tblW w:w="94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906"/>
        <w:gridCol w:w="915"/>
        <w:gridCol w:w="3072"/>
        <w:gridCol w:w="2715"/>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36" w:type="dxa"/>
            <w:vAlign w:val="center"/>
          </w:tcPr>
          <w:p>
            <w:pPr>
              <w:rPr>
                <w:rFonts w:hint="eastAsia" w:ascii="宋体" w:hAnsi="宋体" w:eastAsia="宋体" w:cs="宋体"/>
                <w:b w:val="0"/>
                <w:bCs/>
                <w:color w:val="auto"/>
              </w:rPr>
            </w:pPr>
            <w:r>
              <w:rPr>
                <w:rFonts w:hint="eastAsia" w:ascii="宋体" w:hAnsi="宋体" w:eastAsia="宋体" w:cs="宋体"/>
                <w:b w:val="0"/>
                <w:bCs/>
                <w:color w:val="auto"/>
                <w:lang w:val="en-US" w:eastAsia="zh-CN"/>
              </w:rPr>
              <w:t>序</w:t>
            </w:r>
            <w:r>
              <w:rPr>
                <w:rFonts w:hint="eastAsia" w:ascii="宋体" w:hAnsi="宋体" w:eastAsia="宋体" w:cs="宋体"/>
                <w:b w:val="0"/>
                <w:bCs/>
                <w:color w:val="auto"/>
              </w:rPr>
              <w:t>号</w:t>
            </w:r>
          </w:p>
        </w:tc>
        <w:tc>
          <w:tcPr>
            <w:tcW w:w="906" w:type="dxa"/>
            <w:vAlign w:val="center"/>
          </w:tcPr>
          <w:p>
            <w:pPr>
              <w:rPr>
                <w:rFonts w:hint="eastAsia" w:ascii="宋体" w:hAnsi="宋体" w:eastAsia="宋体" w:cs="宋体"/>
                <w:b w:val="0"/>
                <w:bCs/>
                <w:color w:val="auto"/>
                <w:lang w:val="en-US" w:eastAsia="zh-CN"/>
              </w:rPr>
            </w:pPr>
            <w:r>
              <w:rPr>
                <w:rFonts w:hint="eastAsia" w:ascii="宋体" w:hAnsi="宋体" w:eastAsia="宋体" w:cs="宋体"/>
                <w:b w:val="0"/>
                <w:bCs/>
                <w:color w:val="auto"/>
                <w:lang w:val="en-US" w:eastAsia="zh-CN"/>
              </w:rPr>
              <w:t>修订前版本号</w:t>
            </w:r>
          </w:p>
        </w:tc>
        <w:tc>
          <w:tcPr>
            <w:tcW w:w="915" w:type="dxa"/>
            <w:vAlign w:val="center"/>
          </w:tcPr>
          <w:p>
            <w:pPr>
              <w:rPr>
                <w:rFonts w:hint="eastAsia" w:ascii="宋体" w:hAnsi="宋体" w:eastAsia="宋体" w:cs="宋体"/>
                <w:b w:val="0"/>
                <w:bCs/>
                <w:color w:val="auto"/>
                <w:lang w:val="en-US" w:eastAsia="zh-CN"/>
              </w:rPr>
            </w:pPr>
            <w:r>
              <w:rPr>
                <w:rFonts w:hint="eastAsia" w:ascii="宋体" w:hAnsi="宋体" w:eastAsia="宋体" w:cs="宋体"/>
                <w:b w:val="0"/>
                <w:bCs/>
                <w:color w:val="auto"/>
                <w:lang w:val="en-US" w:eastAsia="zh-CN"/>
              </w:rPr>
              <w:t>修订后版本号</w:t>
            </w:r>
          </w:p>
        </w:tc>
        <w:tc>
          <w:tcPr>
            <w:tcW w:w="3072" w:type="dxa"/>
            <w:vAlign w:val="center"/>
          </w:tcPr>
          <w:p>
            <w:pPr>
              <w:jc w:val="center"/>
              <w:rPr>
                <w:rFonts w:hint="eastAsia" w:ascii="宋体" w:hAnsi="宋体" w:eastAsia="宋体" w:cs="宋体"/>
                <w:b w:val="0"/>
                <w:bCs/>
                <w:color w:val="auto"/>
              </w:rPr>
            </w:pPr>
            <w:r>
              <w:rPr>
                <w:rFonts w:hint="eastAsia" w:ascii="宋体" w:hAnsi="宋体" w:eastAsia="宋体" w:cs="宋体"/>
                <w:b w:val="0"/>
                <w:bCs/>
                <w:color w:val="auto"/>
              </w:rPr>
              <w:t>修订原因、依据</w:t>
            </w:r>
          </w:p>
        </w:tc>
        <w:tc>
          <w:tcPr>
            <w:tcW w:w="2715" w:type="dxa"/>
            <w:vAlign w:val="center"/>
          </w:tcPr>
          <w:p>
            <w:pPr>
              <w:jc w:val="center"/>
              <w:rPr>
                <w:rFonts w:hint="eastAsia" w:ascii="宋体" w:hAnsi="宋体" w:eastAsia="宋体" w:cs="宋体"/>
                <w:b w:val="0"/>
                <w:bCs/>
                <w:color w:val="auto"/>
              </w:rPr>
            </w:pPr>
            <w:r>
              <w:rPr>
                <w:rFonts w:hint="eastAsia" w:ascii="宋体" w:hAnsi="宋体" w:eastAsia="宋体" w:cs="宋体"/>
                <w:b w:val="0"/>
                <w:bCs/>
                <w:color w:val="auto"/>
              </w:rPr>
              <w:t>修订内容</w:t>
            </w:r>
          </w:p>
        </w:tc>
        <w:tc>
          <w:tcPr>
            <w:tcW w:w="1217" w:type="dxa"/>
            <w:vAlign w:val="center"/>
          </w:tcPr>
          <w:p>
            <w:pPr>
              <w:rPr>
                <w:rFonts w:hint="eastAsia" w:ascii="宋体" w:hAnsi="宋体" w:eastAsia="宋体" w:cs="宋体"/>
                <w:b w:val="0"/>
                <w:bCs/>
                <w:color w:val="auto"/>
                <w:lang w:val="en-US" w:eastAsia="zh-CN"/>
              </w:rPr>
            </w:pPr>
            <w:r>
              <w:rPr>
                <w:rFonts w:hint="eastAsia" w:ascii="宋体" w:hAnsi="宋体" w:eastAsia="宋体" w:cs="宋体"/>
                <w:b w:val="0"/>
                <w:bCs/>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8" w:hRule="atLeast"/>
          <w:jc w:val="center"/>
        </w:trPr>
        <w:tc>
          <w:tcPr>
            <w:tcW w:w="636" w:type="dxa"/>
            <w:vAlign w:val="center"/>
          </w:tcPr>
          <w:p>
            <w:pPr>
              <w:jc w:val="center"/>
              <w:rPr>
                <w:rFonts w:hint="eastAsia" w:ascii="宋体" w:hAnsi="宋体" w:eastAsia="宋体" w:cs="宋体"/>
                <w:b w:val="0"/>
                <w:bCs/>
                <w:color w:val="auto"/>
                <w:lang w:val="en-US" w:eastAsia="zh-CN"/>
              </w:rPr>
            </w:pPr>
            <w:r>
              <w:rPr>
                <w:rFonts w:hint="eastAsia" w:ascii="宋体" w:hAnsi="宋体" w:eastAsia="宋体" w:cs="宋体"/>
                <w:b w:val="0"/>
                <w:bCs/>
                <w:color w:val="auto"/>
                <w:lang w:val="en-US" w:eastAsia="zh-CN"/>
              </w:rPr>
              <w:t>1</w:t>
            </w:r>
          </w:p>
        </w:tc>
        <w:tc>
          <w:tcPr>
            <w:tcW w:w="906" w:type="dxa"/>
            <w:vAlign w:val="center"/>
          </w:tcPr>
          <w:p>
            <w:pPr>
              <w:jc w:val="center"/>
              <w:rPr>
                <w:rFonts w:hint="eastAsia" w:ascii="宋体" w:hAnsi="宋体" w:eastAsia="宋体" w:cs="宋体"/>
                <w:b w:val="0"/>
                <w:bCs/>
                <w:color w:val="auto"/>
                <w:lang w:val="en-US" w:eastAsia="zh-CN"/>
              </w:rPr>
            </w:pPr>
            <w:r>
              <w:rPr>
                <w:rFonts w:hint="eastAsia" w:ascii="宋体" w:hAnsi="宋体" w:eastAsia="宋体" w:cs="宋体"/>
                <w:b w:val="0"/>
                <w:bCs/>
                <w:color w:val="auto"/>
                <w:lang w:val="en-US" w:eastAsia="zh-CN"/>
              </w:rPr>
              <w:t>3.0</w:t>
            </w:r>
          </w:p>
        </w:tc>
        <w:tc>
          <w:tcPr>
            <w:tcW w:w="915" w:type="dxa"/>
            <w:vAlign w:val="center"/>
          </w:tcPr>
          <w:p>
            <w:pPr>
              <w:jc w:val="center"/>
              <w:rPr>
                <w:rFonts w:hint="eastAsia" w:ascii="宋体" w:hAnsi="宋体" w:eastAsia="宋体" w:cs="宋体"/>
                <w:b w:val="0"/>
                <w:bCs/>
                <w:color w:val="auto"/>
                <w:lang w:val="en-US" w:eastAsia="zh-CN"/>
              </w:rPr>
            </w:pPr>
            <w:r>
              <w:rPr>
                <w:rFonts w:hint="eastAsia" w:ascii="宋体" w:hAnsi="宋体" w:eastAsia="宋体" w:cs="宋体"/>
                <w:b w:val="0"/>
                <w:bCs/>
                <w:color w:val="auto"/>
                <w:lang w:val="en-US" w:eastAsia="zh-CN"/>
              </w:rPr>
              <w:t>3.1</w:t>
            </w:r>
          </w:p>
        </w:tc>
        <w:tc>
          <w:tcPr>
            <w:tcW w:w="3072" w:type="dxa"/>
            <w:vAlign w:val="center"/>
          </w:tcPr>
          <w:p>
            <w:pPr>
              <w:rPr>
                <w:rFonts w:hint="default" w:ascii="宋体" w:hAnsi="宋体" w:eastAsia="宋体" w:cs="宋体"/>
                <w:b w:val="0"/>
                <w:bCs/>
                <w:color w:val="auto"/>
                <w:lang w:val="en-US" w:eastAsia="zh-CN"/>
              </w:rPr>
            </w:pPr>
            <w:r>
              <w:rPr>
                <w:rFonts w:hint="eastAsia" w:ascii="宋体" w:hAnsi="宋体" w:eastAsia="宋体" w:cs="宋体"/>
                <w:b w:val="0"/>
                <w:bCs/>
                <w:color w:val="auto"/>
                <w:lang w:val="en-US" w:eastAsia="zh-CN"/>
              </w:rPr>
              <w:t>1.根据现行版GCP和工作需要，修订SOP。</w:t>
            </w:r>
          </w:p>
          <w:p>
            <w:pPr>
              <w:rPr>
                <w:rFonts w:hint="eastAsia" w:ascii="宋体" w:hAnsi="宋体" w:eastAsia="宋体" w:cs="宋体"/>
                <w:b w:val="0"/>
                <w:bCs/>
                <w:color w:val="auto"/>
                <w:lang w:val="en-US" w:eastAsia="zh-CN"/>
              </w:rPr>
            </w:pPr>
            <w:r>
              <w:rPr>
                <w:rFonts w:hint="eastAsia" w:ascii="宋体" w:hAnsi="宋体" w:eastAsia="宋体" w:cs="宋体"/>
                <w:b w:val="0"/>
                <w:bCs/>
                <w:color w:val="auto"/>
                <w:lang w:val="en-US" w:eastAsia="zh-CN"/>
              </w:rPr>
              <w:t>2.为确保制度的严谨性，增加参考文献。</w:t>
            </w:r>
          </w:p>
        </w:tc>
        <w:tc>
          <w:tcPr>
            <w:tcW w:w="2715" w:type="dxa"/>
            <w:vAlign w:val="center"/>
          </w:tcPr>
          <w:p>
            <w:pPr>
              <w:rPr>
                <w:rFonts w:hint="default" w:ascii="宋体" w:hAnsi="宋体" w:eastAsia="宋体" w:cs="宋体"/>
                <w:b w:val="0"/>
                <w:bCs/>
                <w:color w:val="auto"/>
                <w:lang w:val="en-US" w:eastAsia="zh-CN"/>
              </w:rPr>
            </w:pPr>
            <w:r>
              <w:rPr>
                <w:rFonts w:hint="eastAsia" w:ascii="宋体" w:hAnsi="宋体" w:eastAsia="宋体" w:cs="宋体"/>
                <w:b w:val="0"/>
                <w:bCs/>
                <w:color w:val="auto"/>
                <w:lang w:val="en-US" w:eastAsia="zh-CN"/>
              </w:rPr>
              <w:t>1.修订医疗器械接收、维护和保养相关内容，新增附表《临床试验用医疗器械维护保养登记表》。</w:t>
            </w:r>
          </w:p>
          <w:p>
            <w:pPr>
              <w:rPr>
                <w:rFonts w:hint="eastAsia" w:ascii="宋体" w:hAnsi="宋体" w:eastAsia="宋体" w:cs="宋体"/>
                <w:b w:val="0"/>
                <w:bCs/>
                <w:color w:val="auto"/>
                <w:lang w:val="en-US" w:eastAsia="zh-CN"/>
              </w:rPr>
            </w:pPr>
            <w:r>
              <w:rPr>
                <w:rFonts w:hint="eastAsia" w:ascii="宋体" w:hAnsi="宋体" w:eastAsia="宋体" w:cs="宋体"/>
                <w:b w:val="0"/>
                <w:bCs/>
                <w:color w:val="auto"/>
                <w:lang w:val="en-US" w:eastAsia="zh-CN"/>
              </w:rPr>
              <w:t>2.新增参考文献。</w:t>
            </w:r>
          </w:p>
        </w:tc>
        <w:tc>
          <w:tcPr>
            <w:tcW w:w="1217" w:type="dxa"/>
            <w:vAlign w:val="center"/>
          </w:tcPr>
          <w:p>
            <w:pPr>
              <w:rPr>
                <w:rFonts w:hint="eastAsia" w:ascii="宋体" w:hAnsi="宋体" w:eastAsia="宋体" w:cs="宋体"/>
                <w:b w:val="0"/>
                <w:bCs/>
                <w:color w:val="auto"/>
                <w:lang w:val="en-US" w:eastAsia="zh-CN"/>
              </w:rPr>
            </w:pPr>
          </w:p>
        </w:tc>
      </w:tr>
    </w:tbl>
    <w:p>
      <w:pPr>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br w:type="page"/>
      </w:r>
    </w:p>
    <w:p>
      <w:pPr>
        <w:spacing w:line="480" w:lineRule="auto"/>
        <w:jc w:val="center"/>
        <w:rPr>
          <w:rFonts w:hint="eastAsia" w:ascii="黑体" w:hAnsi="黑体" w:eastAsia="黑体" w:cs="黑体"/>
          <w:b w:val="0"/>
          <w:bCs/>
          <w:color w:val="auto"/>
          <w:sz w:val="28"/>
          <w:szCs w:val="28"/>
        </w:rPr>
        <w:sectPr>
          <w:headerReference r:id="rId122" w:type="default"/>
          <w:footerReference r:id="rId123" w:type="default"/>
          <w:pgSz w:w="11906" w:h="16838"/>
          <w:pgMar w:top="1417" w:right="1191" w:bottom="1474" w:left="1474" w:header="0" w:footer="992" w:gutter="0"/>
          <w:pgBorders>
            <w:top w:val="none" w:sz="0" w:space="0"/>
            <w:left w:val="none" w:sz="0" w:space="0"/>
            <w:bottom w:val="none" w:sz="0" w:space="0"/>
            <w:right w:val="none" w:sz="0" w:space="0"/>
          </w:pgBorders>
          <w:pgNumType w:fmt="decimal"/>
          <w:cols w:space="0" w:num="1"/>
          <w:docGrid w:type="lines" w:linePitch="312" w:charSpace="0"/>
        </w:sectPr>
      </w:pPr>
    </w:p>
    <w:p>
      <w:pPr>
        <w:spacing w:line="480" w:lineRule="auto"/>
        <w:jc w:val="center"/>
        <w:rPr>
          <w:rFonts w:ascii="黑体" w:hAnsi="黑体" w:eastAsia="黑体" w:cs="黑体"/>
          <w:b/>
          <w:color w:val="auto"/>
          <w:sz w:val="28"/>
          <w:szCs w:val="28"/>
        </w:rPr>
      </w:pPr>
      <w:r>
        <w:rPr>
          <w:rFonts w:hint="eastAsia" w:ascii="黑体" w:hAnsi="黑体" w:eastAsia="黑体" w:cs="黑体"/>
          <w:b/>
          <w:color w:val="auto"/>
          <w:sz w:val="28"/>
          <w:szCs w:val="28"/>
        </w:rPr>
        <w:t>相关仪器设备管理和使用</w:t>
      </w:r>
      <w:r>
        <w:rPr>
          <w:rFonts w:hint="eastAsia" w:ascii="黑体" w:hAnsi="黑体" w:eastAsia="黑体" w:cs="黑体"/>
          <w:b/>
          <w:color w:val="auto"/>
          <w:sz w:val="28"/>
          <w:szCs w:val="28"/>
          <w:lang w:val="en-US" w:eastAsia="zh-CN"/>
        </w:rPr>
        <w:t>的</w:t>
      </w:r>
      <w:r>
        <w:rPr>
          <w:rFonts w:hint="eastAsia" w:ascii="黑体" w:hAnsi="黑体" w:eastAsia="黑体" w:cs="黑体"/>
          <w:b/>
          <w:color w:val="auto"/>
          <w:sz w:val="28"/>
          <w:szCs w:val="28"/>
        </w:rPr>
        <w:t>SOP</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hAnsi="宋体"/>
          <w:color w:val="auto"/>
          <w:sz w:val="24"/>
          <w:szCs w:val="24"/>
        </w:rPr>
      </w:pPr>
      <w:r>
        <w:rPr>
          <w:rFonts w:hint="eastAsia" w:ascii="宋体" w:hAnsi="宋体"/>
          <w:color w:val="auto"/>
          <w:sz w:val="24"/>
          <w:szCs w:val="24"/>
        </w:rPr>
        <w:t>一、目的</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ascii="宋体" w:hAnsi="宋体"/>
          <w:color w:val="auto"/>
          <w:sz w:val="24"/>
          <w:szCs w:val="24"/>
        </w:rPr>
      </w:pPr>
      <w:r>
        <w:rPr>
          <w:rFonts w:hint="eastAsia" w:ascii="宋体" w:hAnsi="宋体"/>
          <w:color w:val="auto"/>
          <w:sz w:val="24"/>
          <w:szCs w:val="24"/>
        </w:rPr>
        <w:t>规范药物</w:t>
      </w:r>
      <w:r>
        <w:rPr>
          <w:rFonts w:hint="eastAsia" w:ascii="宋体" w:hAnsi="宋体"/>
          <w:color w:val="auto"/>
          <w:sz w:val="24"/>
          <w:szCs w:val="24"/>
          <w:lang w:val="en-US" w:eastAsia="zh-CN"/>
        </w:rPr>
        <w:t>/</w:t>
      </w:r>
      <w:r>
        <w:rPr>
          <w:rFonts w:hint="eastAsia" w:ascii="宋体" w:hAnsi="宋体"/>
          <w:color w:val="auto"/>
          <w:sz w:val="24"/>
          <w:szCs w:val="24"/>
        </w:rPr>
        <w:t>医疗器械临床试验有关的设备、仪器的操作与使用。</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hAnsi="宋体"/>
          <w:color w:val="auto"/>
          <w:sz w:val="24"/>
          <w:szCs w:val="24"/>
        </w:rPr>
      </w:pPr>
      <w:r>
        <w:rPr>
          <w:rFonts w:hint="eastAsia" w:ascii="宋体" w:hAnsi="宋体"/>
          <w:color w:val="auto"/>
          <w:sz w:val="24"/>
          <w:szCs w:val="24"/>
        </w:rPr>
        <w:t>二、范围</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ascii="宋体" w:hAnsi="宋体"/>
          <w:color w:val="auto"/>
          <w:sz w:val="24"/>
          <w:szCs w:val="24"/>
        </w:rPr>
      </w:pPr>
      <w:r>
        <w:rPr>
          <w:rFonts w:hint="eastAsia" w:ascii="宋体" w:hAnsi="宋体"/>
          <w:color w:val="auto"/>
          <w:sz w:val="24"/>
          <w:szCs w:val="24"/>
        </w:rPr>
        <w:t>适用于药物</w:t>
      </w:r>
      <w:r>
        <w:rPr>
          <w:rFonts w:hint="eastAsia" w:ascii="宋体" w:hAnsi="宋体"/>
          <w:color w:val="auto"/>
          <w:sz w:val="24"/>
          <w:szCs w:val="24"/>
          <w:lang w:val="en-US" w:eastAsia="zh-CN"/>
        </w:rPr>
        <w:t>/</w:t>
      </w:r>
      <w:r>
        <w:rPr>
          <w:rFonts w:hint="eastAsia" w:ascii="宋体" w:hAnsi="宋体"/>
          <w:color w:val="auto"/>
          <w:sz w:val="24"/>
          <w:szCs w:val="24"/>
        </w:rPr>
        <w:t>医疗器械</w:t>
      </w:r>
      <w:r>
        <w:rPr>
          <w:rFonts w:hint="eastAsia" w:ascii="宋体" w:hAnsi="宋体" w:eastAsia="宋体" w:cs="宋体"/>
          <w:color w:val="auto"/>
          <w:sz w:val="24"/>
          <w:szCs w:val="24"/>
        </w:rPr>
        <w:t>临床试验</w:t>
      </w:r>
      <w:r>
        <w:rPr>
          <w:rFonts w:hint="eastAsia" w:ascii="宋体" w:hAnsi="宋体"/>
          <w:color w:val="auto"/>
          <w:sz w:val="24"/>
          <w:szCs w:val="24"/>
        </w:rPr>
        <w:t>设备、仪器的操作使用人员。</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宋体" w:hAnsi="宋体"/>
          <w:color w:val="auto"/>
          <w:sz w:val="24"/>
          <w:szCs w:val="24"/>
        </w:rPr>
      </w:pPr>
      <w:r>
        <w:rPr>
          <w:rFonts w:hint="eastAsia" w:ascii="宋体" w:hAnsi="宋体"/>
          <w:color w:val="auto"/>
          <w:sz w:val="24"/>
          <w:szCs w:val="24"/>
        </w:rPr>
        <w:t>三、规程</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color w:val="auto"/>
          <w:sz w:val="24"/>
          <w:szCs w:val="24"/>
        </w:rPr>
      </w:pPr>
      <w:r>
        <w:rPr>
          <w:rFonts w:hint="eastAsia" w:hAnsi="宋体"/>
          <w:color w:val="auto"/>
          <w:sz w:val="24"/>
          <w:szCs w:val="24"/>
        </w:rPr>
        <w:t>（</w:t>
      </w:r>
      <w:r>
        <w:rPr>
          <w:rFonts w:hAnsi="宋体"/>
          <w:color w:val="auto"/>
          <w:sz w:val="24"/>
          <w:szCs w:val="24"/>
        </w:rPr>
        <w:t>一</w:t>
      </w:r>
      <w:r>
        <w:rPr>
          <w:rFonts w:hint="eastAsia" w:hAnsi="宋体"/>
          <w:color w:val="auto"/>
          <w:sz w:val="24"/>
          <w:szCs w:val="24"/>
        </w:rPr>
        <w:t>）</w:t>
      </w:r>
      <w:r>
        <w:rPr>
          <w:rFonts w:hAnsi="宋体"/>
          <w:color w:val="auto"/>
          <w:sz w:val="24"/>
          <w:szCs w:val="24"/>
        </w:rPr>
        <w:t>管理</w:t>
      </w:r>
    </w:p>
    <w:p>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color w:val="auto"/>
          <w:sz w:val="24"/>
        </w:rPr>
      </w:pPr>
      <w:r>
        <w:rPr>
          <w:color w:val="auto"/>
          <w:sz w:val="24"/>
        </w:rPr>
        <w:t>1</w:t>
      </w:r>
      <w:r>
        <w:rPr>
          <w:rFonts w:hint="eastAsia"/>
          <w:color w:val="auto"/>
          <w:sz w:val="24"/>
        </w:rPr>
        <w:t>.</w:t>
      </w:r>
      <w:r>
        <w:rPr>
          <w:rFonts w:hAnsi="宋体"/>
          <w:color w:val="auto"/>
          <w:sz w:val="24"/>
        </w:rPr>
        <w:t>药品</w:t>
      </w:r>
      <w:r>
        <w:rPr>
          <w:rFonts w:hint="eastAsia" w:hAnsi="宋体"/>
          <w:color w:val="auto"/>
          <w:sz w:val="24"/>
        </w:rPr>
        <w:t>和医疗器械</w:t>
      </w:r>
      <w:r>
        <w:rPr>
          <w:rFonts w:hAnsi="宋体"/>
          <w:color w:val="auto"/>
          <w:sz w:val="24"/>
        </w:rPr>
        <w:t>临床研究用仪器设备为医院和科室的财产，使用者应精心爱护，严格按操作规程使用和保养，以使仪器的功能经常处于最佳状态。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2</w:t>
      </w:r>
      <w:r>
        <w:rPr>
          <w:rFonts w:hint="eastAsia"/>
          <w:color w:val="auto"/>
          <w:sz w:val="24"/>
        </w:rPr>
        <w:t>.</w:t>
      </w:r>
      <w:r>
        <w:rPr>
          <w:rFonts w:hAnsi="宋体"/>
          <w:color w:val="auto"/>
          <w:sz w:val="24"/>
        </w:rPr>
        <w:t>仪器说明书及相关文件由专业人员妥善保存，以备必要时查阅。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3</w:t>
      </w:r>
      <w:r>
        <w:rPr>
          <w:rFonts w:hint="eastAsia"/>
          <w:color w:val="auto"/>
          <w:sz w:val="24"/>
        </w:rPr>
        <w:t>.</w:t>
      </w:r>
      <w:r>
        <w:rPr>
          <w:rFonts w:hAnsi="宋体"/>
          <w:color w:val="auto"/>
          <w:sz w:val="24"/>
        </w:rPr>
        <w:t>研究人员在操作使用中应严格遵守执行制定的</w:t>
      </w:r>
      <w:r>
        <w:rPr>
          <w:color w:val="auto"/>
          <w:sz w:val="24"/>
        </w:rPr>
        <w:t>”</w:t>
      </w:r>
      <w:r>
        <w:rPr>
          <w:rFonts w:hAnsi="宋体"/>
          <w:color w:val="auto"/>
          <w:sz w:val="24"/>
        </w:rPr>
        <w:t>标准操作规程</w:t>
      </w:r>
      <w:r>
        <w:rPr>
          <w:color w:val="auto"/>
          <w:sz w:val="24"/>
        </w:rPr>
        <w:t>”</w:t>
      </w:r>
      <w:r>
        <w:rPr>
          <w:rFonts w:hAnsi="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4</w:t>
      </w:r>
      <w:r>
        <w:rPr>
          <w:rFonts w:hint="eastAsia"/>
          <w:color w:val="auto"/>
          <w:sz w:val="24"/>
        </w:rPr>
        <w:t>.</w:t>
      </w:r>
      <w:r>
        <w:rPr>
          <w:rFonts w:hAnsi="宋体"/>
          <w:color w:val="auto"/>
          <w:sz w:val="24"/>
        </w:rPr>
        <w:t>由专人使用和管理。每次使用后，应在</w:t>
      </w:r>
      <w:r>
        <w:rPr>
          <w:rFonts w:hint="eastAsia"/>
          <w:color w:val="auto"/>
          <w:sz w:val="24"/>
        </w:rPr>
        <w:t>“</w:t>
      </w:r>
      <w:r>
        <w:rPr>
          <w:rFonts w:hAnsi="宋体"/>
          <w:color w:val="auto"/>
          <w:sz w:val="24"/>
        </w:rPr>
        <w:t>仪器设备使用登记本</w:t>
      </w:r>
      <w:r>
        <w:rPr>
          <w:rFonts w:hint="eastAsia"/>
          <w:color w:val="auto"/>
          <w:sz w:val="24"/>
        </w:rPr>
        <w:t>”</w:t>
      </w:r>
      <w:r>
        <w:rPr>
          <w:rFonts w:hAnsi="宋体"/>
          <w:color w:val="auto"/>
          <w:sz w:val="24"/>
        </w:rPr>
        <w:t>上做好记录。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5</w:t>
      </w:r>
      <w:r>
        <w:rPr>
          <w:rFonts w:hint="eastAsia"/>
          <w:color w:val="auto"/>
          <w:sz w:val="24"/>
        </w:rPr>
        <w:t>.</w:t>
      </w:r>
      <w:r>
        <w:rPr>
          <w:rFonts w:hAnsi="宋体"/>
          <w:color w:val="auto"/>
          <w:sz w:val="24"/>
        </w:rPr>
        <w:t>非本科室人员未经许可不得使用。进修、实习人员应在专人指导下使用。</w:t>
      </w:r>
    </w:p>
    <w:p>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color w:val="auto"/>
          <w:sz w:val="24"/>
        </w:rPr>
      </w:pPr>
      <w:r>
        <w:rPr>
          <w:color w:val="auto"/>
          <w:sz w:val="24"/>
        </w:rPr>
        <w:t>6</w:t>
      </w:r>
      <w:r>
        <w:rPr>
          <w:rFonts w:hint="eastAsia"/>
          <w:color w:val="auto"/>
          <w:sz w:val="24"/>
        </w:rPr>
        <w:t>.</w:t>
      </w:r>
      <w:r>
        <w:rPr>
          <w:rFonts w:hAnsi="宋体"/>
          <w:color w:val="auto"/>
          <w:sz w:val="24"/>
        </w:rPr>
        <w:t>定期做好维护保养和校准工作，如发生故障，应及时上报科室领导和</w:t>
      </w:r>
      <w:r>
        <w:rPr>
          <w:rFonts w:hint="eastAsia" w:hAnsi="宋体"/>
          <w:color w:val="auto"/>
          <w:sz w:val="24"/>
        </w:rPr>
        <w:t>设备科</w:t>
      </w:r>
      <w:r>
        <w:rPr>
          <w:rFonts w:hAnsi="宋体"/>
          <w:color w:val="auto"/>
          <w:sz w:val="24"/>
        </w:rPr>
        <w:t>，请专业人员修理，并将故障及修理情况详细记录在</w:t>
      </w:r>
      <w:r>
        <w:rPr>
          <w:rFonts w:hint="eastAsia"/>
          <w:color w:val="auto"/>
          <w:sz w:val="24"/>
        </w:rPr>
        <w:t>“</w:t>
      </w:r>
      <w:r>
        <w:rPr>
          <w:rFonts w:hAnsi="宋体"/>
          <w:color w:val="auto"/>
          <w:sz w:val="24"/>
        </w:rPr>
        <w:t>仪器设备使用登记本</w:t>
      </w:r>
      <w:r>
        <w:rPr>
          <w:rFonts w:hint="eastAsia"/>
          <w:color w:val="auto"/>
          <w:sz w:val="24"/>
        </w:rPr>
        <w:t>”</w:t>
      </w:r>
      <w:r>
        <w:rPr>
          <w:rFonts w:hAnsi="宋体"/>
          <w:color w:val="auto"/>
          <w:sz w:val="24"/>
        </w:rPr>
        <w:t>上。</w:t>
      </w:r>
    </w:p>
    <w:p>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color w:val="auto"/>
          <w:sz w:val="24"/>
        </w:rPr>
      </w:pPr>
      <w:r>
        <w:rPr>
          <w:color w:val="auto"/>
          <w:sz w:val="24"/>
        </w:rPr>
        <w:t>7</w:t>
      </w:r>
      <w:r>
        <w:rPr>
          <w:rFonts w:hint="eastAsia"/>
          <w:color w:val="auto"/>
          <w:sz w:val="24"/>
        </w:rPr>
        <w:t>.</w:t>
      </w:r>
      <w:r>
        <w:rPr>
          <w:rFonts w:hAnsi="宋体"/>
          <w:color w:val="auto"/>
          <w:sz w:val="24"/>
        </w:rPr>
        <w:t>使用者每次使用后应检查仪器设备功能是否完好，电源是否正确关闭，检查无误后方可离开。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8</w:t>
      </w:r>
      <w:r>
        <w:rPr>
          <w:rFonts w:hint="eastAsia"/>
          <w:color w:val="auto"/>
          <w:sz w:val="24"/>
        </w:rPr>
        <w:t>.</w:t>
      </w:r>
      <w:r>
        <w:rPr>
          <w:rFonts w:hAnsi="宋体"/>
          <w:color w:val="auto"/>
          <w:sz w:val="24"/>
        </w:rPr>
        <w:t>仪器存放于固定位置，使用后确保归位。</w:t>
      </w:r>
    </w:p>
    <w:p>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color w:val="auto"/>
          <w:sz w:val="24"/>
        </w:rPr>
      </w:pPr>
      <w:r>
        <w:rPr>
          <w:color w:val="auto"/>
          <w:sz w:val="24"/>
        </w:rPr>
        <w:t>9</w:t>
      </w:r>
      <w:r>
        <w:rPr>
          <w:rFonts w:hint="eastAsia"/>
          <w:color w:val="auto"/>
          <w:sz w:val="24"/>
        </w:rPr>
        <w:t>.</w:t>
      </w:r>
      <w:r>
        <w:rPr>
          <w:rFonts w:hAnsi="宋体"/>
          <w:color w:val="auto"/>
          <w:sz w:val="24"/>
        </w:rPr>
        <w:t>仪器设备放置的环境须保持安静、整洁，不得存放与工作无关的物品，工作人员不得大声喧哗，禁止吸烟、会客等。</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color w:val="auto"/>
          <w:sz w:val="24"/>
        </w:rPr>
      </w:pPr>
      <w:r>
        <w:rPr>
          <w:rFonts w:hint="eastAsia" w:hAnsi="宋体"/>
          <w:color w:val="auto"/>
          <w:sz w:val="24"/>
        </w:rPr>
        <w:t>（</w:t>
      </w:r>
      <w:r>
        <w:rPr>
          <w:rFonts w:hAnsi="宋体"/>
          <w:color w:val="auto"/>
          <w:sz w:val="24"/>
        </w:rPr>
        <w:t>二</w:t>
      </w:r>
      <w:r>
        <w:rPr>
          <w:rFonts w:hint="eastAsia" w:hAnsi="宋体"/>
          <w:color w:val="auto"/>
          <w:sz w:val="24"/>
        </w:rPr>
        <w:t>）</w:t>
      </w:r>
      <w:r>
        <w:rPr>
          <w:rFonts w:hAnsi="宋体"/>
          <w:color w:val="auto"/>
          <w:sz w:val="24"/>
        </w:rPr>
        <w:t>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1</w:t>
      </w:r>
      <w:r>
        <w:rPr>
          <w:rFonts w:hint="eastAsia"/>
          <w:color w:val="auto"/>
          <w:sz w:val="24"/>
        </w:rPr>
        <w:t>.</w:t>
      </w:r>
      <w:r>
        <w:rPr>
          <w:rFonts w:hAnsi="宋体"/>
          <w:color w:val="auto"/>
          <w:sz w:val="24"/>
        </w:rPr>
        <w:t>每台仪器有专人负责制定</w:t>
      </w:r>
      <w:r>
        <w:rPr>
          <w:color w:val="auto"/>
          <w:sz w:val="24"/>
        </w:rPr>
        <w:t>“</w:t>
      </w:r>
      <w:r>
        <w:rPr>
          <w:rFonts w:hAnsi="宋体"/>
          <w:color w:val="auto"/>
          <w:sz w:val="24"/>
        </w:rPr>
        <w:t>标准操作规程</w:t>
      </w:r>
      <w:r>
        <w:rPr>
          <w:color w:val="auto"/>
          <w:sz w:val="24"/>
        </w:rPr>
        <w:t>”</w:t>
      </w:r>
      <w:r>
        <w:rPr>
          <w:rFonts w:hAnsi="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color w:val="auto"/>
          <w:sz w:val="24"/>
        </w:rPr>
      </w:pPr>
      <w:r>
        <w:rPr>
          <w:color w:val="auto"/>
          <w:sz w:val="24"/>
        </w:rPr>
        <w:t>2</w:t>
      </w:r>
      <w:r>
        <w:rPr>
          <w:rFonts w:hint="eastAsia"/>
          <w:color w:val="auto"/>
          <w:sz w:val="24"/>
        </w:rPr>
        <w:t>.</w:t>
      </w:r>
      <w:r>
        <w:rPr>
          <w:rFonts w:hAnsi="宋体"/>
          <w:color w:val="auto"/>
          <w:sz w:val="24"/>
        </w:rPr>
        <w:t>制定人负责告知每位工作人员标准操作规程，严格按照标准操作规程进行操作。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3</w:t>
      </w:r>
      <w:r>
        <w:rPr>
          <w:rFonts w:hint="eastAsia"/>
          <w:color w:val="auto"/>
          <w:sz w:val="24"/>
        </w:rPr>
        <w:t>.</w:t>
      </w:r>
      <w:r>
        <w:rPr>
          <w:rFonts w:hAnsi="宋体"/>
          <w:color w:val="auto"/>
          <w:sz w:val="24"/>
        </w:rPr>
        <w:t>对初次使用者制定人应做出示范。</w:t>
      </w:r>
    </w:p>
    <w:p>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color w:val="auto"/>
          <w:sz w:val="24"/>
        </w:rPr>
      </w:pPr>
      <w:r>
        <w:rPr>
          <w:color w:val="auto"/>
          <w:sz w:val="24"/>
        </w:rPr>
        <w:t>4</w:t>
      </w:r>
      <w:r>
        <w:rPr>
          <w:rFonts w:hint="eastAsia"/>
          <w:color w:val="auto"/>
          <w:sz w:val="24"/>
        </w:rPr>
        <w:t>.</w:t>
      </w:r>
      <w:r>
        <w:rPr>
          <w:rFonts w:hAnsi="宋体"/>
          <w:color w:val="auto"/>
          <w:sz w:val="24"/>
        </w:rPr>
        <w:t>制定人应负责标准操作规程的更新、及时补充，其他工作人员如果有疑异应向制定人提出，必要时及时修改。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黑体" w:hAnsi="黑体" w:eastAsia="黑体" w:cs="黑体"/>
          <w:b/>
          <w:color w:val="auto"/>
          <w:sz w:val="28"/>
          <w:szCs w:val="28"/>
        </w:rPr>
        <w:sectPr>
          <w:headerReference r:id="rId124"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r>
        <w:rPr>
          <w:color w:val="auto"/>
          <w:sz w:val="24"/>
        </w:rPr>
        <w:t>5</w:t>
      </w:r>
      <w:r>
        <w:rPr>
          <w:rFonts w:hint="eastAsia"/>
          <w:color w:val="auto"/>
          <w:sz w:val="24"/>
        </w:rPr>
        <w:t>.</w:t>
      </w:r>
      <w:r>
        <w:rPr>
          <w:rFonts w:hAnsi="宋体"/>
          <w:color w:val="auto"/>
          <w:sz w:val="24"/>
        </w:rPr>
        <w:t>制定人应将标准操作规程挂于仪器上便于操作人员参阅</w:t>
      </w:r>
      <w:r>
        <w:rPr>
          <w:rFonts w:hint="eastAsia" w:hAnsi="宋体"/>
          <w:color w:val="auto"/>
          <w:sz w:val="24"/>
        </w:rPr>
        <w:t>。</w:t>
      </w:r>
    </w:p>
    <w:p>
      <w:pPr>
        <w:pStyle w:val="38"/>
        <w:spacing w:beforeLines="0" w:afterLines="0" w:line="360" w:lineRule="auto"/>
        <w:ind w:firstLine="1687" w:firstLineChars="600"/>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rPr>
        <w:t>不良事件及严重不良事件处理与记录的SOP</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一、目的</w:t>
      </w:r>
    </w:p>
    <w:p>
      <w:pPr>
        <w:spacing w:beforeLines="0" w:afterLines="0" w:line="360" w:lineRule="auto"/>
        <w:ind w:firstLine="480" w:firstLineChars="200"/>
        <w:jc w:val="left"/>
        <w:rPr>
          <w:rFonts w:hint="eastAsia" w:ascii="宋体" w:hAnsi="宋体"/>
          <w:color w:val="auto"/>
          <w:sz w:val="24"/>
          <w:szCs w:val="24"/>
        </w:rPr>
      </w:pPr>
      <w:r>
        <w:rPr>
          <w:rFonts w:hint="eastAsia" w:ascii="宋体" w:hAnsi="宋体"/>
          <w:color w:val="auto"/>
          <w:sz w:val="24"/>
          <w:szCs w:val="24"/>
        </w:rPr>
        <w:t>确保能及时处理临床试验中出现的不良事件和严重不良事件，最大限度地保障受试者的权益，并使相关信息得到真实、完整、及时地记录。</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二、范围</w:t>
      </w:r>
    </w:p>
    <w:p>
      <w:pPr>
        <w:spacing w:beforeLines="0" w:afterLines="0" w:line="360" w:lineRule="auto"/>
        <w:ind w:firstLine="480" w:firstLineChars="200"/>
        <w:jc w:val="left"/>
        <w:rPr>
          <w:rFonts w:hint="eastAsia" w:ascii="宋体" w:hAnsi="宋体"/>
          <w:color w:val="auto"/>
          <w:sz w:val="24"/>
          <w:szCs w:val="24"/>
        </w:rPr>
      </w:pPr>
      <w:r>
        <w:rPr>
          <w:rFonts w:hint="eastAsia" w:ascii="宋体" w:hAnsi="宋体"/>
          <w:color w:val="auto"/>
          <w:sz w:val="24"/>
          <w:szCs w:val="24"/>
        </w:rPr>
        <w:t>适用于药物/医疗器械临床试验中不良事件和严重不良事件的处理与记录，其他临床试验也可参照执行。</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三、规程</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（一）不良事件/严重不良事件的处理。</w:t>
      </w:r>
    </w:p>
    <w:p>
      <w:pPr>
        <w:spacing w:beforeLines="0" w:afterLines="0" w:line="360" w:lineRule="auto"/>
        <w:jc w:val="left"/>
        <w:rPr>
          <w:rFonts w:hint="eastAsia" w:ascii="宋体" w:hAnsi="宋体" w:eastAsiaTheme="minorEastAsia"/>
          <w:color w:val="auto"/>
          <w:sz w:val="24"/>
          <w:szCs w:val="24"/>
          <w:lang w:val="en-US" w:eastAsia="zh-CN"/>
        </w:rPr>
      </w:pPr>
      <w:r>
        <w:rPr>
          <w:rFonts w:hint="eastAsia" w:ascii="宋体" w:hAnsi="宋体"/>
          <w:color w:val="auto"/>
          <w:sz w:val="24"/>
          <w:szCs w:val="24"/>
        </w:rPr>
        <w:t>1、住院患者。发现受试者出现不良事件后，管床医生或值班医生/护士应及时告知研究者，如有必要，可先对症处理，由研究医师给予进一步处理意见，并最终评定不良事件的程度分级和与试验用药物/医疗器械的相关性。不良事件的</w:t>
      </w:r>
      <w:r>
        <w:rPr>
          <w:rFonts w:hint="eastAsia" w:ascii="宋体" w:hAnsi="宋体"/>
          <w:color w:val="auto"/>
          <w:sz w:val="24"/>
          <w:szCs w:val="24"/>
          <w:lang w:val="en-US" w:eastAsia="zh-CN"/>
        </w:rPr>
        <w:t>评定</w:t>
      </w:r>
      <w:r>
        <w:rPr>
          <w:rFonts w:hint="eastAsia" w:ascii="宋体" w:hAnsi="宋体"/>
          <w:color w:val="auto"/>
          <w:sz w:val="24"/>
          <w:szCs w:val="24"/>
        </w:rPr>
        <w:t>必须是经过授权的、有资质的临床医生</w:t>
      </w:r>
      <w:r>
        <w:rPr>
          <w:rFonts w:hint="eastAsia" w:ascii="宋体" w:hAnsi="宋体"/>
          <w:color w:val="auto"/>
          <w:sz w:val="24"/>
          <w:szCs w:val="24"/>
          <w:lang w:val="en-US" w:eastAsia="zh-CN"/>
        </w:rPr>
        <w:t>进行，</w:t>
      </w:r>
      <w:r>
        <w:rPr>
          <w:rFonts w:hint="eastAsia" w:ascii="宋体" w:hAnsi="宋体"/>
          <w:color w:val="auto"/>
          <w:sz w:val="24"/>
          <w:szCs w:val="24"/>
        </w:rPr>
        <w:t>有时为准确起见，可进行综合评审</w:t>
      </w:r>
      <w:r>
        <w:rPr>
          <w:rFonts w:hint="eastAsia" w:ascii="宋体" w:hAnsi="宋体"/>
          <w:color w:val="auto"/>
          <w:sz w:val="24"/>
          <w:szCs w:val="24"/>
          <w:lang w:val="en-US" w:eastAsia="zh-CN"/>
        </w:rPr>
        <w:t>。对不良事件的严重性、严重程度和相关性进行判断，严重性是指</w:t>
      </w:r>
      <w:r>
        <w:rPr>
          <w:rFonts w:hint="eastAsia" w:ascii="宋体" w:hAnsi="宋体"/>
          <w:color w:val="auto"/>
          <w:sz w:val="24"/>
          <w:szCs w:val="24"/>
        </w:rPr>
        <w:t>不良事件是否属于SAE</w:t>
      </w:r>
      <w:r>
        <w:rPr>
          <w:rFonts w:hint="eastAsia" w:ascii="宋体" w:hAnsi="宋体"/>
          <w:color w:val="auto"/>
          <w:sz w:val="24"/>
          <w:szCs w:val="24"/>
          <w:lang w:eastAsia="zh-CN"/>
        </w:rPr>
        <w:t>，</w:t>
      </w:r>
      <w:r>
        <w:rPr>
          <w:rFonts w:hint="eastAsia" w:ascii="宋体" w:hAnsi="宋体"/>
          <w:color w:val="auto"/>
          <w:sz w:val="24"/>
          <w:szCs w:val="24"/>
          <w:lang w:val="en-US" w:eastAsia="zh-CN"/>
        </w:rPr>
        <w:t>根据其是否符合GCP中SAE的定义进行判定。</w:t>
      </w:r>
      <w:r>
        <w:rPr>
          <w:rFonts w:hint="eastAsia" w:ascii="宋体" w:hAnsi="宋体"/>
          <w:color w:val="auto"/>
          <w:sz w:val="24"/>
          <w:szCs w:val="24"/>
          <w:lang w:eastAsia="zh-CN"/>
        </w:rPr>
        <w:t>严重</w:t>
      </w:r>
      <w:r>
        <w:rPr>
          <w:rFonts w:hint="eastAsia" w:ascii="宋体" w:hAnsi="宋体"/>
          <w:color w:val="auto"/>
          <w:sz w:val="24"/>
          <w:szCs w:val="24"/>
          <w:lang w:val="en-US" w:eastAsia="zh-CN"/>
        </w:rPr>
        <w:t>程</w:t>
      </w:r>
      <w:r>
        <w:rPr>
          <w:rFonts w:hint="eastAsia" w:ascii="宋体" w:hAnsi="宋体"/>
          <w:color w:val="auto"/>
          <w:sz w:val="24"/>
          <w:szCs w:val="24"/>
          <w:lang w:eastAsia="zh-CN"/>
        </w:rPr>
        <w:t>度是指不良事件的严重程度分级,</w:t>
      </w:r>
      <w:r>
        <w:rPr>
          <w:rFonts w:hint="eastAsia" w:ascii="宋体" w:hAnsi="宋体"/>
          <w:color w:val="auto"/>
          <w:sz w:val="24"/>
          <w:szCs w:val="24"/>
          <w:lang w:val="en-US" w:eastAsia="zh-CN"/>
        </w:rPr>
        <w:t>一般采用</w:t>
      </w:r>
      <w:r>
        <w:rPr>
          <w:rFonts w:hint="eastAsia" w:ascii="宋体" w:hAnsi="宋体"/>
          <w:color w:val="auto"/>
          <w:sz w:val="24"/>
          <w:szCs w:val="24"/>
          <w:lang w:eastAsia="zh-CN"/>
        </w:rPr>
        <w:t>《不良事件通用术语标准》（CTCAE</w:t>
      </w:r>
      <w:r>
        <w:rPr>
          <w:rFonts w:hint="eastAsia" w:ascii="宋体" w:hAnsi="宋体"/>
          <w:color w:val="auto"/>
          <w:sz w:val="24"/>
          <w:szCs w:val="24"/>
          <w:lang w:val="en-US" w:eastAsia="zh-CN"/>
        </w:rPr>
        <w:t xml:space="preserve"> 5.0</w:t>
      </w:r>
      <w:r>
        <w:rPr>
          <w:rFonts w:hint="eastAsia" w:ascii="宋体" w:hAnsi="宋体"/>
          <w:color w:val="auto"/>
          <w:sz w:val="24"/>
          <w:szCs w:val="24"/>
          <w:lang w:eastAsia="zh-CN"/>
        </w:rPr>
        <w:t>)</w:t>
      </w:r>
      <w:r>
        <w:rPr>
          <w:rFonts w:hint="eastAsia" w:ascii="宋体" w:hAnsi="宋体"/>
          <w:color w:val="auto"/>
          <w:sz w:val="24"/>
          <w:szCs w:val="24"/>
          <w:lang w:val="en-US" w:eastAsia="zh-CN"/>
        </w:rPr>
        <w:t>进行判定</w:t>
      </w:r>
      <w:r>
        <w:rPr>
          <w:rFonts w:hint="eastAsia" w:ascii="宋体" w:hAnsi="宋体"/>
          <w:color w:val="auto"/>
          <w:sz w:val="24"/>
          <w:szCs w:val="24"/>
        </w:rPr>
        <w:t>。如不良事件级别发生变化,通常要记录不良事件的最高级别</w:t>
      </w:r>
      <w:r>
        <w:rPr>
          <w:rFonts w:hint="eastAsia" w:ascii="宋体" w:hAnsi="宋体"/>
          <w:color w:val="auto"/>
          <w:sz w:val="24"/>
          <w:szCs w:val="24"/>
          <w:lang w:eastAsia="zh-CN"/>
        </w:rPr>
        <w:t>。</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（1）一般不良事件：可密切续观事件的转归或根据试验方案进行相应的对症处理。</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2）严重不良事件：研究医师应及时通知主要研究者，并根据方案要求考虑暂停治疗、调整药物剂量等；对程度较重者，根据临床表现按医疗常规组织临床抢救；必要时可请有关科室会诊、协助处理或转诊，启动《防范和处理受试者损害及突发事项预案》。双盲试验中，如必要，由PI决定是否紧急揭盲。</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2、非住院患者。获知受试者出现不良事件后，研究医师须详细询问受试者当时的症状及所在地点等，对受试者进行必要的解释与口头指导，对不良事件的程度和相关性给予初步评定；如有必要，建议受试者到当地医疗机构就地诊疗，通过电话与接诊医生取得联系，再次核实不良事件的程度并给予处理意见；如条件允许，应让受试者尽快回本中心治疗。</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（1）一般不良事件：可赴当地医院初步诊治，并告知密切续观事件的转归。</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2）严重不良事件：建议受试者返院接受诊治或赴当地医院接受诊治，并及时通报主要研究者。如当地医院条件有限，应派医生前往救治。如为双盲试验，另携带应急信封以备紧急揭盲用。根据方案要求暂停治疗、调整药物剂量和对症治疗等处理。</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（3）研究者应及时随访不良事件的转归、处理，直到不良事件得到妥善解决或受试者病情稳定。</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（二）紧急揭盲。发生严重不良事件，在抢救受试者时，需要立即查明所服药品</w:t>
      </w:r>
      <w:r>
        <w:rPr>
          <w:rFonts w:hint="eastAsia" w:ascii="宋体" w:hAnsi="宋体"/>
          <w:color w:val="auto"/>
          <w:sz w:val="24"/>
          <w:szCs w:val="24"/>
          <w:lang w:val="en-US" w:eastAsia="zh-CN"/>
        </w:rPr>
        <w:t>或所用医器械</w:t>
      </w:r>
      <w:r>
        <w:rPr>
          <w:rFonts w:hint="eastAsia" w:ascii="宋体" w:hAnsi="宋体"/>
          <w:color w:val="auto"/>
          <w:sz w:val="24"/>
          <w:szCs w:val="24"/>
        </w:rPr>
        <w:t>的种类，由主要研究者决定是否揭盲。一旦揭盲，该患者将被中止试验。同时，将处理结果通知临床监查员。研究人员还应在原始病历中详细记录揭盲的理由、时间并签字。</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（三）不良事件/严重不良事件的记录。</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1、研究医师应严格按照GCP和方案要求，真实、完整、及时地将AE/SAE记录在原始病历中，作为填写CRF和“不良事件报告表”的依据。记录至少包括不良事件的描述、发生时间、终止时间、程度及发作频度、相关性、记录治疗措施，以及转归。</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2、定期对AE/SAE进行观察/随访，直到妥善解决或病情稳定。随访情况也应真实、完整、及时地记录在原始病历中。</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四）SAE的报告。1.在药物临床试验中，当判断为严重不良事件时，除试验方案或者其他文件（如研究者手册）中规定不需立即报告的严重不良事件外，研究者应当立即向申办者书面报告所有严重不良事件，随后应当及时提供详尽、书面的随访报告。严重不良事件报告和随访报告应当注明受试者在临床试验中的鉴认代码，而不是受试者的真实姓名、公民身份号码和住址等身份信息。试验方案中规定的、对安全性评价重要的不良事件和实验室异常值，应当按照试验方案的要求和时限向申办者报告。涉及死亡事件的报告，研究者应当向申办者和伦理委员会提供其他所需要的资料，如尸检报告和最终医学报告。申办者收到任何来源的安全性相关信息后，均应当立即分析评估，包括严重性、与试验药物的相关性以及是否为预期事件等。申办者应当将可疑且非预期严重不良反应快速报告给所有参加临床试验的研究者及临床试验机构、伦理委员会；申办者应当向药品监督管理部门和卫生健康主管部门报告可疑且非预期严重不良反应。</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2.在医疗器械临床试验中，在临床试验中出现严重不良事件的，研究者应当立即对受试者采取适当的治疗措</w:t>
      </w:r>
      <w:r>
        <w:rPr>
          <w:rFonts w:hint="eastAsia" w:ascii="宋体" w:hAnsi="宋体" w:eastAsia="宋体" w:cs="宋体"/>
          <w:color w:val="auto"/>
          <w:sz w:val="24"/>
          <w:szCs w:val="24"/>
        </w:rPr>
        <w:t>施，</w:t>
      </w:r>
      <w:r>
        <w:rPr>
          <w:rFonts w:hint="eastAsia" w:ascii="宋体" w:hAnsi="宋体" w:eastAsia="宋体" w:cs="宋体"/>
          <w:i w:val="0"/>
          <w:iCs w:val="0"/>
          <w:caps w:val="0"/>
          <w:color w:val="auto"/>
          <w:spacing w:val="7"/>
          <w:sz w:val="24"/>
          <w:szCs w:val="24"/>
          <w:shd w:val="clear" w:fill="FFFFFF"/>
        </w:rPr>
        <w:t>（一）医疗器械临床试验中发生严重不良事件时，研究者应当立即对受试者采取适当的治疗措施；同时，研究者应当在获知严重不良事件后24小时内，向申办者、医疗器械临床试验机构管理部门、伦理委员会报告；并按照临床试验方案的规定随访严重不良事件，提交严重不良事件随访报告；</w:t>
      </w:r>
      <w:r>
        <w:rPr>
          <w:rFonts w:hint="eastAsia" w:ascii="宋体" w:hAnsi="宋体" w:eastAsia="宋体" w:cs="宋体"/>
          <w:color w:val="auto"/>
          <w:sz w:val="24"/>
          <w:szCs w:val="24"/>
        </w:rPr>
        <w:t>申办者应当负责医疗器械试验期间安全性信息的评估和报告：（一）申办者应当在获知死亡或者危及生命的临床试验医疗器械相关严重不良事件后7日内、获知非死亡或者非危及生命的试验医疗器械相关严重不良事件和其他严重安全性风险信息后15日内，向参与临床试验的其他医疗器械临床试验机构、伦理委员会以及主要研究者报告，向申办者所在地省、自治区、直辖市药品监督管理部门报告，向医疗器械临床试验机构所在地省、自治区、直辖市药品监督管理部门和卫生健康管理部门报告，并采取风险控制措施；出现可能影响受试者安全、可能影响医疗器械临床试验实施、可能改变伦理委员会同意意见的信息时，应当及时组织对临床试验方案、知情同意书和其他提供给受试者的信息、以及其他相关文件进行修改，并提交伦理委员会审查；（二）出现大范围临床试验医疗器械相关严重不良事件，或者其他重大安全性问题时，申办者应当暂停或者终止医疗器械临床试验，并向所有医疗器械临床试验机构管理部门、伦理委员会以及主要研究者报告，向申办者所在地省、自治区、直辖市药品监督管理部门报告，向所有医疗器械临床试验机构所在地省、自治区、直辖市药品监督管理部门和卫生健康管理部门报告。</w:t>
      </w:r>
      <w:r>
        <w:rPr>
          <w:rFonts w:hint="eastAsia" w:ascii="宋体" w:hAnsi="宋体"/>
          <w:color w:val="auto"/>
          <w:sz w:val="24"/>
          <w:szCs w:val="24"/>
        </w:rPr>
        <w:t>（详见《临床试验“SAE报告”的SOP》）</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lang w:val="en-US" w:eastAsia="zh-CN"/>
        </w:rPr>
        <w:t>四、</w:t>
      </w:r>
      <w:r>
        <w:rPr>
          <w:rFonts w:hint="eastAsia" w:ascii="宋体" w:hAnsi="宋体"/>
          <w:color w:val="auto"/>
          <w:sz w:val="24"/>
          <w:szCs w:val="24"/>
        </w:rPr>
        <w:t>参考文献</w:t>
      </w:r>
    </w:p>
    <w:p>
      <w:pPr>
        <w:pStyle w:val="36"/>
        <w:keepNext w:val="0"/>
        <w:keepLines w:val="0"/>
        <w:pageBreakBefore w:val="0"/>
        <w:widowControl w:val="0"/>
        <w:numPr>
          <w:ilvl w:val="0"/>
          <w:numId w:val="64"/>
        </w:numPr>
        <w:tabs>
          <w:tab w:val="left" w:pos="2790"/>
        </w:tabs>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64"/>
        </w:numPr>
        <w:tabs>
          <w:tab w:val="left" w:pos="2790"/>
        </w:tabs>
        <w:kinsoku/>
        <w:wordWrap w:val="0"/>
        <w:overflowPunct/>
        <w:topLinePunct w:val="0"/>
        <w:autoSpaceDE/>
        <w:autoSpaceDN/>
        <w:bidi w:val="0"/>
        <w:adjustRightInd/>
        <w:snapToGrid/>
        <w:spacing w:line="360" w:lineRule="auto"/>
        <w:ind w:left="0" w:leftChars="0" w:firstLine="0" w:firstLine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国家药品监督管理局，国家卫生健康委员会. 关于发布《医疗器械临床试验质量管理规范》的公告（2022年第28号）.[2022-03-31]. https://www.nmpa.gov.cn/xxgk/ggtg/qtggtg/20220331144903101.html.</w:t>
      </w:r>
    </w:p>
    <w:p>
      <w:pPr>
        <w:pStyle w:val="36"/>
        <w:keepNext w:val="0"/>
        <w:keepLines w:val="0"/>
        <w:pageBreakBefore w:val="0"/>
        <w:widowControl w:val="0"/>
        <w:numPr>
          <w:ilvl w:val="0"/>
          <w:numId w:val="64"/>
        </w:numPr>
        <w:tabs>
          <w:tab w:val="left" w:pos="2790"/>
        </w:tabs>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color w:val="auto"/>
          <w:sz w:val="24"/>
          <w:szCs w:val="24"/>
        </w:rPr>
      </w:pPr>
      <w:r>
        <w:rPr>
          <w:rFonts w:hint="eastAsia" w:asciiTheme="minorEastAsia" w:hAnsiTheme="minorEastAsia"/>
          <w:color w:val="auto"/>
          <w:sz w:val="24"/>
          <w:szCs w:val="24"/>
          <w:lang w:val="en-US" w:eastAsia="zh-CN"/>
        </w:rPr>
        <w:t xml:space="preserve">国家药监局. 关于实施《医疗器械临床试验质量管理规范》有关事项的通告（2022年第21号）医疗器械/体外诊断试剂临床试验严重不良事件报告表范本[2022-03-31]. </w:t>
      </w:r>
      <w:r>
        <w:rPr>
          <w:rFonts w:hint="eastAsia" w:asciiTheme="minorEastAsia" w:hAnsiTheme="minorEastAsia"/>
          <w:color w:val="auto"/>
          <w:sz w:val="24"/>
          <w:szCs w:val="24"/>
          <w:u w:val="none"/>
          <w:lang w:val="en-US" w:eastAsia="zh-CN"/>
        </w:rPr>
        <w:t>https://www.nmpa.gov.cn/ylqx/ylqxggtg/20220331161452151.html</w:t>
      </w:r>
    </w:p>
    <w:p>
      <w:pPr>
        <w:pStyle w:val="36"/>
        <w:keepNext w:val="0"/>
        <w:keepLines w:val="0"/>
        <w:pageBreakBefore w:val="0"/>
        <w:widowControl w:val="0"/>
        <w:numPr>
          <w:ilvl w:val="0"/>
          <w:numId w:val="64"/>
        </w:numPr>
        <w:tabs>
          <w:tab w:val="left" w:pos="2790"/>
        </w:tabs>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olor w:val="auto"/>
          <w:sz w:val="24"/>
          <w:szCs w:val="24"/>
          <w:lang w:val="en-US" w:eastAsia="zh-CN"/>
        </w:rPr>
      </w:pPr>
      <w:r>
        <w:rPr>
          <w:rFonts w:hint="eastAsia" w:ascii="宋体" w:hAnsi="宋体"/>
          <w:color w:val="auto"/>
          <w:sz w:val="24"/>
          <w:szCs w:val="24"/>
        </w:rPr>
        <w:t>中华人民共和国卫生部</w:t>
      </w:r>
      <w:r>
        <w:rPr>
          <w:rFonts w:hint="eastAsia" w:ascii="宋体" w:hAnsi="宋体"/>
          <w:color w:val="auto"/>
          <w:sz w:val="24"/>
          <w:szCs w:val="24"/>
          <w:lang w:val="en-US" w:eastAsia="zh-CN"/>
        </w:rPr>
        <w:t xml:space="preserve">. </w:t>
      </w:r>
      <w:r>
        <w:rPr>
          <w:rFonts w:hint="eastAsia" w:ascii="宋体" w:hAnsi="宋体"/>
          <w:color w:val="auto"/>
          <w:sz w:val="24"/>
          <w:szCs w:val="24"/>
        </w:rPr>
        <w:t>药品不良反应报告和监测管理办法</w:t>
      </w:r>
      <w:r>
        <w:rPr>
          <w:rFonts w:hint="eastAsia" w:ascii="宋体" w:hAnsi="宋体"/>
          <w:color w:val="auto"/>
          <w:sz w:val="24"/>
          <w:szCs w:val="24"/>
          <w:lang w:val="en-US" w:eastAsia="zh-CN"/>
        </w:rPr>
        <w:t xml:space="preserve">. </w:t>
      </w:r>
      <w:r>
        <w:rPr>
          <w:rFonts w:hint="eastAsia" w:ascii="宋体" w:hAnsi="宋体"/>
          <w:color w:val="auto"/>
          <w:sz w:val="24"/>
          <w:szCs w:val="24"/>
        </w:rPr>
        <w:t>（卫生部令第81号）</w:t>
      </w:r>
      <w:r>
        <w:rPr>
          <w:rFonts w:hint="eastAsia" w:ascii="宋体" w:hAnsi="宋体"/>
          <w:color w:val="auto"/>
          <w:sz w:val="24"/>
          <w:szCs w:val="24"/>
          <w:lang w:val="en-US" w:eastAsia="zh-CN"/>
        </w:rPr>
        <w:t>.2011.</w:t>
      </w:r>
    </w:p>
    <w:p>
      <w:pPr>
        <w:pStyle w:val="36"/>
        <w:keepNext w:val="0"/>
        <w:keepLines w:val="0"/>
        <w:pageBreakBefore w:val="0"/>
        <w:widowControl w:val="0"/>
        <w:numPr>
          <w:ilvl w:val="0"/>
          <w:numId w:val="64"/>
        </w:numPr>
        <w:tabs>
          <w:tab w:val="left" w:pos="2790"/>
        </w:tabs>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olor w:val="auto"/>
          <w:sz w:val="24"/>
          <w:szCs w:val="24"/>
          <w:lang w:val="en-US" w:eastAsia="zh-CN"/>
        </w:rPr>
      </w:pPr>
      <w:r>
        <w:rPr>
          <w:rFonts w:hint="eastAsia" w:ascii="宋体" w:hAnsi="宋体"/>
          <w:color w:val="auto"/>
          <w:sz w:val="24"/>
          <w:szCs w:val="24"/>
        </w:rPr>
        <w:t>国家市场监督管理总局、国家卫生健康委员</w:t>
      </w:r>
      <w:r>
        <w:rPr>
          <w:rFonts w:hint="eastAsia" w:ascii="宋体" w:hAnsi="宋体"/>
          <w:color w:val="auto"/>
          <w:sz w:val="24"/>
          <w:szCs w:val="24"/>
          <w:lang w:val="en-US" w:eastAsia="zh-CN"/>
        </w:rPr>
        <w:t xml:space="preserve"> </w:t>
      </w:r>
      <w:r>
        <w:rPr>
          <w:rFonts w:hint="eastAsia" w:ascii="宋体" w:hAnsi="宋体"/>
          <w:color w:val="auto"/>
          <w:sz w:val="24"/>
          <w:szCs w:val="24"/>
        </w:rPr>
        <w:t>医疗器械不良事件监测和再评价管理办法</w:t>
      </w:r>
      <w:r>
        <w:rPr>
          <w:rFonts w:hint="eastAsia" w:asciiTheme="minorEastAsia" w:hAnsiTheme="minorEastAsia"/>
          <w:color w:val="auto"/>
          <w:sz w:val="24"/>
          <w:szCs w:val="24"/>
          <w:lang w:val="en-US" w:eastAsia="zh-CN"/>
        </w:rPr>
        <w:t>[EB/OL]（国家市场监督管理总局令第1号）</w:t>
      </w:r>
      <w:r>
        <w:rPr>
          <w:rFonts w:hint="eastAsia" w:ascii="宋体" w:hAnsi="宋体"/>
          <w:color w:val="auto"/>
          <w:sz w:val="24"/>
          <w:szCs w:val="24"/>
          <w:lang w:val="en-US" w:eastAsia="zh-CN"/>
        </w:rPr>
        <w:t>[2018-08-31]</w:t>
      </w:r>
      <w:r>
        <w:rPr>
          <w:rFonts w:hint="eastAsia" w:ascii="宋体" w:hAnsi="宋体"/>
          <w:color w:val="auto"/>
          <w:sz w:val="24"/>
          <w:szCs w:val="24"/>
        </w:rPr>
        <w:t>.https://www.nmpa.gov.cn/xxgk/fgwj/bmgzh/20180831121501654.html</w:t>
      </w:r>
      <w:r>
        <w:rPr>
          <w:rFonts w:hint="eastAsia" w:ascii="宋体" w:hAnsi="宋体"/>
          <w:color w:val="auto"/>
          <w:sz w:val="24"/>
          <w:szCs w:val="24"/>
          <w:lang w:val="en-US" w:eastAsia="zh-CN"/>
        </w:rPr>
        <w:t>.</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lang w:val="en-US" w:eastAsia="zh-CN"/>
        </w:rPr>
        <w:t>五</w:t>
      </w:r>
      <w:r>
        <w:rPr>
          <w:rFonts w:hint="eastAsia" w:ascii="宋体" w:hAnsi="宋体"/>
          <w:color w:val="auto"/>
          <w:sz w:val="24"/>
          <w:szCs w:val="24"/>
        </w:rPr>
        <w:t>、附件</w:t>
      </w:r>
    </w:p>
    <w:p>
      <w:pPr>
        <w:spacing w:beforeLines="0" w:afterLines="0" w:line="360" w:lineRule="auto"/>
        <w:jc w:val="left"/>
        <w:rPr>
          <w:rFonts w:hint="eastAsia" w:ascii="黑体" w:hAnsi="黑体" w:eastAsia="黑体"/>
          <w:color w:val="auto"/>
          <w:sz w:val="24"/>
          <w:szCs w:val="24"/>
        </w:rPr>
      </w:pPr>
    </w:p>
    <w:p>
      <w:pPr>
        <w:spacing w:beforeLines="0" w:afterLines="0" w:line="360" w:lineRule="auto"/>
        <w:jc w:val="left"/>
        <w:rPr>
          <w:rFonts w:hint="eastAsia" w:ascii="黑体" w:hAnsi="黑体" w:eastAsia="黑体"/>
          <w:color w:val="auto"/>
          <w:sz w:val="24"/>
          <w:szCs w:val="24"/>
        </w:rPr>
      </w:pPr>
    </w:p>
    <w:p>
      <w:pPr>
        <w:spacing w:beforeLines="0" w:afterLines="0" w:line="360" w:lineRule="auto"/>
        <w:jc w:val="left"/>
        <w:rPr>
          <w:rFonts w:hint="eastAsia" w:ascii="黑体" w:hAnsi="黑体" w:eastAsia="黑体"/>
          <w:color w:val="auto"/>
          <w:sz w:val="24"/>
          <w:szCs w:val="24"/>
        </w:rPr>
      </w:pPr>
      <w:r>
        <w:rPr>
          <w:rFonts w:hint="eastAsia" w:ascii="黑体" w:hAnsi="黑体" w:eastAsia="黑体"/>
          <w:color w:val="auto"/>
          <w:sz w:val="24"/>
          <w:szCs w:val="24"/>
        </w:rPr>
        <w:t>附件1  定义</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药物临床试验中：</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1.不良事件，指受试者接受试验用药品后出现的所有不良医学事件，可以表现为症状体征、疾病或者实验室检查异常，但不一定与试验用药品有因果关系。</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2.严重不良事件，指受试者接受试验用药品后出现死亡、危及生命、永久或者严重的残疾或者功能丧失、受试者需要住院治疗或者延长住院时间，以及先天性异常或者出生缺陷等不良医学事件。</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3.药物不良反应，指临床试验中发生的任何与试验用药品可能有关的对人体有害或者非期望的反应。试验用药品与不良事件之间的因果关系至少有一个合理的可能性，即不能排除相关性。</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4.可疑且非预期严重不良反应，指临床表现的性质和严重程度超出了试验药物研究者手册、已上市药品的说明书或者产品特性摘要等已有资料信息的可疑并且非预期的严重不良反应。</w:t>
      </w:r>
    </w:p>
    <w:p>
      <w:pPr>
        <w:spacing w:beforeLines="0" w:afterLines="0" w:line="360" w:lineRule="auto"/>
        <w:jc w:val="left"/>
        <w:rPr>
          <w:rFonts w:hint="eastAsia" w:ascii="宋体" w:hAnsi="宋体" w:eastAsia="宋体"/>
          <w:color w:val="auto"/>
          <w:sz w:val="24"/>
          <w:szCs w:val="24"/>
          <w:lang w:eastAsia="zh-CN"/>
        </w:rPr>
      </w:pPr>
      <w:r>
        <w:rPr>
          <w:rFonts w:hint="eastAsia" w:ascii="宋体" w:hAnsi="宋体"/>
          <w:color w:val="auto"/>
          <w:sz w:val="24"/>
          <w:szCs w:val="24"/>
        </w:rPr>
        <w:t>医疗器械临床试验中</w:t>
      </w:r>
      <w:r>
        <w:rPr>
          <w:rFonts w:hint="eastAsia" w:ascii="宋体" w:hAnsi="宋体"/>
          <w:color w:val="auto"/>
          <w:sz w:val="24"/>
          <w:szCs w:val="24"/>
          <w:lang w:eastAsia="zh-CN"/>
        </w:rPr>
        <w:t>：</w:t>
      </w:r>
    </w:p>
    <w:p>
      <w:pPr>
        <w:numPr>
          <w:ilvl w:val="0"/>
          <w:numId w:val="0"/>
        </w:numPr>
        <w:spacing w:beforeLines="0" w:afterLines="0" w:line="360" w:lineRule="auto"/>
        <w:jc w:val="left"/>
        <w:rPr>
          <w:rFonts w:hint="eastAsia" w:ascii="宋体" w:hAnsi="宋体" w:eastAsia="宋体"/>
          <w:color w:val="auto"/>
          <w:sz w:val="24"/>
          <w:szCs w:val="24"/>
        </w:rPr>
      </w:pPr>
      <w:r>
        <w:rPr>
          <w:rFonts w:hint="eastAsia" w:ascii="宋体" w:hAnsi="宋体" w:eastAsia="宋体"/>
          <w:color w:val="auto"/>
          <w:sz w:val="24"/>
          <w:szCs w:val="24"/>
          <w:lang w:val="en-US" w:eastAsia="zh-CN"/>
        </w:rPr>
        <w:t>1.</w:t>
      </w:r>
      <w:r>
        <w:rPr>
          <w:rFonts w:hint="eastAsia" w:ascii="宋体" w:hAnsi="宋体" w:eastAsia="宋体"/>
          <w:color w:val="auto"/>
          <w:sz w:val="24"/>
          <w:szCs w:val="24"/>
        </w:rPr>
        <w:t>不良事件，是指在医疗器械临床试验过程中出现的不良医学事件，无论是否与试验医疗器械相关。</w:t>
      </w:r>
    </w:p>
    <w:p>
      <w:pPr>
        <w:spacing w:beforeLines="0" w:afterLines="0" w:line="360" w:lineRule="auto"/>
        <w:jc w:val="left"/>
        <w:rPr>
          <w:rFonts w:hint="eastAsia" w:ascii="宋体" w:hAnsi="宋体" w:eastAsia="宋体"/>
          <w:color w:val="auto"/>
          <w:sz w:val="24"/>
          <w:szCs w:val="24"/>
        </w:rPr>
      </w:pPr>
      <w:r>
        <w:rPr>
          <w:rFonts w:hint="eastAsia" w:ascii="宋体" w:hAnsi="宋体" w:eastAsia="宋体"/>
          <w:color w:val="auto"/>
          <w:sz w:val="24"/>
          <w:szCs w:val="24"/>
          <w:lang w:val="en-US" w:eastAsia="zh-CN"/>
        </w:rPr>
        <w:t>2.</w:t>
      </w:r>
      <w:r>
        <w:rPr>
          <w:rFonts w:hint="eastAsia" w:ascii="宋体" w:hAnsi="宋体" w:eastAsia="宋体"/>
          <w:color w:val="auto"/>
          <w:sz w:val="24"/>
          <w:szCs w:val="24"/>
        </w:rPr>
        <w:t>严重不良事件，是指医疗器械临床试验过程中发生的导致死亡或者健康状况严重恶化，包括致命的疾病或者伤害、身体结构或者身体功能的永久性缺陷、需要住院治疗或者延长住院时间、需要采取医疗措施以避免对身体结构或者身体功能造成永久性缺陷；导致胎儿窘迫、胎儿死亡或者先天性异常、先天缺损等事件。</w:t>
      </w:r>
    </w:p>
    <w:p>
      <w:pPr>
        <w:spacing w:beforeLines="0" w:afterLines="0" w:line="360" w:lineRule="auto"/>
        <w:rPr>
          <w:rFonts w:hint="eastAsia" w:ascii="黑体" w:hAnsi="黑体" w:eastAsia="黑体"/>
          <w:color w:val="auto"/>
          <w:sz w:val="24"/>
          <w:szCs w:val="24"/>
        </w:rPr>
      </w:pPr>
      <w:r>
        <w:rPr>
          <w:rFonts w:hint="eastAsia" w:ascii="黑体" w:hAnsi="黑体" w:eastAsia="黑体"/>
          <w:color w:val="auto"/>
          <w:sz w:val="24"/>
          <w:szCs w:val="24"/>
        </w:rPr>
        <w:t>附件</w:t>
      </w:r>
      <w:r>
        <w:rPr>
          <w:rFonts w:hint="eastAsia" w:ascii="黑体" w:hAnsi="黑体" w:eastAsia="黑体"/>
          <w:color w:val="auto"/>
          <w:sz w:val="24"/>
          <w:szCs w:val="24"/>
          <w:lang w:val="en-US" w:eastAsia="zh-CN"/>
        </w:rPr>
        <w:t>2 Y药物临床试验过程中</w:t>
      </w:r>
      <w:r>
        <w:rPr>
          <w:rFonts w:hint="eastAsia" w:ascii="黑体" w:hAnsi="黑体" w:eastAsia="黑体"/>
          <w:color w:val="auto"/>
          <w:sz w:val="24"/>
          <w:szCs w:val="24"/>
        </w:rPr>
        <w:t>不良事件与药物因果关系判断</w:t>
      </w:r>
    </w:p>
    <w:p>
      <w:pPr>
        <w:spacing w:beforeLines="0" w:afterLines="0" w:line="360" w:lineRule="auto"/>
        <w:ind w:firstLine="592" w:firstLineChars="247"/>
        <w:rPr>
          <w:rFonts w:hint="eastAsia" w:ascii="宋体" w:hAnsi="宋体"/>
          <w:color w:val="auto"/>
          <w:sz w:val="24"/>
          <w:szCs w:val="24"/>
        </w:rPr>
      </w:pPr>
      <w:r>
        <w:rPr>
          <w:rFonts w:hint="eastAsia" w:ascii="宋体" w:hAnsi="宋体"/>
          <w:color w:val="auto"/>
          <w:sz w:val="24"/>
          <w:szCs w:val="24"/>
        </w:rPr>
        <w:t>不良事件与药物因果关系判断</w:t>
      </w:r>
    </w:p>
    <w:p>
      <w:pPr>
        <w:spacing w:beforeLines="0" w:afterLines="0" w:line="360" w:lineRule="auto"/>
        <w:ind w:firstLine="480" w:firstLineChars="200"/>
        <w:jc w:val="left"/>
        <w:rPr>
          <w:rFonts w:hint="eastAsia" w:ascii="宋体" w:hAnsi="宋体"/>
          <w:color w:val="auto"/>
          <w:sz w:val="24"/>
          <w:szCs w:val="24"/>
        </w:rPr>
      </w:pPr>
      <w:r>
        <w:rPr>
          <w:rFonts w:hint="eastAsia" w:ascii="宋体" w:hAnsi="宋体"/>
          <w:color w:val="auto"/>
          <w:sz w:val="24"/>
          <w:szCs w:val="24"/>
        </w:rPr>
        <w:t xml:space="preserve"> 1．因果判断的有关指标：①开始用药时间与可疑不良反应出现时间有无合理的先后关系。②可疑的不良反应是否符合该药物已知的不良反应类型。③停药或降低用量，可疑不良反应能否减轻或消失。④再次接触同样药物后是否再次出现同样反应。⑤可疑的不良反应是否可以用相关的病理状况、合并用药、现用疗法、曾用疗法来解释。</w:t>
      </w:r>
    </w:p>
    <w:p>
      <w:pPr>
        <w:spacing w:beforeLines="0" w:afterLines="0" w:line="360" w:lineRule="auto"/>
        <w:ind w:firstLine="480" w:firstLineChars="200"/>
        <w:jc w:val="left"/>
        <w:rPr>
          <w:rFonts w:hint="eastAsia" w:ascii="宋体" w:hAnsi="宋体"/>
          <w:color w:val="auto"/>
          <w:sz w:val="24"/>
          <w:szCs w:val="24"/>
        </w:rPr>
      </w:pPr>
      <w:r>
        <w:rPr>
          <w:rFonts w:hint="eastAsia" w:ascii="宋体" w:hAnsi="宋体"/>
          <w:color w:val="auto"/>
          <w:sz w:val="24"/>
          <w:szCs w:val="24"/>
        </w:rPr>
        <w:t xml:space="preserve"> 2．因果关系的判断：依据上述五个指标，分析因果关系。五分法：肯定无关、肯定有关、可能无关、可能有关、无法判定。</w:t>
      </w:r>
    </w:p>
    <w:p>
      <w:pPr>
        <w:spacing w:beforeLines="0" w:afterLines="0" w:line="360" w:lineRule="auto"/>
        <w:jc w:val="left"/>
        <w:rPr>
          <w:rFonts w:hint="eastAsia" w:ascii="黑体" w:hAnsi="黑体" w:eastAsia="黑体" w:cs="宋体"/>
          <w:color w:val="auto"/>
          <w:sz w:val="24"/>
          <w:szCs w:val="24"/>
        </w:rPr>
      </w:pPr>
    </w:p>
    <w:p>
      <w:pPr>
        <w:spacing w:beforeLines="0" w:afterLines="0" w:line="360" w:lineRule="auto"/>
        <w:jc w:val="left"/>
        <w:rPr>
          <w:rFonts w:hint="eastAsia" w:ascii="黑体" w:hAnsi="黑体" w:eastAsia="黑体" w:cs="宋体"/>
          <w:color w:val="auto"/>
          <w:sz w:val="24"/>
          <w:szCs w:val="24"/>
        </w:rPr>
      </w:pPr>
      <w:r>
        <w:rPr>
          <w:rFonts w:hint="eastAsia" w:ascii="黑体" w:hAnsi="黑体" w:eastAsia="黑体" w:cs="宋体"/>
          <w:color w:val="auto"/>
          <w:sz w:val="24"/>
          <w:szCs w:val="24"/>
        </w:rPr>
        <w:t>附件3  NMPA推荐的不良反应分析方法</w:t>
      </w:r>
    </w:p>
    <w:p>
      <w:pPr>
        <w:spacing w:beforeLines="0" w:afterLines="0" w:line="360" w:lineRule="auto"/>
        <w:ind w:firstLine="2373" w:firstLineChars="1130"/>
        <w:rPr>
          <w:rFonts w:hint="eastAsia" w:ascii="宋体" w:hAnsi="宋体" w:cs="宋体"/>
          <w:color w:val="auto"/>
          <w:sz w:val="21"/>
          <w:szCs w:val="21"/>
        </w:rPr>
      </w:pPr>
      <w:r>
        <w:rPr>
          <w:rFonts w:hint="eastAsia" w:ascii="宋体" w:hAnsi="宋体" w:cs="宋体"/>
          <w:color w:val="auto"/>
          <w:sz w:val="21"/>
          <w:szCs w:val="21"/>
        </w:rPr>
        <w:t>NMPA推荐的不良反应分析方法</w:t>
      </w:r>
    </w:p>
    <w:tbl>
      <w:tblPr>
        <w:tblStyle w:val="27"/>
        <w:tblW w:w="88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43"/>
        <w:gridCol w:w="1134"/>
        <w:gridCol w:w="1134"/>
        <w:gridCol w:w="1134"/>
        <w:gridCol w:w="1134"/>
        <w:gridCol w:w="1121"/>
        <w:gridCol w:w="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Pr>
        <w:tc>
          <w:tcPr>
            <w:tcW w:w="2943" w:type="dxa"/>
            <w:tcBorders>
              <w:top w:val="single" w:color="auto" w:sz="4" w:space="0"/>
              <w:left w:val="single" w:color="000000" w:sz="4" w:space="0"/>
              <w:bottom w:val="single" w:color="000000" w:sz="4" w:space="0"/>
              <w:right w:val="single" w:color="000000" w:sz="4" w:space="0"/>
              <w:tl2br w:val="nil"/>
              <w:tr2bl w:val="nil"/>
            </w:tcBorders>
            <w:vAlign w:val="center"/>
          </w:tcPr>
          <w:p>
            <w:pPr>
              <w:spacing w:beforeLines="0" w:afterLines="0"/>
              <w:ind w:firstLine="735" w:firstLineChars="350"/>
              <w:jc w:val="center"/>
              <w:rPr>
                <w:rFonts w:hint="default"/>
                <w:color w:val="auto"/>
                <w:sz w:val="21"/>
                <w:szCs w:val="22"/>
              </w:rPr>
            </w:pPr>
            <w:r>
              <w:rPr>
                <w:rFonts w:hint="eastAsia"/>
                <w:color w:val="auto"/>
                <w:sz w:val="21"/>
                <w:szCs w:val="22"/>
              </w:rPr>
              <w:t>指标</w:t>
            </w:r>
          </w:p>
        </w:tc>
        <w:tc>
          <w:tcPr>
            <w:tcW w:w="1134" w:type="dxa"/>
            <w:tcBorders>
              <w:top w:val="single" w:color="auto"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color w:val="auto"/>
                <w:sz w:val="21"/>
                <w:szCs w:val="22"/>
              </w:rPr>
            </w:pPr>
            <w:r>
              <w:rPr>
                <w:rFonts w:hint="eastAsia"/>
                <w:color w:val="auto"/>
                <w:sz w:val="21"/>
                <w:szCs w:val="22"/>
              </w:rPr>
              <w:t>肯定相关</w:t>
            </w:r>
          </w:p>
        </w:tc>
        <w:tc>
          <w:tcPr>
            <w:tcW w:w="1134" w:type="dxa"/>
            <w:tcBorders>
              <w:top w:val="single" w:color="auto"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color w:val="auto"/>
                <w:sz w:val="21"/>
                <w:szCs w:val="22"/>
              </w:rPr>
            </w:pPr>
            <w:r>
              <w:rPr>
                <w:rFonts w:hint="eastAsia"/>
                <w:color w:val="auto"/>
                <w:sz w:val="21"/>
                <w:szCs w:val="22"/>
              </w:rPr>
              <w:t>很可能相关</w:t>
            </w:r>
          </w:p>
        </w:tc>
        <w:tc>
          <w:tcPr>
            <w:tcW w:w="1134" w:type="dxa"/>
            <w:tcBorders>
              <w:top w:val="single" w:color="auto"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color w:val="auto"/>
                <w:sz w:val="21"/>
                <w:szCs w:val="22"/>
              </w:rPr>
            </w:pPr>
            <w:r>
              <w:rPr>
                <w:rFonts w:hint="eastAsia"/>
                <w:color w:val="auto"/>
                <w:sz w:val="21"/>
                <w:szCs w:val="22"/>
              </w:rPr>
              <w:t>有可能相关</w:t>
            </w:r>
          </w:p>
        </w:tc>
        <w:tc>
          <w:tcPr>
            <w:tcW w:w="1134" w:type="dxa"/>
            <w:tcBorders>
              <w:top w:val="single" w:color="auto"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color w:val="auto"/>
                <w:sz w:val="21"/>
                <w:szCs w:val="22"/>
              </w:rPr>
            </w:pPr>
            <w:r>
              <w:rPr>
                <w:rFonts w:hint="eastAsia"/>
                <w:color w:val="auto"/>
                <w:sz w:val="21"/>
                <w:szCs w:val="22"/>
              </w:rPr>
              <w:t>可疑/可能无关</w:t>
            </w:r>
          </w:p>
        </w:tc>
        <w:tc>
          <w:tcPr>
            <w:tcW w:w="1121" w:type="dxa"/>
            <w:tcBorders>
              <w:top w:val="single" w:color="auto"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color w:val="auto"/>
                <w:sz w:val="21"/>
                <w:szCs w:val="22"/>
              </w:rPr>
            </w:pPr>
            <w:r>
              <w:rPr>
                <w:rFonts w:hint="eastAsia"/>
                <w:color w:val="auto"/>
                <w:sz w:val="21"/>
                <w:szCs w:val="22"/>
              </w:rPr>
              <w:t>不可能/无关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4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jc w:val="left"/>
              <w:rPr>
                <w:rFonts w:hint="default"/>
                <w:color w:val="auto"/>
                <w:sz w:val="21"/>
                <w:szCs w:val="22"/>
              </w:rPr>
            </w:pPr>
            <w:r>
              <w:rPr>
                <w:rFonts w:hint="eastAsia"/>
                <w:color w:val="auto"/>
                <w:sz w:val="21"/>
                <w:szCs w:val="22"/>
              </w:rPr>
              <w:t>与用药有合理的时间顺序</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rPr>
                <w:rFonts w:hint="default"/>
                <w:color w:val="auto"/>
                <w:sz w:val="21"/>
                <w:szCs w:val="22"/>
              </w:rPr>
            </w:pPr>
            <w:r>
              <w:rPr>
                <w:rFonts w:hint="eastAsia"/>
                <w:color w:val="auto"/>
                <w:sz w:val="21"/>
                <w:szCs w:val="22"/>
              </w:rPr>
              <w:t>+</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color w:val="auto"/>
                <w:sz w:val="21"/>
                <w:szCs w:val="22"/>
              </w:rPr>
              <w:t>+</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color w:val="auto"/>
                <w:sz w:val="21"/>
                <w:szCs w:val="22"/>
              </w:rPr>
              <w:t>+</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color w:val="auto"/>
                <w:sz w:val="21"/>
                <w:szCs w:val="22"/>
              </w:rPr>
              <w:t>+</w:t>
            </w:r>
          </w:p>
        </w:tc>
        <w:tc>
          <w:tcPr>
            <w:tcW w:w="1121" w:type="dxa"/>
            <w:tcBorders>
              <w:top w:val="single" w:color="000000" w:sz="4" w:space="0"/>
              <w:left w:val="single" w:color="000000" w:sz="4" w:space="0"/>
              <w:bottom w:val="single" w:color="000000" w:sz="4" w:space="0"/>
              <w:right w:val="single" w:color="auto" w:sz="4" w:space="0"/>
              <w:tl2br w:val="nil"/>
              <w:tr2bl w:val="nil"/>
            </w:tcBorders>
            <w:vAlign w:val="top"/>
          </w:tcPr>
          <w:p>
            <w:pPr>
              <w:pStyle w:val="36"/>
              <w:spacing w:beforeLines="0" w:afterLines="0" w:line="360" w:lineRule="auto"/>
              <w:ind w:left="360" w:firstLine="0" w:firstLineChars="0"/>
              <w:jc w:val="left"/>
              <w:rPr>
                <w:rFonts w:hint="default"/>
                <w:color w:val="auto"/>
                <w:sz w:val="21"/>
                <w:szCs w:val="22"/>
              </w:rPr>
            </w:pPr>
            <w:r>
              <w:rPr>
                <w:rFonts w:hint="eastAsia"/>
                <w:color w:val="auto"/>
                <w:sz w:val="21"/>
                <w:szCs w:val="22"/>
              </w:rPr>
              <w:t>-</w:t>
            </w:r>
          </w:p>
        </w:tc>
        <w:tc>
          <w:tcPr>
            <w:tcW w:w="236" w:type="dxa"/>
            <w:tcBorders>
              <w:top w:val="nil"/>
              <w:left w:val="single" w:color="auto" w:sz="4" w:space="0"/>
              <w:bottom w:val="nil"/>
              <w:right w:val="nil"/>
              <w:tl2br w:val="nil"/>
              <w:tr2bl w:val="nil"/>
            </w:tcBorders>
            <w:vAlign w:val="top"/>
          </w:tcPr>
          <w:p>
            <w:pPr>
              <w:spacing w:beforeLines="0" w:afterLines="0" w:line="360" w:lineRule="auto"/>
              <w:jc w:val="left"/>
              <w:rPr>
                <w:rFonts w:hint="default"/>
                <w:color w:val="auto"/>
                <w:sz w:val="21"/>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Pr>
        <w:tc>
          <w:tcPr>
            <w:tcW w:w="294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jc w:val="left"/>
              <w:rPr>
                <w:rFonts w:hint="default"/>
                <w:color w:val="auto"/>
                <w:sz w:val="21"/>
                <w:szCs w:val="22"/>
              </w:rPr>
            </w:pPr>
            <w:r>
              <w:rPr>
                <w:rFonts w:hint="eastAsia"/>
                <w:color w:val="auto"/>
                <w:sz w:val="21"/>
                <w:szCs w:val="22"/>
              </w:rPr>
              <w:t>符合已知的药物反应类型</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color w:val="auto"/>
                <w:sz w:val="21"/>
                <w:szCs w:val="22"/>
              </w:rPr>
              <w:t>+</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color w:val="auto"/>
                <w:sz w:val="21"/>
                <w:szCs w:val="22"/>
              </w:rPr>
              <w:t>+</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color w:val="auto"/>
                <w:sz w:val="21"/>
                <w:szCs w:val="22"/>
              </w:rPr>
              <w:t>+</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color w:val="auto"/>
                <w:sz w:val="21"/>
                <w:szCs w:val="22"/>
              </w:rPr>
              <w:t>+</w:t>
            </w:r>
          </w:p>
        </w:tc>
        <w:tc>
          <w:tcPr>
            <w:tcW w:w="1121"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jc w:val="left"/>
              <w:rPr>
                <w:rFonts w:hint="default"/>
                <w:color w:val="auto"/>
                <w:sz w:val="21"/>
                <w:szCs w:val="22"/>
              </w:rPr>
            </w:pPr>
            <w:r>
              <w:rPr>
                <w:rFonts w:hint="eastAsia"/>
                <w:color w:val="auto"/>
                <w:sz w:val="21"/>
                <w:szCs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Pr>
        <w:tc>
          <w:tcPr>
            <w:tcW w:w="294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jc w:val="left"/>
              <w:rPr>
                <w:rFonts w:hint="default"/>
                <w:color w:val="auto"/>
                <w:sz w:val="21"/>
                <w:szCs w:val="22"/>
              </w:rPr>
            </w:pPr>
            <w:r>
              <w:rPr>
                <w:rFonts w:hint="eastAsia"/>
                <w:color w:val="auto"/>
                <w:sz w:val="21"/>
                <w:szCs w:val="22"/>
              </w:rPr>
              <w:t>停药后反应减轻或消失</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color w:val="auto"/>
                <w:sz w:val="21"/>
                <w:szCs w:val="22"/>
              </w:rPr>
              <w:t xml:space="preserve">+ </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color w:val="auto"/>
                <w:sz w:val="21"/>
                <w:szCs w:val="22"/>
              </w:rPr>
              <w:t>+</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ascii="宋体" w:hAnsi="宋体"/>
                <w:color w:val="auto"/>
                <w:sz w:val="21"/>
                <w:szCs w:val="22"/>
              </w:rPr>
              <w:t>±</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ascii="宋体" w:hAnsi="宋体"/>
                <w:color w:val="auto"/>
                <w:sz w:val="21"/>
                <w:szCs w:val="22"/>
              </w:rPr>
              <w:t>±</w:t>
            </w:r>
          </w:p>
        </w:tc>
        <w:tc>
          <w:tcPr>
            <w:tcW w:w="1121"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jc w:val="left"/>
              <w:rPr>
                <w:rFonts w:hint="default"/>
                <w:color w:val="auto"/>
                <w:sz w:val="21"/>
                <w:szCs w:val="22"/>
              </w:rPr>
            </w:pPr>
            <w:r>
              <w:rPr>
                <w:rFonts w:hint="eastAsia"/>
                <w:color w:val="auto"/>
                <w:sz w:val="21"/>
                <w:szCs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Pr>
        <w:tc>
          <w:tcPr>
            <w:tcW w:w="294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jc w:val="left"/>
              <w:rPr>
                <w:rFonts w:hint="default"/>
                <w:color w:val="auto"/>
                <w:sz w:val="21"/>
                <w:szCs w:val="22"/>
              </w:rPr>
            </w:pPr>
            <w:r>
              <w:rPr>
                <w:rFonts w:hint="eastAsia"/>
                <w:color w:val="auto"/>
                <w:sz w:val="21"/>
                <w:szCs w:val="22"/>
              </w:rPr>
              <w:t>再次给药后反应反复出现</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color w:val="auto"/>
                <w:sz w:val="21"/>
                <w:szCs w:val="22"/>
              </w:rPr>
              <w:t>+</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color w:val="auto"/>
                <w:sz w:val="21"/>
                <w:szCs w:val="22"/>
              </w:rPr>
              <w:t>？</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color w:val="auto"/>
                <w:sz w:val="21"/>
                <w:szCs w:val="22"/>
              </w:rPr>
              <w:t>？</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color w:val="auto"/>
                <w:sz w:val="21"/>
                <w:szCs w:val="22"/>
              </w:rPr>
              <w:t>？</w:t>
            </w:r>
          </w:p>
        </w:tc>
        <w:tc>
          <w:tcPr>
            <w:tcW w:w="1121"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jc w:val="left"/>
              <w:rPr>
                <w:rFonts w:hint="default"/>
                <w:color w:val="auto"/>
                <w:sz w:val="21"/>
                <w:szCs w:val="22"/>
              </w:rPr>
            </w:pPr>
            <w:r>
              <w:rPr>
                <w:rFonts w:hint="eastAsia"/>
                <w:color w:val="auto"/>
                <w:sz w:val="21"/>
                <w:szCs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Pr>
        <w:tc>
          <w:tcPr>
            <w:tcW w:w="294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jc w:val="left"/>
              <w:rPr>
                <w:rFonts w:hint="default"/>
                <w:color w:val="auto"/>
                <w:sz w:val="21"/>
                <w:szCs w:val="22"/>
              </w:rPr>
            </w:pPr>
            <w:r>
              <w:rPr>
                <w:rFonts w:hint="eastAsia"/>
                <w:color w:val="auto"/>
                <w:sz w:val="21"/>
                <w:szCs w:val="22"/>
              </w:rPr>
              <w:t>无法用疾病、合并用药等解释</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color w:val="auto"/>
                <w:sz w:val="21"/>
                <w:szCs w:val="22"/>
              </w:rPr>
              <w:t>+</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color w:val="auto"/>
                <w:sz w:val="21"/>
                <w:szCs w:val="22"/>
              </w:rPr>
              <w:t>+</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color w:val="auto"/>
                <w:sz w:val="21"/>
                <w:szCs w:val="22"/>
              </w:rPr>
              <w:t>-</w:t>
            </w:r>
          </w:p>
        </w:tc>
        <w:tc>
          <w:tcPr>
            <w:tcW w:w="113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ind w:firstLine="420" w:firstLineChars="200"/>
              <w:jc w:val="left"/>
              <w:rPr>
                <w:rFonts w:hint="default"/>
                <w:color w:val="auto"/>
                <w:sz w:val="21"/>
                <w:szCs w:val="22"/>
              </w:rPr>
            </w:pPr>
            <w:r>
              <w:rPr>
                <w:rFonts w:hint="eastAsia" w:ascii="宋体" w:hAnsi="宋体"/>
                <w:color w:val="auto"/>
                <w:sz w:val="21"/>
                <w:szCs w:val="22"/>
              </w:rPr>
              <w:t>±</w:t>
            </w:r>
          </w:p>
        </w:tc>
        <w:tc>
          <w:tcPr>
            <w:tcW w:w="1121"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Lines="0" w:afterLines="0" w:line="360" w:lineRule="auto"/>
              <w:jc w:val="left"/>
              <w:rPr>
                <w:rFonts w:hint="default"/>
                <w:color w:val="auto"/>
                <w:sz w:val="21"/>
                <w:szCs w:val="22"/>
              </w:rPr>
            </w:pPr>
            <w:r>
              <w:rPr>
                <w:rFonts w:hint="eastAsia"/>
                <w:color w:val="auto"/>
                <w:sz w:val="21"/>
                <w:szCs w:val="22"/>
              </w:rPr>
              <w:t xml:space="preserve">    </w:t>
            </w:r>
          </w:p>
        </w:tc>
      </w:tr>
    </w:tbl>
    <w:p>
      <w:pPr>
        <w:spacing w:beforeLines="0" w:afterLines="0" w:line="360" w:lineRule="auto"/>
        <w:rPr>
          <w:rFonts w:hint="eastAsia" w:ascii="宋体" w:hAnsi="宋体"/>
          <w:color w:val="auto"/>
          <w:sz w:val="24"/>
          <w:szCs w:val="24"/>
        </w:rPr>
      </w:pPr>
      <w:r>
        <w:rPr>
          <w:rFonts w:hint="eastAsia" w:ascii="宋体" w:hAnsi="宋体"/>
          <w:color w:val="auto"/>
          <w:sz w:val="24"/>
          <w:szCs w:val="24"/>
        </w:rPr>
        <w:t>无关：不良事件与药物的使用无相关性。</w:t>
      </w:r>
    </w:p>
    <w:p>
      <w:pPr>
        <w:spacing w:beforeLines="0" w:afterLines="0" w:line="360" w:lineRule="auto"/>
        <w:rPr>
          <w:rFonts w:hint="eastAsia" w:ascii="宋体" w:hAnsi="宋体"/>
          <w:color w:val="auto"/>
          <w:sz w:val="24"/>
          <w:szCs w:val="24"/>
        </w:rPr>
      </w:pPr>
      <w:r>
        <w:rPr>
          <w:rFonts w:hint="eastAsia" w:ascii="宋体" w:hAnsi="宋体"/>
          <w:color w:val="auto"/>
          <w:sz w:val="24"/>
          <w:szCs w:val="24"/>
        </w:rPr>
        <w:t>可能无关：不良事件的发生更可能与其他因素有关，如合并用药或伴随疾病、事件发生的时间表明它不太可能与试验药物的使用有因果关系。</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 xml:space="preserve">可能有关：不良事件的发生可能由试验药物引起。不能排除是否可能由其他因素引起，如合并用药或伴随疾病。不良事件的发生与试验用药使用有合理的时间顺序，不能排除事件和试验药物使用的因果关系、撤药反应缺乏或者不清楚。             </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无法判定：不良事件的发生可能由试验药物的使用导致。事件发生与试验药物使用有合理的时间顺序，如撤药反应得到证实。不太可能有另外的解释，如合并用药或伴随疾病。</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肯定有关：不良事件的类型已被确认肯定是药物出现的不良反应，而且不能用其他理由解释，如合并用药和伴随疾病。事件发生的时间强烈提示因果关系，如撤药及再次服药后的反应。</w:t>
      </w:r>
    </w:p>
    <w:p>
      <w:pPr>
        <w:spacing w:beforeLines="0" w:afterLines="0" w:line="360" w:lineRule="auto"/>
        <w:jc w:val="left"/>
        <w:rPr>
          <w:rFonts w:hint="default" w:ascii="黑体" w:hAnsi="黑体" w:eastAsia="黑体" w:cs="宋体"/>
          <w:color w:val="auto"/>
          <w:sz w:val="24"/>
          <w:szCs w:val="24"/>
          <w:lang w:val="en-US" w:eastAsia="zh-CN"/>
        </w:rPr>
      </w:pPr>
      <w:r>
        <w:rPr>
          <w:rFonts w:hint="eastAsia" w:ascii="黑体" w:hAnsi="黑体" w:eastAsia="黑体" w:cs="宋体"/>
          <w:color w:val="auto"/>
          <w:sz w:val="24"/>
          <w:szCs w:val="24"/>
        </w:rPr>
        <w:t>附件</w:t>
      </w:r>
      <w:r>
        <w:rPr>
          <w:rFonts w:hint="eastAsia" w:ascii="黑体" w:hAnsi="黑体" w:eastAsia="黑体" w:cs="宋体"/>
          <w:color w:val="auto"/>
          <w:sz w:val="24"/>
          <w:szCs w:val="24"/>
          <w:lang w:val="en-US" w:eastAsia="zh-CN"/>
        </w:rPr>
        <w:t>4</w:t>
      </w:r>
      <w:r>
        <w:rPr>
          <w:rFonts w:hint="eastAsia" w:ascii="黑体" w:hAnsi="黑体" w:eastAsia="黑体" w:cs="宋体"/>
          <w:color w:val="auto"/>
          <w:sz w:val="24"/>
          <w:szCs w:val="24"/>
        </w:rPr>
        <w:t xml:space="preserve">  </w:t>
      </w:r>
      <w:r>
        <w:rPr>
          <w:rFonts w:hint="eastAsia" w:ascii="黑体" w:hAnsi="黑体" w:eastAsia="黑体" w:cs="宋体"/>
          <w:color w:val="auto"/>
          <w:sz w:val="24"/>
          <w:szCs w:val="24"/>
          <w:lang w:val="en-US" w:eastAsia="zh-CN"/>
        </w:rPr>
        <w:t>医疗器械临床试验中不良事件与试验医疗器械因果关系判断</w:t>
      </w:r>
    </w:p>
    <w:p>
      <w:pPr>
        <w:spacing w:beforeLines="0" w:afterLines="0" w:line="360" w:lineRule="auto"/>
        <w:ind w:firstLine="480" w:firstLineChars="200"/>
        <w:jc w:val="left"/>
        <w:rPr>
          <w:rFonts w:hint="eastAsia" w:ascii="宋体" w:hAnsi="宋体" w:eastAsia="宋体"/>
          <w:color w:val="auto"/>
          <w:sz w:val="24"/>
          <w:szCs w:val="24"/>
        </w:rPr>
      </w:pPr>
      <w:r>
        <w:rPr>
          <w:rFonts w:hint="eastAsia" w:ascii="宋体" w:hAnsi="宋体" w:eastAsia="宋体"/>
          <w:color w:val="auto"/>
          <w:sz w:val="24"/>
          <w:szCs w:val="24"/>
          <w:lang w:val="en-US" w:eastAsia="zh-CN"/>
        </w:rPr>
        <w:t>1.</w:t>
      </w:r>
      <w:r>
        <w:rPr>
          <w:rFonts w:hint="eastAsia" w:ascii="宋体" w:hAnsi="宋体" w:eastAsia="宋体"/>
          <w:color w:val="auto"/>
          <w:sz w:val="24"/>
          <w:szCs w:val="24"/>
        </w:rPr>
        <w:t>与试验医疗器械有关：（1）两者存在合理时间关系；（2）试验医疗器械已知风险或者可以用试验医疗器械的机理去解释；（3）停止使用后伤害减轻或者消失；（4）再次使用后伤害再次出现；（5）无法用其他影响因素解释。同时满足其中五条判断为“肯定有关”；满足其中两条判断为“可能有关”。</w:t>
      </w:r>
    </w:p>
    <w:p>
      <w:pPr>
        <w:spacing w:beforeLines="0" w:afterLines="0" w:line="360" w:lineRule="auto"/>
        <w:ind w:firstLine="480" w:firstLineChars="200"/>
        <w:jc w:val="left"/>
        <w:rPr>
          <w:rFonts w:hint="eastAsia" w:ascii="宋体" w:hAnsi="宋体" w:eastAsia="宋体"/>
          <w:color w:val="auto"/>
          <w:sz w:val="24"/>
          <w:szCs w:val="24"/>
        </w:rPr>
      </w:pPr>
      <w:r>
        <w:rPr>
          <w:rFonts w:hint="eastAsia" w:ascii="宋体" w:hAnsi="宋体" w:eastAsia="宋体"/>
          <w:color w:val="auto"/>
          <w:sz w:val="24"/>
          <w:szCs w:val="24"/>
          <w:lang w:val="en-US" w:eastAsia="zh-CN"/>
        </w:rPr>
        <w:t>2.</w:t>
      </w:r>
      <w:r>
        <w:rPr>
          <w:rFonts w:hint="eastAsia" w:ascii="宋体" w:hAnsi="宋体" w:eastAsia="宋体"/>
          <w:color w:val="auto"/>
          <w:sz w:val="24"/>
          <w:szCs w:val="24"/>
        </w:rPr>
        <w:t>与试验医疗器械无关：（1）两者不存在合理时间关系；（2）该不良事件为该试验医疗器械不可能导致的事件类型；（3）该不良事件可用合并用械/药、患者病情进展、其他治疗影响来解释。同时满足其中三条判断为“肯定无关”；满足其中一条判断为“可能无关”。</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906"/>
        <w:gridCol w:w="915"/>
        <w:gridCol w:w="3072"/>
        <w:gridCol w:w="2715"/>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36"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90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3072"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2715"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217"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3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0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3.0</w:t>
            </w:r>
          </w:p>
        </w:tc>
        <w:tc>
          <w:tcPr>
            <w:tcW w:w="91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3072" w:type="dxa"/>
            <w:vAlign w:val="center"/>
          </w:tcPr>
          <w:p>
            <w:pPr>
              <w:rPr>
                <w:rFonts w:hint="default" w:ascii="宋体" w:hAnsi="宋体" w:eastAsia="宋体" w:cs="宋体"/>
                <w:color w:val="auto"/>
                <w:lang w:val="en-US" w:eastAsia="zh-CN"/>
              </w:rPr>
            </w:pPr>
            <w:r>
              <w:rPr>
                <w:rFonts w:hint="eastAsia" w:ascii="宋体" w:hAnsi="宋体" w:eastAsia="宋体" w:cs="宋体"/>
                <w:color w:val="auto"/>
                <w:lang w:val="en-US" w:eastAsia="zh-CN"/>
              </w:rPr>
              <w:t>1.根据最新版</w:t>
            </w:r>
            <w:r>
              <w:rPr>
                <w:rFonts w:hint="eastAsia" w:ascii="宋体" w:hAnsi="宋体" w:cs="宋体"/>
                <w:color w:val="auto"/>
                <w:lang w:val="en-US" w:eastAsia="zh-CN"/>
              </w:rPr>
              <w:t>器械</w:t>
            </w:r>
            <w:r>
              <w:rPr>
                <w:rFonts w:hint="eastAsia" w:ascii="宋体" w:hAnsi="宋体" w:eastAsia="宋体" w:cs="宋体"/>
                <w:color w:val="auto"/>
                <w:lang w:val="en-US" w:eastAsia="zh-CN"/>
              </w:rPr>
              <w:t>GCP修订</w:t>
            </w:r>
            <w:r>
              <w:rPr>
                <w:rFonts w:hint="eastAsia" w:ascii="宋体" w:hAnsi="宋体" w:cs="宋体"/>
                <w:color w:val="auto"/>
                <w:lang w:val="en-US" w:eastAsia="zh-CN"/>
              </w:rPr>
              <w:t>，修订医疗器械临床试验SAE上报流程。</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2.为确保制度的严谨性，增加参考文献。</w:t>
            </w:r>
          </w:p>
        </w:tc>
        <w:tc>
          <w:tcPr>
            <w:tcW w:w="2715" w:type="dxa"/>
            <w:vAlign w:val="center"/>
          </w:tcPr>
          <w:p>
            <w:pPr>
              <w:rPr>
                <w:rFonts w:hint="default" w:ascii="宋体" w:hAnsi="宋体" w:eastAsia="宋体" w:cs="宋体"/>
                <w:color w:val="auto"/>
                <w:lang w:val="en-US" w:eastAsia="zh-CN"/>
              </w:rPr>
            </w:pPr>
            <w:r>
              <w:rPr>
                <w:rFonts w:hint="eastAsia" w:ascii="宋体" w:hAnsi="宋体" w:eastAsia="宋体" w:cs="宋体"/>
                <w:color w:val="auto"/>
                <w:lang w:val="en-US" w:eastAsia="zh-CN"/>
              </w:rPr>
              <w:t>1.</w:t>
            </w:r>
            <w:r>
              <w:rPr>
                <w:rFonts w:hint="eastAsia" w:ascii="宋体" w:hAnsi="宋体" w:cs="宋体"/>
                <w:color w:val="auto"/>
                <w:lang w:val="en-US" w:eastAsia="zh-CN"/>
              </w:rPr>
              <w:t>修订医疗器械临床试验SAE上报流程。</w:t>
            </w:r>
          </w:p>
          <w:p>
            <w:pPr>
              <w:rPr>
                <w:rFonts w:hint="eastAsia"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新增参考文献。</w:t>
            </w:r>
          </w:p>
          <w:p>
            <w:pPr>
              <w:rPr>
                <w:rFonts w:hint="eastAsia" w:ascii="宋体" w:hAnsi="宋体" w:eastAsia="宋体" w:cs="宋体"/>
                <w:color w:val="auto"/>
                <w:lang w:val="en-US" w:eastAsia="zh-CN"/>
              </w:rPr>
            </w:pPr>
          </w:p>
        </w:tc>
        <w:tc>
          <w:tcPr>
            <w:tcW w:w="1217" w:type="dxa"/>
            <w:vAlign w:val="center"/>
          </w:tcPr>
          <w:p>
            <w:pPr>
              <w:rPr>
                <w:rFonts w:hint="eastAsia" w:ascii="宋体" w:hAnsi="宋体" w:eastAsia="宋体" w:cs="宋体"/>
                <w:color w:val="auto"/>
                <w:lang w:val="en-US" w:eastAsia="zh-CN"/>
              </w:rPr>
            </w:pPr>
          </w:p>
        </w:tc>
      </w:tr>
    </w:tbl>
    <w:p>
      <w:pPr>
        <w:keepNext w:val="0"/>
        <w:keepLines w:val="0"/>
        <w:pageBreakBefore w:val="0"/>
        <w:kinsoku/>
        <w:wordWrap/>
        <w:overflowPunct/>
        <w:topLinePunct w:val="0"/>
        <w:autoSpaceDE/>
        <w:autoSpaceDN/>
        <w:bidi w:val="0"/>
        <w:adjustRightInd/>
        <w:snapToGrid/>
        <w:spacing w:line="360" w:lineRule="auto"/>
        <w:ind w:firstLine="2249" w:firstLineChars="800"/>
        <w:textAlignment w:val="auto"/>
        <w:rPr>
          <w:rFonts w:hint="eastAsia" w:ascii="黑体" w:hAnsi="黑体" w:eastAsia="黑体" w:cs="黑体"/>
          <w:b/>
          <w:bCs/>
          <w:color w:val="auto"/>
          <w:sz w:val="28"/>
          <w:szCs w:val="28"/>
        </w:rPr>
        <w:sectPr>
          <w:headerReference r:id="rId125" w:type="default"/>
          <w:footerReference r:id="rId126"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spacing w:beforeLines="0" w:afterLines="0" w:line="360" w:lineRule="auto"/>
        <w:ind w:firstLine="2249" w:firstLineChars="800"/>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rPr>
        <w:t>临床试验“SAE</w:t>
      </w:r>
      <w:r>
        <w:rPr>
          <w:rFonts w:hint="eastAsia" w:ascii="黑体" w:hAnsi="黑体" w:eastAsia="黑体" w:cs="黑体"/>
          <w:b/>
          <w:color w:val="auto"/>
          <w:sz w:val="28"/>
          <w:szCs w:val="28"/>
          <w:highlight w:val="none"/>
          <w:lang w:val="en-US" w:eastAsia="zh-CN"/>
        </w:rPr>
        <w:t>和SUSAR</w:t>
      </w:r>
      <w:r>
        <w:rPr>
          <w:rFonts w:hint="eastAsia" w:ascii="黑体" w:hAnsi="黑体" w:eastAsia="黑体" w:cs="黑体"/>
          <w:b/>
          <w:color w:val="auto"/>
          <w:sz w:val="28"/>
          <w:szCs w:val="28"/>
          <w:highlight w:val="none"/>
        </w:rPr>
        <w:t>报告”的SOP</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一、目的</w:t>
      </w:r>
    </w:p>
    <w:p>
      <w:pPr>
        <w:spacing w:beforeLines="0" w:afterLines="0" w:line="360" w:lineRule="auto"/>
        <w:ind w:left="239" w:leftChars="114" w:firstLine="240" w:firstLineChars="100"/>
        <w:jc w:val="left"/>
        <w:rPr>
          <w:rFonts w:hint="eastAsia" w:ascii="宋体" w:hAnsi="宋体"/>
          <w:color w:val="auto"/>
          <w:sz w:val="24"/>
          <w:szCs w:val="24"/>
        </w:rPr>
      </w:pPr>
      <w:r>
        <w:rPr>
          <w:rFonts w:hint="eastAsia" w:ascii="宋体" w:hAnsi="宋体"/>
          <w:color w:val="auto"/>
          <w:sz w:val="24"/>
          <w:szCs w:val="24"/>
        </w:rPr>
        <w:t>确保受试者发生严重不良事件时获得及时救治，并按我国临床试验相关法规的要求进行报告。</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二、范围：</w:t>
      </w:r>
    </w:p>
    <w:p>
      <w:pPr>
        <w:spacing w:beforeLines="0" w:afterLines="0" w:line="360" w:lineRule="auto"/>
        <w:ind w:firstLine="480" w:firstLineChars="200"/>
        <w:jc w:val="left"/>
        <w:rPr>
          <w:rFonts w:hint="eastAsia" w:ascii="宋体" w:hAnsi="宋体"/>
          <w:color w:val="auto"/>
          <w:sz w:val="24"/>
          <w:szCs w:val="24"/>
        </w:rPr>
      </w:pPr>
      <w:r>
        <w:rPr>
          <w:rFonts w:hint="eastAsia" w:ascii="宋体" w:hAnsi="宋体"/>
          <w:color w:val="auto"/>
          <w:sz w:val="24"/>
          <w:szCs w:val="24"/>
        </w:rPr>
        <w:t>适用于本机构药物/临床试验中发生的严重不良事件的报告。</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三、规程</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（一）处理与记录。研究者参照《不良事件及严重不良事件处理与记录的SOP》有关，对严重不良事件(SAE)进行及时处理与记录。</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（二）相关性判断。主要研究者／被授权的临床医生按照《不良事件及严重不良事件处记录的SOP》有关规程，对SAE与试验用药物或试验用医疗器械的相关性进行判断，必要时可邀请有关专家和SAE专员参与。</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（三）报告流程。</w:t>
      </w:r>
    </w:p>
    <w:p>
      <w:pPr>
        <w:spacing w:beforeLines="0" w:afterLines="0" w:line="360" w:lineRule="auto"/>
        <w:jc w:val="left"/>
        <w:rPr>
          <w:rFonts w:hint="eastAsia" w:ascii="宋体" w:hAnsi="宋体" w:cs="宋体"/>
          <w:color w:val="auto"/>
          <w:sz w:val="24"/>
          <w:szCs w:val="24"/>
        </w:rPr>
      </w:pPr>
      <w:r>
        <w:rPr>
          <w:rFonts w:hint="eastAsia" w:ascii="宋体" w:hAnsi="宋体" w:cs="宋体"/>
          <w:color w:val="auto"/>
          <w:sz w:val="24"/>
          <w:szCs w:val="24"/>
        </w:rPr>
        <w:t>1. 药物临床试验SAE报告流程</w:t>
      </w:r>
    </w:p>
    <w:p>
      <w:pPr>
        <w:spacing w:beforeLines="0" w:afterLines="0" w:line="360" w:lineRule="auto"/>
        <w:jc w:val="left"/>
        <w:rPr>
          <w:rFonts w:hint="eastAsia" w:ascii="宋体" w:hAnsi="宋体" w:cs="宋体"/>
          <w:color w:val="auto"/>
          <w:sz w:val="24"/>
          <w:szCs w:val="24"/>
        </w:rPr>
      </w:pPr>
      <w:r>
        <w:rPr>
          <w:rFonts w:hint="eastAsia" w:ascii="宋体" w:hAnsi="宋体" w:cs="宋体"/>
          <w:color w:val="auto"/>
          <w:sz w:val="24"/>
          <w:szCs w:val="24"/>
        </w:rPr>
        <w:t>（1）报告时限及上报流程</w:t>
      </w:r>
    </w:p>
    <w:p>
      <w:pPr>
        <w:spacing w:beforeLines="0" w:afterLines="0"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研究者获知SAE后应当立即向申办者书面报告，并填写《药物临床试验严重不良事件报告表》（附件1），报告时限通常为24小时内，除非在研究方案中另有约定。书面报告时，应保证报告内容完整、准确，以提供申办者评估。如单例（份）患者报告中包含多个SAE事件，需描述清楚每一个SAE的特征（严重程度、起止时间、相关性判断等）。</w:t>
      </w:r>
    </w:p>
    <w:p>
      <w:pPr>
        <w:spacing w:beforeLines="0" w:afterLines="0" w:line="360" w:lineRule="auto"/>
        <w:ind w:firstLine="480" w:firstLineChars="200"/>
        <w:jc w:val="left"/>
        <w:rPr>
          <w:rFonts w:hint="eastAsia" w:ascii="宋体" w:hAnsi="宋体"/>
          <w:color w:val="auto"/>
          <w:sz w:val="24"/>
          <w:szCs w:val="24"/>
        </w:rPr>
      </w:pPr>
      <w:r>
        <w:rPr>
          <w:rFonts w:hint="eastAsia" w:ascii="宋体" w:hAnsi="宋体"/>
          <w:color w:val="auto"/>
          <w:sz w:val="24"/>
          <w:szCs w:val="24"/>
        </w:rPr>
        <w:t>研究者向申办者报告SAE，由申办者进行评估，申办者在评估事件的严重性和相关性时，如果与研究者持有不同的意见，特别是对研究者的判断有降级的意见（如：将研究者判断为相关的事件判断为不相关），必须写明理由。在相关性判断中不能达成一致时，其中任一方判断不能排除与试验药物相关的，也应快速报告。申办者将评估后的可疑且非预期严重不良反应(Suspected Unexpected Serious Adverse Reaction，SUSAR）报告，快速报告给所有参加临床试验的研究者及其所在临床试验机构、伦理委员会，并上报给国家药品监督管理部门和卫生健康主管部门。</w:t>
      </w:r>
    </w:p>
    <w:p>
      <w:pPr>
        <w:spacing w:beforeLines="0" w:afterLines="0" w:line="360" w:lineRule="auto"/>
        <w:ind w:firstLine="480" w:firstLineChars="200"/>
        <w:jc w:val="left"/>
        <w:rPr>
          <w:rFonts w:hint="eastAsia" w:ascii="宋体" w:hAnsi="宋体"/>
          <w:color w:val="auto"/>
          <w:sz w:val="24"/>
          <w:szCs w:val="24"/>
        </w:rPr>
      </w:pPr>
      <w:r>
        <w:rPr>
          <w:rFonts w:hint="eastAsia" w:ascii="宋体" w:hAnsi="宋体"/>
          <w:color w:val="auto"/>
          <w:sz w:val="24"/>
          <w:szCs w:val="24"/>
        </w:rPr>
        <w:t>应当遵循7天和15天的快速报告要求，即：（一）对于致死或危及生命的非预期严重不良反应，申办者应在首次获知后尽快报告，但不得超过7天，并在随后的8天内报告、完善随访信息。（申办者首次获知当天为第0天）（二）对于非致死或危及生命的非预期严重不良反应，申办者应在首次获知后尽快报告，但不得超过15天。</w:t>
      </w:r>
    </w:p>
    <w:p>
      <w:pPr>
        <w:spacing w:beforeLines="0" w:afterLines="0"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研究者收到申办者提供的临床试验的相关安全性信息后应当及时签收阅读，并考虑受试者的治疗，是否进行相应调整，必要时尽早与受试者沟通。并应当向伦理委员会报告由申办者提供的SUSAR报告。</w:t>
      </w:r>
    </w:p>
    <w:p>
      <w:pPr>
        <w:numPr>
          <w:ilvl w:val="0"/>
          <w:numId w:val="0"/>
        </w:numPr>
        <w:spacing w:beforeLines="0" w:afterLines="0" w:line="360" w:lineRule="auto"/>
        <w:rPr>
          <w:rFonts w:hint="eastAsia" w:ascii="宋体" w:hAnsi="宋体" w:cs="宋体"/>
          <w:color w:val="auto"/>
          <w:sz w:val="24"/>
          <w:szCs w:val="24"/>
        </w:rPr>
      </w:pPr>
      <w:r>
        <w:rPr>
          <w:rFonts w:hint="eastAsia" w:ascii="宋体" w:hAnsi="宋体" w:cs="宋体"/>
          <w:color w:val="auto"/>
          <w:kern w:val="2"/>
          <w:sz w:val="24"/>
          <w:szCs w:val="24"/>
          <w:lang w:val="en-US" w:eastAsia="zh-CN" w:bidi="ar-SA"/>
        </w:rPr>
        <w:t>2</w:t>
      </w:r>
      <w:r>
        <w:rPr>
          <w:rFonts w:hint="eastAsia" w:ascii="宋体" w:hAnsi="宋体" w:cs="宋体" w:eastAsiaTheme="minorEastAsia"/>
          <w:color w:val="auto"/>
          <w:kern w:val="2"/>
          <w:sz w:val="24"/>
          <w:szCs w:val="24"/>
          <w:lang w:val="en-US" w:eastAsia="zh-CN" w:bidi="ar-SA"/>
        </w:rPr>
        <w:t>.</w:t>
      </w:r>
      <w:r>
        <w:rPr>
          <w:rFonts w:hint="eastAsia" w:ascii="宋体" w:hAnsi="宋体" w:cs="宋体"/>
          <w:color w:val="auto"/>
          <w:sz w:val="24"/>
          <w:szCs w:val="24"/>
        </w:rPr>
        <w:t>医疗器械临临床试验SAE上报流程</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w:t>
      </w:r>
      <w:r>
        <w:rPr>
          <w:rFonts w:hint="eastAsia" w:ascii="宋体" w:hAnsi="宋体"/>
          <w:color w:val="auto"/>
          <w:sz w:val="24"/>
          <w:szCs w:val="24"/>
          <w:lang w:val="en-US" w:eastAsia="zh-CN"/>
        </w:rPr>
        <w:t>1</w:t>
      </w:r>
      <w:r>
        <w:rPr>
          <w:rFonts w:hint="eastAsia" w:ascii="宋体" w:hAnsi="宋体"/>
          <w:color w:val="auto"/>
          <w:sz w:val="24"/>
          <w:szCs w:val="24"/>
        </w:rPr>
        <w:t>）医疗器械临床试验中发生严重不良事件时，研究者应当立即对受试者采取适当的治疗措施；同时，研究者应当在获知严重不良事件后24小时内，向申办者、医疗器械临床试验机构管理部门、伦理委员会报告；并按照临床试验方案的规定随访严重不良事件，提交严重不良事件随访报告；</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w:t>
      </w:r>
      <w:r>
        <w:rPr>
          <w:rFonts w:hint="eastAsia" w:ascii="宋体" w:hAnsi="宋体"/>
          <w:color w:val="auto"/>
          <w:sz w:val="24"/>
          <w:szCs w:val="24"/>
          <w:lang w:val="en-US" w:eastAsia="zh-CN"/>
        </w:rPr>
        <w:t>2</w:t>
      </w:r>
      <w:r>
        <w:rPr>
          <w:rFonts w:hint="eastAsia" w:ascii="宋体" w:hAnsi="宋体"/>
          <w:color w:val="auto"/>
          <w:sz w:val="24"/>
          <w:szCs w:val="24"/>
        </w:rPr>
        <w:t>）收到申办者提供的试验医疗器械相关严重不良事件和其他安全性信息时，应当及时签收阅读，并考虑受试者的治疗是否进行相应调整，必要时尽早与受试者沟通；</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w:t>
      </w:r>
      <w:r>
        <w:rPr>
          <w:rFonts w:hint="eastAsia" w:ascii="宋体" w:hAnsi="宋体"/>
          <w:color w:val="auto"/>
          <w:sz w:val="24"/>
          <w:szCs w:val="24"/>
          <w:lang w:val="en-US" w:eastAsia="zh-CN"/>
        </w:rPr>
        <w:t>3</w:t>
      </w:r>
      <w:r>
        <w:rPr>
          <w:rFonts w:hint="eastAsia" w:ascii="宋体" w:hAnsi="宋体"/>
          <w:color w:val="auto"/>
          <w:sz w:val="24"/>
          <w:szCs w:val="24"/>
        </w:rPr>
        <w:t>）申办者应当在获知死亡或者危及生命的临床试验医疗器械相关严重不良事件后7日内、获知非死亡或者非危及生命的试验医疗器械相关严重不良事件和其他严重安全性风险信息后15日内，向参与临床试验的其他医疗器械临床试验机构、伦理委员会以及主要研究者报告，向申办者所在地省、自治区、直辖市药品监督管理部门报告，向医疗器械临床试验机构所在地省、自治区、直辖市药品监督管理部门和卫生健康管理部门报告，并采取风险控制措施；出现可能影响受试者安全、可能影响医疗器械临床试验实施、可能改变伦理委员会同意意见的信息时，应当及时组织对临床试验方案、知情同意书和其他提供给受试者的信息、以及其他相关文件进行修改，并提交伦理委员会审查；</w:t>
      </w:r>
    </w:p>
    <w:p>
      <w:pPr>
        <w:numPr>
          <w:ilvl w:val="0"/>
          <w:numId w:val="65"/>
        </w:numPr>
        <w:spacing w:beforeLines="0" w:afterLines="0" w:line="360" w:lineRule="auto"/>
        <w:jc w:val="left"/>
        <w:rPr>
          <w:rFonts w:hint="eastAsia" w:ascii="宋体" w:hAnsi="宋体"/>
          <w:color w:val="auto"/>
          <w:sz w:val="24"/>
          <w:szCs w:val="24"/>
        </w:rPr>
      </w:pPr>
      <w:r>
        <w:rPr>
          <w:rFonts w:hint="eastAsia" w:ascii="宋体" w:hAnsi="宋体"/>
          <w:color w:val="auto"/>
          <w:sz w:val="24"/>
          <w:szCs w:val="24"/>
        </w:rPr>
        <w:t>出现大范围临床试验医疗器械相关严重不良事件，或者其他重大安全性问题时，申办者应当暂停或者终止医疗器械临床试验，并向所有医疗器械临床试验机构管理部门、伦理委员会以及主要研究者报告，向申办者所在地省、自治区、直辖市药品监督管理部门报告，向所有医疗器械临床试验机构所在地省、自治区、直辖市药品监督管理部门和卫生健康管理部门报告。</w:t>
      </w:r>
    </w:p>
    <w:p>
      <w:pPr>
        <w:spacing w:beforeLines="0" w:afterLines="0" w:line="360" w:lineRule="auto"/>
        <w:jc w:val="left"/>
        <w:rPr>
          <w:rFonts w:hint="eastAsia" w:ascii="宋体" w:hAnsi="宋体"/>
          <w:color w:val="auto"/>
          <w:sz w:val="24"/>
          <w:szCs w:val="24"/>
        </w:rPr>
      </w:pPr>
      <w:r>
        <w:rPr>
          <w:rFonts w:hint="eastAsia" w:ascii="宋体" w:hAnsi="宋体"/>
          <w:color w:val="auto"/>
          <w:sz w:val="24"/>
          <w:szCs w:val="24"/>
          <w:lang w:val="en-US" w:eastAsia="zh-CN"/>
        </w:rPr>
        <w:t>四、</w:t>
      </w:r>
      <w:r>
        <w:rPr>
          <w:rFonts w:hint="eastAsia" w:ascii="宋体" w:hAnsi="宋体"/>
          <w:color w:val="auto"/>
          <w:sz w:val="24"/>
          <w:szCs w:val="24"/>
        </w:rPr>
        <w:t>参考文献</w:t>
      </w:r>
    </w:p>
    <w:p>
      <w:pPr>
        <w:pStyle w:val="36"/>
        <w:keepNext w:val="0"/>
        <w:keepLines w:val="0"/>
        <w:pageBreakBefore w:val="0"/>
        <w:widowControl w:val="0"/>
        <w:numPr>
          <w:ilvl w:val="0"/>
          <w:numId w:val="66"/>
        </w:numPr>
        <w:tabs>
          <w:tab w:val="left" w:pos="2790"/>
        </w:tabs>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66"/>
        </w:numPr>
        <w:tabs>
          <w:tab w:val="left" w:pos="2790"/>
        </w:tabs>
        <w:kinsoku/>
        <w:wordWrap w:val="0"/>
        <w:overflowPunct/>
        <w:topLinePunct w:val="0"/>
        <w:autoSpaceDE/>
        <w:autoSpaceDN/>
        <w:bidi w:val="0"/>
        <w:adjustRightInd/>
        <w:snapToGrid/>
        <w:spacing w:line="360" w:lineRule="auto"/>
        <w:ind w:left="0" w:leftChars="0" w:firstLine="0" w:firstLine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国家药品监督管理局，国家卫生健康委员会. 关于发布《医疗器械临床试验质量管理规范》的公告（2022年第28号）.[2022-03-31]. https://www.nmpa.gov.cn/xxgk/ggtg/qtggtg/20220331144903101.html.</w:t>
      </w:r>
    </w:p>
    <w:p>
      <w:pPr>
        <w:pStyle w:val="36"/>
        <w:keepNext w:val="0"/>
        <w:keepLines w:val="0"/>
        <w:pageBreakBefore w:val="0"/>
        <w:widowControl w:val="0"/>
        <w:numPr>
          <w:ilvl w:val="0"/>
          <w:numId w:val="66"/>
        </w:numPr>
        <w:tabs>
          <w:tab w:val="left" w:pos="2790"/>
        </w:tabs>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color w:val="auto"/>
          <w:sz w:val="24"/>
          <w:szCs w:val="24"/>
        </w:rPr>
      </w:pPr>
      <w:r>
        <w:rPr>
          <w:rFonts w:hint="eastAsia" w:asciiTheme="minorEastAsia" w:hAnsiTheme="minorEastAsia"/>
          <w:color w:val="auto"/>
          <w:sz w:val="24"/>
          <w:szCs w:val="24"/>
          <w:lang w:val="en-US" w:eastAsia="zh-CN"/>
        </w:rPr>
        <w:t xml:space="preserve">国家药监局. 关于实施《医疗器械临床试验质量管理规范》有关事项的通告（2022年第21号）医疗器械/体外诊断试剂临床试验严重不良事件报告表范本[2022-03-31]. </w:t>
      </w:r>
      <w:r>
        <w:rPr>
          <w:rFonts w:hint="eastAsia" w:asciiTheme="minorEastAsia" w:hAnsiTheme="minorEastAsia"/>
          <w:color w:val="auto"/>
          <w:sz w:val="24"/>
          <w:szCs w:val="24"/>
          <w:u w:val="none"/>
          <w:lang w:val="en-US" w:eastAsia="zh-CN"/>
        </w:rPr>
        <w:t>https://www.nmpa.gov.cn/ylqx/ylqxggtg/20220331161452151.html</w:t>
      </w:r>
    </w:p>
    <w:p>
      <w:pPr>
        <w:numPr>
          <w:ilvl w:val="0"/>
          <w:numId w:val="62"/>
        </w:numPr>
        <w:spacing w:beforeLines="0" w:afterLines="0" w:line="360" w:lineRule="auto"/>
        <w:rPr>
          <w:rFonts w:hint="eastAsia" w:ascii="宋体" w:hAnsi="宋体"/>
          <w:color w:val="auto"/>
          <w:sz w:val="24"/>
          <w:szCs w:val="24"/>
        </w:rPr>
      </w:pPr>
      <w:r>
        <w:rPr>
          <w:rFonts w:hint="eastAsia" w:ascii="宋体" w:hAnsi="宋体"/>
          <w:color w:val="auto"/>
          <w:sz w:val="24"/>
          <w:szCs w:val="24"/>
        </w:rPr>
        <w:t>中华人民共和国卫生部</w:t>
      </w:r>
      <w:r>
        <w:rPr>
          <w:rFonts w:hint="eastAsia" w:ascii="宋体" w:hAnsi="宋体"/>
          <w:color w:val="auto"/>
          <w:sz w:val="24"/>
          <w:szCs w:val="24"/>
          <w:lang w:val="en-US" w:eastAsia="zh-CN"/>
        </w:rPr>
        <w:t xml:space="preserve">. </w:t>
      </w:r>
      <w:r>
        <w:rPr>
          <w:rFonts w:hint="eastAsia" w:ascii="宋体" w:hAnsi="宋体"/>
          <w:color w:val="auto"/>
          <w:sz w:val="24"/>
          <w:szCs w:val="24"/>
        </w:rPr>
        <w:t>药品不良反应报告和监测管理办法</w:t>
      </w:r>
      <w:r>
        <w:rPr>
          <w:rFonts w:hint="eastAsia" w:ascii="宋体" w:hAnsi="宋体"/>
          <w:color w:val="auto"/>
          <w:sz w:val="24"/>
          <w:szCs w:val="24"/>
          <w:lang w:val="en-US" w:eastAsia="zh-CN"/>
        </w:rPr>
        <w:t xml:space="preserve">. </w:t>
      </w:r>
      <w:r>
        <w:rPr>
          <w:rFonts w:hint="eastAsia" w:ascii="宋体" w:hAnsi="宋体"/>
          <w:color w:val="auto"/>
          <w:sz w:val="24"/>
          <w:szCs w:val="24"/>
        </w:rPr>
        <w:t>（卫生部令第81号）</w:t>
      </w:r>
      <w:r>
        <w:rPr>
          <w:rFonts w:hint="eastAsia" w:ascii="宋体" w:hAnsi="宋体"/>
          <w:color w:val="auto"/>
          <w:sz w:val="24"/>
          <w:szCs w:val="24"/>
          <w:lang w:val="en-US" w:eastAsia="zh-CN"/>
        </w:rPr>
        <w:t>.2011.</w:t>
      </w:r>
    </w:p>
    <w:p>
      <w:pPr>
        <w:numPr>
          <w:ilvl w:val="0"/>
          <w:numId w:val="0"/>
        </w:numPr>
        <w:spacing w:beforeLines="0" w:afterLines="0" w:line="360" w:lineRule="auto"/>
        <w:rPr>
          <w:rFonts w:hint="eastAsia" w:ascii="宋体" w:hAnsi="宋体"/>
          <w:color w:val="auto"/>
          <w:sz w:val="24"/>
          <w:szCs w:val="24"/>
        </w:rPr>
      </w:pPr>
      <w:r>
        <w:rPr>
          <w:rFonts w:hint="eastAsia" w:ascii="宋体" w:hAnsi="宋体"/>
          <w:color w:val="auto"/>
          <w:sz w:val="24"/>
          <w:szCs w:val="24"/>
          <w:lang w:val="en-US" w:eastAsia="zh-CN"/>
        </w:rPr>
        <w:t>五、</w:t>
      </w:r>
      <w:r>
        <w:rPr>
          <w:rFonts w:hint="eastAsia" w:ascii="宋体" w:hAnsi="宋体"/>
          <w:color w:val="auto"/>
          <w:sz w:val="24"/>
          <w:szCs w:val="24"/>
        </w:rPr>
        <w:t>附件</w:t>
      </w:r>
    </w:p>
    <w:p>
      <w:pPr>
        <w:numPr>
          <w:ilvl w:val="0"/>
          <w:numId w:val="0"/>
        </w:numPr>
        <w:spacing w:beforeLines="0" w:afterLines="0" w:line="360" w:lineRule="auto"/>
        <w:rPr>
          <w:rFonts w:hint="eastAsia" w:ascii="宋体" w:hAnsi="宋体"/>
          <w:color w:val="auto"/>
          <w:sz w:val="24"/>
          <w:szCs w:val="24"/>
        </w:rPr>
      </w:pPr>
      <w:r>
        <w:rPr>
          <w:rFonts w:hint="eastAsia" w:ascii="宋体" w:hAnsi="宋体"/>
          <w:color w:val="auto"/>
          <w:sz w:val="24"/>
          <w:szCs w:val="24"/>
        </w:rPr>
        <w:t>附加1：（YYH-SOP-CTC-0</w:t>
      </w:r>
      <w:r>
        <w:rPr>
          <w:rFonts w:hint="eastAsia" w:ascii="宋体" w:hAnsi="宋体"/>
          <w:color w:val="auto"/>
          <w:sz w:val="24"/>
          <w:szCs w:val="24"/>
          <w:lang w:val="en-US" w:eastAsia="zh-CN"/>
        </w:rPr>
        <w:t>14</w:t>
      </w:r>
      <w:r>
        <w:rPr>
          <w:rFonts w:hint="eastAsia" w:ascii="宋体" w:hAnsi="宋体"/>
          <w:color w:val="auto"/>
          <w:sz w:val="24"/>
          <w:szCs w:val="24"/>
        </w:rPr>
        <w:t>-3.1-A01）：药物临床试验严重不良事件报告表</w:t>
      </w:r>
    </w:p>
    <w:p>
      <w:pPr>
        <w:numPr>
          <w:ilvl w:val="0"/>
          <w:numId w:val="0"/>
        </w:numPr>
        <w:spacing w:beforeLines="0" w:afterLines="0" w:line="360" w:lineRule="auto"/>
        <w:rPr>
          <w:rFonts w:hint="eastAsia" w:ascii="宋体" w:hAnsi="宋体"/>
          <w:color w:val="auto"/>
          <w:sz w:val="24"/>
          <w:szCs w:val="24"/>
        </w:rPr>
      </w:pPr>
      <w:r>
        <w:rPr>
          <w:rFonts w:hint="eastAsia" w:ascii="宋体" w:hAnsi="宋体"/>
          <w:color w:val="auto"/>
          <w:sz w:val="24"/>
          <w:szCs w:val="24"/>
        </w:rPr>
        <w:t>附件2：（YYH-SOP-CTC-0</w:t>
      </w:r>
      <w:r>
        <w:rPr>
          <w:rFonts w:hint="eastAsia" w:ascii="宋体" w:hAnsi="宋体"/>
          <w:color w:val="auto"/>
          <w:sz w:val="24"/>
          <w:szCs w:val="24"/>
          <w:lang w:val="en-US" w:eastAsia="zh-CN"/>
        </w:rPr>
        <w:t>14</w:t>
      </w:r>
      <w:r>
        <w:rPr>
          <w:rFonts w:hint="eastAsia" w:ascii="宋体" w:hAnsi="宋体"/>
          <w:color w:val="auto"/>
          <w:sz w:val="24"/>
          <w:szCs w:val="24"/>
        </w:rPr>
        <w:t>-3.1-A0</w:t>
      </w:r>
      <w:r>
        <w:rPr>
          <w:rFonts w:hint="eastAsia" w:ascii="宋体" w:hAnsi="宋体"/>
          <w:color w:val="auto"/>
          <w:sz w:val="24"/>
          <w:szCs w:val="24"/>
          <w:lang w:val="en-US" w:eastAsia="zh-CN"/>
        </w:rPr>
        <w:t>2</w:t>
      </w:r>
      <w:r>
        <w:rPr>
          <w:rFonts w:hint="eastAsia" w:ascii="宋体" w:hAnsi="宋体"/>
          <w:color w:val="auto"/>
          <w:sz w:val="24"/>
          <w:szCs w:val="24"/>
        </w:rPr>
        <w:t>）医疗器械临床试验严重不良事件报告表</w:t>
      </w:r>
    </w:p>
    <w:p>
      <w:pPr>
        <w:spacing w:beforeLines="0" w:afterLines="0" w:line="360" w:lineRule="auto"/>
        <w:jc w:val="left"/>
        <w:rPr>
          <w:rFonts w:hint="eastAsia"/>
          <w:b/>
          <w:color w:val="auto"/>
          <w:sz w:val="21"/>
          <w:szCs w:val="22"/>
        </w:rPr>
        <w:sectPr>
          <w:headerReference r:id="rId127" w:type="default"/>
          <w:footerReference r:id="rId128" w:type="default"/>
          <w:pgSz w:w="12240" w:h="15840"/>
          <w:pgMar w:top="1440" w:right="1800" w:bottom="1440" w:left="1800" w:header="720" w:footer="720" w:gutter="0"/>
          <w:lnNumType w:countBy="0" w:distance="360"/>
          <w:pgNumType w:fmt="decimal" w:start="1"/>
          <w:cols w:space="720" w:num="1"/>
          <w:docGrid w:type="lines" w:linePitch="312" w:charSpace="0"/>
        </w:sectPr>
      </w:pPr>
    </w:p>
    <w:p>
      <w:pPr>
        <w:numPr>
          <w:ilvl w:val="0"/>
          <w:numId w:val="0"/>
        </w:numPr>
        <w:spacing w:beforeLines="0" w:afterLines="0" w:line="360" w:lineRule="auto"/>
        <w:rPr>
          <w:rFonts w:hint="eastAsia" w:ascii="宋体" w:hAnsi="宋体"/>
          <w:color w:val="auto"/>
          <w:sz w:val="24"/>
          <w:szCs w:val="24"/>
        </w:rPr>
      </w:pPr>
      <w:r>
        <w:rPr>
          <w:rFonts w:hint="eastAsia" w:ascii="宋体" w:hAnsi="宋体"/>
          <w:color w:val="auto"/>
          <w:sz w:val="24"/>
          <w:szCs w:val="24"/>
        </w:rPr>
        <w:t>附加1：（YYH-SOP-CTC-0</w:t>
      </w:r>
      <w:r>
        <w:rPr>
          <w:rFonts w:hint="eastAsia" w:ascii="宋体" w:hAnsi="宋体"/>
          <w:color w:val="auto"/>
          <w:sz w:val="24"/>
          <w:szCs w:val="24"/>
          <w:lang w:val="en-US" w:eastAsia="zh-CN"/>
        </w:rPr>
        <w:t>14</w:t>
      </w:r>
      <w:r>
        <w:rPr>
          <w:rFonts w:hint="eastAsia" w:ascii="宋体" w:hAnsi="宋体"/>
          <w:color w:val="auto"/>
          <w:sz w:val="24"/>
          <w:szCs w:val="24"/>
        </w:rPr>
        <w:t>-3.1-A01）：药物临床试验严重不良事件报告表</w:t>
      </w:r>
    </w:p>
    <w:p>
      <w:pPr>
        <w:spacing w:beforeLines="0" w:afterLines="0" w:line="360" w:lineRule="auto"/>
        <w:jc w:val="center"/>
        <w:rPr>
          <w:rFonts w:hint="default"/>
          <w:b/>
          <w:color w:val="auto"/>
          <w:sz w:val="24"/>
          <w:szCs w:val="24"/>
        </w:rPr>
      </w:pPr>
      <w:r>
        <w:rPr>
          <w:rFonts w:hint="eastAsia"/>
          <w:b/>
          <w:color w:val="auto"/>
          <w:sz w:val="24"/>
          <w:szCs w:val="24"/>
        </w:rPr>
        <w:t>药物临床试验严重不良事件报告表</w:t>
      </w:r>
    </w:p>
    <w:p>
      <w:pPr>
        <w:spacing w:beforeLines="0" w:afterLines="0" w:line="360" w:lineRule="auto"/>
        <w:rPr>
          <w:rFonts w:hint="default"/>
          <w:color w:val="auto"/>
          <w:sz w:val="21"/>
          <w:szCs w:val="22"/>
        </w:rPr>
      </w:pPr>
      <w:r>
        <w:rPr>
          <w:rFonts w:hint="eastAsia"/>
          <w:color w:val="auto"/>
          <w:sz w:val="21"/>
          <w:szCs w:val="22"/>
        </w:rPr>
        <w:t>新药临床研究批准文号：      中心号：           报告类型：</w:t>
      </w:r>
      <w:r>
        <w:rPr>
          <w:rFonts w:hint="eastAsia"/>
          <w:color w:val="auto"/>
          <w:sz w:val="21"/>
          <w:szCs w:val="22"/>
        </w:rPr>
        <w:sym w:font="Wingdings 2" w:char="00A3"/>
      </w:r>
      <w:r>
        <w:rPr>
          <w:rFonts w:hint="eastAsia"/>
          <w:color w:val="auto"/>
          <w:sz w:val="21"/>
          <w:szCs w:val="22"/>
        </w:rPr>
        <w:t xml:space="preserve">首次 </w:t>
      </w:r>
      <w:r>
        <w:rPr>
          <w:rFonts w:hint="eastAsia"/>
          <w:color w:val="auto"/>
          <w:sz w:val="21"/>
          <w:szCs w:val="22"/>
        </w:rPr>
        <w:sym w:font="Wingdings 2" w:char="00A3"/>
      </w:r>
      <w:r>
        <w:rPr>
          <w:rFonts w:hint="eastAsia"/>
          <w:color w:val="auto"/>
          <w:sz w:val="21"/>
          <w:szCs w:val="22"/>
        </w:rPr>
        <w:t xml:space="preserve">随访 </w:t>
      </w:r>
      <w:r>
        <w:rPr>
          <w:rFonts w:hint="eastAsia"/>
          <w:color w:val="auto"/>
          <w:sz w:val="21"/>
          <w:szCs w:val="22"/>
        </w:rPr>
        <w:sym w:font="Wingdings 2" w:char="00A3"/>
      </w:r>
      <w:r>
        <w:rPr>
          <w:rFonts w:hint="eastAsia"/>
          <w:color w:val="auto"/>
          <w:sz w:val="21"/>
          <w:szCs w:val="22"/>
        </w:rPr>
        <w:t>总结报告</w:t>
      </w:r>
    </w:p>
    <w:p>
      <w:pPr>
        <w:spacing w:beforeLines="0" w:afterLines="0" w:line="240" w:lineRule="exact"/>
        <w:rPr>
          <w:rFonts w:hint="default"/>
          <w:color w:val="auto"/>
          <w:sz w:val="21"/>
          <w:szCs w:val="22"/>
        </w:rPr>
      </w:pPr>
      <w:r>
        <w:rPr>
          <w:rFonts w:hint="eastAsia"/>
          <w:color w:val="auto"/>
          <w:sz w:val="21"/>
          <w:szCs w:val="22"/>
        </w:rPr>
        <w:t>申办方临床研究方案号：      受试者编号：       报告编号：</w:t>
      </w:r>
    </w:p>
    <w:tbl>
      <w:tblPr>
        <w:tblStyle w:val="27"/>
        <w:tblpPr w:leftFromText="180" w:rightFromText="180" w:vertAnchor="text" w:horzAnchor="page" w:tblpXSpec="center" w:tblpY="471"/>
        <w:tblOverlap w:val="never"/>
        <w:tblW w:w="10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80"/>
        <w:gridCol w:w="69"/>
        <w:gridCol w:w="4"/>
        <w:gridCol w:w="417"/>
        <w:gridCol w:w="107"/>
        <w:gridCol w:w="224"/>
        <w:gridCol w:w="494"/>
        <w:gridCol w:w="39"/>
        <w:gridCol w:w="469"/>
        <w:gridCol w:w="334"/>
        <w:gridCol w:w="3"/>
        <w:gridCol w:w="85"/>
        <w:gridCol w:w="332"/>
        <w:gridCol w:w="151"/>
        <w:gridCol w:w="97"/>
        <w:gridCol w:w="171"/>
        <w:gridCol w:w="833"/>
        <w:gridCol w:w="3"/>
        <w:gridCol w:w="62"/>
        <w:gridCol w:w="3"/>
        <w:gridCol w:w="435"/>
        <w:gridCol w:w="497"/>
        <w:gridCol w:w="252"/>
        <w:gridCol w:w="416"/>
        <w:gridCol w:w="5"/>
        <w:gridCol w:w="40"/>
        <w:gridCol w:w="289"/>
        <w:gridCol w:w="503"/>
        <w:gridCol w:w="201"/>
        <w:gridCol w:w="298"/>
        <w:gridCol w:w="339"/>
        <w:gridCol w:w="278"/>
        <w:gridCol w:w="136"/>
        <w:gridCol w:w="249"/>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9" w:type="dxa"/>
            <w:gridSpan w:val="22"/>
            <w:tcBorders>
              <w:top w:val="single" w:color="auto" w:sz="4" w:space="0"/>
              <w:left w:val="single" w:color="auto" w:sz="4" w:space="0"/>
              <w:bottom w:val="single" w:color="auto" w:sz="4" w:space="0"/>
              <w:right w:val="single" w:color="auto" w:sz="4" w:space="0"/>
              <w:tl2br w:val="nil"/>
              <w:tr2bl w:val="nil"/>
            </w:tcBorders>
            <w:shd w:val="clear" w:color="auto" w:fill="BEBEBE"/>
            <w:vAlign w:val="top"/>
          </w:tcPr>
          <w:p>
            <w:pPr>
              <w:spacing w:beforeLines="0" w:afterLines="0" w:line="360" w:lineRule="auto"/>
              <w:rPr>
                <w:rFonts w:hint="default"/>
                <w:color w:val="auto"/>
                <w:sz w:val="21"/>
                <w:szCs w:val="22"/>
              </w:rPr>
            </w:pPr>
            <w:r>
              <w:rPr>
                <w:rFonts w:hint="eastAsia"/>
                <w:color w:val="auto"/>
                <w:sz w:val="21"/>
                <w:szCs w:val="22"/>
              </w:rPr>
              <w:t>研究项目及报告单位信息</w:t>
            </w:r>
          </w:p>
        </w:tc>
        <w:tc>
          <w:tcPr>
            <w:tcW w:w="2203" w:type="dxa"/>
            <w:gridSpan w:val="8"/>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jc w:val="center"/>
              <w:rPr>
                <w:rFonts w:hint="default"/>
                <w:color w:val="auto"/>
                <w:sz w:val="21"/>
                <w:szCs w:val="22"/>
              </w:rPr>
            </w:pPr>
            <w:r>
              <w:rPr>
                <w:rFonts w:hint="eastAsia"/>
                <w:color w:val="auto"/>
                <w:sz w:val="21"/>
                <w:szCs w:val="22"/>
              </w:rPr>
              <w:t>报告时间</w:t>
            </w:r>
          </w:p>
        </w:tc>
        <w:tc>
          <w:tcPr>
            <w:tcW w:w="2308" w:type="dxa"/>
            <w:gridSpan w:val="6"/>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jc w:val="right"/>
              <w:rPr>
                <w:rFonts w:hint="default"/>
                <w:color w:val="auto"/>
                <w:sz w:val="21"/>
                <w:szCs w:val="22"/>
              </w:rPr>
            </w:pPr>
            <w:r>
              <w:rPr>
                <w:rFonts w:hint="eastAsia"/>
                <w:color w:val="auto"/>
                <w:sz w:val="21"/>
                <w:szCs w:val="2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1" w:type="dxa"/>
            <w:gridSpan w:val="9"/>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jc w:val="center"/>
              <w:rPr>
                <w:rFonts w:hint="default"/>
                <w:color w:val="auto"/>
                <w:sz w:val="21"/>
                <w:szCs w:val="22"/>
              </w:rPr>
            </w:pPr>
            <w:r>
              <w:rPr>
                <w:rFonts w:hint="eastAsia"/>
                <w:color w:val="auto"/>
                <w:sz w:val="21"/>
                <w:szCs w:val="22"/>
              </w:rPr>
              <w:t>医疗机构及专业名称</w:t>
            </w:r>
          </w:p>
        </w:tc>
        <w:tc>
          <w:tcPr>
            <w:tcW w:w="2978" w:type="dxa"/>
            <w:gridSpan w:val="13"/>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jc w:val="center"/>
              <w:rPr>
                <w:rFonts w:hint="default"/>
                <w:color w:val="auto"/>
                <w:sz w:val="21"/>
                <w:szCs w:val="22"/>
              </w:rPr>
            </w:pPr>
          </w:p>
        </w:tc>
        <w:tc>
          <w:tcPr>
            <w:tcW w:w="2203" w:type="dxa"/>
            <w:gridSpan w:val="8"/>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jc w:val="center"/>
              <w:rPr>
                <w:rFonts w:hint="default"/>
                <w:color w:val="auto"/>
                <w:sz w:val="21"/>
                <w:szCs w:val="22"/>
              </w:rPr>
            </w:pPr>
            <w:r>
              <w:rPr>
                <w:rFonts w:hint="eastAsia"/>
                <w:color w:val="auto"/>
                <w:sz w:val="21"/>
                <w:szCs w:val="22"/>
              </w:rPr>
              <w:t>电话</w:t>
            </w:r>
          </w:p>
        </w:tc>
        <w:tc>
          <w:tcPr>
            <w:tcW w:w="2308" w:type="dxa"/>
            <w:gridSpan w:val="6"/>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default"/>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1" w:type="dxa"/>
            <w:gridSpan w:val="9"/>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r>
              <w:rPr>
                <w:rFonts w:hint="eastAsia"/>
                <w:color w:val="auto"/>
                <w:sz w:val="21"/>
                <w:szCs w:val="22"/>
              </w:rPr>
              <w:t>申报单位名称</w:t>
            </w:r>
          </w:p>
        </w:tc>
        <w:tc>
          <w:tcPr>
            <w:tcW w:w="2978" w:type="dxa"/>
            <w:gridSpan w:val="13"/>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jc w:val="center"/>
              <w:rPr>
                <w:rFonts w:hint="default"/>
                <w:color w:val="auto"/>
                <w:sz w:val="21"/>
                <w:szCs w:val="22"/>
              </w:rPr>
            </w:pPr>
          </w:p>
        </w:tc>
        <w:tc>
          <w:tcPr>
            <w:tcW w:w="2203" w:type="dxa"/>
            <w:gridSpan w:val="8"/>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jc w:val="center"/>
              <w:rPr>
                <w:rFonts w:hint="default"/>
                <w:color w:val="auto"/>
                <w:sz w:val="21"/>
                <w:szCs w:val="22"/>
              </w:rPr>
            </w:pPr>
            <w:r>
              <w:rPr>
                <w:rFonts w:hint="eastAsia"/>
                <w:color w:val="auto"/>
                <w:sz w:val="21"/>
                <w:szCs w:val="22"/>
              </w:rPr>
              <w:t>电话</w:t>
            </w:r>
          </w:p>
        </w:tc>
        <w:tc>
          <w:tcPr>
            <w:tcW w:w="2308" w:type="dxa"/>
            <w:gridSpan w:val="6"/>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default"/>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1" w:type="dxa"/>
            <w:gridSpan w:val="9"/>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r>
              <w:rPr>
                <w:rFonts w:hint="eastAsia"/>
                <w:color w:val="auto"/>
                <w:sz w:val="21"/>
                <w:szCs w:val="22"/>
              </w:rPr>
              <w:t>研究方案名称</w:t>
            </w:r>
          </w:p>
        </w:tc>
        <w:tc>
          <w:tcPr>
            <w:tcW w:w="2978" w:type="dxa"/>
            <w:gridSpan w:val="13"/>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default"/>
                <w:color w:val="auto"/>
                <w:sz w:val="21"/>
                <w:szCs w:val="22"/>
              </w:rPr>
            </w:pPr>
          </w:p>
        </w:tc>
        <w:tc>
          <w:tcPr>
            <w:tcW w:w="2203" w:type="dxa"/>
            <w:gridSpan w:val="8"/>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jc w:val="center"/>
              <w:rPr>
                <w:rFonts w:hint="default"/>
                <w:color w:val="auto"/>
                <w:sz w:val="21"/>
                <w:szCs w:val="22"/>
              </w:rPr>
            </w:pPr>
            <w:r>
              <w:rPr>
                <w:rFonts w:hint="eastAsia"/>
                <w:color w:val="auto"/>
                <w:sz w:val="21"/>
                <w:szCs w:val="22"/>
              </w:rPr>
              <w:t>临床试验适应症</w:t>
            </w:r>
          </w:p>
        </w:tc>
        <w:tc>
          <w:tcPr>
            <w:tcW w:w="2308" w:type="dxa"/>
            <w:gridSpan w:val="6"/>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default"/>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1" w:type="dxa"/>
            <w:gridSpan w:val="9"/>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r>
              <w:rPr>
                <w:rFonts w:hint="eastAsia"/>
                <w:color w:val="auto"/>
                <w:sz w:val="21"/>
                <w:szCs w:val="22"/>
              </w:rPr>
              <w:t>临床研究分类</w:t>
            </w:r>
          </w:p>
        </w:tc>
        <w:tc>
          <w:tcPr>
            <w:tcW w:w="7489" w:type="dxa"/>
            <w:gridSpan w:val="27"/>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default"/>
                <w:color w:val="auto"/>
                <w:sz w:val="21"/>
                <w:szCs w:val="22"/>
              </w:rPr>
            </w:pPr>
            <w:r>
              <w:rPr>
                <w:rFonts w:hint="eastAsia"/>
                <w:color w:val="auto"/>
                <w:sz w:val="21"/>
                <w:szCs w:val="22"/>
              </w:rPr>
              <w:sym w:font="Wingdings 2" w:char="00A3"/>
            </w:r>
            <w:r>
              <w:rPr>
                <w:rFonts w:hint="eastAsia"/>
                <w:color w:val="auto"/>
                <w:sz w:val="21"/>
                <w:szCs w:val="22"/>
              </w:rPr>
              <w:t xml:space="preserve">I期 </w:t>
            </w:r>
            <w:r>
              <w:rPr>
                <w:rFonts w:hint="eastAsia"/>
                <w:color w:val="auto"/>
                <w:sz w:val="21"/>
                <w:szCs w:val="22"/>
              </w:rPr>
              <w:sym w:font="Wingdings 2" w:char="00A3"/>
            </w:r>
            <w:r>
              <w:rPr>
                <w:rFonts w:hint="eastAsia"/>
                <w:color w:val="auto"/>
                <w:sz w:val="21"/>
                <w:szCs w:val="22"/>
              </w:rPr>
              <w:t xml:space="preserve">II期 </w:t>
            </w:r>
            <w:r>
              <w:rPr>
                <w:rFonts w:hint="eastAsia"/>
                <w:color w:val="auto"/>
                <w:sz w:val="21"/>
                <w:szCs w:val="22"/>
              </w:rPr>
              <w:sym w:font="Wingdings 2" w:char="00A3"/>
            </w:r>
            <w:r>
              <w:rPr>
                <w:rFonts w:hint="eastAsia"/>
                <w:color w:val="auto"/>
                <w:sz w:val="21"/>
                <w:szCs w:val="22"/>
              </w:rPr>
              <w:t xml:space="preserve">III期 </w:t>
            </w:r>
            <w:r>
              <w:rPr>
                <w:rFonts w:hint="eastAsia"/>
                <w:color w:val="auto"/>
                <w:sz w:val="21"/>
                <w:szCs w:val="22"/>
              </w:rPr>
              <w:sym w:font="Wingdings 2" w:char="00A3"/>
            </w:r>
            <w:r>
              <w:rPr>
                <w:rFonts w:hint="eastAsia"/>
                <w:color w:val="auto"/>
                <w:sz w:val="21"/>
                <w:szCs w:val="22"/>
              </w:rPr>
              <w:t xml:space="preserve">IV期 </w:t>
            </w:r>
            <w:r>
              <w:rPr>
                <w:rFonts w:hint="eastAsia"/>
                <w:color w:val="auto"/>
                <w:sz w:val="21"/>
                <w:szCs w:val="22"/>
              </w:rPr>
              <w:sym w:font="Wingdings 2" w:char="00A3"/>
            </w:r>
            <w:r>
              <w:rPr>
                <w:rFonts w:hint="eastAsia"/>
                <w:color w:val="auto"/>
                <w:sz w:val="21"/>
                <w:szCs w:val="22"/>
              </w:rPr>
              <w:t xml:space="preserve">生物等效性试验 </w:t>
            </w:r>
            <w:r>
              <w:rPr>
                <w:rFonts w:hint="eastAsia"/>
                <w:color w:val="auto"/>
                <w:sz w:val="21"/>
                <w:szCs w:val="22"/>
              </w:rPr>
              <w:sym w:font="Wingdings 2" w:char="00A3"/>
            </w:r>
            <w:r>
              <w:rPr>
                <w:rFonts w:hint="eastAsia"/>
                <w:color w:val="auto"/>
                <w:sz w:val="21"/>
                <w:szCs w:val="22"/>
              </w:rPr>
              <w:t xml:space="preserve">临床验证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9" w:type="dxa"/>
            <w:gridSpan w:val="22"/>
            <w:tcBorders>
              <w:top w:val="single" w:color="auto" w:sz="4" w:space="0"/>
              <w:left w:val="single" w:color="auto" w:sz="4" w:space="0"/>
              <w:bottom w:val="single" w:color="auto" w:sz="4" w:space="0"/>
              <w:right w:val="single" w:color="auto" w:sz="4" w:space="0"/>
              <w:tl2br w:val="nil"/>
              <w:tr2bl w:val="nil"/>
            </w:tcBorders>
            <w:shd w:val="clear" w:color="auto" w:fill="BEBEBE"/>
            <w:vAlign w:val="top"/>
          </w:tcPr>
          <w:p>
            <w:pPr>
              <w:spacing w:beforeLines="0" w:afterLines="0" w:line="360" w:lineRule="auto"/>
              <w:rPr>
                <w:rFonts w:hint="default"/>
                <w:color w:val="auto"/>
                <w:sz w:val="21"/>
                <w:szCs w:val="22"/>
              </w:rPr>
            </w:pPr>
            <w:r>
              <w:rPr>
                <w:rFonts w:hint="eastAsia"/>
                <w:color w:val="auto"/>
                <w:sz w:val="21"/>
                <w:szCs w:val="22"/>
              </w:rPr>
              <w:t>患者信息</w:t>
            </w:r>
          </w:p>
        </w:tc>
        <w:tc>
          <w:tcPr>
            <w:tcW w:w="2203" w:type="dxa"/>
            <w:gridSpan w:val="8"/>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jc w:val="center"/>
              <w:rPr>
                <w:rFonts w:hint="default"/>
                <w:color w:val="auto"/>
                <w:sz w:val="21"/>
                <w:szCs w:val="22"/>
              </w:rPr>
            </w:pPr>
            <w:r>
              <w:rPr>
                <w:rFonts w:hint="eastAsia"/>
                <w:color w:val="auto"/>
                <w:sz w:val="21"/>
                <w:szCs w:val="22"/>
              </w:rPr>
              <w:t>获知时间</w:t>
            </w:r>
          </w:p>
        </w:tc>
        <w:tc>
          <w:tcPr>
            <w:tcW w:w="2308" w:type="dxa"/>
            <w:gridSpan w:val="6"/>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jc w:val="right"/>
              <w:rPr>
                <w:rFonts w:hint="default"/>
                <w:color w:val="auto"/>
                <w:sz w:val="21"/>
                <w:szCs w:val="22"/>
              </w:rPr>
            </w:pPr>
            <w:r>
              <w:rPr>
                <w:rFonts w:hint="eastAsia"/>
                <w:color w:val="auto"/>
                <w:sz w:val="21"/>
                <w:szCs w:val="2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dxa"/>
            <w:gridSpan w:val="2"/>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default"/>
                <w:color w:val="auto"/>
                <w:sz w:val="21"/>
                <w:szCs w:val="22"/>
              </w:rPr>
            </w:pPr>
            <w:r>
              <w:rPr>
                <w:rFonts w:hint="eastAsia"/>
                <w:color w:val="auto"/>
                <w:sz w:val="21"/>
                <w:szCs w:val="22"/>
              </w:rPr>
              <w:t>报告姓名</w:t>
            </w:r>
          </w:p>
        </w:tc>
        <w:tc>
          <w:tcPr>
            <w:tcW w:w="1354" w:type="dxa"/>
            <w:gridSpan w:val="7"/>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default"/>
                <w:color w:val="auto"/>
                <w:sz w:val="21"/>
                <w:szCs w:val="22"/>
              </w:rPr>
            </w:pPr>
          </w:p>
        </w:tc>
        <w:tc>
          <w:tcPr>
            <w:tcW w:w="1374" w:type="dxa"/>
            <w:gridSpan w:val="6"/>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default"/>
                <w:color w:val="auto"/>
                <w:sz w:val="21"/>
                <w:szCs w:val="22"/>
              </w:rPr>
            </w:pPr>
            <w:r>
              <w:rPr>
                <w:rFonts w:hint="eastAsia"/>
                <w:color w:val="auto"/>
                <w:sz w:val="21"/>
                <w:szCs w:val="22"/>
              </w:rPr>
              <w:t>报告者职业</w:t>
            </w:r>
          </w:p>
        </w:tc>
        <w:tc>
          <w:tcPr>
            <w:tcW w:w="1604" w:type="dxa"/>
            <w:gridSpan w:val="7"/>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default"/>
                <w:color w:val="auto"/>
                <w:sz w:val="21"/>
                <w:szCs w:val="22"/>
              </w:rPr>
            </w:pPr>
          </w:p>
        </w:tc>
        <w:tc>
          <w:tcPr>
            <w:tcW w:w="2203" w:type="dxa"/>
            <w:gridSpan w:val="8"/>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jc w:val="center"/>
              <w:rPr>
                <w:rFonts w:hint="default"/>
                <w:color w:val="auto"/>
                <w:sz w:val="21"/>
                <w:szCs w:val="22"/>
              </w:rPr>
            </w:pPr>
            <w:r>
              <w:rPr>
                <w:rFonts w:hint="eastAsia"/>
                <w:color w:val="auto"/>
                <w:sz w:val="21"/>
                <w:szCs w:val="22"/>
              </w:rPr>
              <w:t>电话</w:t>
            </w:r>
          </w:p>
        </w:tc>
        <w:tc>
          <w:tcPr>
            <w:tcW w:w="2308" w:type="dxa"/>
            <w:gridSpan w:val="6"/>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default"/>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1" w:type="dxa"/>
            <w:gridSpan w:val="9"/>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default"/>
                <w:color w:val="auto"/>
                <w:sz w:val="21"/>
                <w:szCs w:val="22"/>
              </w:rPr>
            </w:pPr>
            <w:r>
              <w:rPr>
                <w:rFonts w:hint="eastAsia"/>
                <w:color w:val="auto"/>
                <w:sz w:val="21"/>
                <w:szCs w:val="22"/>
              </w:rPr>
              <w:t>报告者地址</w:t>
            </w:r>
          </w:p>
        </w:tc>
        <w:tc>
          <w:tcPr>
            <w:tcW w:w="2978" w:type="dxa"/>
            <w:gridSpan w:val="13"/>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default"/>
                <w:color w:val="auto"/>
                <w:sz w:val="21"/>
                <w:szCs w:val="22"/>
              </w:rPr>
            </w:pPr>
          </w:p>
        </w:tc>
        <w:tc>
          <w:tcPr>
            <w:tcW w:w="2203" w:type="dxa"/>
            <w:gridSpan w:val="8"/>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jc w:val="center"/>
              <w:rPr>
                <w:rFonts w:hint="default"/>
                <w:color w:val="auto"/>
                <w:sz w:val="21"/>
                <w:szCs w:val="22"/>
              </w:rPr>
            </w:pPr>
            <w:r>
              <w:rPr>
                <w:rFonts w:hint="eastAsia"/>
                <w:color w:val="auto"/>
                <w:sz w:val="21"/>
                <w:szCs w:val="22"/>
              </w:rPr>
              <w:t>邮箱</w:t>
            </w:r>
          </w:p>
        </w:tc>
        <w:tc>
          <w:tcPr>
            <w:tcW w:w="2308" w:type="dxa"/>
            <w:gridSpan w:val="6"/>
            <w:tcBorders>
              <w:top w:val="single" w:color="auto" w:sz="4" w:space="0"/>
              <w:left w:val="single" w:color="auto" w:sz="4" w:space="0"/>
              <w:bottom w:val="single" w:color="auto" w:sz="4" w:space="0"/>
              <w:right w:val="single" w:color="auto" w:sz="4" w:space="0"/>
              <w:tl2br w:val="nil"/>
              <w:tr2bl w:val="nil"/>
            </w:tcBorders>
            <w:vAlign w:val="top"/>
          </w:tcPr>
          <w:p>
            <w:pPr>
              <w:spacing w:beforeLines="0" w:afterLines="0" w:line="360" w:lineRule="auto"/>
              <w:rPr>
                <w:rFonts w:hint="default"/>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0" w:type="dxa"/>
            <w:gridSpan w:val="36"/>
            <w:tcBorders>
              <w:top w:val="single" w:color="auto" w:sz="4" w:space="0"/>
              <w:left w:val="single" w:color="auto" w:sz="4" w:space="0"/>
              <w:bottom w:val="single" w:color="auto" w:sz="4" w:space="0"/>
              <w:right w:val="single" w:color="auto" w:sz="4" w:space="0"/>
              <w:tl2br w:val="nil"/>
              <w:tr2bl w:val="nil"/>
            </w:tcBorders>
            <w:shd w:val="clear" w:color="auto" w:fill="BEBEBE"/>
            <w:vAlign w:val="top"/>
          </w:tcPr>
          <w:p>
            <w:pPr>
              <w:spacing w:beforeLines="0" w:afterLines="0" w:line="360" w:lineRule="auto"/>
              <w:rPr>
                <w:rFonts w:hint="default"/>
                <w:color w:val="auto"/>
                <w:sz w:val="21"/>
                <w:szCs w:val="22"/>
              </w:rPr>
            </w:pPr>
            <w:r>
              <w:rPr>
                <w:rFonts w:hint="eastAsia"/>
                <w:color w:val="auto"/>
                <w:sz w:val="21"/>
                <w:szCs w:val="22"/>
              </w:rPr>
              <w:t>患者信息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997"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t>姓名</w:t>
            </w:r>
          </w:p>
          <w:p>
            <w:pPr>
              <w:spacing w:beforeLines="0" w:afterLines="0" w:line="240" w:lineRule="exact"/>
              <w:jc w:val="center"/>
              <w:rPr>
                <w:rFonts w:hint="default"/>
                <w:color w:val="auto"/>
                <w:sz w:val="21"/>
                <w:szCs w:val="22"/>
              </w:rPr>
            </w:pPr>
            <w:r>
              <w:rPr>
                <w:rFonts w:hint="eastAsia"/>
                <w:color w:val="auto"/>
                <w:sz w:val="21"/>
                <w:szCs w:val="22"/>
              </w:rPr>
              <w:t>缩写</w:t>
            </w:r>
          </w:p>
        </w:tc>
        <w:tc>
          <w:tcPr>
            <w:tcW w:w="1001" w:type="dxa"/>
            <w:gridSpan w:val="6"/>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p>
        </w:tc>
        <w:tc>
          <w:tcPr>
            <w:tcW w:w="1002"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t>出生</w:t>
            </w:r>
          </w:p>
          <w:p>
            <w:pPr>
              <w:spacing w:beforeLines="0" w:afterLines="0" w:line="240" w:lineRule="exact"/>
              <w:jc w:val="center"/>
              <w:rPr>
                <w:rFonts w:hint="default"/>
                <w:color w:val="auto"/>
                <w:sz w:val="21"/>
                <w:szCs w:val="22"/>
              </w:rPr>
            </w:pPr>
            <w:r>
              <w:rPr>
                <w:rFonts w:hint="eastAsia"/>
                <w:color w:val="auto"/>
                <w:sz w:val="21"/>
                <w:szCs w:val="22"/>
              </w:rPr>
              <w:t>日期</w:t>
            </w:r>
          </w:p>
        </w:tc>
        <w:tc>
          <w:tcPr>
            <w:tcW w:w="1002" w:type="dxa"/>
            <w:gridSpan w:val="6"/>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p>
        </w:tc>
        <w:tc>
          <w:tcPr>
            <w:tcW w:w="1072" w:type="dxa"/>
            <w:gridSpan w:val="5"/>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t>性别</w:t>
            </w:r>
          </w:p>
        </w:tc>
        <w:tc>
          <w:tcPr>
            <w:tcW w:w="932" w:type="dxa"/>
            <w:gridSpan w:val="2"/>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sym w:font="Wingdings 2" w:char="00A3"/>
            </w:r>
            <w:r>
              <w:rPr>
                <w:rFonts w:hint="eastAsia"/>
                <w:color w:val="auto"/>
                <w:sz w:val="21"/>
                <w:szCs w:val="22"/>
              </w:rPr>
              <w:t xml:space="preserve">男 </w:t>
            </w:r>
          </w:p>
          <w:p>
            <w:pPr>
              <w:spacing w:beforeLines="0" w:afterLines="0" w:line="240" w:lineRule="exact"/>
              <w:jc w:val="center"/>
              <w:rPr>
                <w:rFonts w:hint="default"/>
                <w:color w:val="auto"/>
                <w:sz w:val="21"/>
                <w:szCs w:val="22"/>
              </w:rPr>
            </w:pPr>
            <w:r>
              <w:rPr>
                <w:rFonts w:hint="eastAsia"/>
                <w:color w:val="auto"/>
                <w:sz w:val="21"/>
                <w:szCs w:val="22"/>
              </w:rPr>
              <w:sym w:font="Wingdings 2" w:char="00A3"/>
            </w:r>
            <w:r>
              <w:rPr>
                <w:rFonts w:hint="eastAsia"/>
                <w:color w:val="auto"/>
                <w:sz w:val="21"/>
                <w:szCs w:val="22"/>
              </w:rPr>
              <w:t>女</w:t>
            </w:r>
          </w:p>
        </w:tc>
        <w:tc>
          <w:tcPr>
            <w:tcW w:w="1002" w:type="dxa"/>
            <w:gridSpan w:val="5"/>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t>身高（cm）</w:t>
            </w:r>
          </w:p>
        </w:tc>
        <w:tc>
          <w:tcPr>
            <w:tcW w:w="1002"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p>
        </w:tc>
        <w:tc>
          <w:tcPr>
            <w:tcW w:w="1002" w:type="dxa"/>
            <w:gridSpan w:val="4"/>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t>体重（kg）</w:t>
            </w:r>
          </w:p>
        </w:tc>
        <w:tc>
          <w:tcPr>
            <w:tcW w:w="1008"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997"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t>受试者编号</w:t>
            </w:r>
          </w:p>
        </w:tc>
        <w:tc>
          <w:tcPr>
            <w:tcW w:w="1001" w:type="dxa"/>
            <w:gridSpan w:val="6"/>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p>
        </w:tc>
        <w:tc>
          <w:tcPr>
            <w:tcW w:w="1002"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t>民族</w:t>
            </w:r>
          </w:p>
        </w:tc>
        <w:tc>
          <w:tcPr>
            <w:tcW w:w="1002" w:type="dxa"/>
            <w:gridSpan w:val="6"/>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p>
        </w:tc>
        <w:tc>
          <w:tcPr>
            <w:tcW w:w="1072" w:type="dxa"/>
            <w:gridSpan w:val="5"/>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t>发生SAE时年龄</w:t>
            </w:r>
          </w:p>
        </w:tc>
        <w:tc>
          <w:tcPr>
            <w:tcW w:w="932" w:type="dxa"/>
            <w:gridSpan w:val="2"/>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p>
        </w:tc>
        <w:tc>
          <w:tcPr>
            <w:tcW w:w="1002" w:type="dxa"/>
            <w:gridSpan w:val="5"/>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t>受试者是否退出研究</w:t>
            </w:r>
          </w:p>
        </w:tc>
        <w:tc>
          <w:tcPr>
            <w:tcW w:w="3012" w:type="dxa"/>
            <w:gridSpan w:val="8"/>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997"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t>患者</w:t>
            </w:r>
          </w:p>
          <w:p>
            <w:pPr>
              <w:spacing w:beforeLines="0" w:afterLines="0" w:line="240" w:lineRule="exact"/>
              <w:jc w:val="center"/>
              <w:rPr>
                <w:rFonts w:hint="default"/>
                <w:color w:val="auto"/>
                <w:sz w:val="21"/>
                <w:szCs w:val="22"/>
              </w:rPr>
            </w:pPr>
            <w:r>
              <w:rPr>
                <w:rFonts w:hint="eastAsia"/>
                <w:color w:val="auto"/>
                <w:sz w:val="21"/>
                <w:szCs w:val="22"/>
              </w:rPr>
              <w:t>死亡</w:t>
            </w:r>
          </w:p>
        </w:tc>
        <w:tc>
          <w:tcPr>
            <w:tcW w:w="1001" w:type="dxa"/>
            <w:gridSpan w:val="6"/>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sym w:font="Wingdings 2" w:char="00A3"/>
            </w:r>
            <w:r>
              <w:rPr>
                <w:rFonts w:hint="eastAsia"/>
                <w:color w:val="auto"/>
                <w:sz w:val="21"/>
                <w:szCs w:val="22"/>
              </w:rPr>
              <w:t>是</w:t>
            </w:r>
          </w:p>
          <w:p>
            <w:pPr>
              <w:spacing w:beforeLines="0" w:afterLines="0" w:line="240" w:lineRule="exact"/>
              <w:jc w:val="center"/>
              <w:rPr>
                <w:rFonts w:hint="default"/>
                <w:color w:val="auto"/>
                <w:sz w:val="21"/>
                <w:szCs w:val="22"/>
              </w:rPr>
            </w:pPr>
            <w:r>
              <w:rPr>
                <w:rFonts w:hint="eastAsia"/>
                <w:color w:val="auto"/>
                <w:sz w:val="21"/>
                <w:szCs w:val="22"/>
              </w:rPr>
              <w:sym w:font="Wingdings 2" w:char="00A3"/>
            </w:r>
            <w:r>
              <w:rPr>
                <w:rFonts w:hint="eastAsia"/>
                <w:color w:val="auto"/>
                <w:sz w:val="21"/>
                <w:szCs w:val="22"/>
              </w:rPr>
              <w:t>否</w:t>
            </w:r>
          </w:p>
        </w:tc>
        <w:tc>
          <w:tcPr>
            <w:tcW w:w="1002"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t>死亡</w:t>
            </w:r>
          </w:p>
          <w:p>
            <w:pPr>
              <w:spacing w:beforeLines="0" w:afterLines="0" w:line="240" w:lineRule="exact"/>
              <w:jc w:val="center"/>
              <w:rPr>
                <w:rFonts w:hint="default"/>
                <w:color w:val="auto"/>
                <w:sz w:val="21"/>
                <w:szCs w:val="22"/>
              </w:rPr>
            </w:pPr>
            <w:r>
              <w:rPr>
                <w:rFonts w:hint="eastAsia"/>
                <w:color w:val="auto"/>
                <w:sz w:val="21"/>
                <w:szCs w:val="22"/>
              </w:rPr>
              <w:t>时间</w:t>
            </w:r>
          </w:p>
        </w:tc>
        <w:tc>
          <w:tcPr>
            <w:tcW w:w="1002" w:type="dxa"/>
            <w:gridSpan w:val="6"/>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p>
        </w:tc>
        <w:tc>
          <w:tcPr>
            <w:tcW w:w="1072" w:type="dxa"/>
            <w:gridSpan w:val="5"/>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t>死亡</w:t>
            </w:r>
          </w:p>
          <w:p>
            <w:pPr>
              <w:spacing w:beforeLines="0" w:afterLines="0" w:line="240" w:lineRule="exact"/>
              <w:jc w:val="center"/>
              <w:rPr>
                <w:rFonts w:hint="default"/>
                <w:color w:val="auto"/>
                <w:sz w:val="21"/>
                <w:szCs w:val="22"/>
              </w:rPr>
            </w:pPr>
            <w:r>
              <w:rPr>
                <w:rFonts w:hint="eastAsia"/>
                <w:color w:val="auto"/>
                <w:sz w:val="21"/>
                <w:szCs w:val="22"/>
              </w:rPr>
              <w:t>原因</w:t>
            </w:r>
          </w:p>
        </w:tc>
        <w:tc>
          <w:tcPr>
            <w:tcW w:w="932" w:type="dxa"/>
            <w:gridSpan w:val="2"/>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p>
        </w:tc>
        <w:tc>
          <w:tcPr>
            <w:tcW w:w="1002" w:type="dxa"/>
            <w:gridSpan w:val="5"/>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t>是否</w:t>
            </w:r>
          </w:p>
          <w:p>
            <w:pPr>
              <w:spacing w:beforeLines="0" w:afterLines="0" w:line="240" w:lineRule="exact"/>
              <w:jc w:val="center"/>
              <w:rPr>
                <w:rFonts w:hint="default"/>
                <w:color w:val="auto"/>
                <w:sz w:val="21"/>
                <w:szCs w:val="22"/>
              </w:rPr>
            </w:pPr>
            <w:r>
              <w:rPr>
                <w:rFonts w:hint="eastAsia"/>
                <w:color w:val="auto"/>
                <w:sz w:val="21"/>
                <w:szCs w:val="22"/>
              </w:rPr>
              <w:t>尸检</w:t>
            </w:r>
          </w:p>
        </w:tc>
        <w:tc>
          <w:tcPr>
            <w:tcW w:w="1002"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sym w:font="Wingdings 2" w:char="00A3"/>
            </w:r>
            <w:r>
              <w:rPr>
                <w:rFonts w:hint="eastAsia"/>
                <w:color w:val="auto"/>
                <w:sz w:val="21"/>
                <w:szCs w:val="22"/>
              </w:rPr>
              <w:t>是</w:t>
            </w:r>
          </w:p>
          <w:p>
            <w:pPr>
              <w:spacing w:beforeLines="0" w:afterLines="0" w:line="240" w:lineRule="exact"/>
              <w:jc w:val="center"/>
              <w:rPr>
                <w:rFonts w:hint="default"/>
                <w:color w:val="auto"/>
                <w:sz w:val="21"/>
                <w:szCs w:val="22"/>
              </w:rPr>
            </w:pPr>
            <w:r>
              <w:rPr>
                <w:rFonts w:hint="eastAsia"/>
                <w:color w:val="auto"/>
                <w:sz w:val="21"/>
                <w:szCs w:val="22"/>
              </w:rPr>
              <w:sym w:font="Wingdings 2" w:char="00A3"/>
            </w:r>
            <w:r>
              <w:rPr>
                <w:rFonts w:hint="eastAsia"/>
                <w:color w:val="auto"/>
                <w:sz w:val="21"/>
                <w:szCs w:val="22"/>
              </w:rPr>
              <w:t>否</w:t>
            </w:r>
          </w:p>
        </w:tc>
        <w:tc>
          <w:tcPr>
            <w:tcW w:w="1002" w:type="dxa"/>
            <w:gridSpan w:val="4"/>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exact"/>
              <w:jc w:val="center"/>
              <w:rPr>
                <w:rFonts w:hint="default"/>
                <w:color w:val="auto"/>
                <w:sz w:val="21"/>
                <w:szCs w:val="22"/>
              </w:rPr>
            </w:pPr>
            <w:r>
              <w:rPr>
                <w:rFonts w:hint="eastAsia"/>
                <w:color w:val="auto"/>
                <w:sz w:val="21"/>
                <w:szCs w:val="22"/>
              </w:rPr>
              <w:t>尸检</w:t>
            </w:r>
          </w:p>
          <w:p>
            <w:pPr>
              <w:spacing w:beforeLines="0" w:afterLines="0" w:line="240" w:lineRule="exact"/>
              <w:jc w:val="center"/>
              <w:rPr>
                <w:rFonts w:hint="default"/>
                <w:color w:val="auto"/>
                <w:sz w:val="21"/>
                <w:szCs w:val="22"/>
              </w:rPr>
            </w:pPr>
            <w:r>
              <w:rPr>
                <w:rFonts w:hint="eastAsia"/>
                <w:color w:val="auto"/>
                <w:sz w:val="21"/>
                <w:szCs w:val="22"/>
              </w:rPr>
              <w:t>结果</w:t>
            </w:r>
          </w:p>
        </w:tc>
        <w:tc>
          <w:tcPr>
            <w:tcW w:w="1008"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74" w:type="dxa"/>
            <w:gridSpan w:val="6"/>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pPr>
              <w:spacing w:beforeLines="0" w:afterLines="0" w:line="360" w:lineRule="auto"/>
              <w:jc w:val="center"/>
              <w:rPr>
                <w:rFonts w:hint="default"/>
                <w:color w:val="auto"/>
                <w:sz w:val="21"/>
                <w:szCs w:val="22"/>
              </w:rPr>
            </w:pPr>
            <w:r>
              <w:rPr>
                <w:rFonts w:hint="eastAsia"/>
                <w:color w:val="auto"/>
                <w:sz w:val="21"/>
                <w:szCs w:val="22"/>
              </w:rPr>
              <w:t>相关病史与治疗</w:t>
            </w:r>
          </w:p>
        </w:tc>
        <w:tc>
          <w:tcPr>
            <w:tcW w:w="8246" w:type="dxa"/>
            <w:gridSpan w:val="30"/>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pPr>
              <w:spacing w:beforeLines="0" w:afterLines="0" w:line="360" w:lineRule="auto"/>
              <w:jc w:val="left"/>
              <w:rPr>
                <w:rFonts w:hint="default"/>
                <w:color w:val="auto"/>
                <w:sz w:val="21"/>
                <w:szCs w:val="22"/>
              </w:rPr>
            </w:pPr>
            <w:r>
              <w:rPr>
                <w:rFonts w:hint="eastAsia"/>
                <w:color w:val="auto"/>
                <w:sz w:val="21"/>
                <w:szCs w:val="22"/>
              </w:rPr>
              <w:sym w:font="Wingdings 2" w:char="00A3"/>
            </w:r>
            <w:r>
              <w:rPr>
                <w:rFonts w:hint="eastAsia"/>
                <w:color w:val="auto"/>
                <w:sz w:val="21"/>
                <w:szCs w:val="22"/>
              </w:rPr>
              <w:t xml:space="preserve">不详  </w:t>
            </w:r>
            <w:r>
              <w:rPr>
                <w:rFonts w:hint="eastAsia"/>
                <w:color w:val="auto"/>
                <w:sz w:val="21"/>
                <w:szCs w:val="22"/>
              </w:rPr>
              <w:sym w:font="Wingdings 2" w:char="00A3"/>
            </w:r>
            <w:r>
              <w:rPr>
                <w:rFonts w:hint="eastAsia"/>
                <w:color w:val="auto"/>
                <w:sz w:val="21"/>
                <w:szCs w:val="22"/>
              </w:rPr>
              <w:t xml:space="preserve">无  </w:t>
            </w:r>
            <w:r>
              <w:rPr>
                <w:rFonts w:hint="eastAsia"/>
                <w:color w:val="auto"/>
                <w:sz w:val="21"/>
                <w:szCs w:val="22"/>
              </w:rPr>
              <w:sym w:font="Wingdings 2" w:char="00A3"/>
            </w:r>
            <w:r>
              <w:rPr>
                <w:rFonts w:hint="eastAsia"/>
                <w:color w:val="auto"/>
                <w:sz w:val="21"/>
                <w:szCs w:val="22"/>
              </w:rPr>
              <w:t>见下表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74" w:type="dxa"/>
            <w:gridSpan w:val="6"/>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pPr>
              <w:spacing w:beforeLines="0" w:afterLines="0" w:line="360" w:lineRule="auto"/>
              <w:jc w:val="center"/>
              <w:rPr>
                <w:rFonts w:hint="eastAsia"/>
                <w:color w:val="auto"/>
                <w:sz w:val="21"/>
                <w:szCs w:val="22"/>
              </w:rPr>
            </w:pPr>
            <w:r>
              <w:rPr>
                <w:rFonts w:hint="eastAsia"/>
                <w:color w:val="auto"/>
                <w:sz w:val="21"/>
                <w:szCs w:val="22"/>
              </w:rPr>
              <w:t>现病史</w:t>
            </w:r>
          </w:p>
        </w:tc>
        <w:tc>
          <w:tcPr>
            <w:tcW w:w="8246" w:type="dxa"/>
            <w:gridSpan w:val="30"/>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pPr>
              <w:spacing w:beforeLines="0" w:afterLines="0" w:line="360" w:lineRule="auto"/>
              <w:jc w:val="left"/>
              <w:rPr>
                <w:rFonts w:hint="default"/>
                <w:color w:val="auto"/>
                <w:sz w:val="21"/>
                <w:szCs w:val="22"/>
              </w:rPr>
            </w:pPr>
            <w:r>
              <w:rPr>
                <w:rFonts w:hint="eastAsia"/>
                <w:color w:val="auto"/>
                <w:sz w:val="21"/>
                <w:szCs w:val="22"/>
              </w:rPr>
              <w:t>试验用药适应症以外，SAE发生时未恢复的疾病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74" w:type="dxa"/>
            <w:gridSpan w:val="6"/>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r>
              <w:rPr>
                <w:rFonts w:hint="eastAsia"/>
                <w:color w:val="auto"/>
                <w:sz w:val="21"/>
                <w:szCs w:val="22"/>
              </w:rPr>
              <w:t>疾病名称</w:t>
            </w:r>
          </w:p>
        </w:tc>
        <w:tc>
          <w:tcPr>
            <w:tcW w:w="1560" w:type="dxa"/>
            <w:gridSpan w:val="5"/>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r>
              <w:rPr>
                <w:rFonts w:hint="eastAsia"/>
                <w:color w:val="auto"/>
                <w:sz w:val="21"/>
                <w:szCs w:val="22"/>
              </w:rPr>
              <w:t>开始时间</w:t>
            </w:r>
          </w:p>
        </w:tc>
        <w:tc>
          <w:tcPr>
            <w:tcW w:w="1740" w:type="dxa"/>
            <w:gridSpan w:val="10"/>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r>
              <w:rPr>
                <w:rFonts w:hint="eastAsia"/>
                <w:color w:val="auto"/>
                <w:sz w:val="21"/>
                <w:szCs w:val="22"/>
              </w:rPr>
              <w:t>是否持续</w:t>
            </w:r>
          </w:p>
        </w:tc>
        <w:tc>
          <w:tcPr>
            <w:tcW w:w="1600" w:type="dxa"/>
            <w:gridSpan w:val="4"/>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r>
              <w:rPr>
                <w:rFonts w:hint="eastAsia"/>
                <w:color w:val="auto"/>
                <w:sz w:val="21"/>
                <w:szCs w:val="22"/>
              </w:rPr>
              <w:t>结束时间</w:t>
            </w:r>
          </w:p>
        </w:tc>
        <w:tc>
          <w:tcPr>
            <w:tcW w:w="1953" w:type="dxa"/>
            <w:gridSpan w:val="8"/>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r>
              <w:rPr>
                <w:rFonts w:hint="eastAsia"/>
                <w:color w:val="auto"/>
                <w:sz w:val="21"/>
                <w:szCs w:val="22"/>
              </w:rPr>
              <w:t>治疗药物通用名称</w:t>
            </w:r>
          </w:p>
        </w:tc>
        <w:tc>
          <w:tcPr>
            <w:tcW w:w="1393"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eastAsia"/>
                <w:color w:val="auto"/>
                <w:sz w:val="21"/>
                <w:szCs w:val="22"/>
              </w:rPr>
            </w:pPr>
            <w:r>
              <w:rPr>
                <w:rFonts w:hint="eastAsia"/>
                <w:color w:val="auto"/>
                <w:sz w:val="21"/>
                <w:szCs w:val="22"/>
              </w:rPr>
              <w:t>用法用量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774" w:type="dxa"/>
            <w:gridSpan w:val="6"/>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c>
          <w:tcPr>
            <w:tcW w:w="1560" w:type="dxa"/>
            <w:gridSpan w:val="5"/>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c>
          <w:tcPr>
            <w:tcW w:w="1740" w:type="dxa"/>
            <w:gridSpan w:val="10"/>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c>
          <w:tcPr>
            <w:tcW w:w="1600" w:type="dxa"/>
            <w:gridSpan w:val="4"/>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c>
          <w:tcPr>
            <w:tcW w:w="1953" w:type="dxa"/>
            <w:gridSpan w:val="8"/>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c>
          <w:tcPr>
            <w:tcW w:w="1393"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74" w:type="dxa"/>
            <w:gridSpan w:val="6"/>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c>
          <w:tcPr>
            <w:tcW w:w="1560" w:type="dxa"/>
            <w:gridSpan w:val="5"/>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c>
          <w:tcPr>
            <w:tcW w:w="1740" w:type="dxa"/>
            <w:gridSpan w:val="10"/>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c>
          <w:tcPr>
            <w:tcW w:w="1600" w:type="dxa"/>
            <w:gridSpan w:val="4"/>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c>
          <w:tcPr>
            <w:tcW w:w="1953" w:type="dxa"/>
            <w:gridSpan w:val="8"/>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c>
          <w:tcPr>
            <w:tcW w:w="1393"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74" w:type="dxa"/>
            <w:gridSpan w:val="6"/>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c>
          <w:tcPr>
            <w:tcW w:w="1560" w:type="dxa"/>
            <w:gridSpan w:val="5"/>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c>
          <w:tcPr>
            <w:tcW w:w="1740" w:type="dxa"/>
            <w:gridSpan w:val="10"/>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c>
          <w:tcPr>
            <w:tcW w:w="1600" w:type="dxa"/>
            <w:gridSpan w:val="4"/>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c>
          <w:tcPr>
            <w:tcW w:w="1953" w:type="dxa"/>
            <w:gridSpan w:val="8"/>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c>
          <w:tcPr>
            <w:tcW w:w="1393"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360" w:lineRule="auto"/>
              <w:jc w:val="center"/>
              <w:rPr>
                <w:rFonts w:hint="default"/>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74" w:type="dxa"/>
            <w:gridSpan w:val="6"/>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pPr>
              <w:spacing w:beforeLines="0" w:afterLines="0" w:line="360" w:lineRule="auto"/>
              <w:jc w:val="center"/>
              <w:rPr>
                <w:rFonts w:hint="default"/>
                <w:color w:val="auto"/>
                <w:sz w:val="21"/>
                <w:szCs w:val="22"/>
              </w:rPr>
            </w:pPr>
            <w:r>
              <w:rPr>
                <w:rFonts w:hint="eastAsia"/>
                <w:color w:val="auto"/>
                <w:sz w:val="21"/>
                <w:szCs w:val="22"/>
              </w:rPr>
              <w:t>既往病史</w:t>
            </w:r>
          </w:p>
        </w:tc>
        <w:tc>
          <w:tcPr>
            <w:tcW w:w="8246" w:type="dxa"/>
            <w:gridSpan w:val="30"/>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pPr>
              <w:spacing w:beforeLines="0" w:afterLines="0" w:line="360" w:lineRule="auto"/>
              <w:jc w:val="left"/>
              <w:rPr>
                <w:rFonts w:hint="default"/>
                <w:color w:val="auto"/>
                <w:sz w:val="21"/>
                <w:szCs w:val="22"/>
              </w:rPr>
            </w:pPr>
            <w:r>
              <w:rPr>
                <w:rFonts w:hint="eastAsia"/>
                <w:color w:val="auto"/>
                <w:sz w:val="21"/>
                <w:szCs w:val="22"/>
              </w:rPr>
              <w:t>试验用药适应症以外，SAE发生时已经恢复的疾病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74"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r>
              <w:rPr>
                <w:rFonts w:hint="eastAsia"/>
                <w:color w:val="auto"/>
                <w:sz w:val="21"/>
                <w:szCs w:val="22"/>
              </w:rPr>
              <w:t>疾病名称</w:t>
            </w: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r>
              <w:rPr>
                <w:rFonts w:hint="eastAsia"/>
                <w:color w:val="auto"/>
                <w:sz w:val="21"/>
                <w:szCs w:val="22"/>
              </w:rPr>
              <w:t>开始时间</w:t>
            </w:r>
          </w:p>
        </w:tc>
        <w:tc>
          <w:tcPr>
            <w:tcW w:w="1649"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r>
              <w:rPr>
                <w:rFonts w:hint="eastAsia"/>
                <w:color w:val="auto"/>
                <w:sz w:val="21"/>
                <w:szCs w:val="22"/>
              </w:rPr>
              <w:t>是否持续</w:t>
            </w: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r>
              <w:rPr>
                <w:rFonts w:hint="eastAsia"/>
                <w:color w:val="auto"/>
                <w:sz w:val="21"/>
                <w:szCs w:val="22"/>
              </w:rPr>
              <w:t>结束时间</w:t>
            </w:r>
          </w:p>
        </w:tc>
        <w:tc>
          <w:tcPr>
            <w:tcW w:w="1908"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r>
              <w:rPr>
                <w:rFonts w:hint="eastAsia"/>
                <w:color w:val="auto"/>
                <w:sz w:val="21"/>
                <w:szCs w:val="22"/>
              </w:rPr>
              <w:t>治疗药物通用名称</w:t>
            </w:r>
          </w:p>
        </w:tc>
        <w:tc>
          <w:tcPr>
            <w:tcW w:w="1393"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r>
              <w:rPr>
                <w:rFonts w:hint="eastAsia"/>
                <w:color w:val="auto"/>
                <w:sz w:val="21"/>
                <w:szCs w:val="22"/>
              </w:rPr>
              <w:t>用法用量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74"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49"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908"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393"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74"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49"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908"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393"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74"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饮酒史</w:t>
            </w: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240" w:lineRule="exact"/>
              <w:jc w:val="center"/>
              <w:rPr>
                <w:rFonts w:hint="eastAsia"/>
                <w:color w:val="auto"/>
                <w:sz w:val="21"/>
                <w:szCs w:val="22"/>
              </w:rPr>
            </w:pPr>
            <w:r>
              <w:rPr>
                <w:rFonts w:hint="eastAsia"/>
                <w:color w:val="auto"/>
                <w:sz w:val="21"/>
                <w:szCs w:val="22"/>
              </w:rPr>
              <w:sym w:font="Wingdings 2" w:char="00A3"/>
            </w:r>
            <w:r>
              <w:rPr>
                <w:rFonts w:hint="eastAsia"/>
                <w:color w:val="auto"/>
                <w:sz w:val="21"/>
                <w:szCs w:val="22"/>
              </w:rPr>
              <w:t xml:space="preserve">无 </w:t>
            </w:r>
            <w:r>
              <w:rPr>
                <w:rFonts w:hint="eastAsia"/>
                <w:color w:val="auto"/>
                <w:sz w:val="21"/>
                <w:szCs w:val="22"/>
              </w:rPr>
              <w:sym w:font="Wingdings 2" w:char="00A3"/>
            </w:r>
            <w:r>
              <w:rPr>
                <w:rFonts w:hint="eastAsia"/>
                <w:color w:val="auto"/>
                <w:sz w:val="21"/>
                <w:szCs w:val="22"/>
              </w:rPr>
              <w:t>有</w:t>
            </w:r>
          </w:p>
        </w:tc>
        <w:tc>
          <w:tcPr>
            <w:tcW w:w="1649"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吸烟史</w:t>
            </w: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r>
              <w:rPr>
                <w:rFonts w:hint="eastAsia"/>
                <w:color w:val="auto"/>
                <w:sz w:val="21"/>
                <w:szCs w:val="22"/>
              </w:rPr>
              <w:sym w:font="Wingdings 2" w:char="00A3"/>
            </w:r>
            <w:r>
              <w:rPr>
                <w:rFonts w:hint="eastAsia"/>
                <w:color w:val="auto"/>
                <w:sz w:val="21"/>
                <w:szCs w:val="22"/>
              </w:rPr>
              <w:t xml:space="preserve">无 </w:t>
            </w:r>
            <w:r>
              <w:rPr>
                <w:rFonts w:hint="eastAsia"/>
                <w:color w:val="auto"/>
                <w:sz w:val="21"/>
                <w:szCs w:val="22"/>
              </w:rPr>
              <w:sym w:font="Wingdings 2" w:char="00A3"/>
            </w:r>
            <w:r>
              <w:rPr>
                <w:rFonts w:hint="eastAsia"/>
                <w:color w:val="auto"/>
                <w:sz w:val="21"/>
                <w:szCs w:val="22"/>
              </w:rPr>
              <w:t>有</w:t>
            </w:r>
          </w:p>
        </w:tc>
        <w:tc>
          <w:tcPr>
            <w:tcW w:w="1908"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家族史</w:t>
            </w:r>
          </w:p>
        </w:tc>
        <w:tc>
          <w:tcPr>
            <w:tcW w:w="1393"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r>
              <w:rPr>
                <w:rFonts w:hint="eastAsia"/>
                <w:color w:val="auto"/>
                <w:sz w:val="21"/>
                <w:szCs w:val="22"/>
              </w:rPr>
              <w:sym w:font="Wingdings 2" w:char="00A3"/>
            </w:r>
            <w:r>
              <w:rPr>
                <w:rFonts w:hint="eastAsia"/>
                <w:color w:val="auto"/>
                <w:sz w:val="21"/>
                <w:szCs w:val="22"/>
              </w:rPr>
              <w:t xml:space="preserve">无 </w:t>
            </w:r>
            <w:r>
              <w:rPr>
                <w:rFonts w:hint="eastAsia"/>
                <w:color w:val="auto"/>
                <w:sz w:val="21"/>
                <w:szCs w:val="22"/>
              </w:rPr>
              <w:sym w:font="Wingdings 2" w:char="00A3"/>
            </w:r>
            <w:r>
              <w:rPr>
                <w:rFonts w:hint="eastAsia"/>
                <w:color w:val="auto"/>
                <w:sz w:val="21"/>
                <w:szCs w:val="22"/>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74"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肝病史</w:t>
            </w: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r>
              <w:rPr>
                <w:rFonts w:hint="eastAsia"/>
                <w:color w:val="auto"/>
                <w:sz w:val="21"/>
                <w:szCs w:val="22"/>
              </w:rPr>
              <w:sym w:font="Wingdings 2" w:char="00A3"/>
            </w:r>
            <w:r>
              <w:rPr>
                <w:rFonts w:hint="eastAsia"/>
                <w:color w:val="auto"/>
                <w:sz w:val="21"/>
                <w:szCs w:val="22"/>
              </w:rPr>
              <w:t xml:space="preserve">无 </w:t>
            </w:r>
            <w:r>
              <w:rPr>
                <w:rFonts w:hint="eastAsia"/>
                <w:color w:val="auto"/>
                <w:sz w:val="21"/>
                <w:szCs w:val="22"/>
              </w:rPr>
              <w:sym w:font="Wingdings 2" w:char="00A3"/>
            </w:r>
            <w:r>
              <w:rPr>
                <w:rFonts w:hint="eastAsia"/>
                <w:color w:val="auto"/>
                <w:sz w:val="21"/>
                <w:szCs w:val="22"/>
              </w:rPr>
              <w:t>有</w:t>
            </w:r>
          </w:p>
        </w:tc>
        <w:tc>
          <w:tcPr>
            <w:tcW w:w="1649"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肾病史</w:t>
            </w: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r>
              <w:rPr>
                <w:rFonts w:hint="eastAsia"/>
                <w:color w:val="auto"/>
                <w:sz w:val="21"/>
                <w:szCs w:val="22"/>
              </w:rPr>
              <w:sym w:font="Wingdings 2" w:char="00A3"/>
            </w:r>
            <w:r>
              <w:rPr>
                <w:rFonts w:hint="eastAsia"/>
                <w:color w:val="auto"/>
                <w:sz w:val="21"/>
                <w:szCs w:val="22"/>
              </w:rPr>
              <w:t xml:space="preserve">无 </w:t>
            </w:r>
            <w:r>
              <w:rPr>
                <w:rFonts w:hint="eastAsia"/>
                <w:color w:val="auto"/>
                <w:sz w:val="21"/>
                <w:szCs w:val="22"/>
              </w:rPr>
              <w:sym w:font="Wingdings 2" w:char="00A3"/>
            </w:r>
            <w:r>
              <w:rPr>
                <w:rFonts w:hint="eastAsia"/>
                <w:color w:val="auto"/>
                <w:sz w:val="21"/>
                <w:szCs w:val="22"/>
              </w:rPr>
              <w:t>有</w:t>
            </w:r>
          </w:p>
        </w:tc>
        <w:tc>
          <w:tcPr>
            <w:tcW w:w="1908"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过敏史</w:t>
            </w:r>
          </w:p>
        </w:tc>
        <w:tc>
          <w:tcPr>
            <w:tcW w:w="1393"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r>
              <w:rPr>
                <w:rFonts w:hint="eastAsia"/>
                <w:color w:val="auto"/>
                <w:sz w:val="21"/>
                <w:szCs w:val="22"/>
              </w:rPr>
              <w:sym w:font="Wingdings 2" w:char="00A3"/>
            </w:r>
            <w:r>
              <w:rPr>
                <w:rFonts w:hint="eastAsia"/>
                <w:color w:val="auto"/>
                <w:sz w:val="21"/>
                <w:szCs w:val="22"/>
              </w:rPr>
              <w:t xml:space="preserve">无 </w:t>
            </w:r>
            <w:r>
              <w:rPr>
                <w:rFonts w:hint="eastAsia"/>
                <w:color w:val="auto"/>
                <w:sz w:val="21"/>
                <w:szCs w:val="22"/>
              </w:rPr>
              <w:sym w:font="Wingdings 2" w:char="00A3"/>
            </w:r>
            <w:r>
              <w:rPr>
                <w:rFonts w:hint="eastAsia"/>
                <w:color w:val="auto"/>
                <w:sz w:val="21"/>
                <w:szCs w:val="22"/>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74"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49"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908"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393"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422" w:type="dxa"/>
            <w:gridSpan w:val="13"/>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pPr>
              <w:spacing w:beforeLines="0" w:afterLines="0" w:line="360" w:lineRule="auto"/>
              <w:jc w:val="center"/>
              <w:rPr>
                <w:rFonts w:hint="default"/>
                <w:color w:val="auto"/>
                <w:sz w:val="21"/>
                <w:szCs w:val="22"/>
              </w:rPr>
            </w:pPr>
            <w:r>
              <w:rPr>
                <w:rFonts w:hint="eastAsia"/>
                <w:color w:val="auto"/>
                <w:sz w:val="21"/>
                <w:szCs w:val="22"/>
              </w:rPr>
              <w:t>与SAE相关实验室检查项</w:t>
            </w:r>
          </w:p>
        </w:tc>
        <w:tc>
          <w:tcPr>
            <w:tcW w:w="6598" w:type="dxa"/>
            <w:gridSpan w:val="23"/>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pPr>
              <w:spacing w:beforeLines="0" w:afterLines="0" w:line="360" w:lineRule="auto"/>
              <w:jc w:val="left"/>
              <w:rPr>
                <w:rFonts w:hint="eastAsia"/>
                <w:color w:val="auto"/>
                <w:sz w:val="21"/>
                <w:szCs w:val="22"/>
              </w:rPr>
            </w:pPr>
            <w:r>
              <w:rPr>
                <w:rFonts w:hint="eastAsia"/>
                <w:color w:val="auto"/>
                <w:sz w:val="21"/>
                <w:szCs w:val="22"/>
              </w:rPr>
              <w:sym w:font="Wingdings 2" w:char="00A3"/>
            </w:r>
            <w:r>
              <w:rPr>
                <w:rFonts w:hint="eastAsia"/>
                <w:color w:val="auto"/>
                <w:sz w:val="21"/>
                <w:szCs w:val="22"/>
              </w:rPr>
              <w:t xml:space="preserve">不详  </w:t>
            </w:r>
            <w:r>
              <w:rPr>
                <w:rFonts w:hint="eastAsia"/>
                <w:color w:val="auto"/>
                <w:sz w:val="21"/>
                <w:szCs w:val="22"/>
              </w:rPr>
              <w:sym w:font="Wingdings 2" w:char="00A3"/>
            </w:r>
            <w:r>
              <w:rPr>
                <w:rFonts w:hint="eastAsia"/>
                <w:color w:val="auto"/>
                <w:sz w:val="21"/>
                <w:szCs w:val="22"/>
              </w:rPr>
              <w:t xml:space="preserve">无  </w:t>
            </w:r>
            <w:r>
              <w:rPr>
                <w:rFonts w:hint="eastAsia"/>
                <w:color w:val="auto"/>
                <w:sz w:val="21"/>
                <w:szCs w:val="22"/>
              </w:rPr>
              <w:sym w:font="Wingdings 2" w:char="00A3"/>
            </w:r>
            <w:r>
              <w:rPr>
                <w:rFonts w:hint="eastAsia"/>
                <w:color w:val="auto"/>
                <w:sz w:val="21"/>
                <w:szCs w:val="22"/>
              </w:rPr>
              <w:t>见下表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74"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检查名称</w:t>
            </w: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检查日期</w:t>
            </w:r>
          </w:p>
        </w:tc>
        <w:tc>
          <w:tcPr>
            <w:tcW w:w="1649"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检查结果</w:t>
            </w: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正常值上限</w:t>
            </w:r>
          </w:p>
        </w:tc>
        <w:tc>
          <w:tcPr>
            <w:tcW w:w="1908"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正常值下限</w:t>
            </w:r>
          </w:p>
        </w:tc>
        <w:tc>
          <w:tcPr>
            <w:tcW w:w="1393"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r>
              <w:rPr>
                <w:rFonts w:hint="eastAsia"/>
                <w:color w:val="auto"/>
                <w:sz w:val="21"/>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74"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49"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908"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393"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774"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49"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48"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908"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393"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0020" w:type="dxa"/>
            <w:gridSpan w:val="36"/>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pPr>
              <w:spacing w:beforeLines="0" w:after="157" w:afterLines="50" w:line="400" w:lineRule="exact"/>
              <w:jc w:val="left"/>
              <w:rPr>
                <w:rFonts w:hint="eastAsia"/>
                <w:color w:val="auto"/>
                <w:sz w:val="21"/>
                <w:szCs w:val="22"/>
              </w:rPr>
            </w:pPr>
            <w:r>
              <w:rPr>
                <w:rFonts w:hint="eastAsia"/>
                <w:color w:val="auto"/>
                <w:sz w:val="21"/>
                <w:szCs w:val="22"/>
              </w:rPr>
              <w:t xml:space="preserve">合并用药   </w:t>
            </w:r>
            <w:r>
              <w:rPr>
                <w:rFonts w:hint="eastAsia"/>
                <w:color w:val="auto"/>
                <w:sz w:val="21"/>
                <w:szCs w:val="22"/>
              </w:rPr>
              <w:sym w:font="Wingdings 2" w:char="00A3"/>
            </w:r>
            <w:r>
              <w:rPr>
                <w:rFonts w:hint="eastAsia"/>
                <w:color w:val="auto"/>
                <w:sz w:val="21"/>
                <w:szCs w:val="22"/>
              </w:rPr>
              <w:t xml:space="preserve">不详  </w:t>
            </w:r>
            <w:r>
              <w:rPr>
                <w:rFonts w:hint="eastAsia"/>
                <w:color w:val="auto"/>
                <w:sz w:val="21"/>
                <w:szCs w:val="22"/>
              </w:rPr>
              <w:sym w:font="Wingdings 2" w:char="00A3"/>
            </w:r>
            <w:r>
              <w:rPr>
                <w:rFonts w:hint="eastAsia"/>
                <w:color w:val="auto"/>
                <w:sz w:val="21"/>
                <w:szCs w:val="22"/>
              </w:rPr>
              <w:t xml:space="preserve">无  </w:t>
            </w:r>
            <w:r>
              <w:rPr>
                <w:rFonts w:hint="eastAsia"/>
                <w:color w:val="auto"/>
                <w:sz w:val="21"/>
                <w:szCs w:val="22"/>
              </w:rPr>
              <w:sym w:font="Wingdings 2" w:char="00A3"/>
            </w:r>
            <w:r>
              <w:rPr>
                <w:rFonts w:hint="eastAsia"/>
                <w:color w:val="auto"/>
                <w:sz w:val="21"/>
                <w:szCs w:val="22"/>
              </w:rPr>
              <w:t>见下表</w:t>
            </w:r>
          </w:p>
          <w:p>
            <w:pPr>
              <w:spacing w:beforeLines="0" w:afterLines="0" w:line="240" w:lineRule="exact"/>
              <w:jc w:val="left"/>
              <w:rPr>
                <w:rFonts w:hint="default"/>
                <w:color w:val="auto"/>
                <w:sz w:val="21"/>
                <w:szCs w:val="22"/>
              </w:rPr>
            </w:pPr>
            <w:r>
              <w:rPr>
                <w:rFonts w:hint="eastAsia"/>
                <w:color w:val="auto"/>
                <w:sz w:val="21"/>
                <w:szCs w:val="22"/>
              </w:rPr>
              <w:t>注：合并用药是指SAE发生前开始使用，SAE发生时正在使用的药品；针对SAE的治疗用药，请填写在SAE发生及处理的详细情况”栏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6"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药物名称</w:t>
            </w:r>
          </w:p>
        </w:tc>
        <w:tc>
          <w:tcPr>
            <w:tcW w:w="1246" w:type="dxa"/>
            <w:gridSpan w:val="5"/>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使用原因</w:t>
            </w:r>
          </w:p>
        </w:tc>
        <w:tc>
          <w:tcPr>
            <w:tcW w:w="1681" w:type="dxa"/>
            <w:gridSpan w:val="9"/>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剂量/剂量单位</w:t>
            </w:r>
          </w:p>
        </w:tc>
        <w:tc>
          <w:tcPr>
            <w:tcW w:w="83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剂型</w:t>
            </w:r>
          </w:p>
        </w:tc>
        <w:tc>
          <w:tcPr>
            <w:tcW w:w="1252"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r>
              <w:rPr>
                <w:rFonts w:hint="eastAsia"/>
                <w:color w:val="auto"/>
                <w:sz w:val="21"/>
                <w:szCs w:val="22"/>
              </w:rPr>
              <w:t>频次</w:t>
            </w:r>
          </w:p>
        </w:tc>
        <w:tc>
          <w:tcPr>
            <w:tcW w:w="1253" w:type="dxa"/>
            <w:gridSpan w:val="5"/>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给药途径</w:t>
            </w:r>
          </w:p>
        </w:tc>
        <w:tc>
          <w:tcPr>
            <w:tcW w:w="1252" w:type="dxa"/>
            <w:gridSpan w:val="5"/>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r>
              <w:rPr>
                <w:rFonts w:hint="eastAsia"/>
                <w:color w:val="auto"/>
                <w:sz w:val="21"/>
                <w:szCs w:val="22"/>
              </w:rPr>
              <w:t>开始时间</w:t>
            </w:r>
          </w:p>
        </w:tc>
        <w:tc>
          <w:tcPr>
            <w:tcW w:w="12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246"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246" w:type="dxa"/>
            <w:gridSpan w:val="5"/>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81" w:type="dxa"/>
            <w:gridSpan w:val="9"/>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83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252"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253" w:type="dxa"/>
            <w:gridSpan w:val="5"/>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252" w:type="dxa"/>
            <w:gridSpan w:val="5"/>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2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246" w:type="dxa"/>
            <w:gridSpan w:val="3"/>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246" w:type="dxa"/>
            <w:gridSpan w:val="5"/>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81" w:type="dxa"/>
            <w:gridSpan w:val="9"/>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833"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252"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253" w:type="dxa"/>
            <w:gridSpan w:val="5"/>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252" w:type="dxa"/>
            <w:gridSpan w:val="5"/>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2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020" w:type="dxa"/>
            <w:gridSpan w:val="36"/>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pPr>
              <w:spacing w:beforeLines="0" w:afterLines="0" w:line="360" w:lineRule="auto"/>
              <w:rPr>
                <w:rFonts w:hint="eastAsia"/>
                <w:color w:val="auto"/>
                <w:sz w:val="21"/>
                <w:szCs w:val="22"/>
              </w:rPr>
            </w:pPr>
            <w:r>
              <w:rPr>
                <w:rFonts w:hint="eastAsia"/>
                <w:color w:val="auto"/>
                <w:sz w:val="21"/>
                <w:szCs w:val="22"/>
              </w:rPr>
              <w:t>试验用药使用情况（如有多个试验用药，请复制此表格添加）</w:t>
            </w:r>
          </w:p>
          <w:p>
            <w:pPr>
              <w:spacing w:beforeLines="0" w:afterLines="0" w:line="360" w:lineRule="auto"/>
              <w:rPr>
                <w:rFonts w:hint="default"/>
                <w:color w:val="auto"/>
                <w:sz w:val="21"/>
                <w:szCs w:val="22"/>
              </w:rPr>
            </w:pPr>
            <w:r>
              <w:rPr>
                <w:rFonts w:hint="eastAsia"/>
                <w:color w:val="auto"/>
                <w:sz w:val="21"/>
                <w:szCs w:val="22"/>
              </w:rPr>
              <w:t>（若有除试验药物以外的怀疑药品及相互作用的药物，请复制并添加此表格，如果是盲态试验请填写研究药品名称/安慰剂或对照药）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92" w:type="dxa"/>
            <w:gridSpan w:val="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试验用药中文名称</w:t>
            </w:r>
          </w:p>
        </w:tc>
        <w:tc>
          <w:tcPr>
            <w:tcW w:w="2514" w:type="dxa"/>
            <w:gridSpan w:val="10"/>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2505" w:type="dxa"/>
            <w:gridSpan w:val="11"/>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r>
              <w:rPr>
                <w:rFonts w:hint="eastAsia"/>
                <w:color w:val="auto"/>
                <w:sz w:val="21"/>
                <w:szCs w:val="22"/>
              </w:rPr>
              <w:t>研究设计</w:t>
            </w:r>
          </w:p>
        </w:tc>
        <w:tc>
          <w:tcPr>
            <w:tcW w:w="2509"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92" w:type="dxa"/>
            <w:gridSpan w:val="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试验用药英文名称</w:t>
            </w:r>
          </w:p>
        </w:tc>
        <w:tc>
          <w:tcPr>
            <w:tcW w:w="2514" w:type="dxa"/>
            <w:gridSpan w:val="10"/>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2505" w:type="dxa"/>
            <w:gridSpan w:val="11"/>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用药原因</w:t>
            </w:r>
          </w:p>
        </w:tc>
        <w:tc>
          <w:tcPr>
            <w:tcW w:w="2509"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92" w:type="dxa"/>
            <w:gridSpan w:val="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是否已给药</w:t>
            </w:r>
          </w:p>
        </w:tc>
        <w:tc>
          <w:tcPr>
            <w:tcW w:w="2514" w:type="dxa"/>
            <w:gridSpan w:val="10"/>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rPr>
                <w:rFonts w:hint="eastAsia"/>
                <w:color w:val="auto"/>
                <w:sz w:val="21"/>
                <w:szCs w:val="22"/>
              </w:rPr>
            </w:pPr>
            <w:r>
              <w:rPr>
                <w:rFonts w:hint="eastAsia"/>
                <w:color w:val="auto"/>
                <w:sz w:val="21"/>
                <w:szCs w:val="22"/>
              </w:rPr>
              <w:sym w:font="Wingdings 2" w:char="00A3"/>
            </w:r>
            <w:r>
              <w:rPr>
                <w:rFonts w:hint="eastAsia"/>
                <w:color w:val="auto"/>
                <w:sz w:val="21"/>
                <w:szCs w:val="22"/>
              </w:rPr>
              <w:t xml:space="preserve">是  </w:t>
            </w:r>
            <w:r>
              <w:rPr>
                <w:rFonts w:hint="eastAsia"/>
                <w:color w:val="auto"/>
                <w:sz w:val="21"/>
                <w:szCs w:val="22"/>
              </w:rPr>
              <w:sym w:font="Wingdings 2" w:char="00A3"/>
            </w:r>
            <w:r>
              <w:rPr>
                <w:rFonts w:hint="eastAsia"/>
                <w:color w:val="auto"/>
                <w:sz w:val="21"/>
                <w:szCs w:val="22"/>
              </w:rPr>
              <w:t>否</w:t>
            </w:r>
          </w:p>
        </w:tc>
        <w:tc>
          <w:tcPr>
            <w:tcW w:w="2505" w:type="dxa"/>
            <w:gridSpan w:val="11"/>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药物编号</w:t>
            </w:r>
          </w:p>
        </w:tc>
        <w:tc>
          <w:tcPr>
            <w:tcW w:w="2509"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92" w:type="dxa"/>
            <w:gridSpan w:val="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是否已破盲</w:t>
            </w:r>
          </w:p>
        </w:tc>
        <w:tc>
          <w:tcPr>
            <w:tcW w:w="2514" w:type="dxa"/>
            <w:gridSpan w:val="10"/>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rPr>
                <w:rFonts w:hint="default"/>
                <w:color w:val="auto"/>
                <w:sz w:val="21"/>
                <w:szCs w:val="22"/>
              </w:rPr>
            </w:pPr>
            <w:r>
              <w:rPr>
                <w:rFonts w:hint="eastAsia"/>
                <w:color w:val="auto"/>
                <w:sz w:val="21"/>
                <w:szCs w:val="22"/>
              </w:rPr>
              <w:sym w:font="Wingdings 2" w:char="00A3"/>
            </w:r>
            <w:r>
              <w:rPr>
                <w:rFonts w:hint="eastAsia"/>
                <w:color w:val="auto"/>
                <w:sz w:val="21"/>
                <w:szCs w:val="22"/>
              </w:rPr>
              <w:t xml:space="preserve">否 </w:t>
            </w:r>
            <w:r>
              <w:rPr>
                <w:rFonts w:hint="eastAsia"/>
                <w:color w:val="auto"/>
                <w:sz w:val="21"/>
                <w:szCs w:val="22"/>
              </w:rPr>
              <w:sym w:font="Wingdings 2" w:char="00A3"/>
            </w:r>
            <w:r>
              <w:rPr>
                <w:rFonts w:hint="eastAsia"/>
                <w:color w:val="auto"/>
                <w:sz w:val="21"/>
                <w:szCs w:val="22"/>
              </w:rPr>
              <w:t>是，破盲日期</w:t>
            </w:r>
          </w:p>
        </w:tc>
        <w:tc>
          <w:tcPr>
            <w:tcW w:w="2505" w:type="dxa"/>
            <w:gridSpan w:val="11"/>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破盲原因</w:t>
            </w:r>
          </w:p>
        </w:tc>
        <w:tc>
          <w:tcPr>
            <w:tcW w:w="2509"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2492" w:type="dxa"/>
            <w:gridSpan w:val="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对试验药物采取的措施</w:t>
            </w:r>
          </w:p>
        </w:tc>
        <w:tc>
          <w:tcPr>
            <w:tcW w:w="2514" w:type="dxa"/>
            <w:gridSpan w:val="10"/>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left"/>
              <w:rPr>
                <w:rFonts w:hint="default"/>
                <w:color w:val="auto"/>
                <w:sz w:val="21"/>
                <w:szCs w:val="22"/>
              </w:rPr>
            </w:pPr>
            <w:r>
              <w:rPr>
                <w:rFonts w:hint="eastAsia"/>
                <w:color w:val="auto"/>
                <w:sz w:val="21"/>
                <w:szCs w:val="22"/>
              </w:rPr>
              <w:sym w:font="Wingdings 2" w:char="00A3"/>
            </w:r>
            <w:r>
              <w:rPr>
                <w:rFonts w:hint="eastAsia"/>
                <w:color w:val="auto"/>
                <w:sz w:val="21"/>
                <w:szCs w:val="22"/>
              </w:rPr>
              <w:t xml:space="preserve">继续用药 </w:t>
            </w:r>
            <w:r>
              <w:rPr>
                <w:rFonts w:hint="eastAsia"/>
                <w:color w:val="auto"/>
                <w:sz w:val="21"/>
                <w:szCs w:val="22"/>
              </w:rPr>
              <w:sym w:font="Wingdings 2" w:char="00A3"/>
            </w:r>
            <w:r>
              <w:rPr>
                <w:rFonts w:hint="eastAsia"/>
                <w:color w:val="auto"/>
                <w:sz w:val="21"/>
                <w:szCs w:val="22"/>
              </w:rPr>
              <w:t xml:space="preserve">减小剂量 </w:t>
            </w:r>
            <w:r>
              <w:rPr>
                <w:rFonts w:hint="eastAsia"/>
                <w:color w:val="auto"/>
                <w:sz w:val="21"/>
                <w:szCs w:val="22"/>
              </w:rPr>
              <w:sym w:font="Wingdings 2" w:char="00A3"/>
            </w:r>
            <w:r>
              <w:rPr>
                <w:rFonts w:hint="eastAsia"/>
                <w:color w:val="auto"/>
                <w:sz w:val="21"/>
                <w:szCs w:val="22"/>
              </w:rPr>
              <w:t xml:space="preserve">停用药物 </w:t>
            </w:r>
            <w:r>
              <w:rPr>
                <w:rFonts w:hint="eastAsia"/>
                <w:color w:val="auto"/>
                <w:sz w:val="21"/>
                <w:szCs w:val="22"/>
              </w:rPr>
              <w:sym w:font="Wingdings 2" w:char="00A3"/>
            </w:r>
            <w:r>
              <w:rPr>
                <w:rFonts w:hint="eastAsia"/>
                <w:color w:val="auto"/>
                <w:sz w:val="21"/>
                <w:szCs w:val="22"/>
              </w:rPr>
              <w:t xml:space="preserve">停用药物又恢复 </w:t>
            </w:r>
            <w:r>
              <w:rPr>
                <w:rFonts w:hint="eastAsia"/>
                <w:color w:val="auto"/>
                <w:sz w:val="21"/>
                <w:szCs w:val="22"/>
              </w:rPr>
              <w:sym w:font="Wingdings 2" w:char="00A3"/>
            </w:r>
            <w:r>
              <w:rPr>
                <w:rFonts w:hint="eastAsia"/>
                <w:color w:val="auto"/>
                <w:sz w:val="21"/>
                <w:szCs w:val="22"/>
              </w:rPr>
              <w:t xml:space="preserve">不适用 </w:t>
            </w:r>
            <w:r>
              <w:rPr>
                <w:rFonts w:hint="eastAsia"/>
                <w:color w:val="auto"/>
                <w:sz w:val="21"/>
                <w:szCs w:val="22"/>
              </w:rPr>
              <w:sym w:font="Wingdings 2" w:char="00A3"/>
            </w:r>
            <w:r>
              <w:rPr>
                <w:rFonts w:hint="eastAsia"/>
                <w:color w:val="auto"/>
                <w:sz w:val="21"/>
                <w:szCs w:val="22"/>
              </w:rPr>
              <w:t xml:space="preserve">不详 </w:t>
            </w:r>
            <w:r>
              <w:rPr>
                <w:rFonts w:hint="eastAsia"/>
                <w:color w:val="auto"/>
                <w:sz w:val="21"/>
                <w:szCs w:val="22"/>
              </w:rPr>
              <w:sym w:font="Wingdings 2" w:char="00A3"/>
            </w:r>
            <w:r>
              <w:rPr>
                <w:rFonts w:hint="eastAsia"/>
                <w:color w:val="auto"/>
                <w:sz w:val="21"/>
                <w:szCs w:val="22"/>
              </w:rPr>
              <w:t>增加剂量</w:t>
            </w:r>
          </w:p>
        </w:tc>
        <w:tc>
          <w:tcPr>
            <w:tcW w:w="2505" w:type="dxa"/>
            <w:gridSpan w:val="11"/>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采取措施时间</w:t>
            </w:r>
          </w:p>
        </w:tc>
        <w:tc>
          <w:tcPr>
            <w:tcW w:w="2509"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020" w:type="dxa"/>
            <w:gridSpan w:val="36"/>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pPr>
              <w:spacing w:beforeLines="0" w:afterLines="0" w:line="360" w:lineRule="auto"/>
              <w:rPr>
                <w:rFonts w:hint="default"/>
                <w:color w:val="auto"/>
                <w:sz w:val="21"/>
                <w:szCs w:val="22"/>
              </w:rPr>
            </w:pPr>
            <w:r>
              <w:rPr>
                <w:rFonts w:hint="eastAsia"/>
                <w:color w:val="auto"/>
                <w:sz w:val="21"/>
                <w:szCs w:val="22"/>
              </w:rPr>
              <w:t>剂量详情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667" w:type="dxa"/>
            <w:gridSpan w:val="5"/>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剂量/剂量单位</w:t>
            </w:r>
          </w:p>
        </w:tc>
        <w:tc>
          <w:tcPr>
            <w:tcW w:w="1670"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给药途径</w:t>
            </w:r>
          </w:p>
        </w:tc>
        <w:tc>
          <w:tcPr>
            <w:tcW w:w="1672"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r>
              <w:rPr>
                <w:rFonts w:hint="eastAsia"/>
                <w:color w:val="auto"/>
                <w:sz w:val="21"/>
                <w:szCs w:val="22"/>
              </w:rPr>
              <w:t>频次</w:t>
            </w:r>
          </w:p>
        </w:tc>
        <w:tc>
          <w:tcPr>
            <w:tcW w:w="1670"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剂型</w:t>
            </w:r>
          </w:p>
        </w:tc>
        <w:tc>
          <w:tcPr>
            <w:tcW w:w="1670"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开始日期</w:t>
            </w:r>
          </w:p>
        </w:tc>
        <w:tc>
          <w:tcPr>
            <w:tcW w:w="1671" w:type="dxa"/>
            <w:gridSpan w:val="4"/>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default"/>
                <w:color w:val="auto"/>
                <w:sz w:val="21"/>
                <w:szCs w:val="22"/>
              </w:rPr>
            </w:pPr>
            <w:r>
              <w:rPr>
                <w:rFonts w:hint="eastAsia"/>
                <w:color w:val="auto"/>
                <w:sz w:val="21"/>
                <w:szCs w:val="22"/>
              </w:rPr>
              <w:t>结束日期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667" w:type="dxa"/>
            <w:gridSpan w:val="5"/>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70"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72"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70"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70"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71" w:type="dxa"/>
            <w:gridSpan w:val="4"/>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667" w:type="dxa"/>
            <w:gridSpan w:val="5"/>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70"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72"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70" w:type="dxa"/>
            <w:gridSpan w:val="7"/>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70"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c>
          <w:tcPr>
            <w:tcW w:w="1671" w:type="dxa"/>
            <w:gridSpan w:val="4"/>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center"/>
              <w:rPr>
                <w:rFonts w:hint="eastAsia"/>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0020" w:type="dxa"/>
            <w:gridSpan w:val="36"/>
            <w:tcBorders>
              <w:top w:val="single" w:color="auto" w:sz="4" w:space="0"/>
              <w:left w:val="single" w:color="auto" w:sz="4" w:space="0"/>
              <w:bottom w:val="single" w:color="auto" w:sz="4" w:space="0"/>
              <w:right w:val="single" w:color="auto" w:sz="4" w:space="0"/>
              <w:tl2br w:val="nil"/>
              <w:tr2bl w:val="nil"/>
            </w:tcBorders>
            <w:shd w:val="clear" w:color="auto" w:fill="BEBEBE"/>
            <w:vAlign w:val="center"/>
          </w:tcPr>
          <w:p>
            <w:pPr>
              <w:spacing w:beforeLines="0" w:afterLines="0" w:line="360" w:lineRule="auto"/>
              <w:jc w:val="left"/>
              <w:rPr>
                <w:rFonts w:hint="default"/>
                <w:color w:val="auto"/>
                <w:sz w:val="21"/>
                <w:szCs w:val="22"/>
              </w:rPr>
            </w:pPr>
            <w:r>
              <w:rPr>
                <w:rFonts w:hint="eastAsia"/>
                <w:color w:val="auto"/>
                <w:sz w:val="21"/>
                <w:szCs w:val="22"/>
              </w:rPr>
              <w:t>严重不良事件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250" w:type="dxa"/>
            <w:gridSpan w:val="4"/>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240" w:lineRule="exact"/>
              <w:jc w:val="center"/>
              <w:rPr>
                <w:rFonts w:hint="eastAsia"/>
                <w:color w:val="auto"/>
                <w:sz w:val="21"/>
                <w:szCs w:val="22"/>
              </w:rPr>
            </w:pPr>
            <w:r>
              <w:rPr>
                <w:rFonts w:hint="eastAsia"/>
                <w:color w:val="auto"/>
                <w:sz w:val="21"/>
                <w:szCs w:val="22"/>
              </w:rPr>
              <w:t>不良事件名称（诊断）</w:t>
            </w:r>
          </w:p>
        </w:tc>
        <w:tc>
          <w:tcPr>
            <w:tcW w:w="1242" w:type="dxa"/>
            <w:gridSpan w:val="4"/>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240" w:lineRule="exact"/>
              <w:jc w:val="center"/>
              <w:rPr>
                <w:rFonts w:hint="eastAsia"/>
                <w:color w:val="auto"/>
                <w:sz w:val="21"/>
                <w:szCs w:val="22"/>
              </w:rPr>
            </w:pPr>
          </w:p>
        </w:tc>
        <w:tc>
          <w:tcPr>
            <w:tcW w:w="1262"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240" w:lineRule="exact"/>
              <w:jc w:val="center"/>
              <w:rPr>
                <w:rFonts w:hint="eastAsia"/>
                <w:color w:val="auto"/>
                <w:sz w:val="21"/>
                <w:szCs w:val="22"/>
              </w:rPr>
            </w:pPr>
            <w:r>
              <w:rPr>
                <w:rFonts w:hint="eastAsia"/>
                <w:color w:val="auto"/>
                <w:sz w:val="21"/>
                <w:szCs w:val="22"/>
              </w:rPr>
              <w:t>开始时间</w:t>
            </w:r>
          </w:p>
        </w:tc>
        <w:tc>
          <w:tcPr>
            <w:tcW w:w="1252" w:type="dxa"/>
            <w:gridSpan w:val="4"/>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240" w:lineRule="exact"/>
              <w:jc w:val="center"/>
              <w:rPr>
                <w:rFonts w:hint="eastAsia"/>
                <w:color w:val="auto"/>
                <w:sz w:val="21"/>
                <w:szCs w:val="22"/>
              </w:rPr>
            </w:pPr>
          </w:p>
        </w:tc>
        <w:tc>
          <w:tcPr>
            <w:tcW w:w="1252"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240" w:lineRule="exact"/>
              <w:jc w:val="center"/>
              <w:rPr>
                <w:rFonts w:hint="eastAsia"/>
                <w:color w:val="auto"/>
                <w:sz w:val="21"/>
                <w:szCs w:val="22"/>
              </w:rPr>
            </w:pPr>
            <w:r>
              <w:rPr>
                <w:rFonts w:hint="eastAsia"/>
                <w:color w:val="auto"/>
                <w:sz w:val="21"/>
                <w:szCs w:val="22"/>
              </w:rPr>
              <w:t>结束时间</w:t>
            </w:r>
          </w:p>
        </w:tc>
        <w:tc>
          <w:tcPr>
            <w:tcW w:w="1253" w:type="dxa"/>
            <w:gridSpan w:val="5"/>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240" w:lineRule="exact"/>
              <w:jc w:val="center"/>
              <w:rPr>
                <w:rFonts w:hint="eastAsia"/>
                <w:color w:val="auto"/>
                <w:sz w:val="21"/>
                <w:szCs w:val="22"/>
              </w:rPr>
            </w:pPr>
          </w:p>
        </w:tc>
        <w:tc>
          <w:tcPr>
            <w:tcW w:w="1252" w:type="dxa"/>
            <w:gridSpan w:val="5"/>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240" w:lineRule="exact"/>
              <w:jc w:val="center"/>
              <w:rPr>
                <w:rFonts w:hint="eastAsia"/>
                <w:color w:val="auto"/>
                <w:sz w:val="21"/>
                <w:szCs w:val="22"/>
              </w:rPr>
            </w:pPr>
            <w:r>
              <w:rPr>
                <w:rFonts w:hint="eastAsia"/>
                <w:color w:val="auto"/>
                <w:sz w:val="21"/>
                <w:szCs w:val="22"/>
              </w:rPr>
              <w:t>研究者获知SAE时间</w:t>
            </w:r>
          </w:p>
        </w:tc>
        <w:tc>
          <w:tcPr>
            <w:tcW w:w="12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240" w:lineRule="exact"/>
              <w:jc w:val="center"/>
              <w:rPr>
                <w:rFonts w:hint="eastAsia"/>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492" w:type="dxa"/>
            <w:gridSpan w:val="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left"/>
              <w:rPr>
                <w:rFonts w:hint="default"/>
                <w:color w:val="auto"/>
                <w:sz w:val="21"/>
                <w:szCs w:val="22"/>
              </w:rPr>
            </w:pPr>
            <w:r>
              <w:rPr>
                <w:rFonts w:hint="eastAsia"/>
                <w:color w:val="auto"/>
                <w:sz w:val="21"/>
                <w:szCs w:val="22"/>
              </w:rPr>
              <w:t xml:space="preserve">严重性标准 </w:t>
            </w:r>
          </w:p>
        </w:tc>
        <w:tc>
          <w:tcPr>
            <w:tcW w:w="7528" w:type="dxa"/>
            <w:gridSpan w:val="2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left"/>
              <w:rPr>
                <w:rFonts w:hint="eastAsia"/>
                <w:color w:val="auto"/>
                <w:sz w:val="21"/>
                <w:szCs w:val="22"/>
              </w:rPr>
            </w:pPr>
            <w:r>
              <w:rPr>
                <w:rFonts w:hint="eastAsia"/>
                <w:color w:val="auto"/>
                <w:sz w:val="21"/>
                <w:szCs w:val="22"/>
              </w:rPr>
              <w:sym w:font="Wingdings 2" w:char="00A3"/>
            </w:r>
            <w:r>
              <w:rPr>
                <w:rFonts w:hint="eastAsia"/>
                <w:color w:val="auto"/>
                <w:sz w:val="21"/>
                <w:szCs w:val="22"/>
              </w:rPr>
              <w:t xml:space="preserve">导致死亡 </w:t>
            </w:r>
            <w:r>
              <w:rPr>
                <w:rFonts w:hint="eastAsia"/>
                <w:color w:val="auto"/>
                <w:sz w:val="21"/>
                <w:szCs w:val="22"/>
              </w:rPr>
              <w:sym w:font="Wingdings 2" w:char="00A3"/>
            </w:r>
            <w:r>
              <w:rPr>
                <w:rFonts w:hint="eastAsia"/>
                <w:color w:val="auto"/>
                <w:sz w:val="21"/>
                <w:szCs w:val="22"/>
              </w:rPr>
              <w:t xml:space="preserve">致残/致功能丧失 </w:t>
            </w:r>
            <w:r>
              <w:rPr>
                <w:rFonts w:hint="eastAsia"/>
                <w:color w:val="auto"/>
                <w:sz w:val="21"/>
                <w:szCs w:val="22"/>
              </w:rPr>
              <w:sym w:font="Wingdings 2" w:char="00A3"/>
            </w:r>
            <w:r>
              <w:rPr>
                <w:rFonts w:hint="eastAsia"/>
                <w:color w:val="auto"/>
                <w:sz w:val="21"/>
                <w:szCs w:val="22"/>
              </w:rPr>
              <w:t xml:space="preserve">危及生命 </w:t>
            </w:r>
            <w:r>
              <w:rPr>
                <w:rFonts w:hint="eastAsia"/>
                <w:color w:val="auto"/>
                <w:sz w:val="21"/>
                <w:szCs w:val="22"/>
              </w:rPr>
              <w:sym w:font="Wingdings 2" w:char="00A3"/>
            </w:r>
            <w:r>
              <w:rPr>
                <w:rFonts w:hint="eastAsia"/>
                <w:color w:val="auto"/>
                <w:sz w:val="21"/>
                <w:szCs w:val="22"/>
              </w:rPr>
              <w:t xml:space="preserve">导致住院或延长住院时间 </w:t>
            </w:r>
            <w:r>
              <w:rPr>
                <w:rFonts w:hint="eastAsia"/>
                <w:color w:val="auto"/>
                <w:sz w:val="21"/>
                <w:szCs w:val="22"/>
              </w:rPr>
              <w:sym w:font="Wingdings 2" w:char="00A3"/>
            </w:r>
            <w:r>
              <w:rPr>
                <w:rFonts w:hint="eastAsia"/>
                <w:color w:val="auto"/>
                <w:sz w:val="21"/>
                <w:szCs w:val="22"/>
              </w:rPr>
              <w:t xml:space="preserve">致畸/治出生突变 </w:t>
            </w:r>
            <w:r>
              <w:rPr>
                <w:rFonts w:hint="eastAsia"/>
                <w:color w:val="auto"/>
                <w:sz w:val="21"/>
                <w:szCs w:val="22"/>
              </w:rPr>
              <w:sym w:font="Wingdings 2" w:char="00A3"/>
            </w:r>
            <w:r>
              <w:rPr>
                <w:rFonts w:hint="eastAsia"/>
                <w:color w:val="auto"/>
                <w:sz w:val="21"/>
                <w:szCs w:val="22"/>
              </w:rPr>
              <w:t>其他重要医学事件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250" w:type="dxa"/>
            <w:gridSpan w:val="4"/>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left"/>
              <w:rPr>
                <w:rFonts w:hint="default"/>
                <w:color w:val="auto"/>
                <w:sz w:val="21"/>
                <w:szCs w:val="22"/>
              </w:rPr>
            </w:pPr>
            <w:r>
              <w:rPr>
                <w:rFonts w:hint="eastAsia"/>
                <w:color w:val="auto"/>
                <w:sz w:val="21"/>
                <w:szCs w:val="22"/>
              </w:rPr>
              <w:t xml:space="preserve">严重程度  </w:t>
            </w:r>
          </w:p>
        </w:tc>
        <w:tc>
          <w:tcPr>
            <w:tcW w:w="1242" w:type="dxa"/>
            <w:gridSpan w:val="4"/>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left"/>
              <w:rPr>
                <w:rFonts w:hint="eastAsia"/>
                <w:color w:val="auto"/>
                <w:sz w:val="21"/>
                <w:szCs w:val="22"/>
              </w:rPr>
            </w:pPr>
          </w:p>
        </w:tc>
        <w:tc>
          <w:tcPr>
            <w:tcW w:w="1262"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left"/>
              <w:rPr>
                <w:rFonts w:hint="eastAsia"/>
                <w:color w:val="auto"/>
                <w:sz w:val="21"/>
                <w:szCs w:val="22"/>
              </w:rPr>
            </w:pPr>
            <w:r>
              <w:rPr>
                <w:rFonts w:hint="eastAsia"/>
                <w:color w:val="auto"/>
                <w:sz w:val="21"/>
                <w:szCs w:val="22"/>
              </w:rPr>
              <w:t>CTCAE分级</w:t>
            </w:r>
          </w:p>
        </w:tc>
        <w:tc>
          <w:tcPr>
            <w:tcW w:w="1252" w:type="dxa"/>
            <w:gridSpan w:val="4"/>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left"/>
              <w:rPr>
                <w:rFonts w:hint="eastAsia"/>
                <w:color w:val="auto"/>
                <w:sz w:val="21"/>
                <w:szCs w:val="22"/>
              </w:rPr>
            </w:pPr>
          </w:p>
        </w:tc>
        <w:tc>
          <w:tcPr>
            <w:tcW w:w="1252" w:type="dxa"/>
            <w:gridSpan w:val="6"/>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240" w:lineRule="exact"/>
              <w:jc w:val="center"/>
              <w:rPr>
                <w:rFonts w:hint="default"/>
                <w:color w:val="auto"/>
                <w:sz w:val="21"/>
                <w:szCs w:val="22"/>
              </w:rPr>
            </w:pPr>
            <w:r>
              <w:rPr>
                <w:rFonts w:hint="eastAsia"/>
                <w:color w:val="auto"/>
                <w:sz w:val="21"/>
                <w:szCs w:val="22"/>
              </w:rPr>
              <w:t>国内SAE报道情况</w:t>
            </w:r>
          </w:p>
        </w:tc>
        <w:tc>
          <w:tcPr>
            <w:tcW w:w="1253" w:type="dxa"/>
            <w:gridSpan w:val="5"/>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240" w:lineRule="exact"/>
              <w:jc w:val="center"/>
              <w:rPr>
                <w:rFonts w:hint="eastAsia"/>
                <w:color w:val="auto"/>
                <w:sz w:val="21"/>
                <w:szCs w:val="22"/>
              </w:rPr>
            </w:pPr>
          </w:p>
        </w:tc>
        <w:tc>
          <w:tcPr>
            <w:tcW w:w="1252" w:type="dxa"/>
            <w:gridSpan w:val="5"/>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240" w:lineRule="exact"/>
              <w:jc w:val="center"/>
              <w:rPr>
                <w:rFonts w:hint="default"/>
                <w:color w:val="auto"/>
                <w:sz w:val="21"/>
                <w:szCs w:val="22"/>
              </w:rPr>
            </w:pPr>
            <w:r>
              <w:rPr>
                <w:rFonts w:hint="eastAsia"/>
                <w:color w:val="auto"/>
                <w:sz w:val="21"/>
                <w:szCs w:val="22"/>
              </w:rPr>
              <w:t>国外SAE报告情况</w:t>
            </w:r>
          </w:p>
        </w:tc>
        <w:tc>
          <w:tcPr>
            <w:tcW w:w="1257" w:type="dxa"/>
            <w:gridSpan w:val="2"/>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left"/>
              <w:rPr>
                <w:rFonts w:hint="eastAsia"/>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492" w:type="dxa"/>
            <w:gridSpan w:val="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left"/>
              <w:rPr>
                <w:rFonts w:hint="default"/>
                <w:color w:val="auto"/>
                <w:sz w:val="21"/>
                <w:szCs w:val="22"/>
              </w:rPr>
            </w:pPr>
            <w:r>
              <w:rPr>
                <w:rFonts w:hint="eastAsia"/>
                <w:color w:val="auto"/>
                <w:sz w:val="21"/>
                <w:szCs w:val="22"/>
              </w:rPr>
              <w:t>不良事件结果</w:t>
            </w:r>
          </w:p>
        </w:tc>
        <w:tc>
          <w:tcPr>
            <w:tcW w:w="7528" w:type="dxa"/>
            <w:gridSpan w:val="2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left"/>
              <w:rPr>
                <w:rFonts w:hint="default"/>
                <w:color w:val="auto"/>
                <w:sz w:val="21"/>
                <w:szCs w:val="22"/>
              </w:rPr>
            </w:pPr>
            <w:r>
              <w:rPr>
                <w:rFonts w:hint="eastAsia"/>
                <w:color w:val="auto"/>
                <w:sz w:val="21"/>
                <w:szCs w:val="22"/>
              </w:rPr>
              <w:sym w:font="Wingdings 2" w:char="00A3"/>
            </w:r>
            <w:r>
              <w:rPr>
                <w:rFonts w:hint="eastAsia"/>
                <w:color w:val="auto"/>
                <w:sz w:val="21"/>
                <w:szCs w:val="22"/>
              </w:rPr>
              <w:t xml:space="preserve">不详 </w:t>
            </w:r>
            <w:r>
              <w:rPr>
                <w:rFonts w:hint="eastAsia"/>
                <w:color w:val="auto"/>
                <w:sz w:val="21"/>
                <w:szCs w:val="22"/>
              </w:rPr>
              <w:sym w:font="Wingdings 2" w:char="00A3"/>
            </w:r>
            <w:r>
              <w:rPr>
                <w:rFonts w:hint="eastAsia"/>
                <w:color w:val="auto"/>
                <w:sz w:val="21"/>
                <w:szCs w:val="22"/>
              </w:rPr>
              <w:t xml:space="preserve">死亡 </w:t>
            </w:r>
            <w:r>
              <w:rPr>
                <w:rFonts w:hint="eastAsia"/>
                <w:color w:val="auto"/>
                <w:sz w:val="21"/>
                <w:szCs w:val="22"/>
              </w:rPr>
              <w:sym w:font="Wingdings 2" w:char="00A3"/>
            </w:r>
            <w:r>
              <w:rPr>
                <w:rFonts w:hint="eastAsia"/>
                <w:color w:val="auto"/>
                <w:sz w:val="21"/>
                <w:szCs w:val="22"/>
              </w:rPr>
              <w:t xml:space="preserve">未好转 </w:t>
            </w:r>
            <w:r>
              <w:rPr>
                <w:rFonts w:hint="eastAsia"/>
                <w:color w:val="auto"/>
                <w:sz w:val="21"/>
                <w:szCs w:val="22"/>
              </w:rPr>
              <w:sym w:font="Wingdings 2" w:char="00A3"/>
            </w:r>
            <w:r>
              <w:rPr>
                <w:rFonts w:hint="eastAsia"/>
                <w:color w:val="auto"/>
                <w:sz w:val="21"/>
                <w:szCs w:val="22"/>
              </w:rPr>
              <w:t xml:space="preserve">好转 </w:t>
            </w:r>
            <w:r>
              <w:rPr>
                <w:rFonts w:hint="eastAsia"/>
                <w:color w:val="auto"/>
                <w:sz w:val="21"/>
                <w:szCs w:val="22"/>
              </w:rPr>
              <w:sym w:font="Wingdings 2" w:char="00A3"/>
            </w:r>
            <w:r>
              <w:rPr>
                <w:rFonts w:hint="eastAsia"/>
                <w:color w:val="auto"/>
                <w:sz w:val="21"/>
                <w:szCs w:val="22"/>
              </w:rPr>
              <w:t xml:space="preserve">痊愈 </w:t>
            </w:r>
            <w:r>
              <w:rPr>
                <w:rFonts w:hint="eastAsia"/>
                <w:color w:val="auto"/>
                <w:sz w:val="21"/>
                <w:szCs w:val="22"/>
              </w:rPr>
              <w:sym w:font="Wingdings 2" w:char="00A3"/>
            </w:r>
            <w:r>
              <w:rPr>
                <w:rFonts w:hint="eastAsia"/>
                <w:color w:val="auto"/>
                <w:sz w:val="21"/>
                <w:szCs w:val="22"/>
              </w:rPr>
              <w:t>痊愈伴有后遗症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492" w:type="dxa"/>
            <w:gridSpan w:val="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left"/>
              <w:rPr>
                <w:rFonts w:hint="default"/>
                <w:color w:val="auto"/>
                <w:sz w:val="21"/>
                <w:szCs w:val="22"/>
              </w:rPr>
            </w:pPr>
            <w:r>
              <w:rPr>
                <w:rFonts w:hint="eastAsia"/>
                <w:color w:val="auto"/>
                <w:sz w:val="21"/>
                <w:szCs w:val="22"/>
              </w:rPr>
              <w:t>是否针对SAE进行治疗</w:t>
            </w:r>
          </w:p>
        </w:tc>
        <w:tc>
          <w:tcPr>
            <w:tcW w:w="7528" w:type="dxa"/>
            <w:gridSpan w:val="2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left"/>
              <w:rPr>
                <w:rFonts w:hint="default"/>
                <w:color w:val="auto"/>
                <w:sz w:val="21"/>
                <w:szCs w:val="22"/>
              </w:rPr>
            </w:pPr>
            <w:r>
              <w:rPr>
                <w:rFonts w:hint="eastAsia"/>
                <w:color w:val="auto"/>
                <w:sz w:val="21"/>
                <w:szCs w:val="22"/>
              </w:rPr>
              <w:sym w:font="Wingdings 2" w:char="00A3"/>
            </w:r>
            <w:r>
              <w:rPr>
                <w:rFonts w:hint="eastAsia"/>
                <w:color w:val="auto"/>
                <w:sz w:val="21"/>
                <w:szCs w:val="22"/>
              </w:rPr>
              <w:t xml:space="preserve">不详 </w:t>
            </w:r>
            <w:r>
              <w:rPr>
                <w:rFonts w:hint="eastAsia"/>
                <w:color w:val="auto"/>
                <w:sz w:val="21"/>
                <w:szCs w:val="22"/>
              </w:rPr>
              <w:sym w:font="Wingdings 2" w:char="00A3"/>
            </w:r>
            <w:r>
              <w:rPr>
                <w:rFonts w:hint="eastAsia"/>
                <w:color w:val="auto"/>
                <w:sz w:val="21"/>
                <w:szCs w:val="22"/>
              </w:rPr>
              <w:t xml:space="preserve">无 </w:t>
            </w:r>
            <w:r>
              <w:rPr>
                <w:rFonts w:hint="eastAsia"/>
                <w:color w:val="auto"/>
                <w:sz w:val="21"/>
                <w:szCs w:val="22"/>
              </w:rPr>
              <w:sym w:font="Wingdings 2" w:char="00A3"/>
            </w:r>
            <w:r>
              <w:rPr>
                <w:rFonts w:hint="eastAsia"/>
                <w:color w:val="auto"/>
                <w:sz w:val="21"/>
                <w:szCs w:val="22"/>
              </w:rPr>
              <w:t>是，需在事描述说明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2492" w:type="dxa"/>
            <w:gridSpan w:val="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240" w:lineRule="exact"/>
              <w:jc w:val="left"/>
              <w:rPr>
                <w:rFonts w:hint="default"/>
                <w:color w:val="auto"/>
                <w:sz w:val="21"/>
                <w:szCs w:val="22"/>
              </w:rPr>
            </w:pPr>
            <w:r>
              <w:rPr>
                <w:rFonts w:hint="eastAsia"/>
                <w:color w:val="auto"/>
                <w:sz w:val="21"/>
                <w:szCs w:val="22"/>
              </w:rPr>
              <w:t>相关性评价（不良事件--怀疑药物）研究/怀疑药物名称：</w:t>
            </w:r>
          </w:p>
        </w:tc>
        <w:tc>
          <w:tcPr>
            <w:tcW w:w="7528" w:type="dxa"/>
            <w:gridSpan w:val="2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left"/>
              <w:rPr>
                <w:rFonts w:hint="default"/>
                <w:color w:val="auto"/>
                <w:sz w:val="21"/>
                <w:szCs w:val="22"/>
              </w:rPr>
            </w:pPr>
            <w:r>
              <w:rPr>
                <w:rFonts w:hint="eastAsia"/>
                <w:color w:val="auto"/>
                <w:sz w:val="21"/>
                <w:szCs w:val="22"/>
              </w:rPr>
              <w:sym w:font="Wingdings 2" w:char="00A3"/>
            </w:r>
            <w:r>
              <w:rPr>
                <w:rFonts w:hint="eastAsia"/>
                <w:color w:val="auto"/>
                <w:sz w:val="21"/>
                <w:szCs w:val="22"/>
              </w:rPr>
              <w:t xml:space="preserve">肯定有关 </w:t>
            </w:r>
            <w:r>
              <w:rPr>
                <w:rFonts w:hint="eastAsia"/>
                <w:color w:val="auto"/>
                <w:sz w:val="21"/>
                <w:szCs w:val="22"/>
              </w:rPr>
              <w:sym w:font="Wingdings 2" w:char="00A3"/>
            </w:r>
            <w:r>
              <w:rPr>
                <w:rFonts w:hint="eastAsia"/>
                <w:color w:val="auto"/>
                <w:sz w:val="21"/>
                <w:szCs w:val="22"/>
              </w:rPr>
              <w:t xml:space="preserve">很可能有关 </w:t>
            </w:r>
            <w:r>
              <w:rPr>
                <w:rFonts w:hint="eastAsia"/>
                <w:color w:val="auto"/>
                <w:sz w:val="21"/>
                <w:szCs w:val="22"/>
              </w:rPr>
              <w:sym w:font="Wingdings 2" w:char="00A3"/>
            </w:r>
            <w:r>
              <w:rPr>
                <w:rFonts w:hint="eastAsia"/>
                <w:color w:val="auto"/>
                <w:sz w:val="21"/>
                <w:szCs w:val="22"/>
              </w:rPr>
              <w:t xml:space="preserve">可能有关 </w:t>
            </w:r>
            <w:r>
              <w:rPr>
                <w:rFonts w:hint="eastAsia"/>
                <w:color w:val="auto"/>
                <w:sz w:val="21"/>
                <w:szCs w:val="22"/>
              </w:rPr>
              <w:sym w:font="Wingdings 2" w:char="00A3"/>
            </w:r>
            <w:r>
              <w:rPr>
                <w:rFonts w:hint="eastAsia"/>
                <w:color w:val="auto"/>
                <w:sz w:val="21"/>
                <w:szCs w:val="22"/>
              </w:rPr>
              <w:t xml:space="preserve">可能无关 </w:t>
            </w:r>
            <w:r>
              <w:rPr>
                <w:rFonts w:hint="eastAsia"/>
                <w:color w:val="auto"/>
                <w:sz w:val="21"/>
                <w:szCs w:val="22"/>
              </w:rPr>
              <w:sym w:font="Wingdings 2" w:char="00A3"/>
            </w:r>
            <w:r>
              <w:rPr>
                <w:rFonts w:hint="eastAsia"/>
                <w:color w:val="auto"/>
                <w:sz w:val="21"/>
                <w:szCs w:val="22"/>
              </w:rPr>
              <w:t xml:space="preserve">肯定无关 </w:t>
            </w:r>
            <w:r>
              <w:rPr>
                <w:rFonts w:hint="eastAsia"/>
                <w:color w:val="auto"/>
                <w:sz w:val="21"/>
                <w:szCs w:val="22"/>
              </w:rPr>
              <w:sym w:font="Wingdings 2" w:char="00A3"/>
            </w:r>
            <w:r>
              <w:rPr>
                <w:rFonts w:hint="eastAsia"/>
                <w:color w:val="auto"/>
                <w:sz w:val="21"/>
                <w:szCs w:val="22"/>
              </w:rPr>
              <w:t>无法评价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2492" w:type="dxa"/>
            <w:gridSpan w:val="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240" w:lineRule="exact"/>
              <w:jc w:val="left"/>
              <w:rPr>
                <w:rFonts w:hint="default"/>
                <w:color w:val="auto"/>
                <w:sz w:val="21"/>
                <w:szCs w:val="22"/>
              </w:rPr>
            </w:pPr>
            <w:r>
              <w:rPr>
                <w:rFonts w:hint="eastAsia"/>
                <w:color w:val="auto"/>
                <w:sz w:val="21"/>
                <w:szCs w:val="22"/>
              </w:rPr>
              <w:t>停用研究/怀疑药品后SAE是否消失</w:t>
            </w:r>
          </w:p>
        </w:tc>
        <w:tc>
          <w:tcPr>
            <w:tcW w:w="7528" w:type="dxa"/>
            <w:gridSpan w:val="2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left"/>
              <w:rPr>
                <w:rFonts w:hint="default"/>
                <w:color w:val="auto"/>
                <w:sz w:val="21"/>
                <w:szCs w:val="22"/>
              </w:rPr>
            </w:pPr>
            <w:r>
              <w:rPr>
                <w:rFonts w:hint="eastAsia"/>
                <w:color w:val="auto"/>
                <w:sz w:val="21"/>
                <w:szCs w:val="22"/>
              </w:rPr>
              <w:sym w:font="Wingdings 2" w:char="00A3"/>
            </w:r>
            <w:r>
              <w:rPr>
                <w:rFonts w:hint="eastAsia"/>
                <w:color w:val="auto"/>
                <w:sz w:val="21"/>
                <w:szCs w:val="22"/>
              </w:rPr>
              <w:t xml:space="preserve">是 </w:t>
            </w:r>
            <w:r>
              <w:rPr>
                <w:rFonts w:hint="eastAsia"/>
                <w:color w:val="auto"/>
                <w:sz w:val="21"/>
                <w:szCs w:val="22"/>
              </w:rPr>
              <w:sym w:font="Wingdings 2" w:char="00A3"/>
            </w:r>
            <w:r>
              <w:rPr>
                <w:rFonts w:hint="eastAsia"/>
                <w:color w:val="auto"/>
                <w:sz w:val="21"/>
                <w:szCs w:val="22"/>
              </w:rPr>
              <w:t xml:space="preserve">否 </w:t>
            </w:r>
            <w:r>
              <w:rPr>
                <w:rFonts w:hint="eastAsia"/>
                <w:color w:val="auto"/>
                <w:sz w:val="21"/>
                <w:szCs w:val="22"/>
              </w:rPr>
              <w:sym w:font="Wingdings 2" w:char="00A3"/>
            </w:r>
            <w:r>
              <w:rPr>
                <w:rFonts w:hint="eastAsia"/>
                <w:color w:val="auto"/>
                <w:sz w:val="21"/>
                <w:szCs w:val="22"/>
              </w:rPr>
              <w:t xml:space="preserve">不详 </w:t>
            </w:r>
            <w:r>
              <w:rPr>
                <w:rFonts w:hint="eastAsia"/>
                <w:color w:val="auto"/>
                <w:sz w:val="21"/>
                <w:szCs w:val="22"/>
              </w:rPr>
              <w:sym w:font="Wingdings 2" w:char="00A3"/>
            </w:r>
            <w:r>
              <w:rPr>
                <w:rFonts w:hint="eastAsia"/>
                <w:color w:val="auto"/>
                <w:sz w:val="21"/>
                <w:szCs w:val="22"/>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2492" w:type="dxa"/>
            <w:gridSpan w:val="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240" w:lineRule="exact"/>
              <w:jc w:val="left"/>
              <w:rPr>
                <w:rFonts w:hint="default"/>
                <w:color w:val="auto"/>
                <w:sz w:val="21"/>
                <w:szCs w:val="22"/>
              </w:rPr>
            </w:pPr>
            <w:r>
              <w:rPr>
                <w:rFonts w:hint="eastAsia"/>
                <w:color w:val="auto"/>
                <w:sz w:val="21"/>
                <w:szCs w:val="22"/>
              </w:rPr>
              <w:t>再次使用研究/怀疑药品后，事件是否再次出现</w:t>
            </w:r>
          </w:p>
        </w:tc>
        <w:tc>
          <w:tcPr>
            <w:tcW w:w="7528" w:type="dxa"/>
            <w:gridSpan w:val="2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left"/>
              <w:rPr>
                <w:rFonts w:hint="eastAsia"/>
                <w:color w:val="auto"/>
                <w:sz w:val="21"/>
                <w:szCs w:val="22"/>
              </w:rPr>
            </w:pPr>
            <w:r>
              <w:rPr>
                <w:rFonts w:hint="eastAsia"/>
                <w:color w:val="auto"/>
                <w:sz w:val="21"/>
                <w:szCs w:val="22"/>
              </w:rPr>
              <w:sym w:font="Wingdings 2" w:char="00A3"/>
            </w:r>
            <w:r>
              <w:rPr>
                <w:rFonts w:hint="eastAsia"/>
                <w:color w:val="auto"/>
                <w:sz w:val="21"/>
                <w:szCs w:val="22"/>
              </w:rPr>
              <w:t xml:space="preserve">是 </w:t>
            </w:r>
            <w:r>
              <w:rPr>
                <w:rFonts w:hint="eastAsia"/>
                <w:color w:val="auto"/>
                <w:sz w:val="21"/>
                <w:szCs w:val="22"/>
              </w:rPr>
              <w:sym w:font="Wingdings 2" w:char="00A3"/>
            </w:r>
            <w:r>
              <w:rPr>
                <w:rFonts w:hint="eastAsia"/>
                <w:color w:val="auto"/>
                <w:sz w:val="21"/>
                <w:szCs w:val="22"/>
              </w:rPr>
              <w:t xml:space="preserve">否 </w:t>
            </w:r>
            <w:r>
              <w:rPr>
                <w:rFonts w:hint="eastAsia"/>
                <w:color w:val="auto"/>
                <w:sz w:val="21"/>
                <w:szCs w:val="22"/>
              </w:rPr>
              <w:sym w:font="Wingdings 2" w:char="00A3"/>
            </w:r>
            <w:r>
              <w:rPr>
                <w:rFonts w:hint="eastAsia"/>
                <w:color w:val="auto"/>
                <w:sz w:val="21"/>
                <w:szCs w:val="22"/>
              </w:rPr>
              <w:t xml:space="preserve">不详 </w:t>
            </w:r>
            <w:r>
              <w:rPr>
                <w:rFonts w:hint="eastAsia"/>
                <w:color w:val="auto"/>
                <w:sz w:val="21"/>
                <w:szCs w:val="22"/>
              </w:rPr>
              <w:sym w:font="Wingdings 2" w:char="00A3"/>
            </w:r>
            <w:r>
              <w:rPr>
                <w:rFonts w:hint="eastAsia"/>
                <w:color w:val="auto"/>
                <w:sz w:val="21"/>
                <w:szCs w:val="22"/>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2492" w:type="dxa"/>
            <w:gridSpan w:val="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240" w:lineRule="exact"/>
              <w:jc w:val="left"/>
              <w:rPr>
                <w:rFonts w:hint="default"/>
                <w:color w:val="auto"/>
                <w:sz w:val="21"/>
                <w:szCs w:val="22"/>
              </w:rPr>
            </w:pPr>
            <w:r>
              <w:rPr>
                <w:rFonts w:hint="eastAsia"/>
                <w:color w:val="auto"/>
                <w:sz w:val="21"/>
                <w:szCs w:val="22"/>
              </w:rPr>
              <w:t>SAE发生及处理的详细情况</w:t>
            </w:r>
          </w:p>
        </w:tc>
        <w:tc>
          <w:tcPr>
            <w:tcW w:w="7528" w:type="dxa"/>
            <w:gridSpan w:val="28"/>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beforeLines="0" w:afterLines="0" w:line="360" w:lineRule="auto"/>
              <w:jc w:val="left"/>
              <w:rPr>
                <w:rFonts w:hint="eastAsia"/>
                <w:color w:val="auto"/>
                <w:sz w:val="21"/>
                <w:szCs w:val="22"/>
              </w:rPr>
            </w:pPr>
          </w:p>
        </w:tc>
      </w:tr>
    </w:tbl>
    <w:p>
      <w:pPr>
        <w:spacing w:beforeLines="0" w:afterLines="0" w:line="360" w:lineRule="auto"/>
        <w:rPr>
          <w:rFonts w:hint="eastAsia" w:ascii="宋体" w:hAnsi="宋体"/>
          <w:color w:val="auto"/>
          <w:sz w:val="21"/>
          <w:szCs w:val="21"/>
        </w:rPr>
      </w:pPr>
      <w:r>
        <w:rPr>
          <w:rFonts w:hint="eastAsia" w:ascii="宋体" w:hAnsi="宋体"/>
          <w:color w:val="auto"/>
          <w:sz w:val="21"/>
          <w:szCs w:val="21"/>
        </w:rPr>
        <w:t>研究者签名：                                                    日期：</w:t>
      </w:r>
    </w:p>
    <w:p>
      <w:pPr>
        <w:numPr>
          <w:ilvl w:val="0"/>
          <w:numId w:val="0"/>
        </w:numPr>
        <w:spacing w:beforeLines="0" w:afterLines="0" w:line="360" w:lineRule="auto"/>
        <w:rPr>
          <w:rFonts w:hint="eastAsia" w:ascii="宋体" w:hAnsi="宋体"/>
          <w:color w:val="auto"/>
          <w:sz w:val="24"/>
          <w:szCs w:val="24"/>
        </w:rPr>
        <w:sectPr>
          <w:headerReference r:id="rId129" w:type="default"/>
          <w:footerReference r:id="rId130" w:type="default"/>
          <w:pgSz w:w="11906" w:h="16838"/>
          <w:pgMar w:top="1417" w:right="1191" w:bottom="1474" w:left="1474" w:header="0" w:footer="992" w:gutter="0"/>
          <w:pgBorders>
            <w:top w:val="none" w:sz="0" w:space="0"/>
            <w:left w:val="none" w:sz="0" w:space="0"/>
            <w:bottom w:val="none" w:sz="0" w:space="0"/>
            <w:right w:val="none" w:sz="0" w:space="0"/>
          </w:pgBorders>
          <w:pgNumType w:fmt="decimal"/>
          <w:cols w:space="0" w:num="1"/>
          <w:docGrid w:type="lines" w:linePitch="312" w:charSpace="0"/>
        </w:sectPr>
      </w:pPr>
    </w:p>
    <w:p>
      <w:pPr>
        <w:numPr>
          <w:ilvl w:val="0"/>
          <w:numId w:val="0"/>
        </w:numPr>
        <w:spacing w:beforeLines="0" w:afterLines="0" w:line="360" w:lineRule="auto"/>
        <w:rPr>
          <w:rFonts w:hint="eastAsia" w:ascii="宋体" w:hAnsi="宋体"/>
          <w:color w:val="auto"/>
          <w:sz w:val="24"/>
          <w:szCs w:val="24"/>
        </w:rPr>
      </w:pPr>
      <w:r>
        <w:rPr>
          <w:rFonts w:hint="eastAsia" w:ascii="宋体" w:hAnsi="宋体"/>
          <w:color w:val="auto"/>
          <w:sz w:val="24"/>
          <w:szCs w:val="24"/>
        </w:rPr>
        <w:t>附件2：（YYH-SOP-CTC-0</w:t>
      </w:r>
      <w:r>
        <w:rPr>
          <w:rFonts w:hint="eastAsia" w:ascii="宋体" w:hAnsi="宋体"/>
          <w:color w:val="auto"/>
          <w:sz w:val="24"/>
          <w:szCs w:val="24"/>
          <w:lang w:val="en-US" w:eastAsia="zh-CN"/>
        </w:rPr>
        <w:t>14</w:t>
      </w:r>
      <w:r>
        <w:rPr>
          <w:rFonts w:hint="eastAsia" w:ascii="宋体" w:hAnsi="宋体"/>
          <w:color w:val="auto"/>
          <w:sz w:val="24"/>
          <w:szCs w:val="24"/>
        </w:rPr>
        <w:t>-3.1-A0</w:t>
      </w:r>
      <w:r>
        <w:rPr>
          <w:rFonts w:hint="eastAsia" w:ascii="宋体" w:hAnsi="宋体"/>
          <w:color w:val="auto"/>
          <w:sz w:val="24"/>
          <w:szCs w:val="24"/>
          <w:lang w:val="en-US" w:eastAsia="zh-CN"/>
        </w:rPr>
        <w:t>2</w:t>
      </w:r>
      <w:r>
        <w:rPr>
          <w:rFonts w:hint="eastAsia" w:ascii="宋体" w:hAnsi="宋体"/>
          <w:color w:val="auto"/>
          <w:sz w:val="24"/>
          <w:szCs w:val="24"/>
        </w:rPr>
        <w:t>）医疗器械临床试验严重不良事件报告表</w:t>
      </w:r>
    </w:p>
    <w:p>
      <w:pPr>
        <w:spacing w:line="360" w:lineRule="auto"/>
        <w:jc w:val="center"/>
        <w:rPr>
          <w:rFonts w:hint="eastAsia" w:ascii="黑体" w:hAnsi="黑体" w:eastAsia="黑体" w:cs="黑体"/>
          <w:b/>
          <w:color w:val="auto"/>
          <w:sz w:val="24"/>
          <w:szCs w:val="24"/>
        </w:rPr>
      </w:pPr>
      <w:r>
        <w:rPr>
          <w:rFonts w:hint="eastAsia" w:ascii="黑体" w:hAnsi="黑体" w:eastAsia="黑体" w:cs="黑体"/>
          <w:color w:val="auto"/>
          <w:sz w:val="24"/>
          <w:szCs w:val="24"/>
        </w:rPr>
        <w:t>医疗器械临床试验严重不良事件报告表</w:t>
      </w:r>
    </w:p>
    <w:tbl>
      <w:tblPr>
        <w:tblStyle w:val="27"/>
        <w:tblW w:w="9356" w:type="dxa"/>
        <w:jc w:val="center"/>
        <w:tblLayout w:type="fixed"/>
        <w:tblCellMar>
          <w:top w:w="0" w:type="dxa"/>
          <w:left w:w="105" w:type="dxa"/>
          <w:bottom w:w="0" w:type="dxa"/>
          <w:right w:w="105" w:type="dxa"/>
        </w:tblCellMar>
      </w:tblPr>
      <w:tblGrid>
        <w:gridCol w:w="1957"/>
        <w:gridCol w:w="1560"/>
        <w:gridCol w:w="992"/>
        <w:gridCol w:w="1984"/>
        <w:gridCol w:w="142"/>
        <w:gridCol w:w="2721"/>
      </w:tblGrid>
      <w:tr>
        <w:tblPrEx>
          <w:tblCellMar>
            <w:top w:w="0" w:type="dxa"/>
            <w:left w:w="105" w:type="dxa"/>
            <w:bottom w:w="0" w:type="dxa"/>
            <w:right w:w="105" w:type="dxa"/>
          </w:tblCellMar>
        </w:tblPrEx>
        <w:trPr>
          <w:trHeight w:val="425" w:hRule="atLeast"/>
          <w:jc w:val="center"/>
        </w:trPr>
        <w:tc>
          <w:tcPr>
            <w:tcW w:w="9356" w:type="dxa"/>
            <w:gridSpan w:val="6"/>
            <w:tcBorders>
              <w:top w:val="single" w:color="auto" w:sz="4" w:space="0"/>
              <w:left w:val="single" w:color="auto" w:sz="4" w:space="0"/>
              <w:bottom w:val="single" w:color="auto" w:sz="4" w:space="0"/>
              <w:right w:val="single" w:color="auto" w:sz="4" w:space="0"/>
            </w:tcBorders>
            <w:vAlign w:val="center"/>
          </w:tcPr>
          <w:p>
            <w:pPr>
              <w:widowControl/>
              <w:spacing w:before="100" w:after="100"/>
              <w:jc w:val="center"/>
              <w:rPr>
                <w:rFonts w:hint="eastAsia" w:ascii="新宋体" w:hAnsi="新宋体" w:eastAsia="新宋体"/>
                <w:b/>
                <w:color w:val="auto"/>
                <w:kern w:val="0"/>
                <w:sz w:val="21"/>
                <w:szCs w:val="21"/>
              </w:rPr>
            </w:pPr>
            <w:r>
              <w:rPr>
                <w:rFonts w:hint="eastAsia" w:ascii="新宋体" w:hAnsi="新宋体" w:eastAsia="新宋体"/>
                <w:b/>
                <w:color w:val="auto"/>
                <w:kern w:val="0"/>
                <w:sz w:val="21"/>
                <w:szCs w:val="21"/>
              </w:rPr>
              <w:t>基本情况</w:t>
            </w:r>
          </w:p>
        </w:tc>
      </w:tr>
      <w:tr>
        <w:tblPrEx>
          <w:tblCellMar>
            <w:top w:w="0" w:type="dxa"/>
            <w:left w:w="105" w:type="dxa"/>
            <w:bottom w:w="0" w:type="dxa"/>
            <w:right w:w="105" w:type="dxa"/>
          </w:tblCellMar>
        </w:tblPrEx>
        <w:trPr>
          <w:trHeight w:val="425"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临床试验名称</w:t>
            </w:r>
          </w:p>
        </w:tc>
        <w:tc>
          <w:tcPr>
            <w:tcW w:w="7399" w:type="dxa"/>
            <w:gridSpan w:val="5"/>
            <w:tcBorders>
              <w:top w:val="single" w:color="auto" w:sz="4" w:space="0"/>
              <w:left w:val="nil"/>
              <w:bottom w:val="single" w:color="auto" w:sz="4" w:space="0"/>
              <w:right w:val="single" w:color="auto" w:sz="4" w:space="0"/>
            </w:tcBorders>
            <w:vAlign w:val="center"/>
          </w:tcPr>
          <w:p>
            <w:pPr>
              <w:widowControl/>
              <w:spacing w:before="100" w:after="100"/>
              <w:rPr>
                <w:rFonts w:hint="eastAsia" w:ascii="新宋体" w:hAnsi="新宋体" w:eastAsia="新宋体"/>
                <w:color w:val="auto"/>
                <w:kern w:val="0"/>
                <w:sz w:val="21"/>
                <w:szCs w:val="21"/>
              </w:rPr>
            </w:pPr>
          </w:p>
        </w:tc>
      </w:tr>
      <w:tr>
        <w:tblPrEx>
          <w:tblCellMar>
            <w:top w:w="0" w:type="dxa"/>
            <w:left w:w="105" w:type="dxa"/>
            <w:bottom w:w="0" w:type="dxa"/>
            <w:right w:w="105" w:type="dxa"/>
          </w:tblCellMar>
        </w:tblPrEx>
        <w:trPr>
          <w:trHeight w:val="425"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临床试验备案号</w:t>
            </w:r>
          </w:p>
        </w:tc>
        <w:tc>
          <w:tcPr>
            <w:tcW w:w="7399" w:type="dxa"/>
            <w:gridSpan w:val="5"/>
            <w:tcBorders>
              <w:top w:val="single" w:color="auto" w:sz="4" w:space="0"/>
              <w:left w:val="nil"/>
              <w:bottom w:val="single" w:color="auto" w:sz="4" w:space="0"/>
              <w:right w:val="single" w:color="auto" w:sz="4" w:space="0"/>
            </w:tcBorders>
            <w:vAlign w:val="center"/>
          </w:tcPr>
          <w:p>
            <w:pPr>
              <w:widowControl/>
              <w:spacing w:before="100" w:after="100"/>
              <w:rPr>
                <w:rFonts w:hint="eastAsia" w:ascii="新宋体" w:hAnsi="新宋体" w:eastAsia="新宋体"/>
                <w:color w:val="auto"/>
                <w:kern w:val="0"/>
                <w:sz w:val="21"/>
                <w:szCs w:val="21"/>
              </w:rPr>
            </w:pPr>
          </w:p>
        </w:tc>
      </w:tr>
      <w:tr>
        <w:tblPrEx>
          <w:tblCellMar>
            <w:top w:w="0" w:type="dxa"/>
            <w:left w:w="105" w:type="dxa"/>
            <w:bottom w:w="0" w:type="dxa"/>
            <w:right w:w="105" w:type="dxa"/>
          </w:tblCellMar>
        </w:tblPrEx>
        <w:trPr>
          <w:trHeight w:val="700"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rPr>
                <w:rFonts w:ascii="新宋体" w:hAnsi="新宋体" w:eastAsia="新宋体"/>
                <w:color w:val="auto"/>
                <w:kern w:val="0"/>
                <w:sz w:val="21"/>
                <w:szCs w:val="21"/>
              </w:rPr>
            </w:pPr>
            <w:r>
              <w:rPr>
                <w:rFonts w:hint="eastAsia" w:ascii="新宋体" w:hAnsi="新宋体" w:eastAsia="新宋体"/>
                <w:color w:val="auto"/>
                <w:kern w:val="0"/>
                <w:sz w:val="21"/>
                <w:szCs w:val="21"/>
              </w:rPr>
              <w:t>报告类型</w:t>
            </w:r>
          </w:p>
        </w:tc>
        <w:tc>
          <w:tcPr>
            <w:tcW w:w="2552" w:type="dxa"/>
            <w:gridSpan w:val="2"/>
            <w:tcBorders>
              <w:top w:val="single" w:color="auto" w:sz="4" w:space="0"/>
              <w:left w:val="nil"/>
              <w:bottom w:val="single" w:color="auto" w:sz="4" w:space="0"/>
              <w:right w:val="single" w:color="auto" w:sz="4" w:space="0"/>
            </w:tcBorders>
            <w:vAlign w:val="center"/>
          </w:tcPr>
          <w:p>
            <w:pPr>
              <w:widowControl/>
              <w:spacing w:before="100" w:after="100"/>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□首次报告 □随访报告</w:t>
            </w:r>
          </w:p>
          <w:p>
            <w:pPr>
              <w:widowControl/>
              <w:spacing w:before="100" w:after="100"/>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□总结报告</w:t>
            </w:r>
          </w:p>
        </w:tc>
        <w:tc>
          <w:tcPr>
            <w:tcW w:w="2126" w:type="dxa"/>
            <w:gridSpan w:val="2"/>
            <w:tcBorders>
              <w:top w:val="single" w:color="auto" w:sz="4" w:space="0"/>
              <w:left w:val="nil"/>
              <w:bottom w:val="single" w:color="auto" w:sz="4" w:space="0"/>
              <w:right w:val="single" w:color="auto" w:sz="4" w:space="0"/>
            </w:tcBorders>
            <w:vAlign w:val="center"/>
          </w:tcPr>
          <w:p>
            <w:pPr>
              <w:widowControl/>
              <w:spacing w:before="100" w:after="100"/>
              <w:rPr>
                <w:rFonts w:ascii="新宋体" w:hAnsi="新宋体" w:eastAsia="新宋体"/>
                <w:color w:val="auto"/>
                <w:kern w:val="0"/>
                <w:sz w:val="21"/>
                <w:szCs w:val="21"/>
              </w:rPr>
            </w:pPr>
            <w:r>
              <w:rPr>
                <w:rFonts w:hint="eastAsia" w:ascii="新宋体" w:hAnsi="新宋体" w:eastAsia="新宋体"/>
                <w:color w:val="auto"/>
                <w:kern w:val="0"/>
                <w:sz w:val="21"/>
                <w:szCs w:val="21"/>
              </w:rPr>
              <w:t>报告日期</w:t>
            </w:r>
          </w:p>
        </w:tc>
        <w:tc>
          <w:tcPr>
            <w:tcW w:w="2721" w:type="dxa"/>
            <w:tcBorders>
              <w:top w:val="single" w:color="auto" w:sz="4" w:space="0"/>
              <w:left w:val="nil"/>
              <w:bottom w:val="single" w:color="auto" w:sz="4" w:space="0"/>
              <w:right w:val="single" w:color="auto" w:sz="4" w:space="0"/>
            </w:tcBorders>
            <w:vAlign w:val="center"/>
          </w:tcPr>
          <w:p>
            <w:pPr>
              <w:widowControl/>
              <w:spacing w:before="100" w:after="100"/>
              <w:ind w:firstLine="210" w:firstLineChars="100"/>
              <w:rPr>
                <w:rFonts w:ascii="新宋体" w:hAnsi="新宋体" w:eastAsia="新宋体"/>
                <w:color w:val="auto"/>
                <w:kern w:val="0"/>
                <w:sz w:val="21"/>
                <w:szCs w:val="21"/>
              </w:rPr>
            </w:pPr>
            <w:r>
              <w:rPr>
                <w:rFonts w:hint="eastAsia" w:ascii="新宋体" w:hAnsi="新宋体" w:eastAsia="新宋体"/>
                <w:color w:val="auto"/>
                <w:kern w:val="0"/>
                <w:sz w:val="21"/>
                <w:szCs w:val="21"/>
              </w:rPr>
              <w:t xml:space="preserve">    年    月    日</w:t>
            </w:r>
          </w:p>
        </w:tc>
      </w:tr>
      <w:tr>
        <w:tblPrEx>
          <w:tblCellMar>
            <w:top w:w="0" w:type="dxa"/>
            <w:left w:w="105" w:type="dxa"/>
            <w:bottom w:w="0" w:type="dxa"/>
            <w:right w:w="105" w:type="dxa"/>
          </w:tblCellMar>
        </w:tblPrEx>
        <w:trPr>
          <w:trHeight w:val="454"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rPr>
                <w:rFonts w:ascii="新宋体" w:hAnsi="新宋体" w:eastAsia="新宋体"/>
                <w:color w:val="auto"/>
                <w:kern w:val="0"/>
                <w:sz w:val="21"/>
                <w:szCs w:val="21"/>
              </w:rPr>
            </w:pPr>
            <w:r>
              <w:rPr>
                <w:rFonts w:hint="eastAsia" w:ascii="新宋体" w:hAnsi="新宋体" w:eastAsia="新宋体"/>
                <w:color w:val="auto"/>
                <w:kern w:val="0"/>
                <w:sz w:val="21"/>
                <w:szCs w:val="21"/>
              </w:rPr>
              <w:t>申办者</w:t>
            </w:r>
          </w:p>
        </w:tc>
        <w:tc>
          <w:tcPr>
            <w:tcW w:w="7399" w:type="dxa"/>
            <w:gridSpan w:val="5"/>
            <w:tcBorders>
              <w:top w:val="single" w:color="auto" w:sz="4" w:space="0"/>
              <w:left w:val="nil"/>
              <w:bottom w:val="single" w:color="auto" w:sz="4" w:space="0"/>
              <w:right w:val="single" w:color="auto" w:sz="4" w:space="0"/>
            </w:tcBorders>
            <w:vAlign w:val="center"/>
          </w:tcPr>
          <w:p>
            <w:pPr>
              <w:widowControl/>
              <w:spacing w:before="100" w:after="100"/>
              <w:rPr>
                <w:rFonts w:ascii="新宋体" w:hAnsi="新宋体" w:eastAsia="新宋体"/>
                <w:color w:val="auto"/>
                <w:kern w:val="0"/>
                <w:sz w:val="21"/>
                <w:szCs w:val="21"/>
              </w:rPr>
            </w:pPr>
          </w:p>
        </w:tc>
      </w:tr>
      <w:tr>
        <w:tblPrEx>
          <w:tblCellMar>
            <w:top w:w="0" w:type="dxa"/>
            <w:left w:w="105" w:type="dxa"/>
            <w:bottom w:w="0" w:type="dxa"/>
            <w:right w:w="105" w:type="dxa"/>
          </w:tblCellMar>
        </w:tblPrEx>
        <w:trPr>
          <w:trHeight w:val="454"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申办者联系地址</w:t>
            </w:r>
          </w:p>
        </w:tc>
        <w:tc>
          <w:tcPr>
            <w:tcW w:w="7399" w:type="dxa"/>
            <w:gridSpan w:val="5"/>
            <w:tcBorders>
              <w:top w:val="single" w:color="auto" w:sz="4" w:space="0"/>
              <w:left w:val="nil"/>
              <w:bottom w:val="single" w:color="auto" w:sz="4" w:space="0"/>
              <w:right w:val="single" w:color="auto" w:sz="4" w:space="0"/>
            </w:tcBorders>
            <w:vAlign w:val="center"/>
          </w:tcPr>
          <w:p>
            <w:pPr>
              <w:widowControl/>
              <w:spacing w:before="100" w:after="100"/>
              <w:rPr>
                <w:rFonts w:ascii="新宋体" w:hAnsi="新宋体" w:eastAsia="新宋体"/>
                <w:color w:val="auto"/>
                <w:kern w:val="0"/>
                <w:sz w:val="21"/>
                <w:szCs w:val="21"/>
              </w:rPr>
            </w:pPr>
          </w:p>
        </w:tc>
      </w:tr>
      <w:tr>
        <w:tblPrEx>
          <w:tblCellMar>
            <w:top w:w="0" w:type="dxa"/>
            <w:left w:w="105" w:type="dxa"/>
            <w:bottom w:w="0" w:type="dxa"/>
            <w:right w:w="105" w:type="dxa"/>
          </w:tblCellMar>
        </w:tblPrEx>
        <w:trPr>
          <w:trHeight w:val="454"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申办者联系人</w:t>
            </w:r>
          </w:p>
        </w:tc>
        <w:tc>
          <w:tcPr>
            <w:tcW w:w="2552" w:type="dxa"/>
            <w:gridSpan w:val="2"/>
            <w:tcBorders>
              <w:top w:val="single" w:color="auto" w:sz="4" w:space="0"/>
              <w:left w:val="nil"/>
              <w:bottom w:val="single" w:color="auto" w:sz="4" w:space="0"/>
              <w:right w:val="single" w:color="auto" w:sz="4" w:space="0"/>
            </w:tcBorders>
            <w:vAlign w:val="center"/>
          </w:tcPr>
          <w:p>
            <w:pPr>
              <w:widowControl/>
              <w:spacing w:before="100" w:after="100"/>
              <w:rPr>
                <w:rFonts w:ascii="新宋体" w:hAnsi="新宋体" w:eastAsia="新宋体"/>
                <w:color w:val="auto"/>
                <w:kern w:val="0"/>
                <w:sz w:val="21"/>
                <w:szCs w:val="21"/>
              </w:rPr>
            </w:pPr>
          </w:p>
        </w:tc>
        <w:tc>
          <w:tcPr>
            <w:tcW w:w="2126" w:type="dxa"/>
            <w:gridSpan w:val="2"/>
            <w:tcBorders>
              <w:top w:val="single" w:color="auto" w:sz="4" w:space="0"/>
              <w:left w:val="nil"/>
              <w:bottom w:val="single" w:color="auto" w:sz="4" w:space="0"/>
              <w:right w:val="single" w:color="auto" w:sz="4" w:space="0"/>
            </w:tcBorders>
            <w:vAlign w:val="center"/>
          </w:tcPr>
          <w:p>
            <w:pPr>
              <w:rPr>
                <w:rFonts w:hint="eastAsia" w:ascii="新宋体" w:hAnsi="新宋体" w:eastAsia="新宋体"/>
                <w:color w:val="auto"/>
                <w:kern w:val="0"/>
                <w:sz w:val="21"/>
                <w:szCs w:val="21"/>
              </w:rPr>
            </w:pPr>
            <w:r>
              <w:rPr>
                <w:rFonts w:hint="eastAsia" w:ascii="宋体" w:hAnsi="宋体"/>
                <w:color w:val="auto"/>
                <w:sz w:val="21"/>
                <w:szCs w:val="21"/>
              </w:rPr>
              <w:t>申办者联系电话/手机号码</w:t>
            </w:r>
          </w:p>
        </w:tc>
        <w:tc>
          <w:tcPr>
            <w:tcW w:w="2721" w:type="dxa"/>
            <w:tcBorders>
              <w:top w:val="single" w:color="auto" w:sz="4" w:space="0"/>
              <w:left w:val="nil"/>
              <w:bottom w:val="single" w:color="auto" w:sz="4" w:space="0"/>
              <w:right w:val="single" w:color="auto" w:sz="4" w:space="0"/>
            </w:tcBorders>
            <w:vAlign w:val="center"/>
          </w:tcPr>
          <w:p>
            <w:pPr>
              <w:widowControl/>
              <w:spacing w:before="100" w:after="100"/>
              <w:rPr>
                <w:rFonts w:ascii="新宋体" w:hAnsi="新宋体" w:eastAsia="新宋体"/>
                <w:color w:val="auto"/>
                <w:kern w:val="0"/>
                <w:sz w:val="21"/>
                <w:szCs w:val="21"/>
              </w:rPr>
            </w:pPr>
          </w:p>
        </w:tc>
      </w:tr>
      <w:tr>
        <w:tblPrEx>
          <w:tblCellMar>
            <w:top w:w="0" w:type="dxa"/>
            <w:left w:w="105" w:type="dxa"/>
            <w:bottom w:w="0" w:type="dxa"/>
            <w:right w:w="105" w:type="dxa"/>
          </w:tblCellMar>
        </w:tblPrEx>
        <w:trPr>
          <w:trHeight w:val="454"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rPr>
                <w:rFonts w:hint="eastAsia" w:ascii="新宋体" w:hAnsi="新宋体" w:eastAsia="新宋体"/>
                <w:color w:val="auto"/>
                <w:kern w:val="0"/>
                <w:sz w:val="21"/>
                <w:szCs w:val="21"/>
              </w:rPr>
            </w:pPr>
            <w:r>
              <w:rPr>
                <w:rFonts w:hint="eastAsia" w:ascii="宋体" w:hAnsi="宋体"/>
                <w:color w:val="auto"/>
                <w:sz w:val="21"/>
                <w:szCs w:val="21"/>
              </w:rPr>
              <w:t>临床试验机构</w:t>
            </w:r>
          </w:p>
        </w:tc>
        <w:tc>
          <w:tcPr>
            <w:tcW w:w="7399" w:type="dxa"/>
            <w:gridSpan w:val="5"/>
            <w:tcBorders>
              <w:top w:val="single" w:color="auto" w:sz="4" w:space="0"/>
              <w:left w:val="nil"/>
              <w:bottom w:val="single" w:color="auto" w:sz="4" w:space="0"/>
              <w:right w:val="single" w:color="auto" w:sz="4" w:space="0"/>
            </w:tcBorders>
            <w:vAlign w:val="center"/>
          </w:tcPr>
          <w:p>
            <w:pPr>
              <w:widowControl/>
              <w:spacing w:before="100" w:after="100"/>
              <w:rPr>
                <w:rFonts w:ascii="新宋体" w:hAnsi="新宋体" w:eastAsia="新宋体"/>
                <w:color w:val="auto"/>
                <w:kern w:val="0"/>
                <w:sz w:val="21"/>
                <w:szCs w:val="21"/>
              </w:rPr>
            </w:pPr>
          </w:p>
        </w:tc>
      </w:tr>
      <w:tr>
        <w:tblPrEx>
          <w:tblCellMar>
            <w:top w:w="0" w:type="dxa"/>
            <w:left w:w="105" w:type="dxa"/>
            <w:bottom w:w="0" w:type="dxa"/>
            <w:right w:w="105" w:type="dxa"/>
          </w:tblCellMar>
        </w:tblPrEx>
        <w:trPr>
          <w:trHeight w:val="454"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olor w:val="auto"/>
                <w:sz w:val="21"/>
                <w:szCs w:val="21"/>
              </w:rPr>
            </w:pPr>
            <w:r>
              <w:rPr>
                <w:rFonts w:hint="eastAsia" w:ascii="宋体" w:hAnsi="宋体"/>
                <w:color w:val="auto"/>
                <w:sz w:val="21"/>
                <w:szCs w:val="21"/>
              </w:rPr>
              <w:t>机构备案号</w:t>
            </w:r>
          </w:p>
        </w:tc>
        <w:tc>
          <w:tcPr>
            <w:tcW w:w="2552" w:type="dxa"/>
            <w:gridSpan w:val="2"/>
            <w:tcBorders>
              <w:top w:val="single" w:color="auto" w:sz="4" w:space="0"/>
              <w:left w:val="nil"/>
              <w:bottom w:val="single" w:color="auto" w:sz="4" w:space="0"/>
              <w:right w:val="single" w:color="auto" w:sz="4" w:space="0"/>
            </w:tcBorders>
            <w:vAlign w:val="center"/>
          </w:tcPr>
          <w:p>
            <w:pPr>
              <w:spacing w:line="360" w:lineRule="auto"/>
              <w:rPr>
                <w:rFonts w:ascii="宋体" w:hAnsi="宋体"/>
                <w:color w:val="auto"/>
                <w:sz w:val="21"/>
                <w:szCs w:val="21"/>
              </w:rPr>
            </w:pPr>
          </w:p>
        </w:tc>
        <w:tc>
          <w:tcPr>
            <w:tcW w:w="2126" w:type="dxa"/>
            <w:gridSpan w:val="2"/>
            <w:tcBorders>
              <w:top w:val="single" w:color="auto" w:sz="4" w:space="0"/>
              <w:left w:val="nil"/>
              <w:bottom w:val="single" w:color="auto" w:sz="4" w:space="0"/>
              <w:right w:val="single" w:color="auto" w:sz="4" w:space="0"/>
            </w:tcBorders>
            <w:vAlign w:val="center"/>
          </w:tcPr>
          <w:p>
            <w:pPr>
              <w:spacing w:line="360" w:lineRule="auto"/>
              <w:rPr>
                <w:rFonts w:ascii="宋体" w:hAnsi="宋体"/>
                <w:color w:val="auto"/>
                <w:sz w:val="21"/>
                <w:szCs w:val="21"/>
              </w:rPr>
            </w:pPr>
            <w:r>
              <w:rPr>
                <w:rFonts w:hint="eastAsia" w:ascii="宋体" w:hAnsi="宋体"/>
                <w:color w:val="auto"/>
                <w:sz w:val="21"/>
                <w:szCs w:val="21"/>
              </w:rPr>
              <w:t>临床试验专业</w:t>
            </w:r>
          </w:p>
        </w:tc>
        <w:tc>
          <w:tcPr>
            <w:tcW w:w="2721"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color w:val="auto"/>
                <w:sz w:val="21"/>
                <w:szCs w:val="21"/>
              </w:rPr>
            </w:pPr>
          </w:p>
        </w:tc>
      </w:tr>
      <w:tr>
        <w:tblPrEx>
          <w:tblCellMar>
            <w:top w:w="0" w:type="dxa"/>
            <w:left w:w="105" w:type="dxa"/>
            <w:bottom w:w="0" w:type="dxa"/>
            <w:right w:w="105" w:type="dxa"/>
          </w:tblCellMar>
        </w:tblPrEx>
        <w:trPr>
          <w:trHeight w:val="454"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olor w:val="auto"/>
                <w:sz w:val="21"/>
                <w:szCs w:val="21"/>
              </w:rPr>
            </w:pPr>
            <w:r>
              <w:rPr>
                <w:rFonts w:hint="eastAsia" w:ascii="宋体" w:hAnsi="宋体"/>
                <w:color w:val="auto"/>
                <w:sz w:val="21"/>
                <w:szCs w:val="21"/>
              </w:rPr>
              <w:t>主要研究者</w:t>
            </w:r>
          </w:p>
        </w:tc>
        <w:tc>
          <w:tcPr>
            <w:tcW w:w="2552" w:type="dxa"/>
            <w:gridSpan w:val="2"/>
            <w:tcBorders>
              <w:top w:val="single" w:color="auto" w:sz="4" w:space="0"/>
              <w:left w:val="nil"/>
              <w:bottom w:val="single" w:color="auto" w:sz="4" w:space="0"/>
              <w:right w:val="single" w:color="auto" w:sz="4" w:space="0"/>
            </w:tcBorders>
            <w:vAlign w:val="center"/>
          </w:tcPr>
          <w:p>
            <w:pPr>
              <w:spacing w:line="360" w:lineRule="auto"/>
              <w:rPr>
                <w:rFonts w:ascii="宋体" w:hAnsi="宋体"/>
                <w:color w:val="auto"/>
                <w:sz w:val="21"/>
                <w:szCs w:val="21"/>
              </w:rPr>
            </w:pPr>
          </w:p>
        </w:tc>
        <w:tc>
          <w:tcPr>
            <w:tcW w:w="2126" w:type="dxa"/>
            <w:gridSpan w:val="2"/>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color w:val="auto"/>
                <w:sz w:val="21"/>
                <w:szCs w:val="21"/>
              </w:rPr>
            </w:pPr>
            <w:r>
              <w:rPr>
                <w:rFonts w:hint="eastAsia" w:ascii="宋体" w:hAnsi="宋体"/>
                <w:color w:val="auto"/>
                <w:sz w:val="21"/>
                <w:szCs w:val="21"/>
              </w:rPr>
              <w:t>职称</w:t>
            </w:r>
          </w:p>
        </w:tc>
        <w:tc>
          <w:tcPr>
            <w:tcW w:w="2721"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color w:val="auto"/>
                <w:sz w:val="21"/>
                <w:szCs w:val="21"/>
              </w:rPr>
            </w:pPr>
          </w:p>
        </w:tc>
      </w:tr>
      <w:tr>
        <w:tblPrEx>
          <w:tblCellMar>
            <w:top w:w="0" w:type="dxa"/>
            <w:left w:w="105" w:type="dxa"/>
            <w:bottom w:w="0" w:type="dxa"/>
            <w:right w:w="105" w:type="dxa"/>
          </w:tblCellMar>
        </w:tblPrEx>
        <w:trPr>
          <w:trHeight w:val="454"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olor w:val="auto"/>
                <w:sz w:val="21"/>
                <w:szCs w:val="21"/>
              </w:rPr>
            </w:pPr>
            <w:r>
              <w:rPr>
                <w:rFonts w:hint="eastAsia" w:ascii="宋体" w:hAnsi="宋体"/>
                <w:color w:val="auto"/>
                <w:sz w:val="21"/>
                <w:szCs w:val="21"/>
              </w:rPr>
              <w:t>联系人</w:t>
            </w:r>
          </w:p>
        </w:tc>
        <w:tc>
          <w:tcPr>
            <w:tcW w:w="2552" w:type="dxa"/>
            <w:gridSpan w:val="2"/>
            <w:tcBorders>
              <w:top w:val="single" w:color="auto" w:sz="4" w:space="0"/>
              <w:left w:val="nil"/>
              <w:bottom w:val="single" w:color="auto" w:sz="4" w:space="0"/>
              <w:right w:val="single" w:color="auto" w:sz="4" w:space="0"/>
            </w:tcBorders>
            <w:vAlign w:val="center"/>
          </w:tcPr>
          <w:p>
            <w:pPr>
              <w:spacing w:line="360" w:lineRule="auto"/>
              <w:rPr>
                <w:rFonts w:ascii="宋体" w:hAnsi="宋体"/>
                <w:color w:val="auto"/>
                <w:sz w:val="21"/>
                <w:szCs w:val="21"/>
              </w:rPr>
            </w:pPr>
          </w:p>
        </w:tc>
        <w:tc>
          <w:tcPr>
            <w:tcW w:w="2126" w:type="dxa"/>
            <w:gridSpan w:val="2"/>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color w:val="auto"/>
                <w:sz w:val="21"/>
                <w:szCs w:val="21"/>
              </w:rPr>
            </w:pPr>
            <w:r>
              <w:rPr>
                <w:rFonts w:hint="eastAsia" w:ascii="宋体" w:hAnsi="宋体"/>
                <w:color w:val="auto"/>
                <w:sz w:val="21"/>
                <w:szCs w:val="21"/>
              </w:rPr>
              <w:t>联系电话</w:t>
            </w:r>
          </w:p>
        </w:tc>
        <w:tc>
          <w:tcPr>
            <w:tcW w:w="2721"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color w:val="auto"/>
                <w:sz w:val="21"/>
                <w:szCs w:val="21"/>
              </w:rPr>
            </w:pPr>
          </w:p>
        </w:tc>
      </w:tr>
      <w:tr>
        <w:tblPrEx>
          <w:tblCellMar>
            <w:top w:w="0" w:type="dxa"/>
            <w:left w:w="105" w:type="dxa"/>
            <w:bottom w:w="0" w:type="dxa"/>
            <w:right w:w="105" w:type="dxa"/>
          </w:tblCellMar>
        </w:tblPrEx>
        <w:trPr>
          <w:trHeight w:val="454" w:hRule="atLeast"/>
          <w:jc w:val="center"/>
        </w:trPr>
        <w:tc>
          <w:tcPr>
            <w:tcW w:w="9356"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b/>
                <w:color w:val="auto"/>
                <w:sz w:val="21"/>
                <w:szCs w:val="21"/>
              </w:rPr>
            </w:pPr>
            <w:r>
              <w:rPr>
                <w:rFonts w:hint="eastAsia" w:ascii="宋体" w:hAnsi="宋体"/>
                <w:b/>
                <w:color w:val="auto"/>
                <w:sz w:val="21"/>
                <w:szCs w:val="21"/>
              </w:rPr>
              <w:t>试验医疗器械情况</w:t>
            </w:r>
          </w:p>
        </w:tc>
      </w:tr>
      <w:tr>
        <w:tblPrEx>
          <w:tblCellMar>
            <w:top w:w="0" w:type="dxa"/>
            <w:left w:w="105" w:type="dxa"/>
            <w:bottom w:w="0" w:type="dxa"/>
            <w:right w:w="105" w:type="dxa"/>
          </w:tblCellMar>
        </w:tblPrEx>
        <w:trPr>
          <w:cantSplit/>
          <w:trHeight w:val="569"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rPr>
                <w:rFonts w:ascii="新宋体" w:hAnsi="新宋体" w:eastAsia="新宋体"/>
                <w:color w:val="auto"/>
                <w:kern w:val="0"/>
                <w:sz w:val="21"/>
                <w:szCs w:val="21"/>
              </w:rPr>
            </w:pPr>
            <w:r>
              <w:rPr>
                <w:rFonts w:hint="eastAsia" w:ascii="新宋体" w:hAnsi="新宋体" w:eastAsia="新宋体"/>
                <w:color w:val="auto"/>
                <w:kern w:val="0"/>
                <w:sz w:val="21"/>
                <w:szCs w:val="21"/>
              </w:rPr>
              <w:t>试验医疗器械名称</w:t>
            </w:r>
          </w:p>
        </w:tc>
        <w:tc>
          <w:tcPr>
            <w:tcW w:w="2552" w:type="dxa"/>
            <w:gridSpan w:val="2"/>
            <w:tcBorders>
              <w:top w:val="single" w:color="auto" w:sz="4" w:space="0"/>
              <w:left w:val="nil"/>
              <w:bottom w:val="single" w:color="auto" w:sz="4" w:space="0"/>
              <w:right w:val="single" w:color="auto" w:sz="4" w:space="0"/>
            </w:tcBorders>
            <w:vAlign w:val="center"/>
          </w:tcPr>
          <w:p>
            <w:pPr>
              <w:widowControl/>
              <w:spacing w:before="100" w:after="100"/>
              <w:rPr>
                <w:rFonts w:ascii="新宋体" w:hAnsi="新宋体" w:eastAsia="新宋体"/>
                <w:color w:val="auto"/>
                <w:kern w:val="0"/>
                <w:sz w:val="21"/>
                <w:szCs w:val="21"/>
              </w:rPr>
            </w:pPr>
          </w:p>
        </w:tc>
        <w:tc>
          <w:tcPr>
            <w:tcW w:w="2126" w:type="dxa"/>
            <w:gridSpan w:val="2"/>
            <w:tcBorders>
              <w:top w:val="single" w:color="auto" w:sz="4" w:space="0"/>
              <w:left w:val="nil"/>
              <w:right w:val="single" w:color="auto" w:sz="4" w:space="0"/>
            </w:tcBorders>
            <w:vAlign w:val="center"/>
          </w:tcPr>
          <w:p>
            <w:pPr>
              <w:spacing w:line="360" w:lineRule="auto"/>
              <w:rPr>
                <w:rFonts w:ascii="宋体" w:hAnsi="宋体"/>
                <w:color w:val="auto"/>
                <w:sz w:val="21"/>
                <w:szCs w:val="21"/>
              </w:rPr>
            </w:pPr>
            <w:r>
              <w:rPr>
                <w:rFonts w:hint="eastAsia" w:ascii="宋体" w:hAnsi="宋体"/>
                <w:color w:val="auto"/>
                <w:sz w:val="21"/>
                <w:szCs w:val="21"/>
              </w:rPr>
              <w:t>规格型号/包装规格</w:t>
            </w:r>
          </w:p>
        </w:tc>
        <w:tc>
          <w:tcPr>
            <w:tcW w:w="2721" w:type="dxa"/>
            <w:tcBorders>
              <w:top w:val="single" w:color="auto" w:sz="4" w:space="0"/>
              <w:left w:val="nil"/>
              <w:right w:val="single" w:color="auto" w:sz="4" w:space="0"/>
            </w:tcBorders>
            <w:vAlign w:val="center"/>
          </w:tcPr>
          <w:p>
            <w:pPr>
              <w:spacing w:line="360" w:lineRule="auto"/>
              <w:rPr>
                <w:rFonts w:ascii="宋体" w:hAnsi="宋体"/>
                <w:color w:val="auto"/>
                <w:sz w:val="21"/>
                <w:szCs w:val="21"/>
              </w:rPr>
            </w:pPr>
          </w:p>
        </w:tc>
      </w:tr>
      <w:tr>
        <w:tblPrEx>
          <w:tblCellMar>
            <w:top w:w="0" w:type="dxa"/>
            <w:left w:w="105" w:type="dxa"/>
            <w:bottom w:w="0" w:type="dxa"/>
            <w:right w:w="105" w:type="dxa"/>
          </w:tblCellMar>
        </w:tblPrEx>
        <w:trPr>
          <w:cantSplit/>
          <w:trHeight w:val="549"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试验医疗器械分类</w:t>
            </w:r>
          </w:p>
        </w:tc>
        <w:tc>
          <w:tcPr>
            <w:tcW w:w="2552" w:type="dxa"/>
            <w:gridSpan w:val="2"/>
            <w:tcBorders>
              <w:top w:val="single" w:color="auto" w:sz="4" w:space="0"/>
              <w:left w:val="nil"/>
              <w:bottom w:val="single" w:color="auto" w:sz="4" w:space="0"/>
              <w:right w:val="single" w:color="auto" w:sz="4" w:space="0"/>
            </w:tcBorders>
            <w:vAlign w:val="center"/>
          </w:tcPr>
          <w:p>
            <w:pPr>
              <w:widowControl/>
              <w:spacing w:before="100" w:after="100"/>
              <w:rPr>
                <w:rFonts w:ascii="新宋体" w:hAnsi="新宋体" w:eastAsia="新宋体"/>
                <w:color w:val="auto"/>
                <w:kern w:val="0"/>
                <w:sz w:val="21"/>
                <w:szCs w:val="21"/>
              </w:rPr>
            </w:pPr>
          </w:p>
        </w:tc>
        <w:tc>
          <w:tcPr>
            <w:tcW w:w="2126" w:type="dxa"/>
            <w:gridSpan w:val="2"/>
            <w:tcBorders>
              <w:top w:val="single" w:color="auto" w:sz="4" w:space="0"/>
              <w:left w:val="nil"/>
              <w:right w:val="single" w:color="auto" w:sz="4" w:space="0"/>
            </w:tcBorders>
            <w:vAlign w:val="center"/>
          </w:tcPr>
          <w:p>
            <w:pPr>
              <w:rPr>
                <w:rFonts w:hint="eastAsia" w:ascii="宋体" w:hAnsi="宋体"/>
                <w:color w:val="auto"/>
                <w:sz w:val="21"/>
                <w:szCs w:val="21"/>
              </w:rPr>
            </w:pPr>
            <w:r>
              <w:rPr>
                <w:rFonts w:hint="eastAsia" w:ascii="宋体" w:hAnsi="宋体"/>
                <w:color w:val="auto"/>
                <w:sz w:val="21"/>
                <w:szCs w:val="21"/>
              </w:rPr>
              <w:t>需临床试验审批的第三类医疗器械</w:t>
            </w:r>
          </w:p>
        </w:tc>
        <w:tc>
          <w:tcPr>
            <w:tcW w:w="2721" w:type="dxa"/>
            <w:tcBorders>
              <w:top w:val="single" w:color="auto" w:sz="4" w:space="0"/>
              <w:left w:val="nil"/>
              <w:right w:val="single" w:color="auto" w:sz="4" w:space="0"/>
            </w:tcBorders>
            <w:vAlign w:val="center"/>
          </w:tcPr>
          <w:p>
            <w:pPr>
              <w:spacing w:line="360" w:lineRule="auto"/>
              <w:ind w:firstLine="210" w:firstLineChars="100"/>
              <w:rPr>
                <w:rFonts w:ascii="宋体" w:hAnsi="宋体"/>
                <w:color w:val="auto"/>
                <w:sz w:val="21"/>
                <w:szCs w:val="21"/>
              </w:rPr>
            </w:pPr>
            <w:r>
              <w:rPr>
                <w:rFonts w:hint="eastAsia" w:ascii="新宋体" w:hAnsi="新宋体" w:eastAsia="新宋体"/>
                <w:color w:val="auto"/>
                <w:kern w:val="0"/>
                <w:sz w:val="21"/>
                <w:szCs w:val="21"/>
              </w:rPr>
              <w:t>□是   □否</w:t>
            </w:r>
          </w:p>
        </w:tc>
      </w:tr>
      <w:tr>
        <w:tblPrEx>
          <w:tblCellMar>
            <w:top w:w="0" w:type="dxa"/>
            <w:left w:w="105" w:type="dxa"/>
            <w:bottom w:w="0" w:type="dxa"/>
            <w:right w:w="105" w:type="dxa"/>
          </w:tblCellMar>
        </w:tblPrEx>
        <w:trPr>
          <w:cantSplit/>
          <w:trHeight w:val="549"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rPr>
                <w:rFonts w:hint="eastAsia" w:ascii="新宋体" w:hAnsi="新宋体" w:eastAsia="新宋体"/>
                <w:color w:val="auto"/>
                <w:kern w:val="0"/>
                <w:sz w:val="21"/>
                <w:szCs w:val="21"/>
              </w:rPr>
            </w:pPr>
            <w:r>
              <w:rPr>
                <w:rFonts w:hint="eastAsia" w:ascii="宋体" w:hAnsi="宋体"/>
                <w:color w:val="auto"/>
                <w:sz w:val="21"/>
                <w:szCs w:val="21"/>
              </w:rPr>
              <w:t>批号</w:t>
            </w:r>
          </w:p>
        </w:tc>
        <w:tc>
          <w:tcPr>
            <w:tcW w:w="2552" w:type="dxa"/>
            <w:gridSpan w:val="2"/>
            <w:tcBorders>
              <w:top w:val="single" w:color="auto" w:sz="4" w:space="0"/>
              <w:left w:val="nil"/>
              <w:bottom w:val="single" w:color="auto" w:sz="4" w:space="0"/>
              <w:right w:val="single" w:color="auto" w:sz="4" w:space="0"/>
            </w:tcBorders>
            <w:vAlign w:val="center"/>
          </w:tcPr>
          <w:p>
            <w:pPr>
              <w:spacing w:line="360" w:lineRule="auto"/>
              <w:rPr>
                <w:rFonts w:ascii="宋体" w:hAnsi="宋体"/>
                <w:color w:val="auto"/>
                <w:sz w:val="21"/>
                <w:szCs w:val="21"/>
              </w:rPr>
            </w:pPr>
          </w:p>
        </w:tc>
        <w:tc>
          <w:tcPr>
            <w:tcW w:w="2126" w:type="dxa"/>
            <w:gridSpan w:val="2"/>
            <w:tcBorders>
              <w:top w:val="single" w:color="auto" w:sz="4" w:space="0"/>
              <w:left w:val="nil"/>
              <w:bottom w:val="single" w:color="auto" w:sz="4" w:space="0"/>
              <w:right w:val="single" w:color="auto" w:sz="4" w:space="0"/>
            </w:tcBorders>
            <w:vAlign w:val="center"/>
          </w:tcPr>
          <w:p>
            <w:pPr>
              <w:rPr>
                <w:rFonts w:ascii="宋体" w:hAnsi="宋体"/>
                <w:color w:val="auto"/>
                <w:sz w:val="21"/>
                <w:szCs w:val="21"/>
              </w:rPr>
            </w:pPr>
            <w:r>
              <w:rPr>
                <w:rFonts w:hint="eastAsia" w:ascii="宋体" w:hAnsi="宋体"/>
                <w:color w:val="auto"/>
                <w:sz w:val="21"/>
                <w:szCs w:val="21"/>
              </w:rPr>
              <w:t>生产日期/失效日期</w:t>
            </w:r>
          </w:p>
        </w:tc>
        <w:tc>
          <w:tcPr>
            <w:tcW w:w="2721" w:type="dxa"/>
            <w:tcBorders>
              <w:top w:val="single" w:color="auto" w:sz="4" w:space="0"/>
              <w:left w:val="nil"/>
              <w:bottom w:val="single" w:color="auto" w:sz="4" w:space="0"/>
              <w:right w:val="single" w:color="auto" w:sz="4" w:space="0"/>
            </w:tcBorders>
            <w:vAlign w:val="center"/>
          </w:tcPr>
          <w:p>
            <w:pPr>
              <w:spacing w:line="360" w:lineRule="auto"/>
              <w:rPr>
                <w:rFonts w:ascii="宋体" w:hAnsi="宋体"/>
                <w:color w:val="auto"/>
                <w:sz w:val="21"/>
                <w:szCs w:val="21"/>
              </w:rPr>
            </w:pPr>
          </w:p>
        </w:tc>
      </w:tr>
      <w:tr>
        <w:tblPrEx>
          <w:tblCellMar>
            <w:top w:w="0" w:type="dxa"/>
            <w:left w:w="105" w:type="dxa"/>
            <w:bottom w:w="0" w:type="dxa"/>
            <w:right w:w="105" w:type="dxa"/>
          </w:tblCellMar>
        </w:tblPrEx>
        <w:trPr>
          <w:cantSplit/>
          <w:trHeight w:val="549"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rPr>
                <w:rFonts w:hint="eastAsia" w:ascii="宋体" w:hAnsi="宋体"/>
                <w:color w:val="auto"/>
                <w:sz w:val="21"/>
                <w:szCs w:val="21"/>
              </w:rPr>
            </w:pPr>
            <w:r>
              <w:rPr>
                <w:rFonts w:hint="eastAsia" w:ascii="宋体" w:hAnsi="宋体"/>
                <w:color w:val="auto"/>
                <w:sz w:val="21"/>
                <w:szCs w:val="21"/>
              </w:rPr>
              <w:t>适用范围或者预期用途</w:t>
            </w:r>
          </w:p>
        </w:tc>
        <w:tc>
          <w:tcPr>
            <w:tcW w:w="7399" w:type="dxa"/>
            <w:gridSpan w:val="5"/>
            <w:tcBorders>
              <w:top w:val="single" w:color="auto" w:sz="4" w:space="0"/>
              <w:left w:val="nil"/>
              <w:bottom w:val="single" w:color="auto" w:sz="4" w:space="0"/>
              <w:right w:val="single" w:color="auto" w:sz="4" w:space="0"/>
            </w:tcBorders>
            <w:vAlign w:val="center"/>
          </w:tcPr>
          <w:p>
            <w:pPr>
              <w:spacing w:line="360" w:lineRule="auto"/>
              <w:rPr>
                <w:rFonts w:ascii="宋体" w:hAnsi="宋体"/>
                <w:color w:val="auto"/>
                <w:sz w:val="21"/>
                <w:szCs w:val="21"/>
              </w:rPr>
            </w:pPr>
          </w:p>
        </w:tc>
      </w:tr>
      <w:tr>
        <w:tblPrEx>
          <w:tblCellMar>
            <w:top w:w="0" w:type="dxa"/>
            <w:left w:w="105" w:type="dxa"/>
            <w:bottom w:w="0" w:type="dxa"/>
            <w:right w:w="105" w:type="dxa"/>
          </w:tblCellMar>
        </w:tblPrEx>
        <w:trPr>
          <w:trHeight w:val="531" w:hRule="atLeast"/>
          <w:jc w:val="center"/>
        </w:trPr>
        <w:tc>
          <w:tcPr>
            <w:tcW w:w="9356" w:type="dxa"/>
            <w:gridSpan w:val="6"/>
            <w:tcBorders>
              <w:top w:val="single" w:color="auto" w:sz="4" w:space="0"/>
              <w:left w:val="single" w:color="auto" w:sz="4" w:space="0"/>
              <w:bottom w:val="single" w:color="auto" w:sz="4" w:space="0"/>
              <w:right w:val="single" w:color="auto" w:sz="4" w:space="0"/>
            </w:tcBorders>
            <w:vAlign w:val="center"/>
          </w:tcPr>
          <w:p>
            <w:pPr>
              <w:widowControl/>
              <w:spacing w:before="100" w:after="100"/>
              <w:jc w:val="center"/>
              <w:rPr>
                <w:rFonts w:ascii="新宋体" w:hAnsi="新宋体" w:eastAsia="新宋体"/>
                <w:b/>
                <w:color w:val="auto"/>
                <w:kern w:val="0"/>
                <w:sz w:val="21"/>
                <w:szCs w:val="21"/>
              </w:rPr>
            </w:pPr>
            <w:r>
              <w:rPr>
                <w:rFonts w:hint="eastAsia" w:ascii="新宋体" w:hAnsi="新宋体" w:eastAsia="新宋体"/>
                <w:b/>
                <w:color w:val="auto"/>
                <w:kern w:val="0"/>
                <w:sz w:val="21"/>
                <w:szCs w:val="21"/>
              </w:rPr>
              <w:t>受试者情况</w:t>
            </w:r>
          </w:p>
        </w:tc>
      </w:tr>
      <w:tr>
        <w:tblPrEx>
          <w:tblCellMar>
            <w:top w:w="0" w:type="dxa"/>
            <w:left w:w="105" w:type="dxa"/>
            <w:bottom w:w="0" w:type="dxa"/>
            <w:right w:w="105" w:type="dxa"/>
          </w:tblCellMar>
        </w:tblPrEx>
        <w:trPr>
          <w:cantSplit/>
          <w:trHeight w:val="471" w:hRule="atLeast"/>
          <w:jc w:val="center"/>
        </w:trPr>
        <w:tc>
          <w:tcPr>
            <w:tcW w:w="1957" w:type="dxa"/>
            <w:tcBorders>
              <w:top w:val="nil"/>
              <w:left w:val="single" w:color="auto" w:sz="4" w:space="0"/>
              <w:bottom w:val="single" w:color="auto" w:sz="4" w:space="0"/>
              <w:right w:val="single" w:color="auto" w:sz="4" w:space="0"/>
            </w:tcBorders>
            <w:vAlign w:val="center"/>
          </w:tcPr>
          <w:p>
            <w:pPr>
              <w:widowControl/>
              <w:spacing w:before="100" w:after="100"/>
              <w:jc w:val="left"/>
              <w:rPr>
                <w:rFonts w:ascii="新宋体" w:hAnsi="新宋体" w:eastAsia="新宋体"/>
                <w:color w:val="auto"/>
                <w:kern w:val="0"/>
                <w:sz w:val="21"/>
                <w:szCs w:val="21"/>
              </w:rPr>
            </w:pPr>
            <w:r>
              <w:rPr>
                <w:rFonts w:hint="eastAsia" w:ascii="新宋体" w:hAnsi="新宋体" w:eastAsia="新宋体"/>
                <w:color w:val="auto"/>
                <w:kern w:val="0"/>
                <w:sz w:val="21"/>
                <w:szCs w:val="21"/>
              </w:rPr>
              <w:t>编号</w:t>
            </w:r>
          </w:p>
        </w:tc>
        <w:tc>
          <w:tcPr>
            <w:tcW w:w="7399" w:type="dxa"/>
            <w:gridSpan w:val="5"/>
            <w:tcBorders>
              <w:top w:val="single" w:color="auto" w:sz="4" w:space="0"/>
              <w:left w:val="nil"/>
              <w:bottom w:val="single" w:color="auto" w:sz="4" w:space="0"/>
              <w:right w:val="single" w:color="auto" w:sz="4" w:space="0"/>
            </w:tcBorders>
            <w:vAlign w:val="center"/>
          </w:tcPr>
          <w:p>
            <w:pPr>
              <w:widowControl/>
              <w:spacing w:before="100" w:after="100"/>
              <w:jc w:val="left"/>
              <w:rPr>
                <w:rFonts w:ascii="新宋体" w:hAnsi="新宋体" w:eastAsia="新宋体"/>
                <w:color w:val="auto"/>
                <w:kern w:val="0"/>
                <w:sz w:val="21"/>
                <w:szCs w:val="21"/>
              </w:rPr>
            </w:pPr>
          </w:p>
        </w:tc>
      </w:tr>
      <w:tr>
        <w:tblPrEx>
          <w:tblCellMar>
            <w:top w:w="0" w:type="dxa"/>
            <w:left w:w="105" w:type="dxa"/>
            <w:bottom w:w="0" w:type="dxa"/>
            <w:right w:w="105" w:type="dxa"/>
          </w:tblCellMar>
        </w:tblPrEx>
        <w:trPr>
          <w:cantSplit/>
          <w:trHeight w:val="471" w:hRule="atLeast"/>
          <w:jc w:val="center"/>
        </w:trPr>
        <w:tc>
          <w:tcPr>
            <w:tcW w:w="1957" w:type="dxa"/>
            <w:tcBorders>
              <w:top w:val="nil"/>
              <w:left w:val="single" w:color="auto" w:sz="4" w:space="0"/>
              <w:bottom w:val="single" w:color="auto" w:sz="4" w:space="0"/>
              <w:right w:val="single" w:color="auto" w:sz="4" w:space="0"/>
            </w:tcBorders>
            <w:vAlign w:val="center"/>
          </w:tcPr>
          <w:p>
            <w:pPr>
              <w:widowControl/>
              <w:spacing w:before="100" w:after="1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 xml:space="preserve">性别 </w:t>
            </w:r>
          </w:p>
        </w:tc>
        <w:tc>
          <w:tcPr>
            <w:tcW w:w="2552" w:type="dxa"/>
            <w:gridSpan w:val="2"/>
            <w:tcBorders>
              <w:top w:val="single" w:color="auto" w:sz="4" w:space="0"/>
              <w:left w:val="nil"/>
              <w:bottom w:val="single" w:color="auto" w:sz="4" w:space="0"/>
              <w:right w:val="single" w:color="auto" w:sz="4" w:space="0"/>
            </w:tcBorders>
            <w:vAlign w:val="center"/>
          </w:tcPr>
          <w:p>
            <w:pPr>
              <w:widowControl/>
              <w:spacing w:before="100" w:after="1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 xml:space="preserve">□男 </w:t>
            </w:r>
            <w:r>
              <w:rPr>
                <w:rFonts w:ascii="新宋体" w:hAnsi="新宋体" w:eastAsia="新宋体"/>
                <w:color w:val="auto"/>
                <w:kern w:val="0"/>
                <w:sz w:val="21"/>
                <w:szCs w:val="21"/>
              </w:rPr>
              <w:t xml:space="preserve"> </w:t>
            </w:r>
            <w:r>
              <w:rPr>
                <w:rFonts w:hint="eastAsia" w:ascii="新宋体" w:hAnsi="新宋体" w:eastAsia="新宋体"/>
                <w:color w:val="auto"/>
                <w:kern w:val="0"/>
                <w:sz w:val="21"/>
                <w:szCs w:val="21"/>
              </w:rPr>
              <w:t xml:space="preserve"> □女</w:t>
            </w:r>
          </w:p>
        </w:tc>
        <w:tc>
          <w:tcPr>
            <w:tcW w:w="2126" w:type="dxa"/>
            <w:gridSpan w:val="2"/>
            <w:tcBorders>
              <w:top w:val="single" w:color="auto" w:sz="4" w:space="0"/>
              <w:left w:val="nil"/>
              <w:bottom w:val="single" w:color="auto" w:sz="4" w:space="0"/>
              <w:right w:val="single" w:color="auto" w:sz="4" w:space="0"/>
            </w:tcBorders>
            <w:vAlign w:val="center"/>
          </w:tcPr>
          <w:p>
            <w:pPr>
              <w:widowControl/>
              <w:spacing w:before="100" w:after="1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出生日期</w:t>
            </w:r>
          </w:p>
        </w:tc>
        <w:tc>
          <w:tcPr>
            <w:tcW w:w="2721" w:type="dxa"/>
            <w:tcBorders>
              <w:top w:val="single" w:color="auto" w:sz="4" w:space="0"/>
              <w:left w:val="nil"/>
              <w:bottom w:val="single" w:color="auto" w:sz="4" w:space="0"/>
              <w:right w:val="single" w:color="auto" w:sz="4" w:space="0"/>
            </w:tcBorders>
            <w:vAlign w:val="center"/>
          </w:tcPr>
          <w:p>
            <w:pPr>
              <w:widowControl/>
              <w:spacing w:before="100" w:after="100"/>
              <w:ind w:firstLine="210" w:firstLineChars="100"/>
              <w:rPr>
                <w:rFonts w:ascii="新宋体" w:hAnsi="新宋体" w:eastAsia="新宋体"/>
                <w:color w:val="auto"/>
                <w:kern w:val="0"/>
                <w:sz w:val="21"/>
                <w:szCs w:val="21"/>
              </w:rPr>
            </w:pPr>
            <w:r>
              <w:rPr>
                <w:rFonts w:hint="eastAsia" w:ascii="新宋体" w:hAnsi="新宋体" w:eastAsia="新宋体"/>
                <w:color w:val="auto"/>
                <w:kern w:val="0"/>
                <w:sz w:val="21"/>
                <w:szCs w:val="21"/>
              </w:rPr>
              <w:t xml:space="preserve">    年    月    日</w:t>
            </w:r>
          </w:p>
        </w:tc>
      </w:tr>
      <w:tr>
        <w:tblPrEx>
          <w:tblCellMar>
            <w:top w:w="0" w:type="dxa"/>
            <w:left w:w="105" w:type="dxa"/>
            <w:bottom w:w="0" w:type="dxa"/>
            <w:right w:w="105" w:type="dxa"/>
          </w:tblCellMar>
        </w:tblPrEx>
        <w:trPr>
          <w:cantSplit/>
          <w:trHeight w:val="625"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合并疾病以及治疗情况描述</w:t>
            </w:r>
          </w:p>
        </w:tc>
        <w:tc>
          <w:tcPr>
            <w:tcW w:w="7399"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after="100"/>
              <w:jc w:val="left"/>
              <w:rPr>
                <w:rFonts w:ascii="新宋体" w:hAnsi="新宋体" w:eastAsia="新宋体"/>
                <w:color w:val="auto"/>
                <w:kern w:val="0"/>
                <w:sz w:val="21"/>
                <w:szCs w:val="21"/>
              </w:rPr>
            </w:pPr>
          </w:p>
        </w:tc>
      </w:tr>
      <w:tr>
        <w:tblPrEx>
          <w:tblCellMar>
            <w:top w:w="0" w:type="dxa"/>
            <w:left w:w="105" w:type="dxa"/>
            <w:bottom w:w="0" w:type="dxa"/>
            <w:right w:w="105" w:type="dxa"/>
          </w:tblCellMar>
        </w:tblPrEx>
        <w:trPr>
          <w:cantSplit/>
          <w:trHeight w:val="625" w:hRule="atLeast"/>
          <w:jc w:val="center"/>
        </w:trPr>
        <w:tc>
          <w:tcPr>
            <w:tcW w:w="9356" w:type="dxa"/>
            <w:gridSpan w:val="6"/>
            <w:tcBorders>
              <w:top w:val="nil"/>
              <w:left w:val="single" w:color="auto" w:sz="4" w:space="0"/>
              <w:bottom w:val="single" w:color="auto" w:sz="4" w:space="0"/>
              <w:right w:val="single" w:color="auto" w:sz="4" w:space="0"/>
            </w:tcBorders>
            <w:vAlign w:val="center"/>
          </w:tcPr>
          <w:p>
            <w:pPr>
              <w:widowControl/>
              <w:spacing w:before="100" w:after="100"/>
              <w:jc w:val="center"/>
              <w:rPr>
                <w:rFonts w:hint="eastAsia" w:ascii="新宋体" w:hAnsi="新宋体" w:eastAsia="新宋体"/>
                <w:b/>
                <w:color w:val="auto"/>
                <w:kern w:val="0"/>
                <w:sz w:val="21"/>
                <w:szCs w:val="21"/>
              </w:rPr>
            </w:pPr>
            <w:r>
              <w:rPr>
                <w:rFonts w:hint="eastAsia" w:ascii="新宋体" w:hAnsi="新宋体" w:eastAsia="新宋体"/>
                <w:b/>
                <w:color w:val="auto"/>
                <w:kern w:val="0"/>
                <w:sz w:val="21"/>
                <w:szCs w:val="21"/>
              </w:rPr>
              <w:t>严重不良事件情况</w:t>
            </w:r>
          </w:p>
        </w:tc>
      </w:tr>
      <w:tr>
        <w:tblPrEx>
          <w:tblCellMar>
            <w:top w:w="0" w:type="dxa"/>
            <w:left w:w="105" w:type="dxa"/>
            <w:bottom w:w="0" w:type="dxa"/>
            <w:right w:w="105" w:type="dxa"/>
          </w:tblCellMar>
        </w:tblPrEx>
        <w:trPr>
          <w:trHeight w:val="458"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jc w:val="left"/>
              <w:rPr>
                <w:rFonts w:ascii="新宋体" w:hAnsi="新宋体" w:eastAsia="新宋体"/>
                <w:color w:val="auto"/>
                <w:kern w:val="0"/>
                <w:sz w:val="21"/>
                <w:szCs w:val="21"/>
              </w:rPr>
            </w:pPr>
            <w:r>
              <w:rPr>
                <w:rFonts w:hint="eastAsia" w:ascii="新宋体" w:hAnsi="新宋体" w:eastAsia="新宋体"/>
                <w:color w:val="auto"/>
                <w:kern w:val="0"/>
                <w:sz w:val="21"/>
                <w:szCs w:val="21"/>
              </w:rPr>
              <w:t>严重不良事件名称</w:t>
            </w:r>
          </w:p>
        </w:tc>
        <w:tc>
          <w:tcPr>
            <w:tcW w:w="7399" w:type="dxa"/>
            <w:gridSpan w:val="5"/>
            <w:tcBorders>
              <w:top w:val="single" w:color="auto" w:sz="4" w:space="0"/>
              <w:left w:val="nil"/>
              <w:bottom w:val="single" w:color="auto" w:sz="4" w:space="0"/>
              <w:right w:val="single" w:color="auto" w:sz="4" w:space="0"/>
            </w:tcBorders>
            <w:vAlign w:val="top"/>
          </w:tcPr>
          <w:p>
            <w:pPr>
              <w:widowControl/>
              <w:spacing w:before="100" w:after="100"/>
              <w:jc w:val="left"/>
              <w:rPr>
                <w:rFonts w:ascii="新宋体" w:hAnsi="新宋体" w:eastAsia="新宋体"/>
                <w:color w:val="auto"/>
                <w:kern w:val="0"/>
                <w:sz w:val="21"/>
                <w:szCs w:val="21"/>
              </w:rPr>
            </w:pPr>
          </w:p>
        </w:tc>
      </w:tr>
      <w:tr>
        <w:tblPrEx>
          <w:tblCellMar>
            <w:top w:w="0" w:type="dxa"/>
            <w:left w:w="105" w:type="dxa"/>
            <w:bottom w:w="0" w:type="dxa"/>
            <w:right w:w="105" w:type="dxa"/>
          </w:tblCellMar>
        </w:tblPrEx>
        <w:trPr>
          <w:trHeight w:val="458"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jc w:val="left"/>
              <w:rPr>
                <w:rFonts w:ascii="新宋体" w:hAnsi="新宋体" w:eastAsia="新宋体"/>
                <w:color w:val="auto"/>
                <w:kern w:val="0"/>
                <w:sz w:val="21"/>
                <w:szCs w:val="21"/>
              </w:rPr>
            </w:pPr>
            <w:r>
              <w:rPr>
                <w:rFonts w:hint="eastAsia" w:ascii="新宋体" w:hAnsi="新宋体" w:eastAsia="新宋体"/>
                <w:color w:val="auto"/>
                <w:kern w:val="0"/>
                <w:sz w:val="21"/>
                <w:szCs w:val="21"/>
              </w:rPr>
              <w:t>使用日期</w:t>
            </w:r>
          </w:p>
        </w:tc>
        <w:tc>
          <w:tcPr>
            <w:tcW w:w="2552" w:type="dxa"/>
            <w:gridSpan w:val="2"/>
            <w:tcBorders>
              <w:top w:val="single" w:color="auto" w:sz="4" w:space="0"/>
              <w:left w:val="nil"/>
              <w:bottom w:val="single" w:color="auto" w:sz="4" w:space="0"/>
              <w:right w:val="single" w:color="auto" w:sz="4" w:space="0"/>
            </w:tcBorders>
            <w:vAlign w:val="center"/>
          </w:tcPr>
          <w:p>
            <w:pPr>
              <w:widowControl/>
              <w:spacing w:before="100" w:after="100"/>
              <w:ind w:firstLine="210" w:firstLineChars="100"/>
              <w:rPr>
                <w:rFonts w:ascii="新宋体" w:hAnsi="新宋体" w:eastAsia="新宋体"/>
                <w:color w:val="auto"/>
                <w:kern w:val="0"/>
                <w:sz w:val="21"/>
                <w:szCs w:val="21"/>
              </w:rPr>
            </w:pPr>
            <w:r>
              <w:rPr>
                <w:rFonts w:hint="eastAsia" w:ascii="新宋体" w:hAnsi="新宋体" w:eastAsia="新宋体"/>
                <w:color w:val="auto"/>
                <w:kern w:val="0"/>
                <w:sz w:val="21"/>
                <w:szCs w:val="21"/>
              </w:rPr>
              <w:t xml:space="preserve">    年    月    日</w:t>
            </w:r>
          </w:p>
        </w:tc>
        <w:tc>
          <w:tcPr>
            <w:tcW w:w="2126" w:type="dxa"/>
            <w:gridSpan w:val="2"/>
            <w:tcBorders>
              <w:top w:val="single" w:color="auto" w:sz="4" w:space="0"/>
              <w:left w:val="nil"/>
              <w:bottom w:val="single" w:color="auto" w:sz="4" w:space="0"/>
              <w:right w:val="single" w:color="auto" w:sz="4" w:space="0"/>
            </w:tcBorders>
            <w:vAlign w:val="center"/>
          </w:tcPr>
          <w:p>
            <w:pPr>
              <w:widowControl/>
              <w:spacing w:before="100" w:after="100"/>
              <w:jc w:val="left"/>
              <w:rPr>
                <w:rFonts w:ascii="新宋体" w:hAnsi="新宋体" w:eastAsia="新宋体"/>
                <w:color w:val="auto"/>
                <w:kern w:val="0"/>
                <w:sz w:val="21"/>
                <w:szCs w:val="21"/>
              </w:rPr>
            </w:pPr>
            <w:r>
              <w:rPr>
                <w:rFonts w:hint="eastAsia" w:ascii="新宋体" w:hAnsi="新宋体" w:eastAsia="新宋体"/>
                <w:color w:val="auto"/>
                <w:kern w:val="0"/>
                <w:sz w:val="21"/>
                <w:szCs w:val="21"/>
              </w:rPr>
              <w:t>发生日期</w:t>
            </w:r>
          </w:p>
        </w:tc>
        <w:tc>
          <w:tcPr>
            <w:tcW w:w="2721" w:type="dxa"/>
            <w:tcBorders>
              <w:top w:val="single" w:color="auto" w:sz="4" w:space="0"/>
              <w:left w:val="nil"/>
              <w:bottom w:val="single" w:color="auto" w:sz="4" w:space="0"/>
              <w:right w:val="single" w:color="auto" w:sz="4" w:space="0"/>
            </w:tcBorders>
            <w:vAlign w:val="center"/>
          </w:tcPr>
          <w:p>
            <w:pPr>
              <w:widowControl/>
              <w:spacing w:before="100" w:after="100"/>
              <w:ind w:firstLine="210" w:firstLineChars="100"/>
              <w:rPr>
                <w:rFonts w:ascii="新宋体" w:hAnsi="新宋体" w:eastAsia="新宋体"/>
                <w:color w:val="auto"/>
                <w:kern w:val="0"/>
                <w:sz w:val="21"/>
                <w:szCs w:val="21"/>
              </w:rPr>
            </w:pPr>
            <w:r>
              <w:rPr>
                <w:rFonts w:hint="eastAsia" w:ascii="新宋体" w:hAnsi="新宋体" w:eastAsia="新宋体"/>
                <w:color w:val="auto"/>
                <w:kern w:val="0"/>
                <w:sz w:val="21"/>
                <w:szCs w:val="21"/>
              </w:rPr>
              <w:t xml:space="preserve">    年    月    日</w:t>
            </w:r>
          </w:p>
        </w:tc>
      </w:tr>
      <w:tr>
        <w:tblPrEx>
          <w:tblCellMar>
            <w:top w:w="0" w:type="dxa"/>
            <w:left w:w="105" w:type="dxa"/>
            <w:bottom w:w="0" w:type="dxa"/>
            <w:right w:w="105" w:type="dxa"/>
          </w:tblCellMar>
        </w:tblPrEx>
        <w:trPr>
          <w:trHeight w:val="458"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jc w:val="left"/>
              <w:rPr>
                <w:rFonts w:ascii="新宋体" w:hAnsi="新宋体" w:eastAsia="新宋体"/>
                <w:color w:val="auto"/>
                <w:kern w:val="0"/>
                <w:sz w:val="21"/>
                <w:szCs w:val="21"/>
              </w:rPr>
            </w:pPr>
            <w:r>
              <w:rPr>
                <w:rFonts w:hint="eastAsia" w:ascii="新宋体" w:hAnsi="新宋体" w:eastAsia="新宋体"/>
                <w:color w:val="auto"/>
                <w:kern w:val="0"/>
                <w:sz w:val="21"/>
                <w:szCs w:val="21"/>
              </w:rPr>
              <w:t>研究者获知日期</w:t>
            </w:r>
          </w:p>
        </w:tc>
        <w:tc>
          <w:tcPr>
            <w:tcW w:w="2552" w:type="dxa"/>
            <w:gridSpan w:val="2"/>
            <w:tcBorders>
              <w:top w:val="single" w:color="auto" w:sz="4" w:space="0"/>
              <w:left w:val="nil"/>
              <w:bottom w:val="single" w:color="auto" w:sz="4" w:space="0"/>
              <w:right w:val="single" w:color="auto" w:sz="4" w:space="0"/>
            </w:tcBorders>
            <w:vAlign w:val="center"/>
          </w:tcPr>
          <w:p>
            <w:pPr>
              <w:widowControl/>
              <w:spacing w:before="100" w:after="100"/>
              <w:ind w:firstLine="210" w:firstLineChars="100"/>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 xml:space="preserve">    年    月    日</w:t>
            </w:r>
          </w:p>
        </w:tc>
        <w:tc>
          <w:tcPr>
            <w:tcW w:w="2126" w:type="dxa"/>
            <w:gridSpan w:val="2"/>
            <w:tcBorders>
              <w:top w:val="single" w:color="auto" w:sz="4" w:space="0"/>
              <w:left w:val="nil"/>
              <w:bottom w:val="single" w:color="auto" w:sz="4" w:space="0"/>
              <w:right w:val="single" w:color="auto" w:sz="4" w:space="0"/>
            </w:tcBorders>
            <w:vAlign w:val="center"/>
          </w:tcPr>
          <w:p>
            <w:pPr>
              <w:widowControl/>
              <w:spacing w:before="100" w:after="100"/>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申办者获知日期</w:t>
            </w:r>
          </w:p>
        </w:tc>
        <w:tc>
          <w:tcPr>
            <w:tcW w:w="2721" w:type="dxa"/>
            <w:tcBorders>
              <w:top w:val="single" w:color="auto" w:sz="4" w:space="0"/>
              <w:left w:val="nil"/>
              <w:bottom w:val="single" w:color="auto" w:sz="4" w:space="0"/>
              <w:right w:val="single" w:color="auto" w:sz="4" w:space="0"/>
            </w:tcBorders>
            <w:vAlign w:val="center"/>
          </w:tcPr>
          <w:p>
            <w:pPr>
              <w:widowControl/>
              <w:spacing w:before="100" w:after="100"/>
              <w:ind w:firstLine="210" w:firstLineChars="100"/>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 xml:space="preserve">    年    月    日</w:t>
            </w:r>
          </w:p>
        </w:tc>
      </w:tr>
      <w:tr>
        <w:tblPrEx>
          <w:tblCellMar>
            <w:top w:w="0" w:type="dxa"/>
            <w:left w:w="105" w:type="dxa"/>
            <w:bottom w:w="0" w:type="dxa"/>
            <w:right w:w="105" w:type="dxa"/>
          </w:tblCellMar>
        </w:tblPrEx>
        <w:trPr>
          <w:trHeight w:val="1188"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jc w:val="left"/>
              <w:rPr>
                <w:rFonts w:ascii="新宋体" w:hAnsi="新宋体" w:eastAsia="新宋体"/>
                <w:color w:val="auto"/>
                <w:kern w:val="0"/>
                <w:sz w:val="21"/>
                <w:szCs w:val="21"/>
              </w:rPr>
            </w:pPr>
            <w:r>
              <w:rPr>
                <w:rFonts w:hint="eastAsia" w:ascii="新宋体" w:hAnsi="新宋体" w:eastAsia="新宋体"/>
                <w:color w:val="auto"/>
                <w:kern w:val="0"/>
                <w:sz w:val="21"/>
                <w:szCs w:val="21"/>
              </w:rPr>
              <w:t>严重不良事件分类</w:t>
            </w:r>
          </w:p>
        </w:tc>
        <w:tc>
          <w:tcPr>
            <w:tcW w:w="7399" w:type="dxa"/>
            <w:gridSpan w:val="5"/>
            <w:tcBorders>
              <w:top w:val="single" w:color="auto" w:sz="4" w:space="0"/>
              <w:left w:val="nil"/>
              <w:bottom w:val="single" w:color="auto" w:sz="4" w:space="0"/>
              <w:right w:val="single" w:color="auto" w:sz="4" w:space="0"/>
            </w:tcBorders>
            <w:vAlign w:val="top"/>
          </w:tcPr>
          <w:p>
            <w:pPr>
              <w:widowControl/>
              <w:jc w:val="left"/>
              <w:rPr>
                <w:rFonts w:ascii="新宋体" w:hAnsi="新宋体" w:eastAsia="新宋体"/>
                <w:color w:val="auto"/>
                <w:kern w:val="0"/>
                <w:sz w:val="21"/>
                <w:szCs w:val="21"/>
              </w:rPr>
            </w:pPr>
            <w:r>
              <w:rPr>
                <w:rFonts w:hint="eastAsia" w:ascii="新宋体" w:hAnsi="新宋体" w:eastAsia="新宋体"/>
                <w:color w:val="auto"/>
                <w:kern w:val="0"/>
                <w:sz w:val="21"/>
                <w:szCs w:val="21"/>
              </w:rPr>
              <w:t xml:space="preserve">□ 导致死亡   </w:t>
            </w:r>
            <w:r>
              <w:rPr>
                <w:rFonts w:ascii="新宋体" w:hAnsi="新宋体" w:eastAsia="新宋体"/>
                <w:color w:val="auto"/>
                <w:kern w:val="0"/>
                <w:sz w:val="21"/>
                <w:szCs w:val="21"/>
              </w:rPr>
              <w:t xml:space="preserve">   </w:t>
            </w:r>
            <w:r>
              <w:rPr>
                <w:rFonts w:hint="eastAsia" w:ascii="新宋体" w:hAnsi="新宋体" w:eastAsia="新宋体"/>
                <w:color w:val="auto"/>
                <w:kern w:val="0"/>
                <w:sz w:val="21"/>
                <w:szCs w:val="21"/>
              </w:rPr>
              <w:t>年</w:t>
            </w:r>
            <w:r>
              <w:rPr>
                <w:rFonts w:ascii="新宋体" w:hAnsi="新宋体" w:eastAsia="新宋体"/>
                <w:color w:val="auto"/>
                <w:kern w:val="0"/>
                <w:sz w:val="21"/>
                <w:szCs w:val="21"/>
              </w:rPr>
              <w:t xml:space="preserve">   </w:t>
            </w:r>
            <w:r>
              <w:rPr>
                <w:rFonts w:hint="eastAsia" w:ascii="新宋体" w:hAnsi="新宋体" w:eastAsia="新宋体"/>
                <w:color w:val="auto"/>
                <w:kern w:val="0"/>
                <w:sz w:val="21"/>
                <w:szCs w:val="21"/>
              </w:rPr>
              <w:t>月</w:t>
            </w:r>
            <w:r>
              <w:rPr>
                <w:rFonts w:ascii="新宋体" w:hAnsi="新宋体" w:eastAsia="新宋体"/>
                <w:color w:val="auto"/>
                <w:kern w:val="0"/>
                <w:sz w:val="21"/>
                <w:szCs w:val="21"/>
              </w:rPr>
              <w:t xml:space="preserve">   </w:t>
            </w:r>
            <w:r>
              <w:rPr>
                <w:rFonts w:hint="eastAsia" w:ascii="新宋体" w:hAnsi="新宋体" w:eastAsia="新宋体"/>
                <w:color w:val="auto"/>
                <w:kern w:val="0"/>
                <w:sz w:val="21"/>
                <w:szCs w:val="21"/>
              </w:rPr>
              <w:t>日</w:t>
            </w:r>
          </w:p>
          <w:p>
            <w:pPr>
              <w:widowControl/>
              <w:jc w:val="left"/>
              <w:rPr>
                <w:rFonts w:ascii="新宋体" w:hAnsi="新宋体" w:eastAsia="新宋体"/>
                <w:color w:val="auto"/>
                <w:kern w:val="0"/>
                <w:sz w:val="21"/>
                <w:szCs w:val="21"/>
              </w:rPr>
            </w:pPr>
            <w:r>
              <w:rPr>
                <w:rFonts w:hint="eastAsia" w:ascii="新宋体" w:hAnsi="新宋体" w:eastAsia="新宋体"/>
                <w:color w:val="auto"/>
                <w:kern w:val="0"/>
                <w:sz w:val="21"/>
                <w:szCs w:val="21"/>
              </w:rPr>
              <w:t>□ 致命的疾病或者伤害</w:t>
            </w:r>
          </w:p>
          <w:p>
            <w:pPr>
              <w:widowControl/>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 身体结构或者身体功能的永久性缺陷</w:t>
            </w:r>
          </w:p>
          <w:p>
            <w:pPr>
              <w:ind w:left="420" w:hanging="420" w:hangingChars="200"/>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 xml:space="preserve">□ 需住院治疗或者延长住院时间    </w:t>
            </w:r>
          </w:p>
          <w:p>
            <w:pPr>
              <w:ind w:left="420" w:hanging="420" w:hangingChars="200"/>
              <w:rPr>
                <w:rFonts w:ascii="新宋体" w:hAnsi="新宋体" w:eastAsia="新宋体"/>
                <w:color w:val="auto"/>
                <w:kern w:val="0"/>
                <w:sz w:val="21"/>
                <w:szCs w:val="21"/>
              </w:rPr>
            </w:pPr>
            <w:r>
              <w:rPr>
                <w:rFonts w:hint="eastAsia" w:ascii="新宋体" w:hAnsi="新宋体" w:eastAsia="新宋体"/>
                <w:color w:val="auto"/>
                <w:kern w:val="0"/>
                <w:sz w:val="21"/>
                <w:szCs w:val="21"/>
              </w:rPr>
              <w:t>□ 需要采取医疗措施以避免对身体结构或者身体功能造成永久性缺陷</w:t>
            </w:r>
          </w:p>
          <w:p>
            <w:pPr>
              <w:ind w:left="420" w:hanging="420" w:hangingChars="200"/>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 导致胎儿窘迫、胎儿死亡或者先天性异常、先天缺损</w:t>
            </w:r>
          </w:p>
          <w:p>
            <w:pPr>
              <w:ind w:left="420" w:hanging="420" w:hangingChars="200"/>
              <w:rPr>
                <w:rFonts w:ascii="新宋体" w:hAnsi="新宋体" w:eastAsia="新宋体"/>
                <w:color w:val="auto"/>
                <w:kern w:val="0"/>
                <w:sz w:val="21"/>
                <w:szCs w:val="21"/>
                <w:u w:val="single"/>
              </w:rPr>
            </w:pPr>
            <w:r>
              <w:rPr>
                <w:rFonts w:hint="eastAsia" w:ascii="新宋体" w:hAnsi="新宋体" w:eastAsia="新宋体"/>
                <w:color w:val="auto"/>
                <w:kern w:val="0"/>
                <w:sz w:val="21"/>
                <w:szCs w:val="21"/>
              </w:rPr>
              <w:t>□ 其他</w:t>
            </w:r>
            <w:r>
              <w:rPr>
                <w:rFonts w:hint="eastAsia" w:ascii="新宋体" w:hAnsi="新宋体" w:eastAsia="新宋体"/>
                <w:color w:val="auto"/>
                <w:kern w:val="0"/>
                <w:sz w:val="21"/>
                <w:szCs w:val="21"/>
                <w:u w:val="single"/>
              </w:rPr>
              <w:t xml:space="preserve">                 </w:t>
            </w:r>
          </w:p>
        </w:tc>
      </w:tr>
      <w:tr>
        <w:tblPrEx>
          <w:tblCellMar>
            <w:top w:w="0" w:type="dxa"/>
            <w:left w:w="105" w:type="dxa"/>
            <w:bottom w:w="0" w:type="dxa"/>
            <w:right w:w="105" w:type="dxa"/>
          </w:tblCellMar>
        </w:tblPrEx>
        <w:trPr>
          <w:trHeight w:val="412"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对试验医疗器械采取措施</w:t>
            </w:r>
          </w:p>
        </w:tc>
        <w:tc>
          <w:tcPr>
            <w:tcW w:w="7399" w:type="dxa"/>
            <w:gridSpan w:val="5"/>
            <w:tcBorders>
              <w:top w:val="single" w:color="auto" w:sz="4" w:space="0"/>
              <w:left w:val="nil"/>
              <w:bottom w:val="single" w:color="auto" w:sz="4" w:space="0"/>
              <w:right w:val="single" w:color="auto" w:sz="4" w:space="0"/>
            </w:tcBorders>
            <w:vAlign w:val="center"/>
          </w:tcPr>
          <w:p>
            <w:pPr>
              <w:widowControl/>
              <w:spacing w:before="100" w:after="100"/>
              <w:jc w:val="left"/>
              <w:rPr>
                <w:rFonts w:hint="eastAsia" w:ascii="新宋体" w:hAnsi="新宋体" w:eastAsia="新宋体"/>
                <w:color w:val="auto"/>
                <w:kern w:val="0"/>
                <w:sz w:val="21"/>
                <w:szCs w:val="21"/>
                <w:u w:val="single"/>
              </w:rPr>
            </w:pPr>
            <w:r>
              <w:rPr>
                <w:rFonts w:hint="eastAsia" w:ascii="仿宋体" w:hAnsi="宋体" w:eastAsia="仿宋体" w:cs="宋体"/>
                <w:color w:val="auto"/>
                <w:kern w:val="0"/>
                <w:sz w:val="21"/>
                <w:szCs w:val="21"/>
              </w:rPr>
              <w:t>□</w:t>
            </w:r>
            <w:r>
              <w:rPr>
                <w:rFonts w:hint="eastAsia" w:ascii="宋体" w:hAnsi="宋体" w:cs="宋体"/>
                <w:color w:val="auto"/>
                <w:kern w:val="0"/>
                <w:sz w:val="21"/>
                <w:szCs w:val="21"/>
              </w:rPr>
              <w:t>继续使用  </w:t>
            </w:r>
            <w:r>
              <w:rPr>
                <w:rFonts w:hint="eastAsia" w:ascii="仿宋体" w:hAnsi="宋体" w:eastAsia="仿宋体" w:cs="宋体"/>
                <w:color w:val="auto"/>
                <w:kern w:val="0"/>
                <w:sz w:val="21"/>
                <w:szCs w:val="21"/>
              </w:rPr>
              <w:t>□</w:t>
            </w:r>
            <w:r>
              <w:rPr>
                <w:rFonts w:hint="eastAsia" w:ascii="宋体" w:hAnsi="宋体" w:cs="宋体"/>
                <w:color w:val="auto"/>
                <w:kern w:val="0"/>
                <w:sz w:val="21"/>
                <w:szCs w:val="21"/>
              </w:rPr>
              <w:t>减少使用 </w:t>
            </w:r>
            <w:r>
              <w:rPr>
                <w:rFonts w:hint="eastAsia" w:ascii="仿宋体" w:hAnsi="宋体" w:eastAsia="仿宋体" w:cs="宋体"/>
                <w:color w:val="auto"/>
                <w:kern w:val="0"/>
                <w:sz w:val="21"/>
                <w:szCs w:val="21"/>
              </w:rPr>
              <w:t>□</w:t>
            </w:r>
            <w:r>
              <w:rPr>
                <w:rFonts w:hint="eastAsia" w:ascii="宋体" w:hAnsi="宋体" w:cs="宋体"/>
                <w:color w:val="auto"/>
                <w:kern w:val="0"/>
                <w:sz w:val="21"/>
                <w:szCs w:val="21"/>
              </w:rPr>
              <w:t xml:space="preserve">暂停使用 </w:t>
            </w:r>
            <w:r>
              <w:rPr>
                <w:rFonts w:hint="eastAsia" w:ascii="仿宋体" w:hAnsi="宋体" w:eastAsia="仿宋体" w:cs="宋体"/>
                <w:color w:val="auto"/>
                <w:kern w:val="0"/>
                <w:sz w:val="21"/>
                <w:szCs w:val="21"/>
              </w:rPr>
              <w:t>□</w:t>
            </w:r>
            <w:r>
              <w:rPr>
                <w:rFonts w:hint="eastAsia" w:ascii="宋体" w:hAnsi="宋体" w:cs="宋体"/>
                <w:color w:val="auto"/>
                <w:kern w:val="0"/>
                <w:sz w:val="21"/>
                <w:szCs w:val="21"/>
              </w:rPr>
              <w:t>暂停使用后又恢复 </w:t>
            </w:r>
            <w:r>
              <w:rPr>
                <w:rFonts w:hint="eastAsia" w:ascii="仿宋体" w:hAnsi="宋体" w:eastAsia="仿宋体" w:cs="宋体"/>
                <w:color w:val="auto"/>
                <w:kern w:val="0"/>
                <w:sz w:val="21"/>
                <w:szCs w:val="21"/>
              </w:rPr>
              <w:t>□</w:t>
            </w:r>
            <w:r>
              <w:rPr>
                <w:rFonts w:hint="eastAsia" w:ascii="宋体" w:hAnsi="宋体" w:cs="宋体"/>
                <w:color w:val="auto"/>
                <w:kern w:val="0"/>
                <w:sz w:val="21"/>
                <w:szCs w:val="21"/>
              </w:rPr>
              <w:t xml:space="preserve">停止使用 </w:t>
            </w:r>
            <w:r>
              <w:rPr>
                <w:rFonts w:ascii="宋体" w:hAnsi="宋体" w:cs="宋体"/>
                <w:color w:val="auto"/>
                <w:kern w:val="0"/>
                <w:sz w:val="21"/>
                <w:szCs w:val="21"/>
              </w:rPr>
              <w:t xml:space="preserve"> </w:t>
            </w:r>
            <w:r>
              <w:rPr>
                <w:rFonts w:hint="eastAsia" w:ascii="宋体" w:hAnsi="宋体" w:cs="宋体"/>
                <w:color w:val="auto"/>
                <w:kern w:val="0"/>
                <w:sz w:val="21"/>
                <w:szCs w:val="21"/>
              </w:rPr>
              <w:t xml:space="preserve">  </w:t>
            </w:r>
            <w:r>
              <w:rPr>
                <w:rFonts w:ascii="宋体" w:hAnsi="宋体" w:cs="宋体"/>
                <w:color w:val="auto"/>
                <w:kern w:val="0"/>
                <w:sz w:val="21"/>
                <w:szCs w:val="21"/>
              </w:rPr>
              <w:t xml:space="preserve"> </w:t>
            </w:r>
            <w:r>
              <w:rPr>
                <w:rFonts w:hint="eastAsia" w:ascii="仿宋体" w:hAnsi="宋体" w:eastAsia="仿宋体" w:cs="宋体"/>
                <w:color w:val="auto"/>
                <w:kern w:val="0"/>
                <w:sz w:val="21"/>
                <w:szCs w:val="21"/>
              </w:rPr>
              <w:t>□</w:t>
            </w:r>
            <w:r>
              <w:rPr>
                <w:rFonts w:hint="eastAsia" w:ascii="新宋体" w:hAnsi="新宋体" w:eastAsia="新宋体"/>
                <w:color w:val="auto"/>
                <w:kern w:val="0"/>
                <w:sz w:val="21"/>
                <w:szCs w:val="21"/>
              </w:rPr>
              <w:t>其他</w:t>
            </w:r>
            <w:r>
              <w:rPr>
                <w:rFonts w:hint="eastAsia" w:ascii="新宋体" w:hAnsi="新宋体" w:eastAsia="新宋体"/>
                <w:color w:val="auto"/>
                <w:kern w:val="0"/>
                <w:sz w:val="21"/>
                <w:szCs w:val="21"/>
                <w:u w:val="single"/>
              </w:rPr>
              <w:t xml:space="preserve">      </w:t>
            </w:r>
          </w:p>
        </w:tc>
      </w:tr>
      <w:tr>
        <w:tblPrEx>
          <w:tblCellMar>
            <w:top w:w="0" w:type="dxa"/>
            <w:left w:w="105" w:type="dxa"/>
            <w:bottom w:w="0" w:type="dxa"/>
            <w:right w:w="105" w:type="dxa"/>
          </w:tblCellMar>
        </w:tblPrEx>
        <w:trPr>
          <w:trHeight w:val="454"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jc w:val="left"/>
              <w:rPr>
                <w:rFonts w:ascii="新宋体" w:hAnsi="新宋体" w:eastAsia="新宋体"/>
                <w:color w:val="auto"/>
                <w:kern w:val="0"/>
                <w:sz w:val="21"/>
                <w:szCs w:val="21"/>
              </w:rPr>
            </w:pPr>
            <w:r>
              <w:rPr>
                <w:rFonts w:hint="eastAsia" w:ascii="新宋体" w:hAnsi="新宋体" w:eastAsia="新宋体"/>
                <w:color w:val="auto"/>
                <w:kern w:val="0"/>
                <w:sz w:val="21"/>
                <w:szCs w:val="21"/>
              </w:rPr>
              <w:t>转归</w:t>
            </w:r>
          </w:p>
        </w:tc>
        <w:tc>
          <w:tcPr>
            <w:tcW w:w="7399" w:type="dxa"/>
            <w:gridSpan w:val="5"/>
            <w:tcBorders>
              <w:top w:val="single" w:color="auto" w:sz="4" w:space="0"/>
              <w:left w:val="nil"/>
              <w:bottom w:val="single" w:color="auto" w:sz="4" w:space="0"/>
              <w:right w:val="single" w:color="auto" w:sz="4" w:space="0"/>
            </w:tcBorders>
            <w:vAlign w:val="top"/>
          </w:tcPr>
          <w:p>
            <w:pPr>
              <w:widowControl/>
              <w:spacing w:before="100" w:after="1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 xml:space="preserve">□症状消失（后遗症 □有 □无） </w:t>
            </w:r>
            <w:r>
              <w:rPr>
                <w:rFonts w:ascii="新宋体" w:hAnsi="新宋体" w:eastAsia="新宋体"/>
                <w:color w:val="auto"/>
                <w:kern w:val="0"/>
                <w:sz w:val="21"/>
                <w:szCs w:val="21"/>
              </w:rPr>
              <w:t xml:space="preserve"> </w:t>
            </w:r>
            <w:r>
              <w:rPr>
                <w:rFonts w:hint="eastAsia" w:ascii="新宋体" w:hAnsi="新宋体" w:eastAsia="新宋体"/>
                <w:color w:val="auto"/>
                <w:kern w:val="0"/>
                <w:sz w:val="21"/>
                <w:szCs w:val="21"/>
              </w:rPr>
              <w:t>□症状持续   □症状缓解  □症状加重</w:t>
            </w:r>
          </w:p>
          <w:p>
            <w:pPr>
              <w:widowControl/>
              <w:spacing w:before="100" w:after="100"/>
              <w:jc w:val="left"/>
              <w:rPr>
                <w:rFonts w:ascii="新宋体" w:hAnsi="新宋体" w:eastAsia="新宋体"/>
                <w:color w:val="auto"/>
                <w:kern w:val="0"/>
                <w:sz w:val="21"/>
                <w:szCs w:val="21"/>
              </w:rPr>
            </w:pPr>
            <w:r>
              <w:rPr>
                <w:rFonts w:hint="eastAsia" w:ascii="新宋体" w:hAnsi="新宋体" w:eastAsia="新宋体"/>
                <w:color w:val="auto"/>
                <w:kern w:val="0"/>
                <w:sz w:val="21"/>
                <w:szCs w:val="21"/>
              </w:rPr>
              <w:t xml:space="preserve">□死亡  </w:t>
            </w:r>
            <w:r>
              <w:rPr>
                <w:rFonts w:hint="eastAsia" w:ascii="仿宋体" w:hAnsi="宋体" w:eastAsia="仿宋体" w:cs="宋体"/>
                <w:color w:val="auto"/>
                <w:kern w:val="0"/>
                <w:sz w:val="21"/>
                <w:szCs w:val="21"/>
              </w:rPr>
              <w:t>□</w:t>
            </w:r>
            <w:r>
              <w:rPr>
                <w:rFonts w:hint="eastAsia" w:ascii="新宋体" w:hAnsi="新宋体" w:eastAsia="新宋体"/>
                <w:color w:val="auto"/>
                <w:kern w:val="0"/>
                <w:sz w:val="21"/>
                <w:szCs w:val="21"/>
              </w:rPr>
              <w:t>其他</w:t>
            </w:r>
            <w:r>
              <w:rPr>
                <w:rFonts w:hint="eastAsia" w:ascii="新宋体" w:hAnsi="新宋体" w:eastAsia="新宋体"/>
                <w:color w:val="auto"/>
                <w:kern w:val="0"/>
                <w:sz w:val="21"/>
                <w:szCs w:val="21"/>
                <w:u w:val="single"/>
              </w:rPr>
              <w:t xml:space="preserve">           </w:t>
            </w:r>
          </w:p>
        </w:tc>
      </w:tr>
      <w:tr>
        <w:tblPrEx>
          <w:tblCellMar>
            <w:top w:w="0" w:type="dxa"/>
            <w:left w:w="105" w:type="dxa"/>
            <w:bottom w:w="0" w:type="dxa"/>
            <w:right w:w="105" w:type="dxa"/>
          </w:tblCellMar>
        </w:tblPrEx>
        <w:trPr>
          <w:trHeight w:val="454"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与试验医疗器械的关系</w:t>
            </w:r>
          </w:p>
        </w:tc>
        <w:tc>
          <w:tcPr>
            <w:tcW w:w="7399" w:type="dxa"/>
            <w:gridSpan w:val="5"/>
            <w:tcBorders>
              <w:top w:val="single" w:color="auto" w:sz="4" w:space="0"/>
              <w:left w:val="nil"/>
              <w:bottom w:val="single" w:color="auto" w:sz="4" w:space="0"/>
              <w:right w:val="single" w:color="auto" w:sz="4" w:space="0"/>
            </w:tcBorders>
            <w:vAlign w:val="top"/>
          </w:tcPr>
          <w:p>
            <w:pPr>
              <w:widowControl/>
              <w:spacing w:before="100" w:after="1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□肯定有关  □可能有关  □可能无关  □肯定无关  （注：可能无关、肯定无关不需要报监管部门）</w:t>
            </w:r>
          </w:p>
        </w:tc>
      </w:tr>
      <w:tr>
        <w:tblPrEx>
          <w:tblCellMar>
            <w:top w:w="0" w:type="dxa"/>
            <w:left w:w="105" w:type="dxa"/>
            <w:bottom w:w="0" w:type="dxa"/>
            <w:right w:w="105" w:type="dxa"/>
          </w:tblCellMar>
        </w:tblPrEx>
        <w:trPr>
          <w:trHeight w:val="393"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是否器械缺陷</w:t>
            </w:r>
          </w:p>
        </w:tc>
        <w:tc>
          <w:tcPr>
            <w:tcW w:w="1560" w:type="dxa"/>
            <w:tcBorders>
              <w:top w:val="single" w:color="auto" w:sz="4" w:space="0"/>
              <w:left w:val="nil"/>
              <w:bottom w:val="single" w:color="auto" w:sz="4" w:space="0"/>
              <w:right w:val="single" w:color="auto" w:sz="4" w:space="0"/>
            </w:tcBorders>
            <w:vAlign w:val="top"/>
          </w:tcPr>
          <w:p>
            <w:pPr>
              <w:widowControl/>
              <w:spacing w:before="100" w:after="1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□是   □否</w:t>
            </w:r>
          </w:p>
        </w:tc>
        <w:tc>
          <w:tcPr>
            <w:tcW w:w="2976" w:type="dxa"/>
            <w:gridSpan w:val="2"/>
            <w:tcBorders>
              <w:top w:val="single" w:color="auto" w:sz="4" w:space="0"/>
              <w:left w:val="nil"/>
              <w:bottom w:val="single" w:color="auto" w:sz="4" w:space="0"/>
              <w:right w:val="single" w:color="auto" w:sz="4" w:space="0"/>
            </w:tcBorders>
            <w:vAlign w:val="top"/>
          </w:tcPr>
          <w:p>
            <w:pPr>
              <w:widowControl/>
              <w:spacing w:before="100" w:after="1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是否预期</w:t>
            </w:r>
          </w:p>
        </w:tc>
        <w:tc>
          <w:tcPr>
            <w:tcW w:w="2863" w:type="dxa"/>
            <w:gridSpan w:val="2"/>
            <w:tcBorders>
              <w:top w:val="single" w:color="auto" w:sz="4" w:space="0"/>
              <w:left w:val="nil"/>
              <w:bottom w:val="single" w:color="auto" w:sz="4" w:space="0"/>
              <w:right w:val="single" w:color="auto" w:sz="4" w:space="0"/>
            </w:tcBorders>
            <w:vAlign w:val="top"/>
          </w:tcPr>
          <w:p>
            <w:pPr>
              <w:widowControl/>
              <w:spacing w:before="100" w:after="1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□是   □否</w:t>
            </w:r>
          </w:p>
        </w:tc>
      </w:tr>
      <w:tr>
        <w:tblPrEx>
          <w:tblCellMar>
            <w:top w:w="0" w:type="dxa"/>
            <w:left w:w="105" w:type="dxa"/>
            <w:bottom w:w="0" w:type="dxa"/>
            <w:right w:w="105" w:type="dxa"/>
          </w:tblCellMar>
        </w:tblPrEx>
        <w:trPr>
          <w:trHeight w:val="454"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before="100" w:after="1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是否其他严重安全性风险信息</w:t>
            </w:r>
          </w:p>
        </w:tc>
        <w:tc>
          <w:tcPr>
            <w:tcW w:w="1560" w:type="dxa"/>
            <w:tcBorders>
              <w:top w:val="single" w:color="auto" w:sz="4" w:space="0"/>
              <w:left w:val="nil"/>
              <w:bottom w:val="single" w:color="auto" w:sz="4" w:space="0"/>
              <w:right w:val="single" w:color="auto" w:sz="4" w:space="0"/>
            </w:tcBorders>
            <w:vAlign w:val="top"/>
          </w:tcPr>
          <w:p>
            <w:pPr>
              <w:widowControl/>
              <w:spacing w:before="100" w:after="1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□是   □否</w:t>
            </w:r>
          </w:p>
        </w:tc>
        <w:tc>
          <w:tcPr>
            <w:tcW w:w="2976" w:type="dxa"/>
            <w:gridSpan w:val="2"/>
            <w:tcBorders>
              <w:top w:val="single" w:color="auto" w:sz="4" w:space="0"/>
              <w:left w:val="nil"/>
              <w:bottom w:val="single" w:color="auto" w:sz="4" w:space="0"/>
              <w:right w:val="single" w:color="auto" w:sz="4" w:space="0"/>
            </w:tcBorders>
            <w:vAlign w:val="top"/>
          </w:tcPr>
          <w:p>
            <w:pPr>
              <w:widowControl/>
              <w:spacing w:before="100" w:after="1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是否大范围严重不良事件或其他重大安全性问题</w:t>
            </w:r>
          </w:p>
        </w:tc>
        <w:tc>
          <w:tcPr>
            <w:tcW w:w="2863" w:type="dxa"/>
            <w:gridSpan w:val="2"/>
            <w:tcBorders>
              <w:top w:val="single" w:color="auto" w:sz="4" w:space="0"/>
              <w:left w:val="nil"/>
              <w:bottom w:val="single" w:color="auto" w:sz="4" w:space="0"/>
              <w:right w:val="single" w:color="auto" w:sz="4" w:space="0"/>
            </w:tcBorders>
            <w:vAlign w:val="top"/>
          </w:tcPr>
          <w:p>
            <w:pPr>
              <w:widowControl/>
              <w:spacing w:before="100" w:after="1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□是   □否</w:t>
            </w:r>
          </w:p>
        </w:tc>
      </w:tr>
      <w:tr>
        <w:tblPrEx>
          <w:tblCellMar>
            <w:top w:w="0" w:type="dxa"/>
            <w:left w:w="105" w:type="dxa"/>
            <w:bottom w:w="0" w:type="dxa"/>
            <w:right w:w="105" w:type="dxa"/>
          </w:tblCellMar>
        </w:tblPrEx>
        <w:trPr>
          <w:trHeight w:val="1559" w:hRule="atLeast"/>
          <w:jc w:val="center"/>
        </w:trPr>
        <w:tc>
          <w:tcPr>
            <w:tcW w:w="9356" w:type="dxa"/>
            <w:gridSpan w:val="6"/>
            <w:tcBorders>
              <w:top w:val="single" w:color="auto" w:sz="4" w:space="0"/>
              <w:left w:val="single" w:color="auto" w:sz="4" w:space="0"/>
              <w:bottom w:val="single" w:color="auto" w:sz="4" w:space="0"/>
              <w:right w:val="single" w:color="auto" w:sz="4" w:space="0"/>
            </w:tcBorders>
            <w:vAlign w:val="top"/>
          </w:tcPr>
          <w:p>
            <w:pPr>
              <w:widowControl/>
              <w:spacing w:before="100" w:after="100"/>
              <w:jc w:val="left"/>
              <w:rPr>
                <w:rFonts w:ascii="新宋体" w:hAnsi="新宋体" w:eastAsia="新宋体"/>
                <w:color w:val="auto"/>
                <w:kern w:val="0"/>
                <w:sz w:val="21"/>
                <w:szCs w:val="21"/>
              </w:rPr>
            </w:pPr>
            <w:r>
              <w:rPr>
                <w:rFonts w:hint="eastAsia" w:ascii="新宋体" w:hAnsi="新宋体" w:eastAsia="新宋体"/>
                <w:color w:val="auto"/>
                <w:kern w:val="0"/>
                <w:sz w:val="21"/>
                <w:szCs w:val="21"/>
              </w:rPr>
              <w:t>发生以及处理的详细情况：</w:t>
            </w:r>
          </w:p>
          <w:p>
            <w:pPr>
              <w:widowControl/>
              <w:spacing w:before="100" w:after="100"/>
              <w:jc w:val="left"/>
              <w:rPr>
                <w:rFonts w:ascii="新宋体" w:hAnsi="新宋体" w:eastAsia="新宋体"/>
                <w:color w:val="auto"/>
                <w:kern w:val="0"/>
                <w:sz w:val="21"/>
                <w:szCs w:val="21"/>
              </w:rPr>
            </w:pPr>
          </w:p>
          <w:p>
            <w:pPr>
              <w:widowControl/>
              <w:spacing w:before="100" w:after="100"/>
              <w:jc w:val="left"/>
              <w:rPr>
                <w:rFonts w:ascii="新宋体" w:hAnsi="新宋体" w:eastAsia="新宋体"/>
                <w:color w:val="auto"/>
                <w:kern w:val="0"/>
                <w:sz w:val="21"/>
                <w:szCs w:val="21"/>
              </w:rPr>
            </w:pPr>
          </w:p>
          <w:p>
            <w:pPr>
              <w:widowControl/>
              <w:spacing w:before="100" w:after="100"/>
              <w:jc w:val="left"/>
              <w:rPr>
                <w:rFonts w:hint="eastAsia" w:ascii="新宋体" w:hAnsi="新宋体" w:eastAsia="新宋体"/>
                <w:color w:val="auto"/>
                <w:kern w:val="0"/>
                <w:sz w:val="21"/>
                <w:szCs w:val="21"/>
              </w:rPr>
            </w:pPr>
          </w:p>
        </w:tc>
      </w:tr>
      <w:tr>
        <w:tblPrEx>
          <w:tblCellMar>
            <w:top w:w="0" w:type="dxa"/>
            <w:left w:w="105" w:type="dxa"/>
            <w:bottom w:w="0" w:type="dxa"/>
            <w:right w:w="105" w:type="dxa"/>
          </w:tblCellMar>
        </w:tblPrEx>
        <w:trPr>
          <w:trHeight w:val="846" w:hRule="atLeast"/>
          <w:jc w:val="center"/>
        </w:trPr>
        <w:tc>
          <w:tcPr>
            <w:tcW w:w="1957"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采取何种风险控制措施</w:t>
            </w:r>
          </w:p>
        </w:tc>
        <w:tc>
          <w:tcPr>
            <w:tcW w:w="7399" w:type="dxa"/>
            <w:gridSpan w:val="5"/>
            <w:tcBorders>
              <w:top w:val="single" w:color="auto" w:sz="4" w:space="0"/>
              <w:left w:val="single" w:color="auto" w:sz="4" w:space="0"/>
              <w:bottom w:val="single" w:color="auto" w:sz="4" w:space="0"/>
              <w:right w:val="single" w:color="auto" w:sz="4" w:space="0"/>
            </w:tcBorders>
            <w:vAlign w:val="top"/>
          </w:tcPr>
          <w:p>
            <w:pPr>
              <w:widowControl/>
              <w:jc w:val="left"/>
              <w:rPr>
                <w:rFonts w:ascii="新宋体" w:hAnsi="新宋体" w:eastAsia="新宋体"/>
                <w:color w:val="auto"/>
                <w:kern w:val="0"/>
                <w:sz w:val="21"/>
                <w:szCs w:val="21"/>
              </w:rPr>
            </w:pPr>
            <w:r>
              <w:rPr>
                <w:rFonts w:hint="eastAsia" w:ascii="新宋体" w:hAnsi="新宋体" w:eastAsia="新宋体"/>
                <w:color w:val="auto"/>
                <w:kern w:val="0"/>
                <w:sz w:val="21"/>
                <w:szCs w:val="21"/>
              </w:rPr>
              <w:t xml:space="preserve">□修改临床试验方案 </w:t>
            </w:r>
            <w:r>
              <w:rPr>
                <w:rFonts w:ascii="新宋体" w:hAnsi="新宋体" w:eastAsia="新宋体"/>
                <w:color w:val="auto"/>
                <w:kern w:val="0"/>
                <w:sz w:val="21"/>
                <w:szCs w:val="21"/>
              </w:rPr>
              <w:t xml:space="preserve"> </w:t>
            </w:r>
            <w:r>
              <w:rPr>
                <w:rFonts w:hint="eastAsia" w:ascii="新宋体" w:hAnsi="新宋体" w:eastAsia="新宋体"/>
                <w:color w:val="auto"/>
                <w:kern w:val="0"/>
                <w:sz w:val="21"/>
                <w:szCs w:val="21"/>
              </w:rPr>
              <w:t>□修改知情同意书和其他提供给受试者的信息</w:t>
            </w:r>
          </w:p>
          <w:p>
            <w:pPr>
              <w:widowControl/>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□修改其他相关文件  □继续监测风险，暂无需采取其它措施 □暂停医疗器械临床试验  □终止医疗器械临床试验</w:t>
            </w:r>
            <w:r>
              <w:rPr>
                <w:rFonts w:ascii="新宋体" w:hAnsi="新宋体" w:eastAsia="新宋体"/>
                <w:color w:val="auto"/>
                <w:kern w:val="0"/>
                <w:sz w:val="21"/>
                <w:szCs w:val="21"/>
              </w:rPr>
              <w:t xml:space="preserve">   </w:t>
            </w:r>
            <w:r>
              <w:rPr>
                <w:rFonts w:hint="eastAsia" w:ascii="新宋体" w:hAnsi="新宋体" w:eastAsia="新宋体"/>
                <w:color w:val="auto"/>
                <w:kern w:val="0"/>
                <w:sz w:val="21"/>
                <w:szCs w:val="21"/>
              </w:rPr>
              <w:t>□其他</w:t>
            </w:r>
            <w:r>
              <w:rPr>
                <w:rFonts w:hint="eastAsia" w:ascii="新宋体" w:hAnsi="新宋体" w:eastAsia="新宋体"/>
                <w:color w:val="auto"/>
                <w:kern w:val="0"/>
                <w:sz w:val="21"/>
                <w:szCs w:val="21"/>
                <w:u w:val="single"/>
              </w:rPr>
              <w:t xml:space="preserve">              </w:t>
            </w:r>
            <w:r>
              <w:rPr>
                <w:rFonts w:hint="eastAsia" w:ascii="新宋体" w:hAnsi="新宋体" w:eastAsia="新宋体"/>
                <w:color w:val="auto"/>
                <w:kern w:val="0"/>
                <w:sz w:val="21"/>
                <w:szCs w:val="21"/>
              </w:rPr>
              <w:t xml:space="preserve">    </w:t>
            </w:r>
            <w:r>
              <w:rPr>
                <w:rFonts w:ascii="新宋体" w:hAnsi="新宋体" w:eastAsia="新宋体"/>
                <w:color w:val="auto"/>
                <w:kern w:val="0"/>
                <w:sz w:val="21"/>
                <w:szCs w:val="21"/>
              </w:rPr>
              <w:t xml:space="preserve">       </w:t>
            </w:r>
          </w:p>
        </w:tc>
      </w:tr>
      <w:tr>
        <w:tblPrEx>
          <w:tblCellMar>
            <w:top w:w="0" w:type="dxa"/>
            <w:left w:w="105" w:type="dxa"/>
            <w:bottom w:w="0" w:type="dxa"/>
            <w:right w:w="105" w:type="dxa"/>
          </w:tblCellMar>
        </w:tblPrEx>
        <w:trPr>
          <w:trHeight w:val="471" w:hRule="atLeast"/>
          <w:jc w:val="center"/>
        </w:trPr>
        <w:tc>
          <w:tcPr>
            <w:tcW w:w="9356" w:type="dxa"/>
            <w:gridSpan w:val="6"/>
            <w:tcBorders>
              <w:top w:val="single" w:color="auto" w:sz="4" w:space="0"/>
              <w:left w:val="single" w:color="auto" w:sz="4" w:space="0"/>
              <w:bottom w:val="single" w:color="auto" w:sz="4" w:space="0"/>
              <w:right w:val="single" w:color="auto" w:sz="4" w:space="0"/>
            </w:tcBorders>
            <w:vAlign w:val="center"/>
          </w:tcPr>
          <w:p>
            <w:pPr>
              <w:widowControl/>
              <w:ind w:firstLine="6930" w:firstLineChars="3300"/>
              <w:jc w:val="left"/>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申办者盖章</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olor w:val="auto"/>
          <w:kern w:val="0"/>
          <w:sz w:val="21"/>
          <w:szCs w:val="21"/>
        </w:rPr>
      </w:pPr>
      <w:r>
        <w:rPr>
          <w:rFonts w:hint="eastAsia" w:ascii="新宋体" w:hAnsi="新宋体" w:eastAsia="新宋体"/>
          <w:color w:val="auto"/>
          <w:kern w:val="0"/>
          <w:sz w:val="21"/>
          <w:szCs w:val="21"/>
        </w:rPr>
        <w:t>注：本表所述医疗器械包括体外诊断试剂。</w:t>
      </w:r>
    </w:p>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填写说明：</w:t>
      </w:r>
    </w:p>
    <w:p>
      <w:pPr>
        <w:keepNext w:val="0"/>
        <w:keepLines w:val="0"/>
        <w:pageBreakBefore w:val="0"/>
        <w:widowControl w:val="0"/>
        <w:kinsoku/>
        <w:wordWrap/>
        <w:overflowPunct/>
        <w:topLinePunct w:val="0"/>
        <w:autoSpaceDE/>
        <w:autoSpaceDN/>
        <w:bidi w:val="0"/>
        <w:adjustRightInd/>
        <w:snapToGrid/>
        <w:spacing w:line="240" w:lineRule="auto"/>
        <w:ind w:firstLine="441" w:firstLineChars="210"/>
        <w:textAlignment w:val="auto"/>
        <w:rPr>
          <w:color w:val="auto"/>
          <w:sz w:val="21"/>
          <w:szCs w:val="21"/>
        </w:rPr>
      </w:pPr>
      <w:r>
        <w:rPr>
          <w:color w:val="auto"/>
          <w:sz w:val="21"/>
          <w:szCs w:val="21"/>
        </w:rPr>
        <w:t>一、</w:t>
      </w:r>
      <w:r>
        <w:rPr>
          <w:rFonts w:hint="eastAsia"/>
          <w:color w:val="auto"/>
          <w:sz w:val="21"/>
          <w:szCs w:val="21"/>
        </w:rPr>
        <w:t>本</w:t>
      </w:r>
      <w:r>
        <w:rPr>
          <w:color w:val="auto"/>
          <w:sz w:val="21"/>
          <w:szCs w:val="21"/>
        </w:rPr>
        <w:t>表</w:t>
      </w:r>
      <w:r>
        <w:rPr>
          <w:rFonts w:hint="eastAsia"/>
          <w:color w:val="auto"/>
          <w:sz w:val="21"/>
          <w:szCs w:val="21"/>
        </w:rPr>
        <w:t>供</w:t>
      </w:r>
      <w:r>
        <w:rPr>
          <w:color w:val="auto"/>
          <w:sz w:val="21"/>
          <w:szCs w:val="21"/>
        </w:rPr>
        <w:t>医疗器械</w:t>
      </w:r>
      <w:r>
        <w:rPr>
          <w:rFonts w:hint="eastAsia"/>
          <w:color w:val="auto"/>
          <w:sz w:val="21"/>
          <w:szCs w:val="21"/>
        </w:rPr>
        <w:t>（含体外诊断试剂，下同）</w:t>
      </w:r>
      <w:r>
        <w:rPr>
          <w:color w:val="auto"/>
          <w:sz w:val="21"/>
          <w:szCs w:val="21"/>
        </w:rPr>
        <w:t>临床试验申办者向</w:t>
      </w:r>
      <w:r>
        <w:rPr>
          <w:rFonts w:hint="eastAsia"/>
          <w:color w:val="auto"/>
          <w:sz w:val="21"/>
          <w:szCs w:val="21"/>
        </w:rPr>
        <w:t>其所在地省级药品监督管理部门，向医疗器械临床试验机构所在地省级药品监督管理部门和卫生健康管理部门，报告医疗器械临床试验过程中发生的试验医疗器械相关严重不良事件</w:t>
      </w:r>
      <w:r>
        <w:rPr>
          <w:color w:val="auto"/>
          <w:sz w:val="21"/>
          <w:szCs w:val="21"/>
        </w:rPr>
        <w:t>个案。</w:t>
      </w:r>
      <w:r>
        <w:rPr>
          <w:rFonts w:hint="eastAsia"/>
          <w:color w:val="auto"/>
          <w:sz w:val="21"/>
          <w:szCs w:val="21"/>
        </w:rPr>
        <w:t>纸质报告由申办者</w:t>
      </w:r>
      <w:r>
        <w:rPr>
          <w:color w:val="auto"/>
          <w:sz w:val="21"/>
          <w:szCs w:val="21"/>
        </w:rPr>
        <w:t>加盖公章后快递。研究者报告严重不良事件的报告表由申办者确定，原则上至少应</w:t>
      </w:r>
      <w:r>
        <w:rPr>
          <w:rFonts w:hint="eastAsia"/>
          <w:color w:val="auto"/>
          <w:sz w:val="21"/>
          <w:szCs w:val="21"/>
        </w:rPr>
        <w:t>当</w:t>
      </w:r>
      <w:r>
        <w:rPr>
          <w:color w:val="auto"/>
          <w:sz w:val="21"/>
          <w:szCs w:val="21"/>
        </w:rPr>
        <w:t>涵盖此报告表信息。</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rFonts w:hint="eastAsia"/>
          <w:color w:val="auto"/>
          <w:sz w:val="21"/>
          <w:szCs w:val="21"/>
        </w:rPr>
        <w:t>二</w:t>
      </w:r>
      <w:r>
        <w:rPr>
          <w:color w:val="auto"/>
          <w:sz w:val="21"/>
          <w:szCs w:val="21"/>
        </w:rPr>
        <w:t>、</w:t>
      </w:r>
      <w:r>
        <w:rPr>
          <w:rFonts w:hint="eastAsia"/>
          <w:color w:val="auto"/>
          <w:sz w:val="21"/>
          <w:szCs w:val="21"/>
        </w:rPr>
        <w:t>试验医疗器械相关严重不良事件</w:t>
      </w:r>
      <w:r>
        <w:rPr>
          <w:color w:val="auto"/>
          <w:sz w:val="21"/>
          <w:szCs w:val="21"/>
        </w:rPr>
        <w:t>指受试者</w:t>
      </w:r>
      <w:r>
        <w:rPr>
          <w:rFonts w:hint="eastAsia"/>
          <w:color w:val="auto"/>
          <w:sz w:val="21"/>
          <w:szCs w:val="21"/>
        </w:rPr>
        <w:t>按照临床试验方案使用试验医疗器械后</w:t>
      </w:r>
      <w:r>
        <w:rPr>
          <w:color w:val="auto"/>
          <w:sz w:val="21"/>
          <w:szCs w:val="21"/>
        </w:rPr>
        <w:t>出现的，经分析认为与</w:t>
      </w:r>
      <w:r>
        <w:rPr>
          <w:rFonts w:hint="eastAsia"/>
          <w:color w:val="auto"/>
          <w:sz w:val="21"/>
          <w:szCs w:val="21"/>
        </w:rPr>
        <w:t>试验医疗器械</w:t>
      </w:r>
      <w:r>
        <w:rPr>
          <w:color w:val="auto"/>
          <w:sz w:val="21"/>
          <w:szCs w:val="21"/>
        </w:rPr>
        <w:t>的关系是可能</w:t>
      </w:r>
      <w:r>
        <w:rPr>
          <w:rFonts w:hint="eastAsia"/>
          <w:color w:val="auto"/>
          <w:sz w:val="21"/>
          <w:szCs w:val="21"/>
        </w:rPr>
        <w:t>有关或者肯定有关</w:t>
      </w:r>
      <w:r>
        <w:rPr>
          <w:color w:val="auto"/>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rFonts w:hint="eastAsia"/>
          <w:color w:val="auto"/>
          <w:sz w:val="21"/>
          <w:szCs w:val="21"/>
        </w:rPr>
        <w:t>三</w:t>
      </w:r>
      <w:r>
        <w:rPr>
          <w:color w:val="auto"/>
          <w:sz w:val="21"/>
          <w:szCs w:val="21"/>
        </w:rPr>
        <w:t>、</w:t>
      </w:r>
      <w:r>
        <w:rPr>
          <w:rFonts w:hint="eastAsia"/>
          <w:color w:val="auto"/>
          <w:sz w:val="21"/>
          <w:szCs w:val="21"/>
        </w:rPr>
        <w:t>报告时限为获知死亡或者危及生命的试验医疗器械相关严重不良事件后7天内、获知非死亡或者非危及生命的试验医疗器械相关严重不良事件后15天内。</w:t>
      </w:r>
      <w:r>
        <w:rPr>
          <w:color w:val="auto"/>
          <w:sz w:val="21"/>
          <w:szCs w:val="21"/>
        </w:rPr>
        <w:t>申办者首次获知当天为第0天。</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rFonts w:hint="eastAsia"/>
          <w:color w:val="auto"/>
          <w:sz w:val="21"/>
          <w:szCs w:val="21"/>
        </w:rPr>
        <w:t>四</w:t>
      </w:r>
      <w:r>
        <w:rPr>
          <w:color w:val="auto"/>
          <w:sz w:val="21"/>
          <w:szCs w:val="21"/>
        </w:rPr>
        <w:t>、盲法试验中发生</w:t>
      </w:r>
      <w:r>
        <w:rPr>
          <w:rFonts w:hint="eastAsia"/>
          <w:color w:val="auto"/>
          <w:sz w:val="21"/>
          <w:szCs w:val="21"/>
        </w:rPr>
        <w:t>与使用的医疗器械相关的严重不良事件</w:t>
      </w:r>
      <w:r>
        <w:rPr>
          <w:color w:val="auto"/>
          <w:sz w:val="21"/>
          <w:szCs w:val="21"/>
        </w:rPr>
        <w:t>时，</w:t>
      </w:r>
      <w:r>
        <w:rPr>
          <w:rFonts w:hint="eastAsia"/>
          <w:color w:val="auto"/>
          <w:sz w:val="21"/>
          <w:szCs w:val="21"/>
        </w:rPr>
        <w:t>为便于判断严重不良事件与试验医疗器械的相关性，</w:t>
      </w:r>
      <w:r>
        <w:rPr>
          <w:color w:val="auto"/>
          <w:sz w:val="21"/>
          <w:szCs w:val="21"/>
        </w:rPr>
        <w:t>申办者</w:t>
      </w:r>
      <w:r>
        <w:rPr>
          <w:rFonts w:hint="eastAsia"/>
          <w:color w:val="auto"/>
          <w:sz w:val="21"/>
          <w:szCs w:val="21"/>
        </w:rPr>
        <w:t>可建立相应的程序，仅由个别专门人员进行相关个例破盲，而对疗效结果进行分析和阐述的人员仍应当保持“盲态”。</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rFonts w:hint="eastAsia"/>
          <w:color w:val="auto"/>
          <w:sz w:val="21"/>
          <w:szCs w:val="21"/>
        </w:rPr>
        <w:t>五、医疗器械临床试验期间出现其他严重安全性风险信息时，申办者填写本表格的适用项，并详细描述控制措施。</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rFonts w:hint="eastAsia"/>
          <w:color w:val="auto"/>
          <w:sz w:val="21"/>
          <w:szCs w:val="21"/>
        </w:rPr>
        <w:t>六、当医疗器械临床试验中出现大范围临床试验医疗器械相关严重不良事件，或者其他重大安全性问题时，应在本表中勾选，详细描述发生及处理情况，并采取暂停或终止医疗器械临床试验等风险控制措施。</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rFonts w:hint="eastAsia"/>
          <w:color w:val="auto"/>
          <w:sz w:val="21"/>
          <w:szCs w:val="21"/>
        </w:rPr>
        <w:t>七、填写要求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rFonts w:hint="eastAsia"/>
          <w:color w:val="auto"/>
          <w:sz w:val="21"/>
          <w:szCs w:val="21"/>
        </w:rPr>
        <w:t>1.本表由申办者填写，内容应当真实、准确、完整，与临床试验源数据一致。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rFonts w:hint="eastAsia"/>
          <w:color w:val="auto"/>
          <w:sz w:val="21"/>
          <w:szCs w:val="21"/>
        </w:rPr>
        <w:t>2.本表包括基本情况、试验医疗器械情况、受试者情况、严重不良事件情况四个部分。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3</w:t>
      </w:r>
      <w:r>
        <w:rPr>
          <w:rFonts w:hint="eastAsia"/>
          <w:color w:val="auto"/>
          <w:sz w:val="21"/>
          <w:szCs w:val="21"/>
        </w:rPr>
        <w:t>.基本情况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3</w:t>
      </w:r>
      <w:r>
        <w:rPr>
          <w:rFonts w:hint="eastAsia"/>
          <w:color w:val="auto"/>
          <w:sz w:val="21"/>
          <w:szCs w:val="21"/>
        </w:rPr>
        <w:t>.1临床试验名称：指医疗器械临床试验备案表上的医疗器械临床试验名称。</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3</w:t>
      </w:r>
      <w:r>
        <w:rPr>
          <w:rFonts w:hint="eastAsia"/>
          <w:color w:val="auto"/>
          <w:sz w:val="21"/>
          <w:szCs w:val="21"/>
        </w:rPr>
        <w:t>.2临床试验备案号：指医疗器械临床试验备案表上的备案号。</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color w:val="auto"/>
          <w:sz w:val="21"/>
          <w:szCs w:val="21"/>
        </w:rPr>
        <w:t>3</w:t>
      </w:r>
      <w:r>
        <w:rPr>
          <w:rFonts w:hint="eastAsia"/>
          <w:color w:val="auto"/>
          <w:sz w:val="21"/>
          <w:szCs w:val="21"/>
        </w:rPr>
        <w:t>.3报告类型</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rFonts w:hint="eastAsia"/>
          <w:color w:val="auto"/>
          <w:sz w:val="21"/>
          <w:szCs w:val="21"/>
        </w:rPr>
        <w:t>3.3.1 首次报告：指申办者首次获知试验医疗器械严重不良事件时的报告。</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 xml:space="preserve">3.3.2 </w:t>
      </w:r>
      <w:r>
        <w:rPr>
          <w:rFonts w:hint="eastAsia"/>
          <w:color w:val="auto"/>
          <w:sz w:val="21"/>
          <w:szCs w:val="21"/>
        </w:rPr>
        <w:t>随访报告：指严重不良事件随访中发生重要变化时的报告。</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lang w:val="en"/>
        </w:rPr>
      </w:pPr>
      <w:r>
        <w:rPr>
          <w:rFonts w:hint="eastAsia"/>
          <w:color w:val="auto"/>
          <w:sz w:val="21"/>
          <w:szCs w:val="21"/>
        </w:rPr>
        <w:t>3.3.3总结报告</w:t>
      </w:r>
      <w:r>
        <w:rPr>
          <w:color w:val="auto"/>
          <w:sz w:val="21"/>
          <w:szCs w:val="21"/>
          <w:lang w:val="en"/>
        </w:rPr>
        <w:t>:</w:t>
      </w:r>
      <w:r>
        <w:rPr>
          <w:rFonts w:hint="eastAsia"/>
          <w:color w:val="auto"/>
          <w:sz w:val="21"/>
          <w:szCs w:val="21"/>
        </w:rPr>
        <w:t xml:space="preserve">  </w:t>
      </w:r>
      <w:r>
        <w:rPr>
          <w:rFonts w:hint="eastAsia"/>
          <w:color w:val="auto"/>
          <w:sz w:val="21"/>
          <w:szCs w:val="21"/>
          <w:lang w:val="en"/>
        </w:rPr>
        <w:t>指严重不良事件消失</w:t>
      </w:r>
      <w:r>
        <w:rPr>
          <w:color w:val="auto"/>
          <w:sz w:val="21"/>
          <w:szCs w:val="21"/>
          <w:lang w:val="en"/>
        </w:rPr>
        <w:t>/</w:t>
      </w:r>
      <w:r>
        <w:rPr>
          <w:rFonts w:hint="eastAsia"/>
          <w:color w:val="auto"/>
          <w:sz w:val="21"/>
          <w:szCs w:val="21"/>
          <w:lang w:val="en"/>
        </w:rPr>
        <w:t>缓解后的末次报告。</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3.4</w:t>
      </w:r>
      <w:r>
        <w:rPr>
          <w:rFonts w:hint="eastAsia"/>
          <w:color w:val="auto"/>
          <w:sz w:val="21"/>
          <w:szCs w:val="21"/>
        </w:rPr>
        <w:t>报告日期：指填写本表</w:t>
      </w:r>
      <w:r>
        <w:rPr>
          <w:color w:val="auto"/>
          <w:sz w:val="21"/>
          <w:szCs w:val="21"/>
        </w:rPr>
        <w:t>的确切</w:t>
      </w:r>
      <w:r>
        <w:rPr>
          <w:rFonts w:hint="eastAsia"/>
          <w:color w:val="auto"/>
          <w:sz w:val="21"/>
          <w:szCs w:val="21"/>
        </w:rPr>
        <w:t>日期。</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3</w:t>
      </w:r>
      <w:r>
        <w:rPr>
          <w:rFonts w:hint="eastAsia"/>
          <w:color w:val="auto"/>
          <w:sz w:val="21"/>
          <w:szCs w:val="21"/>
        </w:rPr>
        <w:t>.5申办者：指上报严重不良事件的申办者，应当与医疗器械临床试验备案表上申办者一致，加盖公章。</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rFonts w:hint="eastAsia"/>
          <w:color w:val="auto"/>
          <w:sz w:val="21"/>
          <w:szCs w:val="21"/>
        </w:rPr>
        <w:t>3.</w:t>
      </w:r>
      <w:r>
        <w:rPr>
          <w:color w:val="auto"/>
          <w:sz w:val="21"/>
          <w:szCs w:val="21"/>
        </w:rPr>
        <w:t>6</w:t>
      </w:r>
      <w:r>
        <w:rPr>
          <w:rFonts w:hint="eastAsia"/>
          <w:color w:val="auto"/>
          <w:sz w:val="21"/>
          <w:szCs w:val="21"/>
        </w:rPr>
        <w:t>申办者联系地址：指上报医疗器械不良事件单位的联系地址。</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3</w:t>
      </w:r>
      <w:r>
        <w:rPr>
          <w:rFonts w:hint="eastAsia"/>
          <w:color w:val="auto"/>
          <w:sz w:val="21"/>
          <w:szCs w:val="21"/>
        </w:rPr>
        <w:t>.7申办者联系人：指上报严重不良事件申办者负责医疗器械临床试验中不良事件监测的人员。</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3.8</w:t>
      </w:r>
      <w:r>
        <w:rPr>
          <w:rFonts w:hint="eastAsia"/>
          <w:color w:val="auto"/>
          <w:sz w:val="21"/>
          <w:szCs w:val="21"/>
        </w:rPr>
        <w:t>申办者联系电话/手机号码：指上报严重不良事件申办者负责医疗器械临床试验中不良事件监测部门的电话。</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3.9</w:t>
      </w:r>
      <w:r>
        <w:rPr>
          <w:rFonts w:hint="eastAsia"/>
          <w:color w:val="auto"/>
          <w:sz w:val="21"/>
          <w:szCs w:val="21"/>
        </w:rPr>
        <w:t>临床试验机构：指上报严重不良事件发生所在的医疗器械临床试验机构，应当与医疗器械临床试验备案表上医疗器械临床试验机构一致。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rFonts w:hint="eastAsia"/>
          <w:color w:val="auto"/>
          <w:sz w:val="21"/>
          <w:szCs w:val="21"/>
        </w:rPr>
        <w:t>3.10机构备案号：指上报严重不良事件发生所在的医疗器械临床试验机构，在药品监督管理部门备案系统中的备案号，应当与医疗器械临床试验备案表上医疗器械临床试验机构备案号一致。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rFonts w:hint="eastAsia"/>
          <w:color w:val="auto"/>
          <w:sz w:val="21"/>
          <w:szCs w:val="21"/>
        </w:rPr>
        <w:t>3</w:t>
      </w:r>
      <w:r>
        <w:rPr>
          <w:color w:val="auto"/>
          <w:sz w:val="21"/>
          <w:szCs w:val="21"/>
        </w:rPr>
        <w:t>.11</w:t>
      </w:r>
      <w:r>
        <w:rPr>
          <w:rFonts w:hint="eastAsia"/>
          <w:color w:val="auto"/>
          <w:sz w:val="21"/>
          <w:szCs w:val="21"/>
        </w:rPr>
        <w:t>临床试验专业：指上报严重不良事件发生所在的临床试验专业，在药品监督管理部门备案系统中的备案名称，应当与医疗器械临床试验备案表上临床试验专业一致。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color w:val="auto"/>
          <w:sz w:val="21"/>
          <w:szCs w:val="21"/>
        </w:rPr>
        <w:t>3.12</w:t>
      </w:r>
      <w:r>
        <w:rPr>
          <w:rFonts w:hint="eastAsia"/>
          <w:color w:val="auto"/>
          <w:sz w:val="21"/>
          <w:szCs w:val="21"/>
        </w:rPr>
        <w:t>主要研究者：指上报严重不良事件发生所在的医疗器械临床试验机构的主要研究者，应当与医疗器械临床试验备案表上主要研究者一致。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rFonts w:hint="eastAsia"/>
          <w:color w:val="auto"/>
          <w:sz w:val="21"/>
          <w:szCs w:val="21"/>
        </w:rPr>
        <w:t>3.13职称：指上报严重不良事件发生所在的医疗器械临床试验机构的主要研究者的职称。</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rFonts w:hint="eastAsia"/>
          <w:color w:val="auto"/>
          <w:sz w:val="21"/>
          <w:szCs w:val="21"/>
        </w:rPr>
        <w:t>3.14联系人：指上报严重不良事件发生所在的医疗器械临床试验机构的联系人，可为主要研究者或者主要研究者授权研究者中的临床医生。</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rFonts w:hint="eastAsia"/>
          <w:color w:val="auto"/>
          <w:sz w:val="21"/>
          <w:szCs w:val="21"/>
        </w:rPr>
        <w:t>3.1</w:t>
      </w:r>
      <w:r>
        <w:rPr>
          <w:color w:val="auto"/>
          <w:sz w:val="21"/>
          <w:szCs w:val="21"/>
        </w:rPr>
        <w:t>5</w:t>
      </w:r>
      <w:r>
        <w:rPr>
          <w:rFonts w:hint="eastAsia"/>
          <w:color w:val="auto"/>
          <w:sz w:val="21"/>
          <w:szCs w:val="21"/>
        </w:rPr>
        <w:t>联系电话：指上报严重不良事件发生所在的医疗器械临床试验机构的联系人的联系电话。</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4.</w:t>
      </w:r>
      <w:r>
        <w:rPr>
          <w:rFonts w:hint="eastAsia"/>
          <w:color w:val="auto"/>
          <w:sz w:val="21"/>
          <w:szCs w:val="21"/>
        </w:rPr>
        <w:t>试验医疗器械情况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color w:val="auto"/>
          <w:sz w:val="21"/>
          <w:szCs w:val="21"/>
        </w:rPr>
        <w:t>4</w:t>
      </w:r>
      <w:r>
        <w:rPr>
          <w:rFonts w:hint="eastAsia"/>
          <w:color w:val="auto"/>
          <w:sz w:val="21"/>
          <w:szCs w:val="21"/>
        </w:rPr>
        <w:t>.1试验医疗器械名称：指上报严重不良事件涉及试验医疗器械的名称，应当与医疗器械临床试验备案表上试验医疗器械一致。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4</w:t>
      </w:r>
      <w:r>
        <w:rPr>
          <w:rFonts w:hint="eastAsia"/>
          <w:color w:val="auto"/>
          <w:sz w:val="21"/>
          <w:szCs w:val="21"/>
        </w:rPr>
        <w:t>.</w:t>
      </w:r>
      <w:r>
        <w:rPr>
          <w:color w:val="auto"/>
          <w:sz w:val="21"/>
          <w:szCs w:val="21"/>
        </w:rPr>
        <w:t>2</w:t>
      </w:r>
      <w:r>
        <w:rPr>
          <w:rFonts w:hint="eastAsia"/>
          <w:color w:val="auto"/>
          <w:sz w:val="21"/>
          <w:szCs w:val="21"/>
        </w:rPr>
        <w:t>规格型号/包装规格：指上报严重不良事件涉及试验医疗器械的规格型号，或涉及试验体外诊断试剂的包装规格，应当与医疗器械临床试验备案表上试验医疗器械规格型号，或试验体外诊断试剂的包装规格一致。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4</w:t>
      </w:r>
      <w:r>
        <w:rPr>
          <w:rFonts w:hint="eastAsia"/>
          <w:color w:val="auto"/>
          <w:sz w:val="21"/>
          <w:szCs w:val="21"/>
        </w:rPr>
        <w:t>.</w:t>
      </w:r>
      <w:r>
        <w:rPr>
          <w:color w:val="auto"/>
          <w:sz w:val="21"/>
          <w:szCs w:val="21"/>
        </w:rPr>
        <w:t>3</w:t>
      </w:r>
      <w:r>
        <w:rPr>
          <w:rFonts w:hint="eastAsia"/>
          <w:color w:val="auto"/>
          <w:sz w:val="21"/>
          <w:szCs w:val="21"/>
        </w:rPr>
        <w:t>试验医疗器械分类：指上报严重不良事件涉及试验医疗器械的分类，应当与医疗器械临床试验备案表上试验医疗器械分类一致。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color w:val="auto"/>
          <w:sz w:val="21"/>
          <w:szCs w:val="21"/>
        </w:rPr>
        <w:t>4.4</w:t>
      </w:r>
      <w:r>
        <w:rPr>
          <w:rFonts w:hint="eastAsia"/>
          <w:color w:val="auto"/>
          <w:sz w:val="21"/>
          <w:szCs w:val="21"/>
        </w:rPr>
        <w:t>需临床试验审批的第三类医疗器械：指上报严重不良事件涉及试验医疗器械是否属于需要临床试验审批的第三类医疗器械，应当与医疗器械临床试验备案表上试验医疗器械一致。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rFonts w:hint="eastAsia"/>
          <w:color w:val="auto"/>
          <w:sz w:val="21"/>
          <w:szCs w:val="21"/>
        </w:rPr>
        <w:t>4.5 批号：指上报严重不良事件涉及试验医疗器械的批号，应当与使用的试验医疗器械标签或者包装标识一致。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color w:val="auto"/>
          <w:sz w:val="21"/>
          <w:szCs w:val="21"/>
        </w:rPr>
        <w:t>4.6</w:t>
      </w:r>
      <w:r>
        <w:rPr>
          <w:rFonts w:hint="eastAsia"/>
          <w:color w:val="auto"/>
          <w:sz w:val="21"/>
          <w:szCs w:val="21"/>
        </w:rPr>
        <w:t>生产日期/失效日期：指试验医疗器械的生产日期，以及在规定的条件下能够保证质量的期限，应当与使用的试验医疗器械标签或者包装标识一致。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rFonts w:hint="eastAsia"/>
          <w:color w:val="auto"/>
          <w:sz w:val="21"/>
          <w:szCs w:val="21"/>
        </w:rPr>
        <w:t>4.7适用范围或者预期用途：指试验医疗器械的适用范围或者预期用途。</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rFonts w:hint="eastAsia"/>
          <w:color w:val="auto"/>
          <w:sz w:val="21"/>
          <w:szCs w:val="21"/>
        </w:rPr>
        <w:t>有多种试验医疗器械时，可根据情况增加行。</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5.</w:t>
      </w:r>
      <w:r>
        <w:rPr>
          <w:rFonts w:hint="eastAsia"/>
          <w:color w:val="auto"/>
          <w:sz w:val="21"/>
          <w:szCs w:val="21"/>
        </w:rPr>
        <w:t>受试者情况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rFonts w:hint="eastAsia"/>
          <w:color w:val="auto"/>
          <w:sz w:val="21"/>
          <w:szCs w:val="21"/>
        </w:rPr>
        <w:t>5.1编号：指上报严重不良事件涉及受试者在临床试验中的编号。</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 xml:space="preserve">5.2 </w:t>
      </w:r>
      <w:r>
        <w:rPr>
          <w:rFonts w:hint="eastAsia"/>
          <w:color w:val="auto"/>
          <w:sz w:val="21"/>
          <w:szCs w:val="21"/>
        </w:rPr>
        <w:t>性别：指上报严重不良事件涉及受试者的性别。</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 xml:space="preserve">5.3 </w:t>
      </w:r>
      <w:r>
        <w:rPr>
          <w:rFonts w:hint="eastAsia"/>
          <w:color w:val="auto"/>
          <w:sz w:val="21"/>
          <w:szCs w:val="21"/>
        </w:rPr>
        <w:t>出生日期：指上报严重不良事件涉及受试者的出生日期。</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5.4</w:t>
      </w:r>
      <w:r>
        <w:rPr>
          <w:rFonts w:hint="eastAsia"/>
          <w:color w:val="auto"/>
          <w:sz w:val="21"/>
          <w:szCs w:val="21"/>
        </w:rPr>
        <w:t>合并疾病以及治疗：指上报严重不良事件涉及受试者在临床试验中的合并疾病以及治疗，根据受试者病历填写。若受试者无合并疾病以及治疗，填写为“无”。</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rFonts w:hint="eastAsia"/>
          <w:color w:val="auto"/>
          <w:sz w:val="21"/>
          <w:szCs w:val="21"/>
        </w:rPr>
        <w:t>6.严重不良事件情况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color w:val="auto"/>
          <w:sz w:val="21"/>
          <w:szCs w:val="21"/>
        </w:rPr>
        <w:t>6.1</w:t>
      </w:r>
      <w:r>
        <w:rPr>
          <w:rFonts w:hint="eastAsia"/>
          <w:color w:val="auto"/>
          <w:sz w:val="21"/>
          <w:szCs w:val="21"/>
        </w:rPr>
        <w:t>严重不良事件名称：指上报严重不良事件的名称，应当是医学术语，优先使用医学诊断。</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rFonts w:hint="eastAsia"/>
          <w:color w:val="auto"/>
          <w:sz w:val="21"/>
          <w:szCs w:val="21"/>
        </w:rPr>
        <w:t>6.</w:t>
      </w:r>
      <w:r>
        <w:rPr>
          <w:color w:val="auto"/>
          <w:sz w:val="21"/>
          <w:szCs w:val="21"/>
        </w:rPr>
        <w:t>2</w:t>
      </w:r>
      <w:r>
        <w:rPr>
          <w:rFonts w:hint="eastAsia"/>
          <w:color w:val="auto"/>
          <w:sz w:val="21"/>
          <w:szCs w:val="21"/>
        </w:rPr>
        <w:t>使用日期：指上报严重</w:t>
      </w:r>
      <w:r>
        <w:rPr>
          <w:color w:val="auto"/>
          <w:sz w:val="21"/>
          <w:szCs w:val="21"/>
        </w:rPr>
        <w:t>不良事件涉及</w:t>
      </w:r>
      <w:r>
        <w:rPr>
          <w:rFonts w:hint="eastAsia"/>
          <w:color w:val="auto"/>
          <w:sz w:val="21"/>
          <w:szCs w:val="21"/>
        </w:rPr>
        <w:t>试验医疗器械</w:t>
      </w:r>
      <w:r>
        <w:rPr>
          <w:color w:val="auto"/>
          <w:sz w:val="21"/>
          <w:szCs w:val="21"/>
        </w:rPr>
        <w:t>的</w:t>
      </w:r>
      <w:r>
        <w:rPr>
          <w:rFonts w:hint="eastAsia"/>
          <w:color w:val="auto"/>
          <w:sz w:val="21"/>
          <w:szCs w:val="21"/>
        </w:rPr>
        <w:t>确切</w:t>
      </w:r>
      <w:r>
        <w:rPr>
          <w:color w:val="auto"/>
          <w:sz w:val="21"/>
          <w:szCs w:val="21"/>
        </w:rPr>
        <w:t>使用</w:t>
      </w:r>
      <w:r>
        <w:rPr>
          <w:rFonts w:hint="eastAsia"/>
          <w:color w:val="auto"/>
          <w:sz w:val="21"/>
          <w:szCs w:val="21"/>
        </w:rPr>
        <w:t>日期。</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6.3</w:t>
      </w:r>
      <w:r>
        <w:rPr>
          <w:rFonts w:hint="eastAsia"/>
          <w:color w:val="auto"/>
          <w:sz w:val="21"/>
          <w:szCs w:val="21"/>
        </w:rPr>
        <w:t>发生日期：指上报严重不良事件的发生日期。</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color w:val="auto"/>
          <w:sz w:val="21"/>
          <w:szCs w:val="21"/>
        </w:rPr>
        <w:t>6.4</w:t>
      </w:r>
      <w:r>
        <w:rPr>
          <w:rFonts w:hint="eastAsia"/>
          <w:color w:val="auto"/>
          <w:sz w:val="21"/>
          <w:szCs w:val="21"/>
        </w:rPr>
        <w:t>研究者获知日期：指研究者获知上报严重不良事件的确切日期。</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6.5</w:t>
      </w:r>
      <w:r>
        <w:rPr>
          <w:rFonts w:hint="eastAsia"/>
          <w:color w:val="auto"/>
          <w:sz w:val="21"/>
          <w:szCs w:val="21"/>
        </w:rPr>
        <w:t>申办者获知日期：指研究者向申办者报告严重不良事件的确切日期。</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6.6</w:t>
      </w:r>
      <w:r>
        <w:rPr>
          <w:rFonts w:hint="eastAsia"/>
          <w:color w:val="auto"/>
          <w:sz w:val="21"/>
          <w:szCs w:val="21"/>
        </w:rPr>
        <w:t>严重不良事件分类：指上报严重</w:t>
      </w:r>
      <w:r>
        <w:rPr>
          <w:color w:val="auto"/>
          <w:sz w:val="21"/>
          <w:szCs w:val="21"/>
        </w:rPr>
        <w:t>不良事件</w:t>
      </w:r>
      <w:r>
        <w:rPr>
          <w:rFonts w:hint="eastAsia"/>
          <w:color w:val="auto"/>
          <w:sz w:val="21"/>
          <w:szCs w:val="21"/>
        </w:rPr>
        <w:t>的分类，若勾选为“其他”，需要注明具体情况。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rFonts w:hint="eastAsia"/>
          <w:color w:val="auto"/>
          <w:sz w:val="21"/>
          <w:szCs w:val="21"/>
        </w:rPr>
        <w:t>6.</w:t>
      </w:r>
      <w:r>
        <w:rPr>
          <w:color w:val="auto"/>
          <w:sz w:val="21"/>
          <w:szCs w:val="21"/>
        </w:rPr>
        <w:t>7</w:t>
      </w:r>
      <w:r>
        <w:rPr>
          <w:rFonts w:hint="eastAsia"/>
          <w:color w:val="auto"/>
          <w:sz w:val="21"/>
          <w:szCs w:val="21"/>
        </w:rPr>
        <w:t>对试验医疗器械采取措施：指研究者对发生严重不良事件的试验医疗器械采取的措施；若勾选为“其他”，需要注明具体措施。</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rFonts w:hint="eastAsia"/>
          <w:color w:val="auto"/>
          <w:sz w:val="21"/>
          <w:szCs w:val="21"/>
        </w:rPr>
        <w:t>6.</w:t>
      </w:r>
      <w:r>
        <w:rPr>
          <w:color w:val="auto"/>
          <w:sz w:val="21"/>
          <w:szCs w:val="21"/>
        </w:rPr>
        <w:t>8</w:t>
      </w:r>
      <w:r>
        <w:rPr>
          <w:rFonts w:hint="eastAsia"/>
          <w:color w:val="auto"/>
          <w:sz w:val="21"/>
          <w:szCs w:val="21"/>
        </w:rPr>
        <w:t>转归：指填写本表时受试者的转归情况；若勾选为“症状消失”还需选择有无后遗症；若勾选为“其他”，需要注明具体情况。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rFonts w:hint="eastAsia"/>
          <w:color w:val="auto"/>
          <w:sz w:val="21"/>
          <w:szCs w:val="21"/>
        </w:rPr>
        <w:t>6.</w:t>
      </w:r>
      <w:r>
        <w:rPr>
          <w:color w:val="auto"/>
          <w:sz w:val="21"/>
          <w:szCs w:val="21"/>
        </w:rPr>
        <w:t>9</w:t>
      </w:r>
      <w:r>
        <w:rPr>
          <w:rFonts w:hint="eastAsia"/>
          <w:color w:val="auto"/>
          <w:sz w:val="21"/>
          <w:szCs w:val="21"/>
        </w:rPr>
        <w:t>与试验医疗器械的关系：指上报严重不良事件与试验医疗器械的相关性。</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rFonts w:hint="eastAsia"/>
          <w:color w:val="auto"/>
          <w:sz w:val="21"/>
          <w:szCs w:val="21"/>
        </w:rPr>
        <w:t>6</w:t>
      </w:r>
      <w:r>
        <w:rPr>
          <w:color w:val="auto"/>
          <w:sz w:val="21"/>
          <w:szCs w:val="21"/>
        </w:rPr>
        <w:t>.9.1</w:t>
      </w:r>
      <w:r>
        <w:rPr>
          <w:rFonts w:hint="eastAsia"/>
          <w:color w:val="auto"/>
          <w:sz w:val="21"/>
          <w:szCs w:val="21"/>
        </w:rPr>
        <w:t>与试验医疗器械有关：（1）两者存在合理时间关系；（2）试验医疗器械已知风险或者可以用试验医疗器械的机理去解释；（3）停止使用后伤害减轻或者消失；（4）再次使用后伤害再次出现；（5）无法用其他影响因素解释。同时满足其中五条判断为“肯定有关”；满足其中两条判断为“可能有关”。</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rFonts w:hint="eastAsia"/>
          <w:color w:val="auto"/>
          <w:sz w:val="21"/>
          <w:szCs w:val="21"/>
        </w:rPr>
        <w:t>6</w:t>
      </w:r>
      <w:r>
        <w:rPr>
          <w:color w:val="auto"/>
          <w:sz w:val="21"/>
          <w:szCs w:val="21"/>
        </w:rPr>
        <w:t>.9.2</w:t>
      </w:r>
      <w:r>
        <w:rPr>
          <w:rFonts w:hint="eastAsia"/>
          <w:color w:val="auto"/>
          <w:sz w:val="21"/>
          <w:szCs w:val="21"/>
        </w:rPr>
        <w:t>与试验医疗器械无关：（1）两者不存在合理时间关系；（2）该不良事件为该试验医疗器械不可能导致的事件类型；（3）该不良事件可用合并用械/药、患者病情进展、其他治疗影响来解释。同时满足其中三条判断为“肯定无关”；满足其中一条判断为“可能无关”。</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color w:val="auto"/>
          <w:sz w:val="21"/>
          <w:szCs w:val="21"/>
        </w:rPr>
        <w:t>6</w:t>
      </w:r>
      <w:r>
        <w:rPr>
          <w:rFonts w:hint="eastAsia"/>
          <w:color w:val="auto"/>
          <w:sz w:val="21"/>
          <w:szCs w:val="21"/>
        </w:rPr>
        <w:t>.</w:t>
      </w:r>
      <w:r>
        <w:rPr>
          <w:color w:val="auto"/>
          <w:sz w:val="21"/>
          <w:szCs w:val="21"/>
        </w:rPr>
        <w:t>10</w:t>
      </w:r>
      <w:r>
        <w:rPr>
          <w:rFonts w:hint="eastAsia"/>
          <w:color w:val="auto"/>
          <w:sz w:val="21"/>
          <w:szCs w:val="21"/>
        </w:rPr>
        <w:t>是否器械缺陷：指上报严重不良事件是否由试验医疗器械的器械缺陷引起。</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6</w:t>
      </w:r>
      <w:r>
        <w:rPr>
          <w:rFonts w:hint="eastAsia"/>
          <w:color w:val="auto"/>
          <w:sz w:val="21"/>
          <w:szCs w:val="21"/>
        </w:rPr>
        <w:t>.</w:t>
      </w:r>
      <w:r>
        <w:rPr>
          <w:color w:val="auto"/>
          <w:sz w:val="21"/>
          <w:szCs w:val="21"/>
        </w:rPr>
        <w:t>11</w:t>
      </w:r>
      <w:r>
        <w:rPr>
          <w:rFonts w:hint="eastAsia"/>
          <w:color w:val="auto"/>
          <w:sz w:val="21"/>
          <w:szCs w:val="21"/>
        </w:rPr>
        <w:t>是否预期：指上报严重不良事件是否为预期的试验医疗器械严重不良事件。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rFonts w:hint="eastAsia"/>
          <w:color w:val="auto"/>
          <w:sz w:val="21"/>
          <w:szCs w:val="21"/>
        </w:rPr>
        <w:t>6.12是否其他严重安全性风险信息：指上报的内容是否属于其他严重安全性风险信息。</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rFonts w:hint="eastAsia"/>
          <w:color w:val="auto"/>
          <w:sz w:val="21"/>
          <w:szCs w:val="21"/>
        </w:rPr>
        <w:t>6.13是否大范围严重不良事件或其他重大安全性问题：根据临床试验方案、试验医疗器械特征、产品风险以及文献数据等方面，结合此前已报告例数和情况，判断是否属于需要暂停或者终止临床试验的大范围严重不良事件或其他重大安全性问题。</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color w:val="auto"/>
          <w:sz w:val="21"/>
          <w:szCs w:val="21"/>
        </w:rPr>
        <w:t>6.1</w:t>
      </w:r>
      <w:r>
        <w:rPr>
          <w:rFonts w:hint="eastAsia"/>
          <w:color w:val="auto"/>
          <w:sz w:val="21"/>
          <w:szCs w:val="21"/>
        </w:rPr>
        <w:t>4发生以及处理的详细情况：指上报严重不良事件的发生以及研究者处理情况。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color w:val="auto"/>
          <w:sz w:val="21"/>
          <w:szCs w:val="21"/>
        </w:rPr>
        <w:t>6.1</w:t>
      </w:r>
      <w:r>
        <w:rPr>
          <w:rFonts w:hint="eastAsia"/>
          <w:color w:val="auto"/>
          <w:sz w:val="21"/>
          <w:szCs w:val="21"/>
        </w:rPr>
        <w:t>4</w:t>
      </w:r>
      <w:r>
        <w:rPr>
          <w:color w:val="auto"/>
          <w:sz w:val="21"/>
          <w:szCs w:val="21"/>
        </w:rPr>
        <w:t>.1</w:t>
      </w:r>
      <w:r>
        <w:rPr>
          <w:rFonts w:hint="eastAsia"/>
          <w:color w:val="auto"/>
          <w:sz w:val="21"/>
          <w:szCs w:val="21"/>
        </w:rPr>
        <w:t>需描述受试者参加医疗器械临床试验情况。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6.1</w:t>
      </w:r>
      <w:r>
        <w:rPr>
          <w:rFonts w:hint="eastAsia"/>
          <w:color w:val="auto"/>
          <w:sz w:val="21"/>
          <w:szCs w:val="21"/>
        </w:rPr>
        <w:t>4</w:t>
      </w:r>
      <w:r>
        <w:rPr>
          <w:color w:val="auto"/>
          <w:sz w:val="21"/>
          <w:szCs w:val="21"/>
        </w:rPr>
        <w:t>.2</w:t>
      </w:r>
      <w:r>
        <w:rPr>
          <w:rFonts w:hint="eastAsia"/>
          <w:color w:val="auto"/>
          <w:sz w:val="21"/>
          <w:szCs w:val="21"/>
        </w:rPr>
        <w:t>描述试验医疗器械使用情况，对于有源和无源医疗器械应当描述试验医疗器械具体操作使用情况，出现的非预期结果，（可能）对受试者造成的伤害，采取的救治措施以及结果等。对于体外诊断医疗器械，应当描述患者诊疗信息（如疾病情况、用药情况等）、样本检测过程与结果、发现的异常情况、采取的措施、最终结果判定、对临床诊疗的影响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color w:val="auto"/>
          <w:sz w:val="21"/>
          <w:szCs w:val="21"/>
        </w:rPr>
        <w:t>6.1</w:t>
      </w:r>
      <w:r>
        <w:rPr>
          <w:rFonts w:hint="eastAsia"/>
          <w:color w:val="auto"/>
          <w:sz w:val="21"/>
          <w:szCs w:val="21"/>
        </w:rPr>
        <w:t>4</w:t>
      </w:r>
      <w:r>
        <w:rPr>
          <w:color w:val="auto"/>
          <w:sz w:val="21"/>
          <w:szCs w:val="21"/>
        </w:rPr>
        <w:t>.3</w:t>
      </w:r>
      <w:r>
        <w:rPr>
          <w:rFonts w:hint="eastAsia"/>
          <w:color w:val="auto"/>
          <w:sz w:val="21"/>
          <w:szCs w:val="21"/>
        </w:rPr>
        <w:t>描述严重不良事件发生与处理情况。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color w:val="auto"/>
          <w:sz w:val="21"/>
          <w:szCs w:val="21"/>
        </w:rPr>
      </w:pPr>
      <w:r>
        <w:rPr>
          <w:rFonts w:hint="eastAsia"/>
          <w:color w:val="auto"/>
          <w:sz w:val="21"/>
          <w:szCs w:val="21"/>
        </w:rPr>
        <w:t>6.14.4若是大范围严重不良事件，需要详细描述相关受试者严重不良事件的汇总情况。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rPr>
      </w:pPr>
      <w:r>
        <w:rPr>
          <w:rFonts w:hint="eastAsia"/>
          <w:color w:val="auto"/>
          <w:sz w:val="21"/>
          <w:szCs w:val="21"/>
        </w:rPr>
        <w:t>6.15采取何种风险控制措施：指针对严重不良事件已采取或者拟采取的风险控制措施。勾选“其他”，需要描述具体措施，比如：加强研究者培训、密切跟踪随访等。</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906"/>
        <w:gridCol w:w="915"/>
        <w:gridCol w:w="3072"/>
        <w:gridCol w:w="2715"/>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36"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90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3072"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2715"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217"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3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0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3.0</w:t>
            </w:r>
          </w:p>
        </w:tc>
        <w:tc>
          <w:tcPr>
            <w:tcW w:w="91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3072" w:type="dxa"/>
            <w:vAlign w:val="center"/>
          </w:tcPr>
          <w:p>
            <w:pPr>
              <w:rPr>
                <w:rFonts w:hint="default" w:ascii="宋体" w:hAnsi="宋体" w:eastAsia="宋体" w:cs="宋体"/>
                <w:color w:val="auto"/>
                <w:lang w:val="en-US" w:eastAsia="zh-CN"/>
              </w:rPr>
            </w:pPr>
            <w:r>
              <w:rPr>
                <w:rFonts w:hint="eastAsia" w:ascii="宋体" w:hAnsi="宋体" w:eastAsia="宋体" w:cs="宋体"/>
                <w:color w:val="auto"/>
                <w:lang w:val="en-US" w:eastAsia="zh-CN"/>
              </w:rPr>
              <w:t>1.根据最新版</w:t>
            </w:r>
            <w:r>
              <w:rPr>
                <w:rFonts w:hint="eastAsia" w:ascii="宋体" w:hAnsi="宋体" w:cs="宋体"/>
                <w:color w:val="auto"/>
                <w:lang w:val="en-US" w:eastAsia="zh-CN"/>
              </w:rPr>
              <w:t>器械</w:t>
            </w:r>
            <w:r>
              <w:rPr>
                <w:rFonts w:hint="eastAsia" w:ascii="宋体" w:hAnsi="宋体" w:eastAsia="宋体" w:cs="宋体"/>
                <w:color w:val="auto"/>
                <w:lang w:val="en-US" w:eastAsia="zh-CN"/>
              </w:rPr>
              <w:t>GCP修订</w:t>
            </w:r>
            <w:r>
              <w:rPr>
                <w:rFonts w:hint="eastAsia" w:ascii="宋体" w:hAnsi="宋体" w:cs="宋体"/>
                <w:color w:val="auto"/>
                <w:lang w:val="en-US" w:eastAsia="zh-CN"/>
              </w:rPr>
              <w:t>，修订医疗器械临床试验SAE上报流程。</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2.为确保制度的严谨性，增加参考文献。</w:t>
            </w:r>
          </w:p>
        </w:tc>
        <w:tc>
          <w:tcPr>
            <w:tcW w:w="2715" w:type="dxa"/>
            <w:vAlign w:val="center"/>
          </w:tcPr>
          <w:p>
            <w:pPr>
              <w:rPr>
                <w:rFonts w:hint="eastAsia" w:ascii="宋体" w:hAnsi="宋体" w:cs="宋体"/>
                <w:color w:val="auto"/>
                <w:lang w:val="en-US" w:eastAsia="zh-CN"/>
              </w:rPr>
            </w:pPr>
            <w:r>
              <w:rPr>
                <w:rFonts w:hint="eastAsia" w:ascii="宋体" w:hAnsi="宋体" w:eastAsia="宋体" w:cs="宋体"/>
                <w:color w:val="auto"/>
                <w:lang w:val="en-US" w:eastAsia="zh-CN"/>
              </w:rPr>
              <w:t>1.</w:t>
            </w:r>
            <w:r>
              <w:rPr>
                <w:rFonts w:hint="eastAsia" w:ascii="宋体" w:hAnsi="宋体" w:cs="宋体"/>
                <w:color w:val="auto"/>
                <w:lang w:val="en-US" w:eastAsia="zh-CN"/>
              </w:rPr>
              <w:t>修订医疗器械临床试验SAE上报流程相关内容。</w:t>
            </w:r>
          </w:p>
          <w:p>
            <w:pPr>
              <w:rPr>
                <w:rFonts w:hint="default" w:ascii="宋体" w:hAnsi="宋体" w:eastAsia="宋体" w:cs="宋体"/>
                <w:color w:val="auto"/>
                <w:lang w:val="en-US" w:eastAsia="zh-CN"/>
              </w:rPr>
            </w:pPr>
            <w:r>
              <w:rPr>
                <w:rFonts w:hint="eastAsia" w:ascii="宋体" w:hAnsi="宋体" w:eastAsia="宋体" w:cs="宋体"/>
                <w:color w:val="auto"/>
                <w:lang w:val="en-US" w:eastAsia="zh-CN"/>
              </w:rPr>
              <w:t>2.删除《沂源县人民医院药物/医疗器械临床试验机构回执表》</w:t>
            </w:r>
          </w:p>
          <w:p>
            <w:pPr>
              <w:rPr>
                <w:rFonts w:hint="eastAsia" w:ascii="宋体" w:hAnsi="宋体" w:eastAsia="宋体" w:cs="宋体"/>
                <w:color w:val="auto"/>
                <w:lang w:val="en-US" w:eastAsia="zh-CN"/>
              </w:rPr>
            </w:pPr>
            <w:r>
              <w:rPr>
                <w:rFonts w:hint="eastAsia" w:ascii="宋体" w:hAnsi="宋体" w:cs="宋体"/>
                <w:color w:val="auto"/>
                <w:lang w:val="en-US" w:eastAsia="zh-CN"/>
              </w:rPr>
              <w:t>3.</w:t>
            </w:r>
            <w:r>
              <w:rPr>
                <w:rFonts w:hint="eastAsia" w:ascii="宋体" w:hAnsi="宋体" w:eastAsia="宋体" w:cs="宋体"/>
                <w:color w:val="auto"/>
                <w:lang w:val="en-US" w:eastAsia="zh-CN"/>
              </w:rPr>
              <w:t>新增参考文献。</w:t>
            </w:r>
          </w:p>
          <w:p>
            <w:pPr>
              <w:rPr>
                <w:rFonts w:hint="eastAsia" w:ascii="宋体" w:hAnsi="宋体" w:eastAsia="宋体" w:cs="宋体"/>
                <w:color w:val="auto"/>
                <w:lang w:val="en-US" w:eastAsia="zh-CN"/>
              </w:rPr>
            </w:pPr>
          </w:p>
        </w:tc>
        <w:tc>
          <w:tcPr>
            <w:tcW w:w="1217" w:type="dxa"/>
            <w:vAlign w:val="center"/>
          </w:tcPr>
          <w:p>
            <w:pPr>
              <w:rPr>
                <w:rFonts w:hint="eastAsia" w:ascii="宋体" w:hAnsi="宋体" w:eastAsia="宋体" w:cs="宋体"/>
                <w:color w:val="auto"/>
                <w:lang w:val="en-US" w:eastAsia="zh-CN"/>
              </w:rPr>
            </w:pPr>
          </w:p>
        </w:tc>
      </w:tr>
    </w:tbl>
    <w:p>
      <w:pPr>
        <w:spacing w:line="360" w:lineRule="auto"/>
        <w:ind w:firstLine="2409" w:firstLineChars="1000"/>
        <w:outlineLvl w:val="2"/>
        <w:rPr>
          <w:rFonts w:asciiTheme="majorEastAsia" w:hAnsiTheme="majorEastAsia" w:eastAsiaTheme="majorEastAsia" w:cstheme="majorEastAsia"/>
          <w:b/>
          <w:color w:val="auto"/>
          <w:sz w:val="24"/>
          <w:szCs w:val="24"/>
        </w:rPr>
      </w:pPr>
    </w:p>
    <w:p>
      <w:pPr>
        <w:spacing w:line="360" w:lineRule="auto"/>
        <w:ind w:firstLine="2811" w:firstLineChars="1000"/>
        <w:outlineLvl w:val="2"/>
        <w:rPr>
          <w:rFonts w:ascii="黑体" w:hAnsi="黑体" w:eastAsia="黑体" w:cs="黑体"/>
          <w:b/>
          <w:color w:val="auto"/>
          <w:sz w:val="28"/>
          <w:szCs w:val="28"/>
        </w:rPr>
        <w:sectPr>
          <w:pgSz w:w="11906" w:h="16838"/>
          <w:pgMar w:top="1417" w:right="1191" w:bottom="1474" w:left="1474" w:header="0" w:footer="992" w:gutter="0"/>
          <w:pgBorders>
            <w:top w:val="none" w:sz="0" w:space="0"/>
            <w:left w:val="none" w:sz="0" w:space="0"/>
            <w:bottom w:val="none" w:sz="0" w:space="0"/>
            <w:right w:val="none" w:sz="0" w:space="0"/>
          </w:pgBorders>
          <w:pgNumType w:fmt="decimal"/>
          <w:cols w:space="0" w:num="1"/>
          <w:docGrid w:type="lines" w:linePitch="312" w:charSpace="0"/>
        </w:sectPr>
      </w:pPr>
    </w:p>
    <w:p>
      <w:pPr>
        <w:spacing w:line="360" w:lineRule="auto"/>
        <w:ind w:firstLine="2249" w:firstLineChars="800"/>
        <w:outlineLvl w:val="2"/>
        <w:rPr>
          <w:rFonts w:ascii="黑体" w:hAnsi="黑体" w:eastAsia="黑体" w:cs="黑体"/>
          <w:b/>
          <w:color w:val="auto"/>
          <w:sz w:val="28"/>
          <w:szCs w:val="28"/>
        </w:rPr>
      </w:pPr>
      <w:r>
        <w:rPr>
          <w:rFonts w:hint="eastAsia" w:ascii="黑体" w:hAnsi="黑体" w:eastAsia="黑体" w:cs="黑体"/>
          <w:b/>
          <w:color w:val="auto"/>
          <w:sz w:val="28"/>
          <w:szCs w:val="28"/>
        </w:rPr>
        <w:t>临床试验应急预案和急救SOP</w:t>
      </w:r>
    </w:p>
    <w:p>
      <w:pPr>
        <w:spacing w:line="360" w:lineRule="auto"/>
        <w:ind w:firstLine="240" w:firstLineChars="100"/>
        <w:outlineLvl w:val="2"/>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一、目的</w:t>
      </w:r>
    </w:p>
    <w:p>
      <w:pPr>
        <w:spacing w:line="360" w:lineRule="auto"/>
        <w:ind w:left="240" w:hanging="240" w:hangingChars="100"/>
        <w:outlineLvl w:val="2"/>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 xml:space="preserve">    为了做好临床试验过程中可能发生的受试者的损害及突发事件的处理，保障受试者的安全，制定本流程。</w:t>
      </w:r>
    </w:p>
    <w:p>
      <w:pPr>
        <w:spacing w:line="360" w:lineRule="auto"/>
        <w:ind w:left="-210" w:leftChars="-100" w:firstLine="480" w:firstLineChars="200"/>
        <w:outlineLvl w:val="2"/>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二、范围</w:t>
      </w:r>
    </w:p>
    <w:p>
      <w:pPr>
        <w:spacing w:line="360" w:lineRule="auto"/>
        <w:ind w:left="-210" w:leftChars="-100"/>
        <w:outlineLvl w:val="2"/>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 xml:space="preserve">       适用于本</w:t>
      </w:r>
      <w:r>
        <w:rPr>
          <w:rFonts w:hint="eastAsia" w:asciiTheme="minorEastAsia" w:hAnsiTheme="minorEastAsia" w:cstheme="minorEastAsia"/>
          <w:bCs/>
          <w:color w:val="auto"/>
          <w:sz w:val="24"/>
          <w:szCs w:val="24"/>
          <w:lang w:val="en-US" w:eastAsia="zh-CN"/>
        </w:rPr>
        <w:t>机构药物/医疗器械</w:t>
      </w:r>
      <w:r>
        <w:rPr>
          <w:rFonts w:hint="eastAsia" w:asciiTheme="minorEastAsia" w:hAnsiTheme="minorEastAsia" w:cstheme="minorEastAsia"/>
          <w:bCs/>
          <w:color w:val="auto"/>
          <w:sz w:val="24"/>
          <w:szCs w:val="24"/>
        </w:rPr>
        <w:t>临床试验。</w:t>
      </w:r>
    </w:p>
    <w:p>
      <w:pPr>
        <w:spacing w:line="360" w:lineRule="auto"/>
        <w:ind w:left="-210" w:leftChars="-100" w:firstLine="480" w:firstLineChars="200"/>
        <w:outlineLvl w:val="2"/>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三、规程</w:t>
      </w:r>
    </w:p>
    <w:p>
      <w:pPr>
        <w:spacing w:line="360" w:lineRule="auto"/>
        <w:ind w:left="239" w:leftChars="114"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在临床试验开始前必须记录受试者的联系电话号码，包括移动电话、家庭电话、单位电话等，并记录受试者的家庭住址、单位地址。同时还应记录受试者的最主要亲属如妻子、丈夫、子女、父母等的联系电话，以备紧急情况下使用。但上述电话属个人隐私，应予保密。</w:t>
      </w:r>
    </w:p>
    <w:p>
      <w:pPr>
        <w:spacing w:line="360" w:lineRule="auto"/>
        <w:ind w:left="239" w:leftChars="114"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2.临床试验开始前应将主要研究者、主管医生的移动电话、单位的办公电话、门诊、病房和医院急诊科的电话号码告知受试者并告知医院的具体地址。药物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临床试验机构办公室电话：(0533)3241667。</w:t>
      </w:r>
    </w:p>
    <w:p>
      <w:pPr>
        <w:spacing w:line="360" w:lineRule="auto"/>
        <w:ind w:left="239" w:leftChars="114"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出现需要立即处理的临床不良事件时，情况不严重者应该立即与主要研究者或主管医生取得联系。后者在接到受试者报告后，应当立即根据受试者的具体情况告知其具体处理措施，并立即记录事件的经过、发生的时间、处理方法，保存入CRF表中。</w:t>
      </w:r>
    </w:p>
    <w:p>
      <w:pPr>
        <w:spacing w:line="360" w:lineRule="auto"/>
        <w:ind w:left="239" w:leftChars="114"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4、如受试者发生了可以预测的不良事件，则应按照预先制定的处理该不良事件SOP进行处理。</w:t>
      </w:r>
    </w:p>
    <w:p>
      <w:pPr>
        <w:spacing w:line="360" w:lineRule="auto"/>
        <w:ind w:left="239" w:leftChars="114"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5、如果所发生的不良事件情况严重，且所发生情况与专业有关，可让受试者立即到门急诊进行医学处理，必要时立即收住病房进行救治。</w:t>
      </w:r>
    </w:p>
    <w:p>
      <w:pPr>
        <w:spacing w:line="360" w:lineRule="auto"/>
        <w:ind w:left="239" w:leftChars="114"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如发生的不良事件严重且与专业无关，则应尽快送往相应科室进行抢救，如情况允许，也可送往我院急诊科进行救治，同时应及时与主要研究者和主管医生联系。主要研究者或主管医生在接到报告后应立即赶往救治科室，向负责救治的医生介绍受试者药物</w:t>
      </w:r>
      <w:r>
        <w:rPr>
          <w:rFonts w:hint="eastAsia" w:asciiTheme="minorEastAsia" w:hAnsiTheme="minorEastAsia" w:cstheme="minorEastAsia"/>
          <w:color w:val="auto"/>
          <w:sz w:val="24"/>
          <w:szCs w:val="24"/>
          <w:lang w:val="en-US" w:eastAsia="zh-CN"/>
        </w:rPr>
        <w:t>或医疗器械</w:t>
      </w:r>
      <w:r>
        <w:rPr>
          <w:rFonts w:hint="eastAsia" w:asciiTheme="minorEastAsia" w:hAnsiTheme="minorEastAsia" w:cstheme="minorEastAsia"/>
          <w:color w:val="auto"/>
          <w:sz w:val="24"/>
          <w:szCs w:val="24"/>
        </w:rPr>
        <w:t xml:space="preserve">临床试验的情况，以利于受试者的救治工作。   </w:t>
      </w:r>
    </w:p>
    <w:p>
      <w:pPr>
        <w:spacing w:line="360" w:lineRule="auto"/>
        <w:ind w:left="239" w:leftChars="114"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7、在发生上述情况后，除对受试者进行立即的医学处理外，应当按预先制定的药物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临床试验不良事件和严重不良事件报告SOP进行操作。</w:t>
      </w:r>
    </w:p>
    <w:p>
      <w:pPr>
        <w:spacing w:line="360" w:lineRule="auto"/>
        <w:ind w:left="239" w:leftChars="114"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8、医生、护士应当熟悉预案，当有受试者向其报告发生不良事件时，应及时同主要研究者和主管医生取得联系，报告情况。如有受试者来到门诊或病房要求处理，应按医疗原则进行必要的处理，并记录处理经过。</w:t>
      </w:r>
    </w:p>
    <w:p>
      <w:pPr>
        <w:spacing w:line="360" w:lineRule="auto"/>
        <w:ind w:left="239" w:leftChars="114"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9、如主要研究者和主管医生均不在时，应将工作指定给一位年资相当的医生，并将该医生的联系方式告知受试者。该医生在受试者</w:t>
      </w:r>
      <w:r>
        <w:rPr>
          <w:rFonts w:hint="eastAsia" w:asciiTheme="minorEastAsia" w:hAnsiTheme="minorEastAsia" w:cstheme="minorEastAsia"/>
          <w:color w:val="auto"/>
          <w:sz w:val="24"/>
          <w:szCs w:val="24"/>
          <w:lang w:val="en-US" w:eastAsia="zh-CN"/>
        </w:rPr>
        <w:t>发生</w:t>
      </w:r>
      <w:r>
        <w:rPr>
          <w:rFonts w:hint="eastAsia" w:asciiTheme="minorEastAsia" w:hAnsiTheme="minorEastAsia" w:cstheme="minorEastAsia"/>
          <w:color w:val="auto"/>
          <w:sz w:val="24"/>
          <w:szCs w:val="24"/>
        </w:rPr>
        <w:t>不良事件或严重不良事件时应按本预案的要求对受试者进行救治。</w:t>
      </w:r>
    </w:p>
    <w:p>
      <w:pPr>
        <w:spacing w:line="480" w:lineRule="auto"/>
        <w:ind w:firstLine="2891" w:firstLineChars="1200"/>
        <w:rPr>
          <w:rFonts w:asciiTheme="minorEastAsia" w:hAnsiTheme="minorEastAsia" w:cstheme="minorEastAsia"/>
          <w:b/>
          <w:bCs/>
          <w:color w:val="auto"/>
          <w:sz w:val="24"/>
          <w:szCs w:val="24"/>
        </w:rPr>
      </w:pPr>
    </w:p>
    <w:p>
      <w:pPr>
        <w:spacing w:line="480" w:lineRule="auto"/>
        <w:ind w:firstLine="2891" w:firstLineChars="1200"/>
        <w:rPr>
          <w:rFonts w:asciiTheme="minorEastAsia" w:hAnsiTheme="minorEastAsia" w:cstheme="minorEastAsia"/>
          <w:b/>
          <w:bCs/>
          <w:color w:val="auto"/>
          <w:sz w:val="24"/>
          <w:szCs w:val="24"/>
        </w:rPr>
      </w:pPr>
    </w:p>
    <w:p>
      <w:pPr>
        <w:spacing w:line="480" w:lineRule="auto"/>
        <w:jc w:val="center"/>
        <w:rPr>
          <w:rFonts w:asciiTheme="minorEastAsia" w:hAnsiTheme="minorEastAsia" w:cstheme="minorEastAsia"/>
          <w:b/>
          <w:bCs/>
          <w:color w:val="auto"/>
          <w:sz w:val="24"/>
          <w:szCs w:val="24"/>
        </w:rPr>
        <w:sectPr>
          <w:headerReference r:id="rId131" w:type="default"/>
          <w:footerReference r:id="rId132"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spacing w:line="480" w:lineRule="auto"/>
        <w:jc w:val="center"/>
        <w:rPr>
          <w:rFonts w:ascii="黑体" w:hAnsi="黑体" w:eastAsia="黑体" w:cs="黑体"/>
          <w:b/>
          <w:bCs/>
          <w:color w:val="auto"/>
          <w:sz w:val="28"/>
          <w:szCs w:val="28"/>
          <w:highlight w:val="none"/>
        </w:rPr>
      </w:pPr>
      <w:r>
        <w:rPr>
          <w:rFonts w:hint="eastAsia" w:ascii="黑体" w:hAnsi="黑体" w:eastAsia="黑体" w:cs="黑体"/>
          <w:b/>
          <w:bCs/>
          <w:color w:val="auto"/>
          <w:sz w:val="28"/>
          <w:szCs w:val="28"/>
          <w:highlight w:val="none"/>
        </w:rPr>
        <w:t>原始资料记录的SOP</w:t>
      </w:r>
    </w:p>
    <w:p>
      <w:pPr>
        <w:autoSpaceDE w:val="0"/>
        <w:autoSpaceDN w:val="0"/>
        <w:adjustRightInd w:val="0"/>
        <w:spacing w:line="360" w:lineRule="auto"/>
        <w:ind w:firstLine="240" w:firstLineChars="1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一、目的</w:t>
      </w:r>
    </w:p>
    <w:p>
      <w:pPr>
        <w:autoSpaceDE w:val="0"/>
        <w:autoSpaceDN w:val="0"/>
        <w:adjustRightInd w:val="0"/>
        <w:spacing w:line="360" w:lineRule="auto"/>
        <w:ind w:firstLine="720" w:firstLineChars="3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规范临床试验原始资料记录的标准操作流程。</w:t>
      </w:r>
    </w:p>
    <w:p>
      <w:pPr>
        <w:autoSpaceDE w:val="0"/>
        <w:autoSpaceDN w:val="0"/>
        <w:adjustRightInd w:val="0"/>
        <w:snapToGrid w:val="0"/>
        <w:spacing w:line="360" w:lineRule="auto"/>
        <w:ind w:firstLine="240" w:firstLineChars="1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二、范围</w:t>
      </w:r>
    </w:p>
    <w:p>
      <w:pPr>
        <w:autoSpaceDE w:val="0"/>
        <w:autoSpaceDN w:val="0"/>
        <w:adjustRightInd w:val="0"/>
        <w:snapToGrid w:val="0"/>
        <w:spacing w:line="360" w:lineRule="auto"/>
        <w:ind w:firstLine="720" w:firstLineChars="3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适用于在本机构开展的</w:t>
      </w:r>
      <w:r>
        <w:rPr>
          <w:rFonts w:hint="eastAsia" w:asciiTheme="minorEastAsia" w:hAnsiTheme="minorEastAsia" w:cstheme="minorEastAsia"/>
          <w:color w:val="auto"/>
          <w:sz w:val="24"/>
          <w:szCs w:val="24"/>
          <w:lang w:val="en-US" w:eastAsia="zh-CN"/>
        </w:rPr>
        <w:t>药物/医疗器械</w:t>
      </w:r>
      <w:r>
        <w:rPr>
          <w:rFonts w:hint="eastAsia" w:asciiTheme="minorEastAsia" w:hAnsiTheme="minorEastAsia" w:cstheme="minorEastAsia"/>
          <w:color w:val="auto"/>
          <w:sz w:val="24"/>
          <w:szCs w:val="24"/>
        </w:rPr>
        <w:t>临床试验项目。</w:t>
      </w:r>
    </w:p>
    <w:p>
      <w:pPr>
        <w:autoSpaceDE w:val="0"/>
        <w:autoSpaceDN w:val="0"/>
        <w:adjustRightInd w:val="0"/>
        <w:spacing w:line="360" w:lineRule="auto"/>
        <w:ind w:firstLine="240" w:firstLineChars="100"/>
        <w:jc w:val="left"/>
        <w:rPr>
          <w:rFonts w:asciiTheme="minorEastAsia" w:hAnsiTheme="minorEastAsia" w:cstheme="minorEastAsia"/>
          <w:b/>
          <w:bCs/>
          <w:color w:val="auto"/>
          <w:sz w:val="24"/>
          <w:szCs w:val="24"/>
        </w:rPr>
      </w:pPr>
      <w:r>
        <w:rPr>
          <w:rFonts w:hint="eastAsia" w:asciiTheme="minorEastAsia" w:hAnsiTheme="minorEastAsia" w:cstheme="minorEastAsia"/>
          <w:color w:val="auto"/>
          <w:sz w:val="24"/>
          <w:szCs w:val="24"/>
        </w:rPr>
        <w:t>三、规程</w:t>
      </w:r>
    </w:p>
    <w:p>
      <w:pPr>
        <w:spacing w:line="360" w:lineRule="auto"/>
        <w:ind w:left="239" w:leftChars="114"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rPr>
        <w:t>原始资料指原始数据和记录。例如：医院记录、临床及办公室图表、实验室记录、备忘录、受试者日记及评估用核对表、</w:t>
      </w:r>
      <w:r>
        <w:rPr>
          <w:rFonts w:hint="eastAsia" w:asciiTheme="minorEastAsia" w:hAnsiTheme="minorEastAsia" w:cstheme="minorEastAsia"/>
          <w:color w:val="auto"/>
          <w:sz w:val="24"/>
          <w:szCs w:val="24"/>
          <w:lang w:val="en-US" w:eastAsia="zh-CN"/>
        </w:rPr>
        <w:t>药物/医疗器械</w:t>
      </w:r>
      <w:r>
        <w:rPr>
          <w:rFonts w:hint="eastAsia" w:asciiTheme="minorEastAsia" w:hAnsiTheme="minorEastAsia" w:cstheme="minorEastAsia"/>
          <w:color w:val="auto"/>
          <w:sz w:val="24"/>
          <w:szCs w:val="24"/>
        </w:rPr>
        <w:t>发放记录、自动仪器记录的数据、经核实为准确副本的复印件或誊抄件、微软胶片、照相负片、微缩胶卷、磁性媒体、X线片、受试者档案以及保存于参试单位药房、实验室和医疗技术部门中的记录。原始资料的信息用于完成病例报告表，因此所有在病例报告表上记录的信息和数据，均应在原始资料中有相应一致的记录。</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（一）在临床试验开始前，监查员应与研究人员讨论明确相关原始资料内容包括：</w:t>
      </w:r>
    </w:p>
    <w:p>
      <w:pPr>
        <w:tabs>
          <w:tab w:val="left" w:pos="0"/>
        </w:tabs>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1.受试者进入试验的时间。</w:t>
      </w:r>
    </w:p>
    <w:p>
      <w:pPr>
        <w:tabs>
          <w:tab w:val="left" w:pos="0"/>
        </w:tabs>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2.确定诊断和符合入选标准的检查资料。</w:t>
      </w:r>
    </w:p>
    <w:p>
      <w:pPr>
        <w:tabs>
          <w:tab w:val="left" w:pos="0"/>
        </w:tabs>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3.病史，包括试验药</w:t>
      </w:r>
      <w:r>
        <w:rPr>
          <w:rFonts w:hint="eastAsia" w:asciiTheme="minorEastAsia" w:hAnsiTheme="minorEastAsia" w:cstheme="minorEastAsia"/>
          <w:color w:val="auto"/>
          <w:sz w:val="24"/>
          <w:szCs w:val="24"/>
          <w:lang w:val="en-US" w:eastAsia="zh-CN"/>
        </w:rPr>
        <w:t>物或试验医疗器械</w:t>
      </w:r>
      <w:r>
        <w:rPr>
          <w:rFonts w:hint="eastAsia" w:asciiTheme="minorEastAsia" w:hAnsiTheme="minorEastAsia" w:cstheme="minorEastAsia"/>
          <w:color w:val="auto"/>
          <w:sz w:val="24"/>
          <w:szCs w:val="24"/>
        </w:rPr>
        <w:t>将治疗的疾病病史。</w:t>
      </w:r>
    </w:p>
    <w:p>
      <w:pPr>
        <w:tabs>
          <w:tab w:val="left" w:pos="0"/>
        </w:tabs>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4.目前的身体状况。</w:t>
      </w:r>
    </w:p>
    <w:p>
      <w:pPr>
        <w:tabs>
          <w:tab w:val="left" w:pos="0"/>
        </w:tabs>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5.目前的伴随用药。</w:t>
      </w:r>
    </w:p>
    <w:p>
      <w:pPr>
        <w:tabs>
          <w:tab w:val="left" w:pos="0"/>
        </w:tabs>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6.在1个月内停止应用的药品</w:t>
      </w:r>
      <w:r>
        <w:rPr>
          <w:rFonts w:hint="eastAsia" w:asciiTheme="minorEastAsia" w:hAnsiTheme="minorEastAsia" w:cstheme="minorEastAsia"/>
          <w:color w:val="auto"/>
          <w:sz w:val="24"/>
          <w:szCs w:val="24"/>
          <w:lang w:val="en-US" w:eastAsia="zh-CN"/>
        </w:rPr>
        <w:t>或停止采用的治疗</w:t>
      </w:r>
      <w:r>
        <w:rPr>
          <w:rFonts w:hint="eastAsia" w:asciiTheme="minorEastAsia" w:hAnsiTheme="minorEastAsia" w:cstheme="minorEastAsia"/>
          <w:color w:val="auto"/>
          <w:sz w:val="24"/>
          <w:szCs w:val="24"/>
        </w:rPr>
        <w:t>（如试验方案要求可更长）。</w:t>
      </w:r>
    </w:p>
    <w:p>
      <w:pPr>
        <w:tabs>
          <w:tab w:val="left" w:pos="0"/>
        </w:tabs>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7.受试者签署知情同意书的说明。</w:t>
      </w:r>
    </w:p>
    <w:p>
      <w:pPr>
        <w:tabs>
          <w:tab w:val="left" w:pos="0"/>
        </w:tabs>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8.受试者所参加的临床试验的名称和/或试验方案编码。</w:t>
      </w:r>
    </w:p>
    <w:p>
      <w:pPr>
        <w:tabs>
          <w:tab w:val="left" w:pos="0"/>
        </w:tabs>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9.试验方案要求受试者访问的日期。</w:t>
      </w:r>
    </w:p>
    <w:p>
      <w:pPr>
        <w:spacing w:line="360" w:lineRule="auto"/>
        <w:ind w:left="479" w:leftChars="228"/>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10.执行临床试验要求的各种检查及步骤（实验室样本、X线检查、心电图等），包括检查的日期和结果。</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11.任何不良事件和研究过程中受试者报告的问题等。</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12.受试者应用试验</w:t>
      </w:r>
      <w:r>
        <w:rPr>
          <w:rFonts w:hint="eastAsia" w:asciiTheme="minorEastAsia" w:hAnsiTheme="minorEastAsia" w:cstheme="minorEastAsia"/>
          <w:color w:val="auto"/>
          <w:sz w:val="24"/>
          <w:szCs w:val="24"/>
          <w:lang w:val="en-US" w:eastAsia="zh-CN"/>
        </w:rPr>
        <w:t>药物的用法用量或应用医疗器械治疗的使用方法</w:t>
      </w:r>
      <w:r>
        <w:rPr>
          <w:rFonts w:hint="eastAsia" w:asciiTheme="minorEastAsia" w:hAnsiTheme="minorEastAsia" w:cstheme="minorEastAsia"/>
          <w:color w:val="auto"/>
          <w:sz w:val="24"/>
          <w:szCs w:val="24"/>
        </w:rPr>
        <w:t>。</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13.实验中伴随用药</w:t>
      </w:r>
      <w:r>
        <w:rPr>
          <w:rFonts w:hint="eastAsia" w:asciiTheme="minorEastAsia" w:hAnsiTheme="minorEastAsia" w:cstheme="minorEastAsia"/>
          <w:color w:val="auto"/>
          <w:sz w:val="24"/>
          <w:szCs w:val="24"/>
          <w:lang w:val="en-US" w:eastAsia="zh-CN"/>
        </w:rPr>
        <w:t>物</w:t>
      </w:r>
      <w:r>
        <w:rPr>
          <w:rFonts w:hint="eastAsia" w:asciiTheme="minorEastAsia" w:hAnsiTheme="minorEastAsia" w:cstheme="minorEastAsia"/>
          <w:color w:val="auto"/>
          <w:sz w:val="24"/>
          <w:szCs w:val="24"/>
        </w:rPr>
        <w:t>或治疗的记录。</w:t>
      </w:r>
    </w:p>
    <w:p>
      <w:pPr>
        <w:spacing w:line="360" w:lineRule="auto"/>
        <w:ind w:left="479" w:leftChars="228"/>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14.任何有关临床试验的额外信息，例如在试验方案中特殊敷料和治疗意外发生的事件，如药</w:t>
      </w:r>
      <w:r>
        <w:rPr>
          <w:rFonts w:hint="eastAsia" w:asciiTheme="minorEastAsia" w:hAnsiTheme="minorEastAsia" w:cstheme="minorEastAsia"/>
          <w:color w:val="auto"/>
          <w:sz w:val="24"/>
          <w:szCs w:val="24"/>
          <w:lang w:val="en-US" w:eastAsia="zh-CN"/>
        </w:rPr>
        <w:t>物/医疗器械</w:t>
      </w:r>
      <w:r>
        <w:rPr>
          <w:rFonts w:hint="eastAsia" w:asciiTheme="minorEastAsia" w:hAnsiTheme="minorEastAsia" w:cstheme="minorEastAsia"/>
          <w:color w:val="auto"/>
          <w:sz w:val="24"/>
          <w:szCs w:val="24"/>
        </w:rPr>
        <w:t>的丢失或受试者拒绝依从方案的要求，也应在原始资料中记录并进行解释。</w:t>
      </w:r>
    </w:p>
    <w:p>
      <w:pPr>
        <w:spacing w:line="360" w:lineRule="auto"/>
        <w:ind w:left="479" w:leftChars="228"/>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15.任何对试验方案的违背或偏离均应记录在原始资料中，并说明违背或偏离的原因。例如研究要求的步骤没有完成或没有在方案规定的时间完成。</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（二）原始资料的建立：</w:t>
      </w:r>
    </w:p>
    <w:p>
      <w:pPr>
        <w:tabs>
          <w:tab w:val="left" w:pos="0"/>
        </w:tabs>
        <w:spacing w:line="360" w:lineRule="auto"/>
        <w:ind w:left="479" w:leftChars="228"/>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1.试验开始前由申请者提出的试验方案，经研究者、监查者讨论、修改的试验方案修正案，须由研究护士保存。</w:t>
      </w:r>
    </w:p>
    <w:p>
      <w:pPr>
        <w:tabs>
          <w:tab w:val="left" w:pos="0"/>
        </w:tabs>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2.临床试验医师按照受试者知情同意SOP与受试者签署知情同意书。</w:t>
      </w:r>
    </w:p>
    <w:p>
      <w:pPr>
        <w:tabs>
          <w:tab w:val="left" w:pos="0"/>
        </w:tabs>
        <w:spacing w:line="360" w:lineRule="auto"/>
        <w:ind w:left="479" w:leftChars="228"/>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3.试验药</w:t>
      </w:r>
      <w:r>
        <w:rPr>
          <w:rFonts w:hint="eastAsia" w:asciiTheme="minorEastAsia" w:hAnsiTheme="minorEastAsia" w:cstheme="minorEastAsia"/>
          <w:color w:val="auto"/>
          <w:sz w:val="24"/>
          <w:szCs w:val="24"/>
          <w:lang w:val="en-US" w:eastAsia="zh-CN"/>
        </w:rPr>
        <w:t>物/医疗器械</w:t>
      </w:r>
      <w:r>
        <w:rPr>
          <w:rFonts w:hint="eastAsia" w:asciiTheme="minorEastAsia" w:hAnsiTheme="minorEastAsia" w:cstheme="minorEastAsia"/>
          <w:color w:val="auto"/>
          <w:sz w:val="24"/>
          <w:szCs w:val="24"/>
        </w:rPr>
        <w:t>的接收、保存、分发和回收记录由</w:t>
      </w:r>
      <w:r>
        <w:rPr>
          <w:rFonts w:hint="eastAsia" w:asciiTheme="minorEastAsia" w:hAnsiTheme="minorEastAsia" w:cstheme="minorEastAsia"/>
          <w:color w:val="auto"/>
          <w:sz w:val="24"/>
          <w:szCs w:val="24"/>
          <w:lang w:val="en-US" w:eastAsia="zh-CN"/>
        </w:rPr>
        <w:t>药物/医疗器械管理员或</w:t>
      </w:r>
      <w:r>
        <w:rPr>
          <w:rFonts w:hint="eastAsia" w:asciiTheme="minorEastAsia" w:hAnsiTheme="minorEastAsia" w:cstheme="minorEastAsia"/>
          <w:color w:val="auto"/>
          <w:sz w:val="24"/>
          <w:szCs w:val="24"/>
        </w:rPr>
        <w:t>研究护士负责完成，存取经手者须有签字和日期。</w:t>
      </w:r>
    </w:p>
    <w:p>
      <w:pPr>
        <w:tabs>
          <w:tab w:val="left" w:pos="0"/>
        </w:tabs>
        <w:spacing w:line="360" w:lineRule="auto"/>
        <w:ind w:left="479" w:leftChars="228"/>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4.研究护士负责建立受试者的姓名、试验编号、病历号、X线检查号、负责研究医师等受试者档案文件。</w:t>
      </w:r>
    </w:p>
    <w:p>
      <w:pPr>
        <w:tabs>
          <w:tab w:val="left" w:pos="0"/>
        </w:tabs>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5.临床资料的建立：</w:t>
      </w:r>
    </w:p>
    <w:p>
      <w:pPr>
        <w:spacing w:line="360" w:lineRule="auto"/>
        <w:ind w:left="479" w:leftChars="228"/>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5.1 住院受试者由病例主管的临床试验医师负责采集并在住院病历中详细记录受试者临床资料，包括：病史、用药史、一般身体状况、</w:t>
      </w:r>
      <w:r>
        <w:rPr>
          <w:rFonts w:hint="eastAsia" w:asciiTheme="minorEastAsia" w:hAnsiTheme="minorEastAsia" w:cstheme="minorEastAsia"/>
          <w:color w:val="auto"/>
          <w:sz w:val="24"/>
          <w:szCs w:val="24"/>
          <w:lang w:val="en-US" w:eastAsia="zh-CN"/>
        </w:rPr>
        <w:t>受试者</w:t>
      </w:r>
      <w:r>
        <w:rPr>
          <w:rFonts w:hint="eastAsia" w:asciiTheme="minorEastAsia" w:hAnsiTheme="minorEastAsia" w:cstheme="minorEastAsia"/>
          <w:color w:val="auto"/>
          <w:sz w:val="24"/>
          <w:szCs w:val="24"/>
        </w:rPr>
        <w:t>依从情况、伴随用药或治疗情况、试验过程中症状变化、不良反应、检查、化验指标改变等，负责试验期间各种检查、化验单粘贴于住院病历中备案。</w:t>
      </w:r>
    </w:p>
    <w:p>
      <w:pPr>
        <w:spacing w:line="360" w:lineRule="auto"/>
        <w:ind w:left="479" w:leftChars="228"/>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5.2 门诊受试者建立门诊病历，由病例主管的临床医师负责在门诊病历中详细记录受试者临床资料，负责试验期间各种检查、化验单粘贴于门诊病历中备案。</w:t>
      </w:r>
    </w:p>
    <w:p>
      <w:pPr>
        <w:spacing w:line="360" w:lineRule="auto"/>
        <w:ind w:left="479" w:leftChars="228"/>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5.3 健康受试者由临床研究者按照申办者或监查员应提供的临床试验信息记录格式  填写研究病历，收集粘贴检查、化验单。</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5.4 原始临床资料按医疗文件的行业惯例由完成的研究人员签字并注明日期。</w:t>
      </w:r>
    </w:p>
    <w:p>
      <w:pPr>
        <w:spacing w:line="360" w:lineRule="auto"/>
        <w:ind w:left="479" w:leftChars="228"/>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5.5 受试者日记由临床试验医师在每次随访时收回、记录，并尽最大努力在受试者退出或试验结束时收回，研究者不得作任何更改。</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6．原始实验室资料的建立：</w:t>
      </w:r>
    </w:p>
    <w:p>
      <w:pPr>
        <w:spacing w:line="360" w:lineRule="auto"/>
        <w:ind w:left="479" w:leftChars="228"/>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6.1 实验室进行相关检测的试剂药品的名称、生产分装厂家、批号、购买日期、生产日期、有效期，领取、使用需进行登记。</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6.2 试验相关仪器的质控检测结果存入计算机磁盘保存。仪器的维护需要进行登记。</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6.3实验室检测方法需建立SOP。</w:t>
      </w:r>
    </w:p>
    <w:p>
      <w:pPr>
        <w:spacing w:line="360" w:lineRule="auto"/>
        <w:ind w:left="477" w:leftChars="227"/>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6.4临床标本的接收、使用、保存需进行标本来源、数量、质量、所经处理、交接经手人、日期等详细登记。</w:t>
      </w:r>
    </w:p>
    <w:p>
      <w:pPr>
        <w:spacing w:line="360" w:lineRule="auto"/>
        <w:ind w:left="477" w:leftChars="227"/>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6.5实验室研究者须按照实验数据记录SOP建立、保管试验数据记录。实验数据原始结果包括图表、自动仪器打印结果等由实验室研究者负责保存，自动检测仪器的检测结果存入计算机磁盘，专人保存。重要结果须制作副本。</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6.6向临床发放的检测结果的交接需有登记。</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（三）原始资料的更改：</w:t>
      </w:r>
    </w:p>
    <w:p>
      <w:pPr>
        <w:spacing w:line="360" w:lineRule="auto"/>
        <w:ind w:left="239" w:leftChars="114" w:firstLine="458" w:firstLineChars="191"/>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原始文件原则上不能更改。如确实有错误，需要更正，须由临床试验负责人或实验室负责人按照非覆盖原则进行更正，用单划线删去填写不当、错误的内容，在旁修改、更正后注明更正者的签名和更正日期，必要时需要说明理由。</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（四）原始资料的保存：</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1.住院病历、门诊病历由医院病案室统一保管。</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2.X线片由医院放射科统一保管。</w:t>
      </w:r>
    </w:p>
    <w:p>
      <w:pPr>
        <w:spacing w:line="360" w:lineRule="auto"/>
        <w:ind w:left="479" w:leftChars="228"/>
        <w:rPr>
          <w:rFonts w:hAnsi="宋体"/>
          <w:b/>
          <w:color w:val="auto"/>
          <w:sz w:val="24"/>
          <w:szCs w:val="24"/>
          <w:highlight w:val="none"/>
        </w:rPr>
      </w:pPr>
      <w:r>
        <w:rPr>
          <w:rFonts w:hint="eastAsia" w:asciiTheme="minorEastAsia" w:hAnsiTheme="minorEastAsia" w:cstheme="minorEastAsia"/>
          <w:color w:val="auto"/>
          <w:sz w:val="24"/>
          <w:szCs w:val="24"/>
        </w:rPr>
        <w:t>3.其他临床和实验</w:t>
      </w:r>
      <w:r>
        <w:rPr>
          <w:rFonts w:hint="eastAsia" w:asciiTheme="minorEastAsia" w:hAnsiTheme="minorEastAsia" w:cstheme="minorEastAsia"/>
          <w:color w:val="auto"/>
          <w:sz w:val="24"/>
          <w:szCs w:val="24"/>
          <w:highlight w:val="none"/>
        </w:rPr>
        <w:t>室文件及实验室质控、检测的文件保管于临床试验资料室的专门位置，可以随时完整调阅，药物临床试验</w:t>
      </w:r>
      <w:r>
        <w:rPr>
          <w:rFonts w:hint="eastAsia" w:asciiTheme="minorEastAsia" w:hAnsiTheme="minorEastAsia" w:cstheme="minorEastAsia"/>
          <w:color w:val="auto"/>
          <w:sz w:val="24"/>
          <w:szCs w:val="24"/>
          <w:highlight w:val="none"/>
          <w:lang w:val="en-US" w:eastAsia="zh-CN"/>
        </w:rPr>
        <w:t>资料</w:t>
      </w:r>
      <w:r>
        <w:rPr>
          <w:rFonts w:hint="eastAsia" w:asciiTheme="minorEastAsia" w:hAnsiTheme="minorEastAsia" w:cstheme="minorEastAsia"/>
          <w:color w:val="auto"/>
          <w:sz w:val="24"/>
          <w:szCs w:val="24"/>
          <w:highlight w:val="none"/>
        </w:rPr>
        <w:t>依据GCP要求，用于申请药品注册的临床试验，应当至少保存至试验药物被批准上市后5年；未用于申请药品注册的临床试验，应当至少保存至临床试验终止后5年。医疗器械临床试验</w:t>
      </w:r>
      <w:r>
        <w:rPr>
          <w:rFonts w:hint="eastAsia" w:asciiTheme="minorEastAsia" w:hAnsiTheme="minorEastAsia" w:cstheme="minorEastAsia"/>
          <w:color w:val="auto"/>
          <w:sz w:val="24"/>
          <w:szCs w:val="24"/>
          <w:highlight w:val="none"/>
          <w:lang w:val="en-US" w:eastAsia="zh-CN"/>
        </w:rPr>
        <w:t>资料</w:t>
      </w:r>
      <w:r>
        <w:rPr>
          <w:rFonts w:hint="eastAsia" w:asciiTheme="minorEastAsia" w:hAnsiTheme="minorEastAsia" w:cstheme="minorEastAsia"/>
          <w:color w:val="auto"/>
          <w:sz w:val="24"/>
          <w:szCs w:val="24"/>
          <w:highlight w:val="none"/>
        </w:rPr>
        <w:t>依据GCP要求保存至临床试验结束后十年（个别试验有特殊要求的需另行签署档案保管协议）。</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450" w:lineRule="atLeast"/>
        <w:ind w:left="0" w:leftChars="0" w:firstLine="0" w:firstLineChars="0"/>
        <w:jc w:val="left"/>
        <w:textAlignment w:val="auto"/>
        <w:rPr>
          <w:rFonts w:hint="eastAsia" w:asciiTheme="minorEastAsia" w:hAnsiTheme="minorEastAsia" w:eastAsiaTheme="minorEastAsia" w:cstheme="minorEastAsia"/>
          <w:b w:val="0"/>
          <w:bCs w:val="0"/>
          <w:color w:val="auto"/>
          <w:highlight w:val="none"/>
          <w:shd w:val="clear" w:color="auto" w:fill="FFFFFF"/>
        </w:rPr>
      </w:pPr>
      <w:r>
        <w:rPr>
          <w:rFonts w:hint="eastAsia" w:asciiTheme="minorEastAsia" w:hAnsiTheme="minorEastAsia" w:eastAsiaTheme="minorEastAsia" w:cstheme="minorEastAsia"/>
          <w:b w:val="0"/>
          <w:bCs w:val="0"/>
          <w:color w:val="auto"/>
          <w:highlight w:val="none"/>
          <w:shd w:val="clear" w:color="auto" w:fill="FFFFFF"/>
          <w:lang w:eastAsia="zh-CN"/>
        </w:rPr>
        <w:t>五、</w:t>
      </w:r>
      <w:r>
        <w:rPr>
          <w:rFonts w:hint="eastAsia" w:asciiTheme="minorEastAsia" w:hAnsiTheme="minorEastAsia" w:eastAsiaTheme="minorEastAsia" w:cstheme="minorEastAsia"/>
          <w:b w:val="0"/>
          <w:bCs w:val="0"/>
          <w:color w:val="auto"/>
          <w:highlight w:val="none"/>
          <w:shd w:val="clear" w:color="auto" w:fill="FFFFFF"/>
        </w:rPr>
        <w:t>参考文献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[1]国家药监局 国家卫生健康委. 关于发布药物临床试验质量管理规范的公告（2020年第57号）[EB/OL].[2020-04-26]. https://www.nmpa.gov.cn/zhuanti/ypzhcglbf/ypzhcglbfzhcwj/20200426162401243.html.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 xml:space="preserve">[2]国家药品监督管理局，国家卫生健康委员会. 关于发布《医疗器械临床试验质量管理规范》的公告（2022年第28号）.[2022-03-31]. </w:t>
      </w:r>
      <w:r>
        <w:rPr>
          <w:rFonts w:hint="eastAsia" w:asciiTheme="minorEastAsia" w:hAnsiTheme="minorEastAsia" w:eastAsiaTheme="minorEastAsia" w:cstheme="minorEastAsia"/>
          <w:color w:val="auto"/>
          <w:u w:val="none"/>
          <w:shd w:val="clear" w:color="auto" w:fill="FFFFFF"/>
        </w:rPr>
        <w:t>https://www.nmpa.gov.cn/xxgk/ggtg/qtggtg/20220331144903101.html.</w:t>
      </w:r>
    </w:p>
    <w:p>
      <w:pPr>
        <w:rPr>
          <w:rFonts w:hint="eastAsia"/>
          <w:color w:val="auto"/>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5"/>
        <w:gridCol w:w="906"/>
        <w:gridCol w:w="915"/>
        <w:gridCol w:w="3397"/>
        <w:gridCol w:w="2391"/>
        <w:gridCol w:w="12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35"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90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3397"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2391"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204"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3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0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3.0</w:t>
            </w:r>
          </w:p>
        </w:tc>
        <w:tc>
          <w:tcPr>
            <w:tcW w:w="91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3397"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1.根据最新版GCP的要求和实际工作需要，修订文件存档时间。</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2.为确保制度的严谨性，增加参考文献。</w:t>
            </w:r>
          </w:p>
        </w:tc>
        <w:tc>
          <w:tcPr>
            <w:tcW w:w="2391"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1.修订第四项第3条原始资料保存时间。</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2.新增参考文献。</w:t>
            </w:r>
          </w:p>
        </w:tc>
        <w:tc>
          <w:tcPr>
            <w:tcW w:w="1204" w:type="dxa"/>
            <w:vAlign w:val="center"/>
          </w:tcPr>
          <w:p>
            <w:pPr>
              <w:rPr>
                <w:rFonts w:hint="eastAsia" w:ascii="宋体" w:hAnsi="宋体" w:eastAsia="宋体" w:cs="宋体"/>
                <w:color w:val="auto"/>
                <w:lang w:val="en-US" w:eastAsia="zh-CN"/>
              </w:rPr>
            </w:pPr>
          </w:p>
        </w:tc>
      </w:tr>
    </w:tbl>
    <w:p>
      <w:pPr>
        <w:rPr>
          <w:color w:val="auto"/>
        </w:rPr>
        <w:sectPr>
          <w:headerReference r:id="rId133" w:type="default"/>
          <w:footerReference r:id="rId134"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tabs>
          <w:tab w:val="left" w:pos="7125"/>
        </w:tabs>
        <w:spacing w:line="360" w:lineRule="auto"/>
        <w:jc w:val="center"/>
        <w:rPr>
          <w:rFonts w:ascii="黑体" w:hAnsi="黑体" w:eastAsia="黑体"/>
          <w:color w:val="auto"/>
          <w:sz w:val="28"/>
          <w:szCs w:val="28"/>
          <w:highlight w:val="none"/>
        </w:rPr>
      </w:pPr>
      <w:r>
        <w:rPr>
          <w:rFonts w:hint="eastAsia" w:ascii="黑体" w:hAnsi="黑体" w:eastAsia="黑体" w:cs="黑体"/>
          <w:b/>
          <w:color w:val="auto"/>
          <w:sz w:val="28"/>
          <w:szCs w:val="28"/>
          <w:highlight w:val="none"/>
        </w:rPr>
        <w:t>病例报告表(CRF)记录的</w:t>
      </w:r>
      <w:r>
        <w:rPr>
          <w:rFonts w:hint="eastAsia" w:ascii="黑体" w:hAnsi="黑体" w:eastAsia="黑体" w:cs="黑体"/>
          <w:b/>
          <w:bCs/>
          <w:color w:val="auto"/>
          <w:sz w:val="28"/>
          <w:szCs w:val="28"/>
          <w:highlight w:val="none"/>
        </w:rPr>
        <w:t>SOP</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一、目的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为加强对药物</w:t>
      </w:r>
      <w:r>
        <w:rPr>
          <w:rFonts w:hint="eastAsia" w:ascii="宋体" w:hAnsi="宋体" w:eastAsia="宋体" w:cs="宋体"/>
          <w:b w:val="0"/>
          <w:bCs w:val="0"/>
          <w:color w:val="auto"/>
          <w:sz w:val="24"/>
          <w:szCs w:val="24"/>
          <w:lang w:val="en-US" w:eastAsia="zh-CN"/>
        </w:rPr>
        <w:t>/医疗器械临床</w:t>
      </w:r>
      <w:r>
        <w:rPr>
          <w:rFonts w:hint="eastAsia" w:ascii="宋体" w:hAnsi="宋体" w:eastAsia="宋体" w:cs="宋体"/>
          <w:b w:val="0"/>
          <w:bCs w:val="0"/>
          <w:color w:val="auto"/>
          <w:sz w:val="24"/>
          <w:szCs w:val="24"/>
        </w:rPr>
        <w:t>研究的监督管理，保证药物</w:t>
      </w:r>
      <w:r>
        <w:rPr>
          <w:rFonts w:hint="eastAsia" w:ascii="宋体" w:hAnsi="宋体" w:eastAsia="宋体" w:cs="宋体"/>
          <w:b w:val="0"/>
          <w:bCs w:val="0"/>
          <w:color w:val="auto"/>
          <w:sz w:val="24"/>
          <w:szCs w:val="24"/>
          <w:lang w:val="en-US" w:eastAsia="zh-CN"/>
        </w:rPr>
        <w:t>/医疗器械临床试验</w:t>
      </w:r>
      <w:r>
        <w:rPr>
          <w:rFonts w:hint="eastAsia" w:ascii="宋体" w:hAnsi="宋体" w:eastAsia="宋体" w:cs="宋体"/>
          <w:b w:val="0"/>
          <w:bCs w:val="0"/>
          <w:color w:val="auto"/>
          <w:sz w:val="24"/>
          <w:szCs w:val="24"/>
        </w:rPr>
        <w:t>病</w:t>
      </w:r>
      <w:r>
        <w:rPr>
          <w:rFonts w:hint="eastAsia" w:ascii="宋体" w:hAnsi="宋体" w:eastAsia="宋体" w:cs="宋体"/>
          <w:b w:val="0"/>
          <w:bCs w:val="0"/>
          <w:color w:val="auto"/>
          <w:sz w:val="24"/>
          <w:szCs w:val="24"/>
          <w:lang w:val="en-US" w:eastAsia="zh-CN"/>
        </w:rPr>
        <w:t>例</w:t>
      </w:r>
      <w:r>
        <w:rPr>
          <w:rFonts w:hint="eastAsia" w:ascii="宋体" w:hAnsi="宋体" w:eastAsia="宋体" w:cs="宋体"/>
          <w:b w:val="0"/>
          <w:bCs w:val="0"/>
          <w:color w:val="auto"/>
          <w:sz w:val="24"/>
          <w:szCs w:val="24"/>
        </w:rPr>
        <w:t>报告表记录真实、规范、完整。提高药物</w:t>
      </w:r>
      <w:r>
        <w:rPr>
          <w:rFonts w:hint="eastAsia" w:ascii="宋体" w:hAnsi="宋体" w:eastAsia="宋体" w:cs="宋体"/>
          <w:b w:val="0"/>
          <w:bCs w:val="0"/>
          <w:color w:val="auto"/>
          <w:sz w:val="24"/>
          <w:szCs w:val="24"/>
          <w:lang w:val="en-US" w:eastAsia="zh-CN"/>
        </w:rPr>
        <w:t>/医疗器械</w:t>
      </w:r>
      <w:r>
        <w:rPr>
          <w:rFonts w:hint="eastAsia" w:ascii="宋体" w:hAnsi="宋体" w:eastAsia="宋体" w:cs="宋体"/>
          <w:b w:val="0"/>
          <w:bCs w:val="0"/>
          <w:color w:val="auto"/>
          <w:sz w:val="24"/>
          <w:szCs w:val="24"/>
        </w:rPr>
        <w:t xml:space="preserve">临床试验的质量，制订本规程。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二、范围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适用于本</w:t>
      </w:r>
      <w:r>
        <w:rPr>
          <w:rFonts w:hint="eastAsia" w:ascii="宋体" w:hAnsi="宋体" w:eastAsia="宋体" w:cs="宋体"/>
          <w:b w:val="0"/>
          <w:bCs w:val="0"/>
          <w:color w:val="auto"/>
          <w:sz w:val="24"/>
          <w:szCs w:val="24"/>
          <w:lang w:val="en-US" w:eastAsia="zh-CN"/>
        </w:rPr>
        <w:t>机构</w:t>
      </w:r>
      <w:r>
        <w:rPr>
          <w:rFonts w:hint="eastAsia" w:ascii="宋体" w:hAnsi="宋体" w:eastAsia="宋体" w:cs="宋体"/>
          <w:b w:val="0"/>
          <w:bCs w:val="0"/>
          <w:color w:val="auto"/>
          <w:sz w:val="24"/>
          <w:szCs w:val="24"/>
        </w:rPr>
        <w:t>进行的药物</w:t>
      </w:r>
      <w:r>
        <w:rPr>
          <w:rFonts w:hint="eastAsia" w:ascii="宋体" w:hAnsi="宋体" w:eastAsia="宋体" w:cs="宋体"/>
          <w:b w:val="0"/>
          <w:bCs w:val="0"/>
          <w:color w:val="auto"/>
          <w:sz w:val="24"/>
          <w:szCs w:val="24"/>
          <w:lang w:val="en-US" w:eastAsia="zh-CN"/>
        </w:rPr>
        <w:t>/医疗器械</w:t>
      </w:r>
      <w:r>
        <w:rPr>
          <w:rFonts w:hint="eastAsia" w:ascii="宋体" w:hAnsi="宋体" w:eastAsia="宋体" w:cs="宋体"/>
          <w:b w:val="0"/>
          <w:bCs w:val="0"/>
          <w:color w:val="auto"/>
          <w:sz w:val="24"/>
          <w:szCs w:val="24"/>
        </w:rPr>
        <w:t xml:space="preserve">临床试验病例报告表的记录。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三、规程</w:t>
      </w:r>
    </w:p>
    <w:p>
      <w:pPr>
        <w:pStyle w:val="33"/>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病例报告表，指按照试验方案要求设计，</w:t>
      </w:r>
      <w:r>
        <w:rPr>
          <w:rFonts w:hint="eastAsia" w:ascii="宋体" w:hAnsi="宋体" w:eastAsia="宋体" w:cs="宋体"/>
          <w:b w:val="0"/>
          <w:bCs w:val="0"/>
          <w:color w:val="auto"/>
          <w:sz w:val="24"/>
          <w:szCs w:val="24"/>
          <w:lang w:val="en-US" w:eastAsia="zh-CN"/>
        </w:rPr>
        <w:t>用以</w:t>
      </w:r>
      <w:r>
        <w:rPr>
          <w:rFonts w:hint="eastAsia" w:ascii="宋体" w:hAnsi="宋体" w:eastAsia="宋体" w:cs="宋体"/>
          <w:b w:val="0"/>
          <w:bCs w:val="0"/>
          <w:color w:val="auto"/>
          <w:sz w:val="24"/>
          <w:szCs w:val="24"/>
        </w:rPr>
        <w:t>记录受试者相关信息的纸质或者电子文件。申办者应当设计病例报告表</w:t>
      </w:r>
      <w:r>
        <w:rPr>
          <w:rFonts w:hint="eastAsia" w:ascii="宋体" w:hAnsi="宋体" w:eastAsia="宋体" w:cs="宋体"/>
          <w:b w:val="0"/>
          <w:bCs w:val="0"/>
          <w:color w:val="auto"/>
          <w:sz w:val="24"/>
          <w:szCs w:val="24"/>
          <w:lang w:val="en-US" w:eastAsia="zh-CN"/>
        </w:rPr>
        <w:t>并</w:t>
      </w:r>
      <w:r>
        <w:rPr>
          <w:rFonts w:hint="eastAsia" w:ascii="宋体" w:hAnsi="宋体" w:eastAsia="宋体" w:cs="宋体"/>
          <w:b w:val="0"/>
          <w:bCs w:val="0"/>
          <w:color w:val="auto"/>
          <w:sz w:val="24"/>
          <w:szCs w:val="24"/>
        </w:rPr>
        <w:t>明确何种试验数据可作为源数据直接记录在病例报告表中。</w:t>
      </w:r>
      <w:r>
        <w:rPr>
          <w:rFonts w:hint="eastAsia" w:ascii="宋体" w:hAnsi="宋体" w:eastAsia="宋体" w:cs="宋体"/>
          <w:b w:val="0"/>
          <w:bCs w:val="0"/>
          <w:color w:val="auto"/>
          <w:sz w:val="24"/>
          <w:szCs w:val="24"/>
          <w:lang w:val="en-US" w:eastAsia="zh-CN"/>
        </w:rPr>
        <w:t>病例报告表</w:t>
      </w:r>
      <w:r>
        <w:rPr>
          <w:rFonts w:hint="eastAsia" w:ascii="宋体" w:hAnsi="宋体" w:eastAsia="宋体" w:cs="宋体"/>
          <w:b w:val="0"/>
          <w:bCs w:val="0"/>
          <w:color w:val="auto"/>
          <w:sz w:val="24"/>
          <w:szCs w:val="24"/>
        </w:rPr>
        <w:t>应当清晰、简洁和前后一致</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每位受试者在试验中的有关资料均应记录于病例报告表中。要求：病例报告表记录的基本要求：真实、及时、准确、完整、规范，防止漏记和随意涂改。不得伪造、编造数据。为确保达到以上要求，记录时需注意以下事项：</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研究者应当按照申办者提供的指导说明填写和修改病例报告表，确保各类病例报告表中的数据准确、完整、清晰和及时。病例报告表中数据应当与源文件一致，若存在不一致应当做出合理的解释。病例报告表中数据的修改，应当使初始记录清晰可辨，保留修改轨迹，必要时解释理由，修改者签名并注明日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2.临床试验中各种实验室数据均应记录或将原始报告复印件粘贴在病例报告表上，在正常范围内的数据也应具体记录。对显著偏离或在临床可接受范围外的数据须加以核实。检测项目必须注明所采用的计量单位</w:t>
      </w:r>
      <w:r>
        <w:rPr>
          <w:rFonts w:hint="eastAsia" w:ascii="宋体" w:hAnsi="宋体" w:eastAsia="宋体" w:cs="宋体"/>
          <w:b w:val="0"/>
          <w:bCs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病例报告表中记录的内容要有必要的依据。计算机、自动记录仪器打印的图表和数据资料，临床研究中的检验报告书、体检表、知情同意书、试验图片、照片等应按顺序粘贴在病例报告表的相应位置上，并在相应处注明试验日期和时间；底片装在统一制作的底片袋内，编号后另行保存。用热敏纸打印的试验记录，须保留其复印件。不宜粘贴的，可另行整理装订成册并加以编号，同时在病例报告表相应处注明，以便查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.病例报告表应保持完整，不得缺页或挖补；如有缺页、漏页，应详细说明原因。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rPr>
        <w:t>.病例报告表的记录不得使用容易擦改的记录工具如铅笔等，宜用</w:t>
      </w:r>
      <w:r>
        <w:rPr>
          <w:rFonts w:hint="eastAsia" w:ascii="宋体" w:hAnsi="宋体" w:eastAsia="宋体" w:cs="宋体"/>
          <w:b w:val="0"/>
          <w:bCs w:val="0"/>
          <w:color w:val="auto"/>
          <w:sz w:val="24"/>
          <w:szCs w:val="24"/>
          <w:lang w:val="en-US" w:eastAsia="zh-CN"/>
        </w:rPr>
        <w:t>蓝黑或黑色签字笔填</w:t>
      </w:r>
      <w:r>
        <w:rPr>
          <w:rFonts w:hint="eastAsia" w:ascii="宋体" w:hAnsi="宋体" w:eastAsia="宋体" w:cs="宋体"/>
          <w:b w:val="0"/>
          <w:bCs w:val="0"/>
          <w:color w:val="auto"/>
          <w:sz w:val="24"/>
          <w:szCs w:val="24"/>
        </w:rPr>
        <w:t>写。先用铅笔填写，最后根据需要再擦去后用钢笔填写的做法是不可取的。原始资料记录应用字规范，字迹工整。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6</w:t>
      </w:r>
      <w:r>
        <w:rPr>
          <w:rFonts w:hint="eastAsia" w:ascii="宋体" w:hAnsi="宋体" w:eastAsia="宋体" w:cs="宋体"/>
          <w:b w:val="0"/>
          <w:bCs w:val="0"/>
          <w:color w:val="auto"/>
          <w:sz w:val="24"/>
          <w:szCs w:val="24"/>
        </w:rPr>
        <w:t>.常用的外文缩写（包括试验试剂的外文缩写）应符合规范。首次出现时须用中文加以注释。病例报告表中属译文的应注明其外文名称。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7</w:t>
      </w:r>
      <w:r>
        <w:rPr>
          <w:rFonts w:hint="eastAsia" w:ascii="宋体" w:hAnsi="宋体" w:eastAsia="宋体" w:cs="宋体"/>
          <w:b w:val="0"/>
          <w:bCs w:val="0"/>
          <w:color w:val="auto"/>
          <w:sz w:val="24"/>
          <w:szCs w:val="24"/>
        </w:rPr>
        <w:t>.病例报告表记录应使用规范的专业术语，计量单位应采用国际标准计量单位，有效数字的取舍应符合试验要求。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8</w:t>
      </w:r>
      <w:r>
        <w:rPr>
          <w:rFonts w:hint="eastAsia" w:ascii="宋体" w:hAnsi="宋体" w:eastAsia="宋体" w:cs="宋体"/>
          <w:b w:val="0"/>
          <w:bCs w:val="0"/>
          <w:color w:val="auto"/>
          <w:sz w:val="24"/>
          <w:szCs w:val="24"/>
        </w:rPr>
        <w:t>.临床试验过程中所出现的严重不良事件应详细描述和评价。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9</w:t>
      </w:r>
      <w:r>
        <w:rPr>
          <w:rFonts w:hint="eastAsia" w:ascii="宋体" w:hAnsi="宋体" w:eastAsia="宋体" w:cs="宋体"/>
          <w:b w:val="0"/>
          <w:bCs w:val="0"/>
          <w:color w:val="auto"/>
          <w:sz w:val="24"/>
          <w:szCs w:val="24"/>
        </w:rPr>
        <w:t>.入选的未按研究方案完成疗程的病例作为脱落病例处理，需说明脱落原因并记录在案，用于分析研究的质量。脱落病例的数目一般不宜超过10%～15%，比例高时表明随机性很差，意味着试验不够成功。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1</w:t>
      </w:r>
      <w:r>
        <w:rPr>
          <w:rFonts w:hint="eastAsia" w:ascii="宋体" w:hAnsi="宋体" w:eastAsia="宋体" w:cs="宋体"/>
          <w:b w:val="0"/>
          <w:bCs w:val="0"/>
          <w:color w:val="auto"/>
          <w:sz w:val="24"/>
          <w:szCs w:val="24"/>
          <w:lang w:val="en-US" w:eastAsia="zh-CN"/>
        </w:rPr>
        <w:t>0</w:t>
      </w:r>
      <w:r>
        <w:rPr>
          <w:rFonts w:hint="eastAsia" w:ascii="宋体" w:hAnsi="宋体" w:eastAsia="宋体" w:cs="宋体"/>
          <w:b w:val="0"/>
          <w:bCs w:val="0"/>
          <w:color w:val="auto"/>
          <w:sz w:val="24"/>
          <w:szCs w:val="24"/>
        </w:rPr>
        <w:t>.为保护受试者隐私，病例报告表上不应出现受试者姓名。研究者应按受试者的代码确认其身份并记录。</w:t>
      </w:r>
    </w:p>
    <w:p>
      <w:pPr>
        <w:pStyle w:val="33"/>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w:t>
      </w: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监查员核对病例报告表录入的准确性和完整性，并与源文件比对。监查员应当注意核对试验方案规定的数据在病例报告表中有准确记录，并与源文件一致；确认受试者的剂量改变、治疗变更、不良事件、合并用药、并发症、失访、检查遗漏等在病例报告表中均有记录；确认研究者未能做到的随访、未实施的试验、未做的检查，以及是否对错误、遗漏做出纠正等在病例报告表中均有记录；核实入选受试者的退出与失访已在病例报告表中均有记录并说明。</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rPr>
        <w:t>监查员对病例报告表的填写错误、遗漏或者字迹不清楚应当通知研究者；监查员应当确保所作的更正、添加或者删除是由研究者或者被授权人操作，并且有修改人签名、注明</w:t>
      </w:r>
      <w:r>
        <w:rPr>
          <w:rFonts w:hint="eastAsia" w:ascii="宋体" w:hAnsi="宋体" w:eastAsia="宋体" w:cs="宋体"/>
          <w:b w:val="0"/>
          <w:bCs w:val="0"/>
          <w:color w:val="auto"/>
          <w:sz w:val="24"/>
          <w:szCs w:val="24"/>
          <w:highlight w:val="none"/>
        </w:rPr>
        <w:t>日期，必要时说明修改理由。</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.必要时对一些指标的判断记录可同时由多个研究者进行判断，以提高报告表的正确性</w:t>
      </w:r>
      <w:r>
        <w:rPr>
          <w:rFonts w:hint="eastAsia" w:ascii="宋体" w:hAnsi="宋体" w:eastAsia="宋体" w:cs="宋体"/>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.病例报告表应由研究者填写，有时还需患者或其家属提供记录。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.病例报告表应妥善保存，避免水浸、墨污、卷边，保持整洁、完好、无破损、不丢失。</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15.</w:t>
      </w:r>
      <w:r>
        <w:rPr>
          <w:rFonts w:hint="eastAsia" w:ascii="宋体" w:hAnsi="宋体" w:eastAsia="宋体" w:cs="宋体"/>
          <w:b w:val="0"/>
          <w:bCs w:val="0"/>
          <w:color w:val="auto"/>
          <w:sz w:val="24"/>
          <w:szCs w:val="24"/>
        </w:rPr>
        <w:t>申办者应当有书面程序确保其对病例报告表的改动是必要的、被记录的，并得到研究者的同意。研究者应当保留修改和更正的相关记录。申办者应当确保研究者始终可以查阅和在试验过程中可以录入、更正报告给申办者的病例报告表中的数据，该数据不应该只由申办者控制。</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16.多中心临床试验中，</w:t>
      </w:r>
      <w:r>
        <w:rPr>
          <w:rFonts w:hint="eastAsia" w:ascii="宋体" w:hAnsi="宋体" w:eastAsia="宋体" w:cs="宋体"/>
          <w:b w:val="0"/>
          <w:bCs w:val="0"/>
          <w:color w:val="auto"/>
          <w:sz w:val="24"/>
          <w:szCs w:val="24"/>
        </w:rPr>
        <w:t>申办者应当向各中心提供相同的试验方案。各中心按照方案遵守相同的临床和实验室数据的统一评价标准和病例报告表的填写指导说明。各中心应当使用相同的病例报告表，以记录在临床试验中获得的试验数据。申办者若需要研究者增加收集试验数据，在试验方案中应当表明此内容，申办者向研究者提供附加的病例报告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四、检查和存档：病例报告表的签署、检查和存档。</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1.每次试验结束后，应由试验负责人和记录人在病例报告表后签名。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2.试验研究负责人或上一级研究人员要定期检查病例报告表记录，并签署检查意见。</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申办者应当确保研究者能保留已递交给申办者的病例报告表数据。用作源文件的复印件应当满足核证副本的要求。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.每项研究结束后，应按归档要求将药物研究病例报告表整理归档。</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rPr>
        <w:t>.临床试验病例报告表须按规定保存及管理，</w:t>
      </w:r>
      <w:r>
        <w:rPr>
          <w:rFonts w:hint="eastAsia" w:ascii="宋体" w:hAnsi="宋体" w:eastAsia="宋体" w:cs="宋体"/>
          <w:b w:val="0"/>
          <w:bCs w:val="0"/>
          <w:color w:val="auto"/>
          <w:sz w:val="24"/>
          <w:szCs w:val="24"/>
          <w:lang w:val="en-US" w:eastAsia="zh-CN"/>
        </w:rPr>
        <w:t>依据GCP要求，用于申请药品注册的临床试验，病历例报告表应当至少保存至试验药物被批准上市后5年；未用于申请药品注册的临床试验，病例报告表应当至少保存至临床试验终止后5年。医疗器械临床试验</w:t>
      </w:r>
      <w:r>
        <w:rPr>
          <w:rFonts w:hint="eastAsia" w:ascii="宋体" w:hAnsi="宋体" w:eastAsia="宋体" w:cs="宋体"/>
          <w:b w:val="0"/>
          <w:bCs w:val="0"/>
          <w:color w:val="auto"/>
          <w:sz w:val="24"/>
          <w:szCs w:val="24"/>
        </w:rPr>
        <w:t>病例报告表一般应保存至临床试验终止后</w:t>
      </w:r>
      <w:r>
        <w:rPr>
          <w:rFonts w:hint="eastAsia" w:ascii="宋体" w:hAnsi="宋体" w:eastAsia="宋体" w:cs="宋体"/>
          <w:b w:val="0"/>
          <w:bCs w:val="0"/>
          <w:color w:val="auto"/>
          <w:sz w:val="24"/>
          <w:szCs w:val="24"/>
          <w:lang w:val="en-US" w:eastAsia="zh-CN"/>
        </w:rPr>
        <w:t>十年</w:t>
      </w:r>
      <w:r>
        <w:rPr>
          <w:rFonts w:hint="eastAsia" w:ascii="宋体" w:hAnsi="宋体" w:eastAsia="宋体" w:cs="宋体"/>
          <w:b w:val="0"/>
          <w:bCs w:val="0"/>
          <w:color w:val="auto"/>
          <w:sz w:val="24"/>
          <w:szCs w:val="24"/>
        </w:rPr>
        <w:t>。</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0" w:firstLineChars="0"/>
        <w:jc w:val="left"/>
        <w:textAlignment w:val="auto"/>
        <w:rPr>
          <w:rFonts w:hint="eastAsia" w:asciiTheme="minorEastAsia" w:hAnsiTheme="minorEastAsia" w:eastAsiaTheme="minorEastAsia" w:cstheme="minorEastAsia"/>
          <w:b w:val="0"/>
          <w:bCs w:val="0"/>
          <w:color w:val="auto"/>
          <w:shd w:val="clear" w:color="auto" w:fill="FFFFFF"/>
        </w:rPr>
      </w:pPr>
      <w:r>
        <w:rPr>
          <w:rFonts w:hint="eastAsia" w:asciiTheme="minorEastAsia" w:hAnsiTheme="minorEastAsia" w:eastAsiaTheme="minorEastAsia" w:cstheme="minorEastAsia"/>
          <w:b w:val="0"/>
          <w:bCs w:val="0"/>
          <w:color w:val="auto"/>
          <w:shd w:val="clear" w:color="auto" w:fill="FFFFFF"/>
          <w:lang w:eastAsia="zh-CN"/>
        </w:rPr>
        <w:t>五、</w:t>
      </w:r>
      <w:r>
        <w:rPr>
          <w:rFonts w:hint="eastAsia" w:asciiTheme="minorEastAsia" w:hAnsiTheme="minorEastAsia" w:eastAsiaTheme="minorEastAsia" w:cstheme="minorEastAsia"/>
          <w:b w:val="0"/>
          <w:bCs w:val="0"/>
          <w:color w:val="auto"/>
          <w:shd w:val="clear" w:color="auto" w:fill="FFFFFF"/>
        </w:rPr>
        <w:t>参考文献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0" w:firstLineChars="0"/>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[1]国家药监局 国家卫生健康委. 关于发布药物临床试验质量管理规范的公告（2020年第57号）[EB/OL].[2020-04-26]. https://www.nmpa.gov.cn/zhuanti/ypzhcglbf/ypzhcglbfzhcwj/20200426162401243.html.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0" w:firstLineChars="0"/>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 xml:space="preserve">[2]国家药品监督管理局，国家卫生健康委员会. 关于发布《医疗器械临床试验质量管理规范》的公告（2022年第28号）.[2022-03-31]. </w:t>
      </w:r>
      <w:r>
        <w:rPr>
          <w:rFonts w:hint="eastAsia" w:asciiTheme="minorEastAsia" w:hAnsiTheme="minorEastAsia" w:eastAsiaTheme="minorEastAsia" w:cstheme="minorEastAsia"/>
          <w:color w:val="auto"/>
          <w:u w:val="none"/>
          <w:shd w:val="clear" w:color="auto" w:fill="FFFFFF"/>
        </w:rPr>
        <w:t>https://www.nmpa.gov.cn/xxgk/ggtg/qtggtg/20220331144903101.html.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0" w:firstLineChars="0"/>
        <w:textAlignment w:val="auto"/>
        <w:rPr>
          <w:rFonts w:hint="eastAsia"/>
          <w:color w:val="auto"/>
        </w:rPr>
      </w:pPr>
      <w:r>
        <w:rPr>
          <w:rFonts w:hint="eastAsia" w:asciiTheme="minorEastAsia" w:hAnsiTheme="minorEastAsia" w:eastAsiaTheme="minorEastAsia" w:cstheme="minorEastAsia"/>
          <w:color w:val="auto"/>
          <w:shd w:val="clear" w:color="auto" w:fill="FFFFFF"/>
        </w:rPr>
        <w:t>[</w:t>
      </w:r>
      <w:r>
        <w:rPr>
          <w:rFonts w:hint="eastAsia" w:asciiTheme="minorEastAsia" w:hAnsiTheme="minorEastAsia" w:eastAsiaTheme="minorEastAsia" w:cstheme="minorEastAsia"/>
          <w:color w:val="auto"/>
          <w:shd w:val="clear" w:color="auto" w:fill="FFFFFF"/>
          <w:lang w:val="en-US" w:eastAsia="zh-CN"/>
        </w:rPr>
        <w:t>3</w:t>
      </w:r>
      <w:r>
        <w:rPr>
          <w:rFonts w:hint="eastAsia" w:asciiTheme="minorEastAsia" w:hAnsiTheme="minorEastAsia" w:eastAsiaTheme="minorEastAsia" w:cstheme="minorEastAsia"/>
          <w:color w:val="auto"/>
          <w:shd w:val="clear" w:color="auto" w:fill="FFFFFF"/>
        </w:rPr>
        <w:t>]国家药监局</w:t>
      </w:r>
      <w:r>
        <w:rPr>
          <w:rFonts w:hint="eastAsia" w:asciiTheme="minorEastAsia" w:hAnsiTheme="minorEastAsia" w:eastAsiaTheme="minorEastAsia" w:cstheme="minorEastAsia"/>
          <w:color w:val="auto"/>
          <w:shd w:val="clear" w:color="auto" w:fill="FFFFFF"/>
          <w:lang w:val="en-US" w:eastAsia="zh-CN"/>
        </w:rPr>
        <w:t xml:space="preserve">. </w:t>
      </w:r>
      <w:r>
        <w:rPr>
          <w:rFonts w:hint="eastAsia" w:asciiTheme="minorEastAsia" w:hAnsiTheme="minorEastAsia" w:eastAsiaTheme="minorEastAsia" w:cstheme="minorEastAsia"/>
          <w:color w:val="auto"/>
          <w:shd w:val="clear" w:color="auto" w:fill="FFFFFF"/>
        </w:rPr>
        <w:t>关于发布药物临床试验必备文件保存指导原则的通告（2020年第37号）</w:t>
      </w:r>
      <w:r>
        <w:rPr>
          <w:rFonts w:hint="eastAsia" w:asciiTheme="minorEastAsia" w:hAnsiTheme="minorEastAsia" w:eastAsiaTheme="minorEastAsia" w:cstheme="minorEastAsia"/>
          <w:color w:val="auto"/>
          <w:shd w:val="clear" w:color="auto" w:fill="FFFFFF"/>
          <w:lang w:val="en-US" w:eastAsia="zh-CN"/>
        </w:rPr>
        <w:t>.[2020-06-08]. https://www.nmpa.gov.cn/yaopin/ypggtg/ypqtgg/20200608094301326.html.</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5"/>
        <w:gridCol w:w="906"/>
        <w:gridCol w:w="915"/>
        <w:gridCol w:w="3134"/>
        <w:gridCol w:w="2654"/>
        <w:gridCol w:w="12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5" w:hRule="atLeast"/>
          <w:jc w:val="center"/>
        </w:trPr>
        <w:tc>
          <w:tcPr>
            <w:tcW w:w="635"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90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3134"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2654"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204"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8" w:hRule="atLeast"/>
          <w:jc w:val="center"/>
        </w:trPr>
        <w:tc>
          <w:tcPr>
            <w:tcW w:w="63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0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3.0</w:t>
            </w:r>
          </w:p>
        </w:tc>
        <w:tc>
          <w:tcPr>
            <w:tcW w:w="91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3134" w:type="dxa"/>
            <w:vAlign w:val="center"/>
          </w:tcPr>
          <w:p>
            <w:pPr>
              <w:rPr>
                <w:rFonts w:hint="default" w:ascii="宋体" w:hAnsi="宋体" w:eastAsia="宋体" w:cs="宋体"/>
                <w:color w:val="auto"/>
                <w:lang w:val="en-US" w:eastAsia="zh-CN"/>
              </w:rPr>
            </w:pPr>
            <w:r>
              <w:rPr>
                <w:rFonts w:hint="eastAsia" w:ascii="宋体" w:hAnsi="宋体" w:eastAsia="宋体" w:cs="宋体"/>
                <w:color w:val="auto"/>
                <w:lang w:val="en-US" w:eastAsia="zh-CN"/>
              </w:rPr>
              <w:t>1.根据最新版GCP的要求的实际工作需要，修订文件存档时间。</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2.为确保制度的严谨性，增加参考文献。</w:t>
            </w:r>
          </w:p>
        </w:tc>
        <w:tc>
          <w:tcPr>
            <w:tcW w:w="2654" w:type="dxa"/>
            <w:vAlign w:val="center"/>
          </w:tcPr>
          <w:p>
            <w:pPr>
              <w:rPr>
                <w:rFonts w:hint="eastAsia" w:ascii="宋体" w:hAnsi="宋体" w:eastAsia="宋体" w:cs="宋体"/>
                <w:color w:val="auto"/>
                <w:lang w:val="en-US" w:eastAsia="zh-CN"/>
              </w:rPr>
            </w:pPr>
            <w:r>
              <w:rPr>
                <w:rFonts w:hint="eastAsia"/>
                <w:b w:val="0"/>
                <w:bCs w:val="0"/>
                <w:color w:val="auto"/>
                <w:lang w:val="en-US" w:eastAsia="zh-CN"/>
              </w:rPr>
              <w:t>1.</w:t>
            </w:r>
            <w:r>
              <w:rPr>
                <w:rFonts w:hint="eastAsia" w:ascii="宋体" w:hAnsi="宋体" w:eastAsia="宋体" w:cs="宋体"/>
                <w:color w:val="auto"/>
                <w:lang w:val="en-US" w:eastAsia="zh-CN"/>
              </w:rPr>
              <w:t>修订第四项第4条病例报告表保存时间。</w:t>
            </w:r>
          </w:p>
          <w:p>
            <w:pPr>
              <w:rPr>
                <w:rFonts w:hint="default"/>
                <w:color w:val="auto"/>
                <w:lang w:val="en-US" w:eastAsia="zh-CN"/>
              </w:rPr>
            </w:pPr>
            <w:r>
              <w:rPr>
                <w:rFonts w:hint="eastAsia" w:ascii="宋体" w:hAnsi="宋体" w:eastAsia="宋体" w:cs="宋体"/>
                <w:color w:val="auto"/>
                <w:lang w:val="en-US" w:eastAsia="zh-CN"/>
              </w:rPr>
              <w:t>2.新增参考文献。</w:t>
            </w:r>
          </w:p>
        </w:tc>
        <w:tc>
          <w:tcPr>
            <w:tcW w:w="1204" w:type="dxa"/>
            <w:vAlign w:val="center"/>
          </w:tcPr>
          <w:p>
            <w:pPr>
              <w:jc w:val="left"/>
              <w:rPr>
                <w:rFonts w:hint="default" w:ascii="宋体" w:hAnsi="宋体" w:eastAsia="宋体" w:cs="宋体"/>
                <w:color w:val="auto"/>
                <w:lang w:val="en-US" w:eastAsia="zh-CN"/>
              </w:rPr>
            </w:pPr>
            <w:r>
              <w:rPr>
                <w:rFonts w:hint="eastAsia" w:ascii="宋体" w:hAnsi="宋体" w:eastAsia="宋体" w:cs="宋体"/>
                <w:color w:val="auto"/>
                <w:lang w:val="en-US" w:eastAsia="zh-CN"/>
              </w:rPr>
              <w:t>刘林/2022.09.30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2" w:hRule="atLeast"/>
          <w:jc w:val="center"/>
        </w:trPr>
        <w:tc>
          <w:tcPr>
            <w:tcW w:w="635" w:type="dxa"/>
            <w:vAlign w:val="center"/>
          </w:tcPr>
          <w:p>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2</w:t>
            </w:r>
          </w:p>
        </w:tc>
        <w:tc>
          <w:tcPr>
            <w:tcW w:w="906" w:type="dxa"/>
            <w:vAlign w:val="center"/>
          </w:tcPr>
          <w:p>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3.1</w:t>
            </w:r>
          </w:p>
        </w:tc>
        <w:tc>
          <w:tcPr>
            <w:tcW w:w="915" w:type="dxa"/>
            <w:vAlign w:val="center"/>
          </w:tcPr>
          <w:p>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3.2</w:t>
            </w:r>
          </w:p>
        </w:tc>
        <w:tc>
          <w:tcPr>
            <w:tcW w:w="3134" w:type="dxa"/>
            <w:vAlign w:val="center"/>
          </w:tcPr>
          <w:p>
            <w:pP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1.根据最新版GCP，修订病例报告表中相关内容。</w:t>
            </w:r>
          </w:p>
        </w:tc>
        <w:tc>
          <w:tcPr>
            <w:tcW w:w="2654"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1.细化申办方、监察员职责。</w:t>
            </w:r>
          </w:p>
          <w:p>
            <w:pP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lang w:val="en-US" w:eastAsia="zh-CN"/>
              </w:rPr>
              <w:t>2.</w:t>
            </w:r>
            <w:r>
              <w:rPr>
                <w:rFonts w:hint="eastAsia" w:ascii="宋体" w:hAnsi="宋体" w:eastAsia="宋体" w:cs="宋体"/>
                <w:color w:val="auto"/>
                <w:kern w:val="2"/>
                <w:sz w:val="21"/>
                <w:szCs w:val="22"/>
                <w:lang w:val="en-US" w:eastAsia="zh-CN" w:bidi="ar-SA"/>
              </w:rPr>
              <w:t>增加多</w:t>
            </w:r>
            <w:r>
              <w:rPr>
                <w:rFonts w:hint="eastAsia" w:ascii="宋体" w:hAnsi="宋体" w:eastAsia="宋体" w:cs="宋体"/>
                <w:color w:val="auto"/>
                <w:lang w:val="en-US" w:eastAsia="zh-CN"/>
              </w:rPr>
              <w:t>中心</w:t>
            </w:r>
            <w:r>
              <w:rPr>
                <w:rFonts w:hint="eastAsia" w:ascii="宋体" w:hAnsi="宋体" w:eastAsia="宋体" w:cs="宋体"/>
                <w:color w:val="auto"/>
                <w:kern w:val="2"/>
                <w:sz w:val="21"/>
                <w:szCs w:val="22"/>
                <w:lang w:val="en-US" w:eastAsia="zh-CN" w:bidi="ar-SA"/>
              </w:rPr>
              <w:t>试验中病例报告表的相关规定和要求。</w:t>
            </w:r>
          </w:p>
        </w:tc>
        <w:tc>
          <w:tcPr>
            <w:tcW w:w="1204" w:type="dxa"/>
            <w:vAlign w:val="center"/>
          </w:tcPr>
          <w:p>
            <w:pPr>
              <w:rPr>
                <w:rFonts w:hint="eastAsia" w:ascii="宋体" w:hAnsi="宋体" w:eastAsia="宋体" w:cs="宋体"/>
                <w:color w:val="auto"/>
                <w:lang w:val="en-US" w:eastAsia="zh-CN"/>
              </w:rPr>
            </w:pPr>
          </w:p>
        </w:tc>
      </w:tr>
    </w:tbl>
    <w:p>
      <w:pPr>
        <w:spacing w:before="156" w:beforeLines="50"/>
        <w:ind w:firstLine="2249" w:firstLineChars="800"/>
        <w:rPr>
          <w:rFonts w:ascii="黑体" w:hAnsi="黑体" w:eastAsia="黑体" w:cs="黑体"/>
          <w:b/>
          <w:color w:val="auto"/>
          <w:sz w:val="28"/>
          <w:szCs w:val="28"/>
        </w:rPr>
        <w:sectPr>
          <w:headerReference r:id="rId135" w:type="default"/>
          <w:footerReference r:id="rId136"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spacing w:before="156" w:beforeLines="50"/>
        <w:ind w:firstLine="2249" w:firstLineChars="800"/>
        <w:rPr>
          <w:rFonts w:ascii="黑体" w:hAnsi="黑体" w:eastAsia="黑体" w:cs="黑体"/>
          <w:b/>
          <w:color w:val="auto"/>
          <w:sz w:val="28"/>
          <w:szCs w:val="28"/>
        </w:rPr>
      </w:pPr>
      <w:r>
        <w:rPr>
          <w:rFonts w:hint="eastAsia" w:ascii="黑体" w:hAnsi="黑体" w:eastAsia="黑体" w:cs="黑体"/>
          <w:b/>
          <w:color w:val="auto"/>
          <w:sz w:val="28"/>
          <w:szCs w:val="28"/>
        </w:rPr>
        <w:t>实验室检测及质量控制的SOP</w:t>
      </w:r>
    </w:p>
    <w:p>
      <w:pPr>
        <w:spacing w:before="156" w:beforeLines="50"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一、目的</w:t>
      </w:r>
    </w:p>
    <w:p>
      <w:pPr>
        <w:spacing w:line="360" w:lineRule="auto"/>
        <w:ind w:firstLine="480" w:firstLineChars="2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保证</w:t>
      </w:r>
      <w:r>
        <w:rPr>
          <w:rFonts w:hint="eastAsia" w:asciiTheme="minorEastAsia" w:hAnsiTheme="minorEastAsia" w:cstheme="minorEastAsia"/>
          <w:color w:val="auto"/>
          <w:sz w:val="24"/>
          <w:szCs w:val="24"/>
          <w:lang w:val="en-US" w:eastAsia="zh-CN"/>
        </w:rPr>
        <w:t>药物/医疗器械</w:t>
      </w:r>
      <w:r>
        <w:rPr>
          <w:rFonts w:hint="eastAsia" w:asciiTheme="minorEastAsia" w:hAnsiTheme="minorEastAsia" w:cstheme="minorEastAsia"/>
          <w:color w:val="auto"/>
          <w:sz w:val="24"/>
          <w:szCs w:val="24"/>
        </w:rPr>
        <w:t>临床试验实验室数据准确、可靠、可溯源。</w:t>
      </w:r>
    </w:p>
    <w:p>
      <w:pPr>
        <w:numPr>
          <w:ilvl w:val="0"/>
          <w:numId w:val="49"/>
        </w:numPr>
        <w:spacing w:line="360" w:lineRule="auto"/>
        <w:ind w:left="0" w:leftChars="0" w:firstLine="0" w:firstLineChars="0"/>
        <w:jc w:val="left"/>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标准</w:t>
      </w:r>
    </w:p>
    <w:p>
      <w:pPr>
        <w:spacing w:line="360" w:lineRule="auto"/>
        <w:ind w:firstLine="480" w:firstLineChars="200"/>
        <w:jc w:val="left"/>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实验室的质量控制由其主管部门全面负责，确保实验室的检查数据准确、有效。</w:t>
      </w:r>
    </w:p>
    <w:p>
      <w:pPr>
        <w:spacing w:line="360" w:lineRule="auto"/>
        <w:ind w:firstLine="480" w:firstLineChars="200"/>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rPr>
        <w:t>实验室质量控制一般包括如下内容</w:t>
      </w:r>
      <w:r>
        <w:rPr>
          <w:rFonts w:hint="eastAsia" w:asciiTheme="minorEastAsia" w:hAnsiTheme="minorEastAsia" w:cstheme="minorEastAsia"/>
          <w:color w:val="auto"/>
          <w:sz w:val="24"/>
          <w:szCs w:val="24"/>
          <w:lang w:eastAsia="zh-CN"/>
        </w:rPr>
        <w:t>：</w:t>
      </w:r>
    </w:p>
    <w:p>
      <w:pPr>
        <w:spacing w:line="360" w:lineRule="auto"/>
        <w:ind w:firstLine="480" w:firstLineChars="2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1.实验室要取得年度实验室质检合格证书。</w:t>
      </w:r>
    </w:p>
    <w:p>
      <w:pPr>
        <w:spacing w:line="360" w:lineRule="auto"/>
        <w:ind w:firstLine="480" w:firstLineChars="2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2.定期验证实验仪器，校准仪器设备。</w:t>
      </w:r>
    </w:p>
    <w:p>
      <w:pPr>
        <w:spacing w:line="360" w:lineRule="auto"/>
        <w:ind w:firstLine="480" w:firstLineChars="200"/>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3.留意医院设备科每年校正检测仪器的通知，及时验证实验仪器；</w:t>
      </w:r>
    </w:p>
    <w:p>
      <w:pPr>
        <w:spacing w:line="360" w:lineRule="auto"/>
        <w:ind w:firstLine="240" w:firstLineChars="100"/>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rPr>
        <w:t>三、制定各仪器设备的标准操作规程</w:t>
      </w:r>
      <w:r>
        <w:rPr>
          <w:rFonts w:hint="eastAsia" w:asciiTheme="minorEastAsia" w:hAnsiTheme="minorEastAsia" w:cstheme="minorEastAsia"/>
          <w:color w:val="auto"/>
          <w:sz w:val="24"/>
          <w:szCs w:val="24"/>
          <w:lang w:eastAsia="zh-CN"/>
        </w:rPr>
        <w:t>：</w:t>
      </w:r>
    </w:p>
    <w:p>
      <w:pPr>
        <w:spacing w:line="360" w:lineRule="auto"/>
        <w:ind w:firstLine="480" w:firstLineChars="200"/>
        <w:jc w:val="left"/>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1.所有人员严格按照各项标准操作规程进行操作。</w:t>
      </w:r>
    </w:p>
    <w:p>
      <w:pPr>
        <w:spacing w:line="360" w:lineRule="auto"/>
        <w:ind w:firstLine="480" w:firstLineChars="200"/>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rPr>
        <w:t>2.做好数据的有效保存,</w:t>
      </w:r>
      <w:r>
        <w:rPr>
          <w:rFonts w:hint="eastAsia" w:asciiTheme="minorEastAsia" w:hAnsiTheme="minorEastAsia" w:cstheme="minorEastAsia"/>
          <w:color w:val="auto"/>
          <w:sz w:val="24"/>
          <w:szCs w:val="24"/>
          <w:highlight w:val="none"/>
          <w:lang w:val="en-US" w:eastAsia="zh-CN"/>
        </w:rPr>
        <w:t>药物临床试验至少要保证数据在试验结束后5年内能溯源，医疗器械临床试验至少要保证数据在试验结束后10年内能溯源。</w:t>
      </w:r>
    </w:p>
    <w:p>
      <w:pPr>
        <w:spacing w:line="360" w:lineRule="auto"/>
        <w:ind w:firstLine="480" w:firstLineChars="200"/>
        <w:jc w:val="left"/>
        <w:rPr>
          <w:rFonts w:hint="eastAsia" w:ascii="宋体" w:hAnsi="宋体" w:eastAsia="宋体" w:cs="Times New Roman"/>
          <w:color w:val="auto"/>
          <w:sz w:val="24"/>
          <w:szCs w:val="24"/>
          <w:highlight w:val="none"/>
        </w:rPr>
      </w:pPr>
      <w:r>
        <w:rPr>
          <w:rFonts w:hint="eastAsia" w:asciiTheme="minorEastAsia" w:hAnsiTheme="minorEastAsia" w:cstheme="minorEastAsia"/>
          <w:color w:val="auto"/>
          <w:sz w:val="24"/>
          <w:szCs w:val="24"/>
          <w:highlight w:val="none"/>
        </w:rPr>
        <w:t>3.机构办公室对实验室的质检合格证书进行拍照备案并及时更新</w:t>
      </w:r>
      <w:r>
        <w:rPr>
          <w:rFonts w:hint="eastAsia" w:ascii="宋体" w:hAnsi="宋体" w:eastAsia="宋体" w:cs="Times New Roman"/>
          <w:color w:val="auto"/>
          <w:sz w:val="24"/>
          <w:szCs w:val="24"/>
          <w:highlight w:val="none"/>
        </w:rPr>
        <w:t>。</w:t>
      </w:r>
    </w:p>
    <w:p>
      <w:pPr>
        <w:spacing w:line="360" w:lineRule="auto"/>
        <w:ind w:firstLine="480" w:firstLineChars="200"/>
        <w:jc w:val="left"/>
        <w:rPr>
          <w:rFonts w:hint="eastAsia" w:ascii="宋体" w:hAnsi="宋体" w:eastAsia="宋体" w:cs="Times New Roman"/>
          <w:color w:val="auto"/>
          <w:sz w:val="24"/>
          <w:szCs w:val="24"/>
          <w:highlight w:val="none"/>
        </w:rPr>
      </w:pPr>
    </w:p>
    <w:p>
      <w:pPr>
        <w:spacing w:line="360" w:lineRule="auto"/>
        <w:ind w:firstLine="480" w:firstLineChars="200"/>
        <w:jc w:val="left"/>
        <w:rPr>
          <w:rFonts w:hint="eastAsia" w:ascii="宋体" w:hAnsi="宋体" w:eastAsia="宋体" w:cs="Times New Roman"/>
          <w:color w:val="auto"/>
          <w:sz w:val="24"/>
          <w:szCs w:val="24"/>
        </w:rPr>
        <w:sectPr>
          <w:headerReference r:id="rId137" w:type="default"/>
          <w:footerReference r:id="rId138" w:type="default"/>
          <w:pgSz w:w="11906" w:h="16838"/>
          <w:pgMar w:top="1417" w:right="1191" w:bottom="1474" w:left="1474" w:header="57" w:footer="992" w:gutter="0"/>
          <w:pgBorders>
            <w:top w:val="none" w:sz="0" w:space="0"/>
            <w:left w:val="none" w:sz="0" w:space="0"/>
            <w:bottom w:val="none" w:sz="0" w:space="0"/>
            <w:right w:val="none" w:sz="0" w:space="0"/>
          </w:pgBorders>
          <w:pgNumType w:fmt="decimal" w:start="1"/>
          <w:cols w:space="0" w:num="1"/>
          <w:docGrid w:type="lines" w:linePitch="312" w:charSpace="0"/>
        </w:sectPr>
      </w:pPr>
    </w:p>
    <w:p>
      <w:pPr>
        <w:spacing w:line="360" w:lineRule="auto"/>
        <w:jc w:val="center"/>
        <w:rPr>
          <w:rFonts w:hint="eastAsia" w:ascii="黑体" w:hAnsi="黑体" w:eastAsia="黑体" w:cs="黑体"/>
          <w:b/>
          <w:bCs/>
          <w:color w:val="auto"/>
          <w:sz w:val="28"/>
          <w:szCs w:val="28"/>
        </w:rPr>
      </w:pPr>
      <w:r>
        <w:rPr>
          <w:rFonts w:hint="eastAsia" w:ascii="黑体" w:hAnsi="黑体" w:eastAsia="黑体" w:cs="黑体"/>
          <w:b/>
          <w:bCs/>
          <w:color w:val="auto"/>
          <w:sz w:val="28"/>
          <w:szCs w:val="28"/>
        </w:rPr>
        <w:t>临床试验文件查阅/复印的SOP</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一、目的</w:t>
      </w:r>
    </w:p>
    <w:p>
      <w:pPr>
        <w:spacing w:line="360" w:lineRule="auto"/>
        <w:ind w:left="479" w:leftChars="228"/>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建立完善的临床试验文件档案查阅/复印登记制度，规范机构临床试验文件档案的查阅/复印</w:t>
      </w:r>
      <w:r>
        <w:rPr>
          <w:rFonts w:hint="eastAsia" w:asciiTheme="minorEastAsia" w:hAnsiTheme="minorEastAsia" w:cstheme="minorEastAsia"/>
          <w:color w:val="auto"/>
          <w:sz w:val="24"/>
          <w:szCs w:val="24"/>
          <w:lang w:eastAsia="zh-CN"/>
        </w:rPr>
        <w:t>流程</w:t>
      </w:r>
      <w:r>
        <w:rPr>
          <w:rFonts w:hint="eastAsia" w:asciiTheme="minorEastAsia" w:hAnsiTheme="minorEastAsia" w:cstheme="minorEastAsia"/>
          <w:color w:val="auto"/>
          <w:sz w:val="24"/>
          <w:szCs w:val="24"/>
        </w:rPr>
        <w:t>。</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二、范围</w:t>
      </w:r>
    </w:p>
    <w:p>
      <w:pPr>
        <w:spacing w:line="360" w:lineRule="auto"/>
        <w:ind w:firstLine="480" w:firstLine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val="en-US" w:eastAsia="zh-CN"/>
        </w:rPr>
        <w:t>本机构</w:t>
      </w:r>
      <w:r>
        <w:rPr>
          <w:rFonts w:hint="eastAsia" w:asciiTheme="minorEastAsia" w:hAnsiTheme="minorEastAsia" w:cstheme="minorEastAsia"/>
          <w:color w:val="auto"/>
          <w:sz w:val="24"/>
          <w:szCs w:val="24"/>
        </w:rPr>
        <w:t>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临床试验的文件档案资料的借阅及复印。</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三、规程</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一</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所有查阅/复印文件档案的人员必须遵守机构临床试验保密制度。</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二</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临床试验档案资料在办理相关手续后可查阅不允许外借。</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三</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申办方/CRO派遣的监查员代表查阅/复印档案，需提交如下资料：</w:t>
      </w:r>
    </w:p>
    <w:p>
      <w:pPr>
        <w:spacing w:line="360" w:lineRule="auto"/>
        <w:ind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val="en-US" w:eastAsia="zh-CN"/>
        </w:rPr>
        <w:t xml:space="preserve">1. </w:t>
      </w:r>
      <w:r>
        <w:rPr>
          <w:rFonts w:hint="eastAsia" w:asciiTheme="minorEastAsia" w:hAnsiTheme="minorEastAsia" w:cstheme="minorEastAsia"/>
          <w:color w:val="auto"/>
          <w:sz w:val="24"/>
          <w:szCs w:val="24"/>
        </w:rPr>
        <w:t>申办方/CRO的委托函，说明查阅档案的详细理由。</w:t>
      </w:r>
    </w:p>
    <w:p>
      <w:pPr>
        <w:spacing w:line="360" w:lineRule="auto"/>
        <w:ind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val="en-US" w:eastAsia="zh-CN"/>
        </w:rPr>
        <w:t xml:space="preserve">2. </w:t>
      </w:r>
      <w:r>
        <w:rPr>
          <w:rFonts w:hint="eastAsia" w:asciiTheme="minorEastAsia" w:hAnsiTheme="minorEastAsia" w:cstheme="minorEastAsia"/>
          <w:color w:val="auto"/>
          <w:sz w:val="24"/>
          <w:szCs w:val="24"/>
        </w:rPr>
        <w:t>本中心项目负责人签字同意。</w:t>
      </w:r>
    </w:p>
    <w:p>
      <w:pPr>
        <w:spacing w:line="360" w:lineRule="auto"/>
        <w:ind w:firstLine="240" w:firstLineChars="1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val="en-US" w:eastAsia="zh-CN"/>
        </w:rPr>
        <w:t xml:space="preserve">3. </w:t>
      </w:r>
      <w:r>
        <w:rPr>
          <w:rFonts w:hint="eastAsia" w:asciiTheme="minorEastAsia" w:hAnsiTheme="minorEastAsia" w:cstheme="minorEastAsia"/>
          <w:color w:val="auto"/>
          <w:sz w:val="24"/>
          <w:szCs w:val="24"/>
        </w:rPr>
        <w:t>监查员代表的身份证原件及复印件。</w:t>
      </w:r>
    </w:p>
    <w:p>
      <w:pPr>
        <w:spacing w:line="360" w:lineRule="auto"/>
        <w:ind w:left="480" w:hanging="480" w:hanging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四</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本院研究者需查阅档案的，需向机构办公室提交书面申请并获得项目负责人签字同意。</w:t>
      </w:r>
    </w:p>
    <w:p>
      <w:pPr>
        <w:spacing w:line="360" w:lineRule="auto"/>
        <w:ind w:left="480" w:hanging="480" w:hangingChars="200"/>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五</w:t>
      </w:r>
      <w:r>
        <w:rPr>
          <w:rFonts w:hint="eastAsia" w:asciiTheme="minorEastAsia" w:hAnsiTheme="minorEastAsia" w:cstheme="minorEastAsia"/>
          <w:color w:val="auto"/>
          <w:sz w:val="24"/>
          <w:szCs w:val="24"/>
          <w:lang w:eastAsia="zh-CN"/>
        </w:rPr>
        <w:t>）机构办公室主任认为申请理由充分并签字批准后，查阅/复印人员和资料管理员共同填写《档案室资料查阅申请条》和《档案室资料查阅登记表》（见《临床试验档案管理的SOP》</w:t>
      </w:r>
      <w:r>
        <w:rPr>
          <w:rFonts w:hint="eastAsia" w:asciiTheme="minorEastAsia" w:hAnsiTheme="minorEastAsia" w:cstheme="minorEastAsia"/>
          <w:color w:val="auto"/>
          <w:sz w:val="24"/>
          <w:szCs w:val="24"/>
          <w:lang w:val="en-US" w:eastAsia="zh-CN"/>
        </w:rPr>
        <w:t>附件9和附件10</w:t>
      </w:r>
      <w:r>
        <w:rPr>
          <w:rFonts w:hint="eastAsia" w:asciiTheme="minorEastAsia" w:hAnsiTheme="minorEastAsia" w:cstheme="minorEastAsia"/>
          <w:color w:val="auto"/>
          <w:sz w:val="24"/>
          <w:szCs w:val="24"/>
          <w:lang w:eastAsia="zh-CN"/>
        </w:rPr>
        <w:t>）。</w:t>
      </w:r>
    </w:p>
    <w:p>
      <w:pPr>
        <w:spacing w:line="360" w:lineRule="auto"/>
        <w:ind w:left="480" w:hanging="480" w:hangingChars="200"/>
        <w:rPr>
          <w:rFonts w:asciiTheme="minorEastAsia" w:hAnsiTheme="minorEastAsia" w:cstheme="minorEastAsia"/>
          <w:color w:val="auto"/>
          <w:sz w:val="24"/>
          <w:szCs w:val="24"/>
          <w:shd w:val="clear" w:color="FFFFFF" w:fill="FFFFFF" w:themeFill="background1"/>
        </w:rPr>
      </w:pP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六</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如需复印文件按上述借阅文件流程执行，同时需在</w:t>
      </w:r>
      <w:r>
        <w:rPr>
          <w:rFonts w:hint="eastAsia" w:asciiTheme="minorEastAsia" w:hAnsiTheme="minorEastAsia" w:cstheme="minorEastAsia"/>
          <w:color w:val="auto"/>
          <w:sz w:val="24"/>
          <w:szCs w:val="24"/>
          <w:lang w:eastAsia="zh-CN"/>
        </w:rPr>
        <w:t>《档案室资料查阅申请条》</w:t>
      </w:r>
      <w:r>
        <w:rPr>
          <w:rFonts w:hint="eastAsia" w:asciiTheme="minorEastAsia" w:hAnsiTheme="minorEastAsia" w:cstheme="minorEastAsia"/>
          <w:color w:val="auto"/>
          <w:sz w:val="24"/>
          <w:szCs w:val="24"/>
        </w:rPr>
        <w:t>中注明需复印哪些文件。由资料管理员复印文件后将复印件转交申请人。涉及受试者详细信息如姓名、地址、联系方式、身份证的文件不</w:t>
      </w:r>
      <w:r>
        <w:rPr>
          <w:rFonts w:hint="eastAsia" w:asciiTheme="minorEastAsia" w:hAnsiTheme="minorEastAsia" w:cstheme="minorEastAsia"/>
          <w:color w:val="auto"/>
          <w:sz w:val="24"/>
          <w:szCs w:val="24"/>
          <w:shd w:val="clear" w:color="auto" w:fill="FFFFFF" w:themeFill="background1"/>
        </w:rPr>
        <w:t>得批</w:t>
      </w:r>
      <w:r>
        <w:rPr>
          <w:rFonts w:hint="eastAsia" w:asciiTheme="minorEastAsia" w:hAnsiTheme="minorEastAsia" w:cstheme="minorEastAsia"/>
          <w:color w:val="auto"/>
          <w:sz w:val="24"/>
          <w:szCs w:val="24"/>
          <w:shd w:val="clear" w:color="FFFFFF" w:fill="FFFFFF" w:themeFill="background1"/>
        </w:rPr>
        <w:t>准申办方人员复印。</w:t>
      </w:r>
    </w:p>
    <w:p>
      <w:pPr>
        <w:spacing w:line="360" w:lineRule="auto"/>
        <w:ind w:left="480" w:hanging="480" w:hangingChars="20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七</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档案查阅只能在机构办公室范围内进行，查阅档案期间，需由机构办公室或项目负责人指派的专人全程随同。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八</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资料管理员确认查阅文件完整无误后，将文件资料原处归位。</w:t>
      </w:r>
    </w:p>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 w:val="24"/>
          <w:szCs w:val="24"/>
        </w:rPr>
      </w:pPr>
    </w:p>
    <w:p>
      <w:pPr>
        <w:spacing w:line="360" w:lineRule="auto"/>
        <w:rPr>
          <w:rFonts w:asciiTheme="minorEastAsia" w:hAnsiTheme="minorEastAsia" w:cstheme="minorEastAsia"/>
          <w:color w:val="auto"/>
          <w:sz w:val="24"/>
          <w:szCs w:val="24"/>
        </w:rPr>
      </w:pPr>
    </w:p>
    <w:p>
      <w:pPr>
        <w:spacing w:line="360" w:lineRule="auto"/>
        <w:ind w:firstLine="2249" w:firstLineChars="800"/>
        <w:rPr>
          <w:rFonts w:ascii="黑体" w:hAnsi="黑体" w:eastAsia="黑体" w:cs="黑体"/>
          <w:b/>
          <w:bCs/>
          <w:color w:val="auto"/>
          <w:sz w:val="28"/>
          <w:szCs w:val="28"/>
        </w:rPr>
        <w:sectPr>
          <w:headerReference r:id="rId139" w:type="default"/>
          <w:footerReference r:id="rId140"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spacing w:line="480" w:lineRule="auto"/>
        <w:jc w:val="center"/>
        <w:rPr>
          <w:rFonts w:ascii="黑体" w:hAnsi="黑体" w:eastAsia="黑体" w:cs="黑体"/>
          <w:b/>
          <w:color w:val="auto"/>
          <w:sz w:val="28"/>
          <w:szCs w:val="28"/>
        </w:rPr>
      </w:pPr>
      <w:r>
        <w:rPr>
          <w:rFonts w:hint="eastAsia" w:ascii="黑体" w:hAnsi="黑体" w:eastAsia="黑体" w:cs="黑体"/>
          <w:b/>
          <w:color w:val="auto"/>
          <w:sz w:val="28"/>
          <w:szCs w:val="28"/>
        </w:rPr>
        <w:t>试验数据采集、记录、管理与统计分析的SOP</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一、目的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 xml:space="preserve">    建立药物</w:t>
      </w:r>
      <w:r>
        <w:rPr>
          <w:rFonts w:hint="eastAsia" w:asciiTheme="minorEastAsia" w:hAnsiTheme="minorEastAsia" w:cstheme="minorEastAsia"/>
          <w:bCs/>
          <w:color w:val="auto"/>
          <w:sz w:val="24"/>
          <w:szCs w:val="24"/>
          <w:lang w:val="en-US" w:eastAsia="zh-CN"/>
        </w:rPr>
        <w:t>/</w:t>
      </w:r>
      <w:r>
        <w:rPr>
          <w:rFonts w:hint="eastAsia" w:asciiTheme="minorEastAsia" w:hAnsiTheme="minorEastAsia" w:cstheme="minorEastAsia"/>
          <w:bCs/>
          <w:color w:val="auto"/>
          <w:sz w:val="24"/>
          <w:szCs w:val="24"/>
        </w:rPr>
        <w:t>医疗器械临床试验中数据管理与统计分析的流程，使其规范化、标准化。</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二、范围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 xml:space="preserve">    适用于本机构</w:t>
      </w:r>
      <w:r>
        <w:rPr>
          <w:rFonts w:hint="eastAsia" w:asciiTheme="minorEastAsia" w:hAnsiTheme="minorEastAsia" w:cstheme="minorEastAsia"/>
          <w:bCs/>
          <w:color w:val="auto"/>
          <w:sz w:val="24"/>
          <w:szCs w:val="24"/>
          <w:lang w:val="en-US" w:eastAsia="zh-CN"/>
        </w:rPr>
        <w:t>药物/医疗器械</w:t>
      </w:r>
      <w:r>
        <w:rPr>
          <w:rFonts w:hint="eastAsia" w:asciiTheme="minorEastAsia" w:hAnsiTheme="minorEastAsia" w:cstheme="minorEastAsia"/>
          <w:bCs/>
          <w:color w:val="auto"/>
          <w:sz w:val="24"/>
          <w:szCs w:val="24"/>
        </w:rPr>
        <w:t>临床试验的数据管理。</w:t>
      </w:r>
    </w:p>
    <w:p>
      <w:pPr>
        <w:keepNext w:val="0"/>
        <w:keepLines w:val="0"/>
        <w:pageBreakBefore w:val="0"/>
        <w:widowControl w:val="0"/>
        <w:numPr>
          <w:ilvl w:val="0"/>
          <w:numId w:val="67"/>
        </w:numPr>
        <w:kinsoku/>
        <w:wordWrap/>
        <w:overflowPunct/>
        <w:topLinePunct w:val="0"/>
        <w:autoSpaceDE/>
        <w:autoSpaceDN/>
        <w:bidi w:val="0"/>
        <w:adjustRightInd/>
        <w:snapToGrid/>
        <w:spacing w:line="360" w:lineRule="auto"/>
        <w:textAlignment w:val="auto"/>
        <w:rPr>
          <w:rFonts w:hAnsi="宋体"/>
          <w:bCs/>
          <w:color w:val="auto"/>
          <w:sz w:val="24"/>
        </w:rPr>
      </w:pPr>
      <w:r>
        <w:rPr>
          <w:rFonts w:hint="eastAsia" w:hAnsi="宋体"/>
          <w:bCs/>
          <w:color w:val="auto"/>
          <w:sz w:val="24"/>
        </w:rPr>
        <w:t>规程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cs="黑体"/>
          <w:b/>
          <w:color w:val="auto"/>
          <w:sz w:val="28"/>
          <w:szCs w:val="28"/>
        </w:rPr>
      </w:pPr>
      <w:r>
        <w:rPr>
          <w:rFonts w:hint="eastAsia" w:hAnsi="宋体"/>
          <w:bCs/>
          <w:color w:val="auto"/>
          <w:sz w:val="24"/>
        </w:rPr>
        <w:t>（一）临床</w:t>
      </w:r>
      <w:r>
        <w:rPr>
          <w:rFonts w:hAnsi="宋体"/>
          <w:bCs/>
          <w:color w:val="auto"/>
          <w:sz w:val="24"/>
        </w:rPr>
        <w:t>试验数据管理的</w:t>
      </w:r>
      <w:r>
        <w:rPr>
          <w:bCs/>
          <w:color w:val="auto"/>
          <w:sz w:val="24"/>
        </w:rPr>
        <w:t>SOP</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hAnsi="宋体"/>
          <w:color w:val="auto"/>
          <w:sz w:val="24"/>
        </w:rPr>
        <w:t>1.</w:t>
      </w:r>
      <w:r>
        <w:rPr>
          <w:rFonts w:hAnsi="宋体"/>
          <w:color w:val="auto"/>
          <w:sz w:val="24"/>
        </w:rPr>
        <w:t>研究者认真填写病例报告表（</w:t>
      </w:r>
      <w:r>
        <w:rPr>
          <w:color w:val="auto"/>
          <w:sz w:val="24"/>
        </w:rPr>
        <w:t>CRF</w:t>
      </w:r>
      <w:r>
        <w:rPr>
          <w:rFonts w:hAnsi="宋体"/>
          <w:color w:val="auto"/>
          <w:sz w:val="24"/>
        </w:rPr>
        <w:t>表），保证准确无误。</w:t>
      </w:r>
    </w:p>
    <w:p>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color w:val="auto"/>
          <w:sz w:val="24"/>
        </w:rPr>
      </w:pPr>
      <w:r>
        <w:rPr>
          <w:rFonts w:hint="eastAsia" w:hAnsi="宋体"/>
          <w:color w:val="auto"/>
          <w:sz w:val="24"/>
        </w:rPr>
        <w:t>2.</w:t>
      </w:r>
      <w:r>
        <w:rPr>
          <w:rFonts w:hAnsi="宋体"/>
          <w:color w:val="auto"/>
          <w:sz w:val="24"/>
        </w:rPr>
        <w:t>监</w:t>
      </w:r>
      <w:r>
        <w:rPr>
          <w:rFonts w:hint="eastAsia" w:hAnsi="宋体"/>
          <w:color w:val="auto"/>
          <w:sz w:val="24"/>
        </w:rPr>
        <w:t>查</w:t>
      </w:r>
      <w:r>
        <w:rPr>
          <w:rFonts w:hAnsi="宋体"/>
          <w:color w:val="auto"/>
          <w:sz w:val="24"/>
        </w:rPr>
        <w:t>员在试验过程中定期地去确认所有的数据记录、报告正确完整，与原始记录一致。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hAnsi="宋体"/>
          <w:color w:val="auto"/>
          <w:sz w:val="24"/>
        </w:rPr>
        <w:t>3.</w:t>
      </w:r>
      <w:r>
        <w:rPr>
          <w:rFonts w:hAnsi="宋体"/>
          <w:color w:val="auto"/>
          <w:sz w:val="24"/>
        </w:rPr>
        <w:t>数据管理员在第一份</w:t>
      </w:r>
      <w:r>
        <w:rPr>
          <w:color w:val="auto"/>
          <w:sz w:val="24"/>
        </w:rPr>
        <w:t>CRF</w:t>
      </w:r>
      <w:r>
        <w:rPr>
          <w:rFonts w:hAnsi="宋体"/>
          <w:color w:val="auto"/>
          <w:sz w:val="24"/>
        </w:rPr>
        <w:t>表送达之前准备好数据库，数据库需要保密性强，可靠。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hAnsi="宋体"/>
          <w:color w:val="auto"/>
          <w:sz w:val="24"/>
        </w:rPr>
        <w:t>4.</w:t>
      </w:r>
      <w:r>
        <w:rPr>
          <w:rFonts w:hAnsi="宋体"/>
          <w:color w:val="auto"/>
          <w:sz w:val="24"/>
        </w:rPr>
        <w:t>对于各个临床试验中心完成的</w:t>
      </w:r>
      <w:r>
        <w:rPr>
          <w:color w:val="auto"/>
          <w:sz w:val="24"/>
        </w:rPr>
        <w:t>CRF</w:t>
      </w:r>
      <w:r>
        <w:rPr>
          <w:rFonts w:hAnsi="宋体"/>
          <w:color w:val="auto"/>
          <w:sz w:val="24"/>
        </w:rPr>
        <w:t>表，监</w:t>
      </w:r>
      <w:r>
        <w:rPr>
          <w:rFonts w:hint="eastAsia" w:hAnsi="宋体"/>
          <w:color w:val="auto"/>
          <w:sz w:val="24"/>
        </w:rPr>
        <w:t>查</w:t>
      </w:r>
      <w:r>
        <w:rPr>
          <w:rFonts w:hAnsi="宋体"/>
          <w:color w:val="auto"/>
          <w:sz w:val="24"/>
        </w:rPr>
        <w:t>员应及时送至数据管理员处。</w:t>
      </w:r>
    </w:p>
    <w:p>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color w:val="auto"/>
          <w:sz w:val="24"/>
        </w:rPr>
      </w:pPr>
      <w:r>
        <w:rPr>
          <w:rFonts w:hint="eastAsia" w:hAnsi="宋体"/>
          <w:color w:val="auto"/>
          <w:sz w:val="24"/>
        </w:rPr>
        <w:t>5.</w:t>
      </w:r>
      <w:r>
        <w:rPr>
          <w:rFonts w:hAnsi="宋体"/>
          <w:color w:val="auto"/>
          <w:sz w:val="24"/>
        </w:rPr>
        <w:t>数据管理员对</w:t>
      </w:r>
      <w:r>
        <w:rPr>
          <w:color w:val="auto"/>
          <w:sz w:val="24"/>
        </w:rPr>
        <w:t>CRF</w:t>
      </w:r>
      <w:r>
        <w:rPr>
          <w:rFonts w:hAnsi="宋体"/>
          <w:color w:val="auto"/>
          <w:sz w:val="24"/>
        </w:rPr>
        <w:t>表作进一步检查，发生疑问时，填写疑问表（</w:t>
      </w:r>
      <w:r>
        <w:rPr>
          <w:color w:val="auto"/>
          <w:sz w:val="24"/>
        </w:rPr>
        <w:t>query form</w:t>
      </w:r>
      <w:r>
        <w:rPr>
          <w:rFonts w:hAnsi="宋体"/>
          <w:color w:val="auto"/>
          <w:sz w:val="24"/>
        </w:rPr>
        <w:t>）返回监</w:t>
      </w:r>
      <w:r>
        <w:rPr>
          <w:rFonts w:hint="eastAsia" w:hAnsi="宋体"/>
          <w:color w:val="auto"/>
          <w:sz w:val="24"/>
        </w:rPr>
        <w:t>查</w:t>
      </w:r>
      <w:r>
        <w:rPr>
          <w:rFonts w:hAnsi="宋体"/>
          <w:color w:val="auto"/>
          <w:sz w:val="24"/>
        </w:rPr>
        <w:t>员，通知研究者作出回答。</w:t>
      </w:r>
    </w:p>
    <w:p>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color w:val="auto"/>
          <w:sz w:val="24"/>
        </w:rPr>
      </w:pPr>
      <w:r>
        <w:rPr>
          <w:rFonts w:hint="eastAsia" w:hAnsi="宋体"/>
          <w:color w:val="auto"/>
          <w:sz w:val="24"/>
        </w:rPr>
        <w:t>6.</w:t>
      </w:r>
      <w:r>
        <w:rPr>
          <w:rFonts w:hAnsi="宋体"/>
          <w:color w:val="auto"/>
          <w:sz w:val="24"/>
        </w:rPr>
        <w:t>数据录入：对于完成的</w:t>
      </w:r>
      <w:r>
        <w:rPr>
          <w:color w:val="auto"/>
          <w:sz w:val="24"/>
        </w:rPr>
        <w:t>CRF</w:t>
      </w:r>
      <w:r>
        <w:rPr>
          <w:rFonts w:hAnsi="宋体"/>
          <w:color w:val="auto"/>
          <w:sz w:val="24"/>
        </w:rPr>
        <w:t>表，由两个数据录入员分别将数据双份输入计算机数据库中。</w:t>
      </w:r>
    </w:p>
    <w:p>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color w:val="auto"/>
          <w:sz w:val="24"/>
        </w:rPr>
      </w:pPr>
      <w:r>
        <w:rPr>
          <w:rFonts w:hint="eastAsia" w:hAnsi="宋体"/>
          <w:color w:val="auto"/>
          <w:sz w:val="24"/>
        </w:rPr>
        <w:t>7.</w:t>
      </w:r>
      <w:r>
        <w:rPr>
          <w:rFonts w:hAnsi="宋体"/>
          <w:color w:val="auto"/>
          <w:sz w:val="24"/>
        </w:rPr>
        <w:t>利用软件包将两份独立的数据文件进行逐项对比，如果发现不一致，对照</w:t>
      </w:r>
      <w:r>
        <w:rPr>
          <w:color w:val="auto"/>
          <w:sz w:val="24"/>
        </w:rPr>
        <w:t>CRF</w:t>
      </w:r>
      <w:r>
        <w:rPr>
          <w:rFonts w:hAnsi="宋体"/>
          <w:color w:val="auto"/>
          <w:sz w:val="24"/>
        </w:rPr>
        <w:t>表进行核对。</w:t>
      </w:r>
    </w:p>
    <w:p>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color w:val="auto"/>
          <w:sz w:val="24"/>
        </w:rPr>
      </w:pPr>
      <w:r>
        <w:rPr>
          <w:rFonts w:hint="eastAsia" w:hAnsi="宋体"/>
          <w:color w:val="auto"/>
          <w:sz w:val="24"/>
        </w:rPr>
        <w:t>8.</w:t>
      </w:r>
      <w:r>
        <w:rPr>
          <w:rFonts w:hAnsi="宋体"/>
          <w:color w:val="auto"/>
          <w:sz w:val="24"/>
        </w:rPr>
        <w:t>人工核查：对于试验方案中所规定的主要变量（</w:t>
      </w:r>
      <w:r>
        <w:rPr>
          <w:color w:val="auto"/>
          <w:sz w:val="24"/>
        </w:rPr>
        <w:t>Primary Variable</w:t>
      </w:r>
      <w:r>
        <w:rPr>
          <w:rFonts w:hAnsi="宋体"/>
          <w:color w:val="auto"/>
          <w:sz w:val="24"/>
        </w:rPr>
        <w:t>）（指标）必要时进行人工核对。</w:t>
      </w:r>
    </w:p>
    <w:p>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b/>
          <w:color w:val="auto"/>
          <w:sz w:val="24"/>
        </w:rPr>
      </w:pPr>
      <w:r>
        <w:rPr>
          <w:rFonts w:hint="eastAsia" w:hAnsi="宋体"/>
          <w:color w:val="auto"/>
          <w:sz w:val="24"/>
        </w:rPr>
        <w:t>9.</w:t>
      </w:r>
      <w:r>
        <w:rPr>
          <w:rFonts w:hAnsi="宋体"/>
          <w:color w:val="auto"/>
          <w:sz w:val="24"/>
        </w:rPr>
        <w:t>质控核对：从全部病例中随机抽取一部分（为</w:t>
      </w:r>
      <w:r>
        <w:rPr>
          <w:color w:val="auto"/>
          <w:sz w:val="24"/>
        </w:rPr>
        <w:t>5%</w:t>
      </w:r>
      <w:r>
        <w:rPr>
          <w:rFonts w:hAnsi="宋体"/>
          <w:color w:val="auto"/>
          <w:sz w:val="24"/>
        </w:rPr>
        <w:t>，但不能少于</w:t>
      </w:r>
      <w:r>
        <w:rPr>
          <w:color w:val="auto"/>
          <w:sz w:val="24"/>
        </w:rPr>
        <w:t>5</w:t>
      </w:r>
      <w:r>
        <w:rPr>
          <w:rFonts w:hAnsi="宋体"/>
          <w:color w:val="auto"/>
          <w:sz w:val="24"/>
        </w:rPr>
        <w:t>份病例）进行人工核对（数据库中数据与</w:t>
      </w:r>
      <w:r>
        <w:rPr>
          <w:color w:val="auto"/>
          <w:sz w:val="24"/>
        </w:rPr>
        <w:t>CRF</w:t>
      </w:r>
      <w:r>
        <w:rPr>
          <w:rFonts w:hAnsi="宋体"/>
          <w:color w:val="auto"/>
          <w:sz w:val="24"/>
        </w:rPr>
        <w:t>表的数据），如果数据错误大于</w:t>
      </w:r>
      <w:r>
        <w:rPr>
          <w:color w:val="auto"/>
          <w:sz w:val="24"/>
        </w:rPr>
        <w:t>0.15%</w:t>
      </w:r>
      <w:r>
        <w:rPr>
          <w:rFonts w:hAnsi="宋体"/>
          <w:color w:val="auto"/>
          <w:sz w:val="24"/>
        </w:rPr>
        <w:t>（</w:t>
      </w:r>
      <w:r>
        <w:rPr>
          <w:color w:val="auto"/>
          <w:sz w:val="24"/>
        </w:rPr>
        <w:t>10000</w:t>
      </w:r>
      <w:r>
        <w:rPr>
          <w:rFonts w:hAnsi="宋体"/>
          <w:color w:val="auto"/>
          <w:sz w:val="24"/>
        </w:rPr>
        <w:t>个数据有</w:t>
      </w:r>
      <w:r>
        <w:rPr>
          <w:color w:val="auto"/>
          <w:sz w:val="24"/>
        </w:rPr>
        <w:t>15</w:t>
      </w:r>
      <w:r>
        <w:rPr>
          <w:rFonts w:hAnsi="宋体"/>
          <w:color w:val="auto"/>
          <w:sz w:val="24"/>
        </w:rPr>
        <w:t>个错误），应对数据库中的全部数据进行人工核对。</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bCs/>
          <w:color w:val="auto"/>
          <w:sz w:val="24"/>
        </w:rPr>
      </w:pPr>
      <w:r>
        <w:rPr>
          <w:rFonts w:hint="eastAsia" w:hAnsi="宋体"/>
          <w:bCs/>
          <w:color w:val="auto"/>
          <w:sz w:val="24"/>
        </w:rPr>
        <w:t>（二）</w:t>
      </w:r>
      <w:r>
        <w:rPr>
          <w:rFonts w:hAnsi="宋体"/>
          <w:bCs/>
          <w:color w:val="auto"/>
          <w:sz w:val="24"/>
        </w:rPr>
        <w:t>试验数据统计的</w:t>
      </w:r>
      <w:r>
        <w:rPr>
          <w:bCs/>
          <w:color w:val="auto"/>
          <w:sz w:val="24"/>
        </w:rPr>
        <w:t>SOP</w:t>
      </w:r>
    </w:p>
    <w:p>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color w:val="auto"/>
          <w:sz w:val="24"/>
        </w:rPr>
      </w:pPr>
      <w:r>
        <w:rPr>
          <w:rFonts w:hAnsi="宋体"/>
          <w:color w:val="auto"/>
          <w:sz w:val="24"/>
        </w:rPr>
        <w:t>制定统计分析计划：由生物统计人员配合主要研究者在制定试验方案时写成初稿，在试验的进行中，不断完善分析计划，但必须在数据锁定前定稿。</w:t>
      </w:r>
    </w:p>
    <w:p>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color w:val="auto"/>
          <w:sz w:val="24"/>
        </w:rPr>
      </w:pPr>
      <w:r>
        <w:rPr>
          <w:rFonts w:hAnsi="宋体"/>
          <w:color w:val="auto"/>
          <w:sz w:val="24"/>
        </w:rPr>
        <w:t>盲态审核：在最后一个病例报告表输入数据库以后，直到第一次揭盲之前，由主要研究者、生物统计人员、数据管理员和申办者对数据库内数据进行核对和评价。审核内容包括：对统计计划书的修改和确认；对研究方案中主要内容的确认；对全部入组病例和全部数据的确认（包括脱落病例，主要疗效，安全性数据等）。盲态审核完后，将数据锁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Ansi="宋体"/>
          <w:color w:val="auto"/>
          <w:sz w:val="24"/>
        </w:rPr>
        <w:t>第一次揭盲：打开第一次揭盲信封，将</w:t>
      </w:r>
      <w:r>
        <w:rPr>
          <w:color w:val="auto"/>
          <w:sz w:val="24"/>
        </w:rPr>
        <w:t>A</w:t>
      </w:r>
      <w:r>
        <w:rPr>
          <w:rFonts w:hAnsi="宋体"/>
          <w:color w:val="auto"/>
          <w:sz w:val="24"/>
        </w:rPr>
        <w:t>、</w:t>
      </w:r>
      <w:r>
        <w:rPr>
          <w:color w:val="auto"/>
          <w:sz w:val="24"/>
        </w:rPr>
        <w:t>B</w:t>
      </w:r>
      <w:r>
        <w:rPr>
          <w:rFonts w:hAnsi="宋体"/>
          <w:color w:val="auto"/>
          <w:sz w:val="24"/>
        </w:rPr>
        <w:t>两组数据进行统计分析。</w:t>
      </w:r>
    </w:p>
    <w:p>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color w:val="auto"/>
          <w:kern w:val="0"/>
          <w:sz w:val="24"/>
        </w:rPr>
      </w:pPr>
      <w:r>
        <w:rPr>
          <w:rFonts w:hAnsi="宋体"/>
          <w:color w:val="auto"/>
          <w:sz w:val="24"/>
        </w:rPr>
        <w:t>第二次揭盲：</w:t>
      </w:r>
      <w:r>
        <w:rPr>
          <w:rFonts w:hint="eastAsia" w:hAnsi="宋体"/>
          <w:color w:val="auto"/>
          <w:sz w:val="24"/>
          <w:lang w:val="en-US" w:eastAsia="zh-CN"/>
        </w:rPr>
        <w:t>当分析结束，总结报告完成，</w:t>
      </w:r>
      <w:r>
        <w:rPr>
          <w:rFonts w:hAnsi="宋体"/>
          <w:color w:val="auto"/>
          <w:sz w:val="24"/>
        </w:rPr>
        <w:t>在临床试验总结报告会上</w:t>
      </w:r>
      <w:r>
        <w:rPr>
          <w:rFonts w:hint="eastAsia" w:hAnsi="宋体"/>
          <w:color w:val="auto"/>
          <w:sz w:val="24"/>
          <w:lang w:val="en-US" w:eastAsia="zh-CN"/>
        </w:rPr>
        <w:t>作</w:t>
      </w:r>
      <w:r>
        <w:rPr>
          <w:rFonts w:hAnsi="宋体"/>
          <w:color w:val="auto"/>
          <w:sz w:val="24"/>
        </w:rPr>
        <w:t>第二次揭盲。</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b/>
          <w:color w:val="auto"/>
          <w:sz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b/>
          <w:color w:val="auto"/>
          <w:sz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b/>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1891" w:firstLineChars="785"/>
        <w:textAlignment w:val="auto"/>
        <w:rPr>
          <w:rFonts w:ascii="宋体" w:hAnsi="宋体" w:eastAsia="宋体" w:cs="宋体"/>
          <w:b/>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1891" w:firstLineChars="785"/>
        <w:textAlignment w:val="auto"/>
        <w:rPr>
          <w:rFonts w:ascii="宋体" w:hAnsi="宋体" w:eastAsia="宋体" w:cs="宋体"/>
          <w:b/>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2380" w:firstLineChars="988"/>
        <w:textAlignment w:val="auto"/>
        <w:rPr>
          <w:rFonts w:asciiTheme="majorEastAsia" w:hAnsiTheme="majorEastAsia" w:eastAsiaTheme="majorEastAsia"/>
          <w:b/>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2380" w:firstLineChars="988"/>
        <w:textAlignment w:val="auto"/>
        <w:rPr>
          <w:rFonts w:asciiTheme="majorEastAsia" w:hAnsiTheme="majorEastAsia" w:eastAsiaTheme="majorEastAsia"/>
          <w:b/>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b/>
          <w:color w:val="auto"/>
          <w:sz w:val="24"/>
          <w:szCs w:val="24"/>
        </w:rPr>
      </w:pPr>
    </w:p>
    <w:p>
      <w:pPr>
        <w:spacing w:line="360" w:lineRule="auto"/>
        <w:jc w:val="center"/>
        <w:rPr>
          <w:rFonts w:ascii="宋体" w:hAnsi="宋体" w:eastAsia="宋体" w:cs="宋体"/>
          <w:b/>
          <w:color w:val="auto"/>
          <w:sz w:val="24"/>
          <w:szCs w:val="24"/>
        </w:rPr>
      </w:pPr>
    </w:p>
    <w:p>
      <w:pPr>
        <w:spacing w:line="360" w:lineRule="auto"/>
        <w:jc w:val="center"/>
        <w:rPr>
          <w:rFonts w:ascii="宋体" w:hAnsi="宋体" w:eastAsia="宋体" w:cs="宋体"/>
          <w:b/>
          <w:color w:val="auto"/>
          <w:sz w:val="24"/>
          <w:szCs w:val="24"/>
        </w:rPr>
      </w:pPr>
    </w:p>
    <w:p>
      <w:pPr>
        <w:spacing w:line="360" w:lineRule="auto"/>
        <w:jc w:val="center"/>
        <w:rPr>
          <w:rFonts w:ascii="宋体" w:hAnsi="宋体" w:eastAsia="宋体" w:cs="宋体"/>
          <w:b/>
          <w:color w:val="auto"/>
          <w:sz w:val="24"/>
          <w:szCs w:val="24"/>
        </w:rPr>
      </w:pPr>
    </w:p>
    <w:p>
      <w:pPr>
        <w:spacing w:line="480" w:lineRule="auto"/>
        <w:rPr>
          <w:rFonts w:ascii="黑体" w:hAnsi="黑体" w:eastAsia="黑体" w:cs="黑体"/>
          <w:b/>
          <w:color w:val="auto"/>
          <w:sz w:val="28"/>
          <w:szCs w:val="28"/>
        </w:rPr>
        <w:sectPr>
          <w:headerReference r:id="rId141" w:type="default"/>
          <w:footerReference r:id="rId142"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spacing w:line="480" w:lineRule="auto"/>
        <w:jc w:val="center"/>
        <w:rPr>
          <w:rFonts w:ascii="黑体" w:hAnsi="黑体" w:eastAsia="黑体" w:cs="黑体"/>
          <w:b/>
          <w:color w:val="auto"/>
          <w:sz w:val="28"/>
          <w:szCs w:val="28"/>
        </w:rPr>
      </w:pPr>
      <w:r>
        <w:rPr>
          <w:rFonts w:hint="eastAsia" w:ascii="黑体" w:hAnsi="黑体" w:eastAsia="黑体" w:cs="黑体"/>
          <w:b/>
          <w:color w:val="auto"/>
          <w:sz w:val="28"/>
          <w:szCs w:val="28"/>
        </w:rPr>
        <w:t>临床试验档案管理的SOP</w:t>
      </w:r>
    </w:p>
    <w:p>
      <w:pPr>
        <w:numPr>
          <w:ilvl w:val="0"/>
          <w:numId w:val="68"/>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目的</w:t>
      </w:r>
    </w:p>
    <w:p>
      <w:pPr>
        <w:spacing w:line="360" w:lineRule="auto"/>
        <w:ind w:firstLine="480" w:firstLineChars="200"/>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规范药物</w:t>
      </w:r>
      <w:r>
        <w:rPr>
          <w:rFonts w:hint="eastAsia" w:asciiTheme="minorEastAsia" w:hAnsiTheme="minorEastAsia" w:cstheme="minorEastAsia"/>
          <w:bCs/>
          <w:color w:val="auto"/>
          <w:sz w:val="24"/>
          <w:szCs w:val="24"/>
          <w:lang w:val="en-US" w:eastAsia="zh-CN"/>
        </w:rPr>
        <w:t>/医疗器械</w:t>
      </w:r>
      <w:r>
        <w:rPr>
          <w:rFonts w:hint="eastAsia" w:asciiTheme="minorEastAsia" w:hAnsiTheme="minorEastAsia" w:cstheme="minorEastAsia"/>
          <w:bCs/>
          <w:color w:val="auto"/>
          <w:sz w:val="24"/>
          <w:szCs w:val="24"/>
        </w:rPr>
        <w:t>临床试验资料的档案管理。</w:t>
      </w:r>
    </w:p>
    <w:p>
      <w:pPr>
        <w:numPr>
          <w:ilvl w:val="0"/>
          <w:numId w:val="68"/>
        </w:num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范围</w:t>
      </w:r>
    </w:p>
    <w:p>
      <w:pPr>
        <w:spacing w:line="360" w:lineRule="auto"/>
        <w:ind w:firstLine="480" w:firstLineChars="200"/>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机构药物</w:t>
      </w:r>
      <w:r>
        <w:rPr>
          <w:rFonts w:hint="eastAsia" w:asciiTheme="minorEastAsia" w:hAnsiTheme="minorEastAsia" w:cstheme="minorEastAsia"/>
          <w:bCs/>
          <w:color w:val="auto"/>
          <w:sz w:val="24"/>
          <w:szCs w:val="24"/>
          <w:lang w:val="en-US" w:eastAsia="zh-CN"/>
        </w:rPr>
        <w:t>/医疗器械</w:t>
      </w:r>
      <w:r>
        <w:rPr>
          <w:rFonts w:hint="eastAsia" w:asciiTheme="minorEastAsia" w:hAnsiTheme="minorEastAsia" w:cstheme="minorEastAsia"/>
          <w:bCs/>
          <w:color w:val="auto"/>
          <w:sz w:val="24"/>
          <w:szCs w:val="24"/>
        </w:rPr>
        <w:t>临床试验项目资料的档案管理。</w:t>
      </w:r>
    </w:p>
    <w:p>
      <w:p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三、规程</w:t>
      </w:r>
    </w:p>
    <w:p>
      <w:p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（一）机构办公室配备档案室和专用文件柜用于档案保存。</w:t>
      </w:r>
    </w:p>
    <w:p>
      <w:pPr>
        <w:spacing w:line="360" w:lineRule="auto"/>
        <w:rPr>
          <w:rFonts w:hint="eastAsia"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w:t>
      </w:r>
      <w:r>
        <w:rPr>
          <w:rFonts w:hint="eastAsia" w:asciiTheme="minorEastAsia" w:hAnsiTheme="minorEastAsia" w:cstheme="minorEastAsia"/>
          <w:bCs/>
          <w:color w:val="auto"/>
          <w:sz w:val="24"/>
          <w:szCs w:val="24"/>
          <w:lang w:val="en-US" w:eastAsia="zh-CN"/>
        </w:rPr>
        <w:t>二</w:t>
      </w:r>
      <w:r>
        <w:rPr>
          <w:rFonts w:hint="eastAsia" w:asciiTheme="minorEastAsia" w:hAnsiTheme="minorEastAsia" w:cstheme="minorEastAsia"/>
          <w:bCs/>
          <w:color w:val="auto"/>
          <w:sz w:val="24"/>
          <w:szCs w:val="24"/>
        </w:rPr>
        <w:t>）机构资料管理员负责档案的保存。</w:t>
      </w:r>
    </w:p>
    <w:p>
      <w:pPr>
        <w:spacing w:line="360" w:lineRule="auto"/>
        <w:rPr>
          <w:rFonts w:hint="default" w:asciiTheme="minorEastAsia" w:hAnsiTheme="minorEastAsia" w:cstheme="minorEastAsia"/>
          <w:bCs/>
          <w:color w:val="auto"/>
          <w:sz w:val="24"/>
          <w:szCs w:val="24"/>
          <w:lang w:val="en-US" w:eastAsia="zh-CN"/>
        </w:rPr>
      </w:pPr>
      <w:r>
        <w:rPr>
          <w:rFonts w:hint="eastAsia" w:asciiTheme="minorEastAsia" w:hAnsiTheme="minorEastAsia" w:cstheme="minorEastAsia"/>
          <w:bCs/>
          <w:color w:val="auto"/>
          <w:sz w:val="24"/>
          <w:szCs w:val="24"/>
          <w:lang w:eastAsia="zh-CN"/>
        </w:rPr>
        <w:t>（</w:t>
      </w:r>
      <w:r>
        <w:rPr>
          <w:rFonts w:hint="eastAsia" w:asciiTheme="minorEastAsia" w:hAnsiTheme="minorEastAsia" w:cstheme="minorEastAsia"/>
          <w:bCs/>
          <w:color w:val="auto"/>
          <w:sz w:val="24"/>
          <w:szCs w:val="24"/>
          <w:lang w:val="en-US" w:eastAsia="zh-CN"/>
        </w:rPr>
        <w:t>三</w:t>
      </w:r>
      <w:r>
        <w:rPr>
          <w:rFonts w:hint="eastAsia" w:asciiTheme="minorEastAsia" w:hAnsiTheme="minorEastAsia" w:cstheme="minorEastAsia"/>
          <w:bCs/>
          <w:color w:val="auto"/>
          <w:sz w:val="24"/>
          <w:szCs w:val="24"/>
          <w:lang w:eastAsia="zh-CN"/>
        </w:rPr>
        <w:t>）</w:t>
      </w:r>
      <w:r>
        <w:rPr>
          <w:rFonts w:hint="eastAsia" w:asciiTheme="minorEastAsia" w:hAnsiTheme="minorEastAsia" w:cstheme="minorEastAsia"/>
          <w:bCs/>
          <w:color w:val="auto"/>
          <w:sz w:val="24"/>
          <w:szCs w:val="24"/>
          <w:lang w:val="en-US" w:eastAsia="zh-CN"/>
        </w:rPr>
        <w:t>机构资料室用于存放已完成项目的资料。</w:t>
      </w:r>
    </w:p>
    <w:p>
      <w:pPr>
        <w:spacing w:line="360" w:lineRule="auto"/>
        <w:rPr>
          <w:rFonts w:hint="eastAsia" w:asciiTheme="minorEastAsia" w:hAnsiTheme="minorEastAsia" w:cstheme="minorEastAsia"/>
          <w:bCs/>
          <w:color w:val="auto"/>
          <w:sz w:val="24"/>
          <w:szCs w:val="24"/>
          <w:lang w:val="en-US" w:eastAsia="zh-CN"/>
        </w:rPr>
      </w:pPr>
      <w:r>
        <w:rPr>
          <w:rFonts w:hint="eastAsia" w:asciiTheme="minorEastAsia" w:hAnsiTheme="minorEastAsia" w:cstheme="minorEastAsia"/>
          <w:bCs/>
          <w:color w:val="auto"/>
          <w:sz w:val="24"/>
          <w:szCs w:val="24"/>
        </w:rPr>
        <w:t>（</w:t>
      </w:r>
      <w:r>
        <w:rPr>
          <w:rFonts w:hint="eastAsia" w:asciiTheme="minorEastAsia" w:hAnsiTheme="minorEastAsia" w:cstheme="minorEastAsia"/>
          <w:bCs/>
          <w:color w:val="auto"/>
          <w:sz w:val="24"/>
          <w:szCs w:val="24"/>
          <w:lang w:val="en-US" w:eastAsia="zh-CN"/>
        </w:rPr>
        <w:t>四</w:t>
      </w:r>
      <w:r>
        <w:rPr>
          <w:rFonts w:hint="eastAsia" w:asciiTheme="minorEastAsia" w:hAnsiTheme="minorEastAsia" w:cstheme="minorEastAsia"/>
          <w:bCs/>
          <w:color w:val="auto"/>
          <w:sz w:val="24"/>
          <w:szCs w:val="24"/>
        </w:rPr>
        <w:t>）档案管理流程</w:t>
      </w:r>
      <w:r>
        <w:rPr>
          <w:rFonts w:hint="eastAsia" w:asciiTheme="minorEastAsia" w:hAnsiTheme="minorEastAsia" w:cstheme="minorEastAsia"/>
          <w:bCs/>
          <w:color w:val="auto"/>
          <w:sz w:val="24"/>
          <w:szCs w:val="24"/>
          <w:lang w:eastAsia="zh-CN"/>
        </w:rPr>
        <w:t>：</w:t>
      </w:r>
    </w:p>
    <w:p>
      <w:pPr>
        <w:spacing w:line="360" w:lineRule="auto"/>
        <w:rPr>
          <w:rFonts w:hint="eastAsia" w:asciiTheme="minorEastAsia" w:hAnsiTheme="minorEastAsia" w:cstheme="minorEastAsia"/>
          <w:bCs/>
          <w:color w:val="auto"/>
          <w:sz w:val="24"/>
          <w:szCs w:val="24"/>
        </w:rPr>
      </w:pPr>
      <w:r>
        <w:rPr>
          <w:rFonts w:hint="eastAsia" w:asciiTheme="minorEastAsia" w:hAnsiTheme="minorEastAsia" w:cstheme="minorEastAsia"/>
          <w:bCs/>
          <w:color w:val="auto"/>
          <w:sz w:val="24"/>
          <w:szCs w:val="24"/>
          <w:lang w:val="en-US" w:eastAsia="zh-CN"/>
        </w:rPr>
        <w:t xml:space="preserve">1. </w:t>
      </w:r>
      <w:r>
        <w:rPr>
          <w:rFonts w:hint="eastAsia" w:asciiTheme="minorEastAsia" w:hAnsiTheme="minorEastAsia" w:cstheme="minorEastAsia"/>
          <w:bCs/>
          <w:color w:val="auto"/>
          <w:sz w:val="24"/>
          <w:szCs w:val="24"/>
        </w:rPr>
        <w:t>临床试验准备阶段</w:t>
      </w:r>
    </w:p>
    <w:p>
      <w:pPr>
        <w:tabs>
          <w:tab w:val="left" w:pos="1310"/>
        </w:tabs>
        <w:spacing w:line="360" w:lineRule="auto"/>
        <w:ind w:right="600"/>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（1）申办者/CRO 在申报立项时根据《临床试验运行管理的SOP》要求提交的申报材料由机构资料管理员保存。</w:t>
      </w:r>
    </w:p>
    <w:p>
      <w:pPr>
        <w:tabs>
          <w:tab w:val="left" w:pos="1320"/>
        </w:tabs>
        <w:spacing w:line="360" w:lineRule="auto"/>
        <w:ind w:right="720"/>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（2）项目经伦理委员会评审通过后，机构资料管理员收集试验方案及其修正案(已签名)原件、伦理委员会</w:t>
      </w:r>
      <w:r>
        <w:rPr>
          <w:rFonts w:hint="eastAsia" w:asciiTheme="minorEastAsia" w:hAnsiTheme="minorEastAsia" w:cstheme="minorEastAsia"/>
          <w:bCs/>
          <w:color w:val="auto"/>
          <w:sz w:val="24"/>
          <w:szCs w:val="24"/>
          <w:lang w:val="en-US" w:eastAsia="zh-CN"/>
        </w:rPr>
        <w:t>审查意见</w:t>
      </w:r>
      <w:r>
        <w:rPr>
          <w:rFonts w:hint="eastAsia" w:asciiTheme="minorEastAsia" w:hAnsiTheme="minorEastAsia" w:cstheme="minorEastAsia"/>
          <w:bCs/>
          <w:color w:val="auto"/>
          <w:sz w:val="24"/>
          <w:szCs w:val="24"/>
        </w:rPr>
        <w:t>及成员表原件、课题组成人员表副本</w:t>
      </w:r>
      <w:r>
        <w:rPr>
          <w:rFonts w:hint="eastAsia" w:asciiTheme="minorEastAsia" w:hAnsiTheme="minorEastAsia" w:cstheme="minorEastAsia"/>
          <w:bCs/>
          <w:color w:val="auto"/>
          <w:sz w:val="24"/>
          <w:szCs w:val="24"/>
          <w:lang w:val="en-US" w:eastAsia="zh-CN"/>
        </w:rPr>
        <w:t>等资料</w:t>
      </w:r>
      <w:r>
        <w:rPr>
          <w:rFonts w:hint="eastAsia" w:asciiTheme="minorEastAsia" w:hAnsiTheme="minorEastAsia" w:cstheme="minorEastAsia"/>
          <w:bCs/>
          <w:color w:val="auto"/>
          <w:sz w:val="24"/>
          <w:szCs w:val="24"/>
        </w:rPr>
        <w:t>，按项目分别装入文件盒内，贴上标签(标明方案名称)，并保存在</w:t>
      </w:r>
      <w:r>
        <w:rPr>
          <w:rFonts w:hint="eastAsia" w:asciiTheme="minorEastAsia" w:hAnsiTheme="minorEastAsia" w:cstheme="minorEastAsia"/>
          <w:bCs/>
          <w:color w:val="auto"/>
          <w:sz w:val="24"/>
          <w:szCs w:val="24"/>
          <w:lang w:val="en-US" w:eastAsia="zh-CN"/>
        </w:rPr>
        <w:t>机构办公室</w:t>
      </w:r>
      <w:r>
        <w:rPr>
          <w:rFonts w:hint="eastAsia" w:asciiTheme="minorEastAsia" w:hAnsiTheme="minorEastAsia" w:cstheme="minorEastAsia"/>
          <w:bCs/>
          <w:color w:val="auto"/>
          <w:sz w:val="24"/>
          <w:szCs w:val="24"/>
        </w:rPr>
        <w:t>在研资料区。</w:t>
      </w:r>
    </w:p>
    <w:p>
      <w:pPr>
        <w:spacing w:line="360" w:lineRule="auto"/>
        <w:rPr>
          <w:rFonts w:asciiTheme="minorEastAsia" w:hAnsiTheme="minorEastAsia" w:cstheme="minorEastAsia"/>
          <w:bCs/>
          <w:color w:val="auto"/>
          <w:sz w:val="22"/>
          <w:szCs w:val="22"/>
        </w:rPr>
      </w:pPr>
      <w:r>
        <w:rPr>
          <w:rFonts w:hint="eastAsia" w:asciiTheme="minorEastAsia" w:hAnsiTheme="minorEastAsia" w:cstheme="minorEastAsia"/>
          <w:bCs/>
          <w:color w:val="auto"/>
          <w:sz w:val="24"/>
          <w:szCs w:val="24"/>
          <w:lang w:val="en-US" w:eastAsia="zh-CN"/>
        </w:rPr>
        <w:t xml:space="preserve">2. </w:t>
      </w:r>
      <w:r>
        <w:rPr>
          <w:rFonts w:hint="eastAsia" w:asciiTheme="minorEastAsia" w:hAnsiTheme="minorEastAsia" w:cstheme="minorEastAsia"/>
          <w:bCs/>
          <w:color w:val="auto"/>
          <w:sz w:val="24"/>
          <w:szCs w:val="24"/>
        </w:rPr>
        <w:t>临床试验进行阶段</w:t>
      </w:r>
    </w:p>
    <w:p>
      <w:pPr>
        <w:spacing w:line="360" w:lineRule="auto"/>
        <w:ind w:firstLine="480" w:firstLineChars="200"/>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临床试验进行阶段研究者/申办者/CRO 收集并整理相关资料，以活页文件夹的形式，由研究者或研究助理协助其保管并保存在研究场所。所有资料必须专柜、上锁存放。</w:t>
      </w:r>
    </w:p>
    <w:p>
      <w:pPr>
        <w:numPr>
          <w:ilvl w:val="0"/>
          <w:numId w:val="0"/>
        </w:numPr>
        <w:spacing w:line="360" w:lineRule="auto"/>
        <w:ind w:left="0" w:leftChars="0" w:firstLine="0" w:firstLineChars="0"/>
        <w:rPr>
          <w:rFonts w:asciiTheme="minorEastAsia" w:hAnsiTheme="minorEastAsia" w:cstheme="minorEastAsia"/>
          <w:bCs/>
          <w:color w:val="auto"/>
          <w:sz w:val="24"/>
          <w:szCs w:val="24"/>
        </w:rPr>
      </w:pPr>
      <w:r>
        <w:rPr>
          <w:rFonts w:asciiTheme="minorEastAsia" w:hAnsiTheme="minorEastAsia" w:eastAsiaTheme="minorEastAsia" w:cstheme="minorEastAsia"/>
          <w:bCs/>
          <w:color w:val="auto"/>
          <w:kern w:val="2"/>
          <w:sz w:val="24"/>
          <w:szCs w:val="24"/>
          <w:lang w:val="en-US" w:eastAsia="zh-CN" w:bidi="ar-SA"/>
        </w:rPr>
        <w:t>2.</w:t>
      </w:r>
      <w:r>
        <w:rPr>
          <w:rFonts w:hint="eastAsia" w:asciiTheme="minorEastAsia" w:hAnsiTheme="minorEastAsia" w:cstheme="minorEastAsia"/>
          <w:bCs/>
          <w:color w:val="auto"/>
          <w:sz w:val="24"/>
          <w:szCs w:val="24"/>
        </w:rPr>
        <w:t>临床试验完成后</w:t>
      </w:r>
    </w:p>
    <w:p>
      <w:p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（1）机构资料管理员将试验方案及其修正案(已签名)原件、伦理委员会</w:t>
      </w:r>
      <w:r>
        <w:rPr>
          <w:rFonts w:hint="eastAsia" w:asciiTheme="minorEastAsia" w:hAnsiTheme="minorEastAsia" w:cstheme="minorEastAsia"/>
          <w:bCs/>
          <w:color w:val="auto"/>
          <w:sz w:val="24"/>
          <w:szCs w:val="24"/>
          <w:lang w:val="en-US" w:eastAsia="zh-CN"/>
        </w:rPr>
        <w:t>审查</w:t>
      </w:r>
      <w:r>
        <w:rPr>
          <w:rFonts w:hint="eastAsia" w:asciiTheme="minorEastAsia" w:hAnsiTheme="minorEastAsia" w:cstheme="minorEastAsia"/>
          <w:bCs/>
          <w:color w:val="auto"/>
          <w:sz w:val="24"/>
          <w:szCs w:val="24"/>
        </w:rPr>
        <w:t>及成员表原件等资料移交给研究者或研究助理。</w:t>
      </w:r>
    </w:p>
    <w:p>
      <w:pPr>
        <w:tabs>
          <w:tab w:val="left" w:pos="1200"/>
        </w:tabs>
        <w:spacing w:line="360" w:lineRule="auto"/>
        <w:ind w:right="20"/>
        <w:rPr>
          <w:rFonts w:asciiTheme="minorEastAsia" w:hAnsiTheme="minorEastAsia" w:cstheme="minorEastAsia"/>
          <w:bCs/>
          <w:color w:val="auto"/>
          <w:sz w:val="24"/>
          <w:szCs w:val="24"/>
        </w:rPr>
      </w:pPr>
      <w:bookmarkStart w:id="2" w:name="page2"/>
      <w:bookmarkEnd w:id="2"/>
      <w:r>
        <w:rPr>
          <w:rFonts w:hint="eastAsia" w:asciiTheme="minorEastAsia" w:hAnsiTheme="minorEastAsia" w:cstheme="minorEastAsia"/>
          <w:bCs/>
          <w:color w:val="auto"/>
          <w:sz w:val="24"/>
          <w:szCs w:val="24"/>
        </w:rPr>
        <w:t>（2）研究者或研究助理根据</w:t>
      </w:r>
      <w:r>
        <w:rPr>
          <w:rFonts w:hint="eastAsia" w:asciiTheme="minorEastAsia" w:hAnsiTheme="minorEastAsia" w:cstheme="minorEastAsia"/>
          <w:bCs/>
          <w:color w:val="auto"/>
          <w:sz w:val="24"/>
          <w:szCs w:val="24"/>
          <w:lang w:val="en-US" w:eastAsia="zh-CN"/>
        </w:rPr>
        <w:t>GCP</w:t>
      </w:r>
      <w:r>
        <w:rPr>
          <w:rFonts w:hint="eastAsia" w:asciiTheme="minorEastAsia" w:hAnsiTheme="minorEastAsia" w:cstheme="minorEastAsia"/>
          <w:bCs/>
          <w:color w:val="auto"/>
          <w:sz w:val="24"/>
          <w:szCs w:val="24"/>
        </w:rPr>
        <w:t>的归档要求在“药物</w:t>
      </w:r>
      <w:r>
        <w:rPr>
          <w:rFonts w:hint="eastAsia" w:asciiTheme="minorEastAsia" w:hAnsiTheme="minorEastAsia" w:cstheme="minorEastAsia"/>
          <w:bCs/>
          <w:color w:val="auto"/>
          <w:sz w:val="24"/>
          <w:szCs w:val="24"/>
          <w:lang w:val="en-US" w:eastAsia="zh-CN"/>
        </w:rPr>
        <w:t>/医疗器械</w:t>
      </w:r>
      <w:r>
        <w:rPr>
          <w:rFonts w:hint="eastAsia" w:asciiTheme="minorEastAsia" w:hAnsiTheme="minorEastAsia" w:cstheme="minorEastAsia"/>
          <w:bCs/>
          <w:color w:val="auto"/>
          <w:sz w:val="24"/>
          <w:szCs w:val="24"/>
        </w:rPr>
        <w:t>临床试验项目资料归档清单”(见附件</w:t>
      </w:r>
      <w:r>
        <w:rPr>
          <w:rFonts w:hint="eastAsia" w:asciiTheme="minorEastAsia" w:hAnsiTheme="minorEastAsia" w:cstheme="minorEastAsia"/>
          <w:bCs/>
          <w:color w:val="auto"/>
          <w:sz w:val="24"/>
          <w:szCs w:val="24"/>
          <w:lang w:val="en-US" w:eastAsia="zh-CN"/>
        </w:rPr>
        <w:t>1或附件2</w:t>
      </w:r>
      <w:r>
        <w:rPr>
          <w:rFonts w:hint="eastAsia" w:asciiTheme="minorEastAsia" w:hAnsiTheme="minorEastAsia" w:cstheme="minorEastAsia"/>
          <w:bCs/>
          <w:color w:val="auto"/>
          <w:sz w:val="24"/>
          <w:szCs w:val="24"/>
        </w:rPr>
        <w:t>）中进行登记(详细说明资料内容和份数)。</w:t>
      </w:r>
    </w:p>
    <w:p>
      <w:pPr>
        <w:tabs>
          <w:tab w:val="left" w:pos="1200"/>
        </w:tabs>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（3）研究者或研究助理将资料按归档目录(见附件</w:t>
      </w:r>
      <w:r>
        <w:rPr>
          <w:rFonts w:hint="eastAsia" w:asciiTheme="minorEastAsia" w:hAnsiTheme="minorEastAsia" w:cstheme="minorEastAsia"/>
          <w:bCs/>
          <w:color w:val="auto"/>
          <w:sz w:val="24"/>
          <w:szCs w:val="24"/>
          <w:lang w:val="en-US" w:eastAsia="zh-CN"/>
        </w:rPr>
        <w:t>3或附件4</w:t>
      </w:r>
      <w:r>
        <w:rPr>
          <w:rFonts w:hint="eastAsia" w:asciiTheme="minorEastAsia" w:hAnsiTheme="minorEastAsia" w:cstheme="minorEastAsia"/>
          <w:bCs/>
          <w:color w:val="auto"/>
          <w:sz w:val="24"/>
          <w:szCs w:val="24"/>
        </w:rPr>
        <w:t>）的顺序排列，装入档案盒。</w:t>
      </w:r>
    </w:p>
    <w:p>
      <w:pPr>
        <w:tabs>
          <w:tab w:val="left" w:pos="1200"/>
        </w:tabs>
        <w:spacing w:line="360" w:lineRule="auto"/>
        <w:ind w:right="120"/>
        <w:rPr>
          <w:rFonts w:asciiTheme="minorEastAsia" w:hAnsiTheme="minorEastAsia" w:cstheme="minorEastAsia"/>
          <w:bCs/>
          <w:color w:val="auto"/>
          <w:sz w:val="24"/>
          <w:szCs w:val="24"/>
        </w:rPr>
        <w:sectPr>
          <w:headerReference r:id="rId143" w:type="default"/>
          <w:footerReference r:id="rId144"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tabs>
          <w:tab w:val="left" w:pos="1200"/>
        </w:tabs>
        <w:spacing w:line="360" w:lineRule="auto"/>
        <w:ind w:right="120"/>
        <w:rPr>
          <w:rFonts w:asciiTheme="minorEastAsia" w:hAnsiTheme="minorEastAsia" w:cstheme="minorEastAsia"/>
          <w:b w:val="0"/>
          <w:bCs/>
          <w:color w:val="auto"/>
          <w:sz w:val="24"/>
          <w:szCs w:val="24"/>
        </w:rPr>
      </w:pPr>
      <w:r>
        <w:rPr>
          <w:rFonts w:hint="eastAsia" w:asciiTheme="minorEastAsia" w:hAnsiTheme="minorEastAsia" w:cstheme="minorEastAsia"/>
          <w:bCs/>
          <w:color w:val="auto"/>
          <w:sz w:val="24"/>
          <w:szCs w:val="24"/>
        </w:rPr>
        <w:t>（4）研究者或研究助理将已填写的 CRF 页以每例受试者为一本，装入文件盒并在文件盒侧面贴上标签，注明盒内为哪几号 CRF；若为电子 CRF，则刻录成光盘随研究资料一</w:t>
      </w:r>
      <w:r>
        <w:rPr>
          <w:rFonts w:hint="eastAsia" w:asciiTheme="minorEastAsia" w:hAnsiTheme="minorEastAsia" w:cstheme="minorEastAsia"/>
          <w:b w:val="0"/>
          <w:bCs/>
          <w:color w:val="auto"/>
          <w:sz w:val="24"/>
          <w:szCs w:val="24"/>
        </w:rPr>
        <w:t>起保存，另存入硬盘备份。</w:t>
      </w:r>
    </w:p>
    <w:p>
      <w:pPr>
        <w:tabs>
          <w:tab w:val="left" w:pos="1200"/>
        </w:tabs>
        <w:spacing w:line="360" w:lineRule="auto"/>
        <w:ind w:right="120"/>
        <w:rPr>
          <w:rFonts w:asciiTheme="minorEastAsia" w:hAnsiTheme="minorEastAsia" w:cstheme="minorEastAsia"/>
          <w:b w:val="0"/>
          <w:bCs/>
          <w:color w:val="auto"/>
          <w:sz w:val="24"/>
          <w:szCs w:val="24"/>
        </w:rPr>
      </w:pPr>
      <w:r>
        <w:rPr>
          <w:rFonts w:hint="eastAsia" w:asciiTheme="minorEastAsia" w:hAnsiTheme="minorEastAsia" w:cstheme="minorEastAsia"/>
          <w:b w:val="0"/>
          <w:bCs/>
          <w:color w:val="auto"/>
          <w:sz w:val="24"/>
          <w:szCs w:val="24"/>
        </w:rPr>
        <w:t>（5）填写“临床试验项目结题签认表”(临床试验结题的SOP</w:t>
      </w:r>
      <w:r>
        <w:rPr>
          <w:rFonts w:hint="eastAsia" w:asciiTheme="minorEastAsia" w:hAnsiTheme="minorEastAsia" w:cstheme="minorEastAsia"/>
          <w:b w:val="0"/>
          <w:bCs/>
          <w:color w:val="auto"/>
          <w:sz w:val="24"/>
          <w:szCs w:val="24"/>
          <w:lang w:eastAsia="zh-CN"/>
        </w:rPr>
        <w:t>，</w:t>
      </w:r>
      <w:r>
        <w:rPr>
          <w:rFonts w:hint="eastAsia" w:asciiTheme="minorEastAsia" w:hAnsiTheme="minorEastAsia" w:cstheme="minorEastAsia"/>
          <w:b w:val="0"/>
          <w:bCs/>
          <w:color w:val="auto"/>
          <w:sz w:val="24"/>
          <w:szCs w:val="24"/>
        </w:rPr>
        <w:t>附件1)，审查无误后与以上整理好的资料、CRF 等交资料管理员进行归档。</w:t>
      </w:r>
    </w:p>
    <w:p>
      <w:pPr>
        <w:tabs>
          <w:tab w:val="left" w:pos="1200"/>
        </w:tabs>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（6）资料管理员填写归档编号。编号原则为：归档年份—顺序号—试验期别—承担专业名称。如：2017 年第 5 个归档的项目是</w:t>
      </w:r>
      <w:r>
        <w:rPr>
          <w:rFonts w:hint="eastAsia" w:asciiTheme="minorEastAsia" w:hAnsiTheme="minorEastAsia" w:cstheme="minorEastAsia"/>
          <w:bCs/>
          <w:color w:val="auto"/>
          <w:sz w:val="24"/>
          <w:szCs w:val="24"/>
          <w:lang w:val="en-US" w:eastAsia="zh-CN"/>
        </w:rPr>
        <w:t>内分泌</w:t>
      </w:r>
      <w:r>
        <w:rPr>
          <w:rFonts w:hint="eastAsia" w:asciiTheme="minorEastAsia" w:hAnsiTheme="minorEastAsia" w:cstheme="minorEastAsia"/>
          <w:bCs/>
          <w:color w:val="auto"/>
          <w:sz w:val="24"/>
          <w:szCs w:val="24"/>
        </w:rPr>
        <w:t>专业的一个Ⅲ期项目，其编号为 2017—05—Ⅲ期—</w:t>
      </w:r>
      <w:r>
        <w:rPr>
          <w:rFonts w:hint="eastAsia" w:asciiTheme="minorEastAsia" w:hAnsiTheme="minorEastAsia" w:cstheme="minorEastAsia"/>
          <w:bCs/>
          <w:color w:val="auto"/>
          <w:sz w:val="24"/>
          <w:szCs w:val="24"/>
          <w:lang w:val="en-US" w:eastAsia="zh-CN"/>
        </w:rPr>
        <w:t>内分泌</w:t>
      </w:r>
      <w:r>
        <w:rPr>
          <w:rFonts w:hint="eastAsia" w:asciiTheme="minorEastAsia" w:hAnsiTheme="minorEastAsia" w:cstheme="minorEastAsia"/>
          <w:bCs/>
          <w:color w:val="auto"/>
          <w:sz w:val="24"/>
          <w:szCs w:val="24"/>
        </w:rPr>
        <w:t>。</w:t>
      </w:r>
    </w:p>
    <w:p>
      <w:pPr>
        <w:tabs>
          <w:tab w:val="left" w:pos="1200"/>
        </w:tabs>
        <w:spacing w:line="360" w:lineRule="auto"/>
        <w:ind w:right="120"/>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（7）在档案盒表面贴上标签显示所保存的资料内容和具体份数，在侧面贴标签示归档编号和方案名称及第几盒，共几盒。</w:t>
      </w:r>
    </w:p>
    <w:p>
      <w:pPr>
        <w:tabs>
          <w:tab w:val="left" w:pos="1200"/>
        </w:tabs>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（8）在档案盒第一盒中放入“药物</w:t>
      </w:r>
      <w:r>
        <w:rPr>
          <w:rFonts w:hint="eastAsia" w:asciiTheme="minorEastAsia" w:hAnsiTheme="minorEastAsia" w:cstheme="minorEastAsia"/>
          <w:bCs/>
          <w:color w:val="auto"/>
          <w:sz w:val="24"/>
          <w:szCs w:val="24"/>
          <w:lang w:val="en-US" w:eastAsia="zh-CN"/>
        </w:rPr>
        <w:t>/医疗器械</w:t>
      </w:r>
      <w:r>
        <w:rPr>
          <w:rFonts w:hint="eastAsia" w:asciiTheme="minorEastAsia" w:hAnsiTheme="minorEastAsia" w:cstheme="minorEastAsia"/>
          <w:bCs/>
          <w:color w:val="auto"/>
          <w:sz w:val="24"/>
          <w:szCs w:val="24"/>
        </w:rPr>
        <w:t>临床试验项目资料归档清单”。</w:t>
      </w:r>
    </w:p>
    <w:p>
      <w:pPr>
        <w:tabs>
          <w:tab w:val="left" w:pos="1200"/>
        </w:tabs>
        <w:spacing w:line="360" w:lineRule="auto"/>
        <w:ind w:right="120"/>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（9）确定研究资料所放置的档案柜，将归档目录进行整理，按类别将档案盒及文件盒放入柜中。</w:t>
      </w:r>
    </w:p>
    <w:p>
      <w:pPr>
        <w:tabs>
          <w:tab w:val="left" w:pos="1320"/>
        </w:tabs>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（10）填写好“药物</w:t>
      </w:r>
      <w:r>
        <w:rPr>
          <w:rFonts w:hint="eastAsia" w:asciiTheme="minorEastAsia" w:hAnsiTheme="minorEastAsia" w:cstheme="minorEastAsia"/>
          <w:bCs/>
          <w:color w:val="auto"/>
          <w:sz w:val="24"/>
          <w:szCs w:val="24"/>
          <w:lang w:val="en-US" w:eastAsia="zh-CN"/>
        </w:rPr>
        <w:t>/医疗器械</w:t>
      </w:r>
      <w:r>
        <w:rPr>
          <w:rFonts w:hint="eastAsia" w:asciiTheme="minorEastAsia" w:hAnsiTheme="minorEastAsia" w:cstheme="minorEastAsia"/>
          <w:bCs/>
          <w:color w:val="auto"/>
          <w:sz w:val="24"/>
          <w:szCs w:val="24"/>
        </w:rPr>
        <w:t>临床试验项目资料归档登记表”（附件</w:t>
      </w:r>
      <w:r>
        <w:rPr>
          <w:rFonts w:hint="eastAsia" w:asciiTheme="minorEastAsia" w:hAnsiTheme="minorEastAsia" w:cstheme="minorEastAsia"/>
          <w:bCs/>
          <w:color w:val="auto"/>
          <w:sz w:val="24"/>
          <w:szCs w:val="24"/>
          <w:lang w:val="en-US" w:eastAsia="zh-CN"/>
        </w:rPr>
        <w:t>7或附件8</w:t>
      </w:r>
      <w:r>
        <w:rPr>
          <w:rFonts w:hint="eastAsia" w:asciiTheme="minorEastAsia" w:hAnsiTheme="minorEastAsia" w:cstheme="minorEastAsia"/>
          <w:bCs/>
          <w:color w:val="auto"/>
          <w:sz w:val="24"/>
          <w:szCs w:val="24"/>
        </w:rPr>
        <w:t>），并将“临床试验项目结题签认表”(临床试验结题的SOP，附件1)、“药物</w:t>
      </w:r>
      <w:r>
        <w:rPr>
          <w:rFonts w:hint="eastAsia" w:asciiTheme="minorEastAsia" w:hAnsiTheme="minorEastAsia" w:cstheme="minorEastAsia"/>
          <w:bCs/>
          <w:color w:val="auto"/>
          <w:sz w:val="24"/>
          <w:szCs w:val="24"/>
          <w:lang w:val="en-US" w:eastAsia="zh-CN"/>
        </w:rPr>
        <w:t>/医疗器械</w:t>
      </w:r>
      <w:r>
        <w:rPr>
          <w:rFonts w:hint="eastAsia" w:asciiTheme="minorEastAsia" w:hAnsiTheme="minorEastAsia" w:cstheme="minorEastAsia"/>
          <w:bCs/>
          <w:color w:val="auto"/>
          <w:sz w:val="24"/>
          <w:szCs w:val="24"/>
        </w:rPr>
        <w:t>临床试验项目归档资料签收表”（附件</w:t>
      </w:r>
      <w:r>
        <w:rPr>
          <w:rFonts w:hint="eastAsia" w:asciiTheme="minorEastAsia" w:hAnsiTheme="minorEastAsia" w:cstheme="minorEastAsia"/>
          <w:bCs/>
          <w:color w:val="auto"/>
          <w:sz w:val="24"/>
          <w:szCs w:val="24"/>
          <w:lang w:val="en-US" w:eastAsia="zh-CN"/>
        </w:rPr>
        <w:t>5或附件6</w:t>
      </w:r>
      <w:r>
        <w:rPr>
          <w:rFonts w:hint="eastAsia" w:asciiTheme="minorEastAsia" w:hAnsiTheme="minorEastAsia" w:cstheme="minorEastAsia"/>
          <w:bCs/>
          <w:color w:val="auto"/>
          <w:sz w:val="24"/>
          <w:szCs w:val="24"/>
        </w:rPr>
        <w:t>）存放至专门文件夹中。</w:t>
      </w:r>
    </w:p>
    <w:p>
      <w:p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（11）在文件柜外贴上此柜所放资料的目录索引。</w:t>
      </w:r>
    </w:p>
    <w:p>
      <w:p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lang w:val="en-US" w:eastAsia="zh-CN"/>
        </w:rPr>
        <w:t xml:space="preserve">4. </w:t>
      </w:r>
      <w:r>
        <w:rPr>
          <w:rFonts w:hint="eastAsia" w:asciiTheme="minorEastAsia" w:hAnsiTheme="minorEastAsia" w:cstheme="minorEastAsia"/>
          <w:bCs/>
          <w:color w:val="auto"/>
          <w:sz w:val="24"/>
          <w:szCs w:val="24"/>
        </w:rPr>
        <w:t>机构档案不得外借，查阅档案室资料需要登记，涉及受试者隐私的资料，仅有伦理委员会、药品监督管理部门和申办者，在工作需要时，按规定可以查阅，相关表格见附件</w:t>
      </w:r>
      <w:r>
        <w:rPr>
          <w:rFonts w:hint="eastAsia" w:asciiTheme="minorEastAsia" w:hAnsiTheme="minorEastAsia" w:cstheme="minorEastAsia"/>
          <w:bCs/>
          <w:color w:val="auto"/>
          <w:sz w:val="24"/>
          <w:szCs w:val="24"/>
          <w:lang w:val="en-US" w:eastAsia="zh-CN"/>
        </w:rPr>
        <w:t>9</w:t>
      </w:r>
      <w:r>
        <w:rPr>
          <w:rFonts w:hint="eastAsia" w:asciiTheme="minorEastAsia" w:hAnsiTheme="minorEastAsia" w:cstheme="minorEastAsia"/>
          <w:bCs/>
          <w:color w:val="auto"/>
          <w:sz w:val="24"/>
          <w:szCs w:val="24"/>
        </w:rPr>
        <w:t>。</w:t>
      </w:r>
    </w:p>
    <w:p>
      <w:pPr>
        <w:spacing w:line="360" w:lineRule="auto"/>
        <w:ind w:right="120"/>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lang w:val="en-US" w:eastAsia="zh-CN"/>
        </w:rPr>
        <w:t xml:space="preserve">5. </w:t>
      </w:r>
      <w:r>
        <w:rPr>
          <w:rFonts w:hint="eastAsia" w:asciiTheme="minorEastAsia" w:hAnsiTheme="minorEastAsia" w:cstheme="minorEastAsia"/>
          <w:bCs/>
          <w:color w:val="auto"/>
          <w:sz w:val="24"/>
          <w:szCs w:val="24"/>
        </w:rPr>
        <w:t>药物临床试验档案依据GCP要求，用于申请药品注册的临床试验，必备文件应当至少保存至试验药物被批准上市后5年；未用于申请药品注册的临床试验，必备文件应当至少保存至临床试验终止后5年。医疗器械临床试验档案依据GCP要求保存至临床试验结束后十年</w:t>
      </w:r>
      <w:r>
        <w:rPr>
          <w:rFonts w:hint="eastAsia" w:asciiTheme="minorEastAsia" w:hAnsiTheme="minorEastAsia" w:cstheme="minorEastAsia"/>
          <w:bCs/>
          <w:color w:val="auto"/>
          <w:sz w:val="24"/>
          <w:szCs w:val="24"/>
          <w:lang w:eastAsia="zh-CN"/>
        </w:rPr>
        <w:t>。</w:t>
      </w:r>
      <w:r>
        <w:rPr>
          <w:rFonts w:hint="eastAsia" w:asciiTheme="minorEastAsia" w:hAnsiTheme="minorEastAsia" w:cstheme="minorEastAsia"/>
          <w:bCs/>
          <w:color w:val="auto"/>
          <w:sz w:val="24"/>
          <w:szCs w:val="24"/>
        </w:rPr>
        <w:t>。试验项目达到保存期限后，机构档案管理员联系申办方，申办者出具同意销毁的档案资料销毁授权书(附件11)，销毁资料档案时，填写药物临床试验/医疗器械临床试验档案资料销毁登记表(附件 12)。</w:t>
      </w:r>
    </w:p>
    <w:p>
      <w:pPr>
        <w:pStyle w:val="38"/>
        <w:spacing w:line="360" w:lineRule="auto"/>
        <w:ind w:firstLine="0" w:firstLineChars="0"/>
        <w:jc w:val="left"/>
        <w:rPr>
          <w:rFonts w:asciiTheme="minorEastAsia" w:hAnsiTheme="minorEastAsia"/>
          <w:color w:val="auto"/>
          <w:sz w:val="24"/>
          <w:szCs w:val="24"/>
        </w:rPr>
      </w:pPr>
      <w:r>
        <w:rPr>
          <w:rFonts w:hint="eastAsia" w:asciiTheme="minorEastAsia" w:hAnsiTheme="minorEastAsia"/>
          <w:color w:val="auto"/>
          <w:sz w:val="24"/>
          <w:szCs w:val="24"/>
          <w:lang w:val="en-US" w:eastAsia="zh-CN"/>
        </w:rPr>
        <w:t xml:space="preserve">6. </w:t>
      </w:r>
      <w:r>
        <w:rPr>
          <w:rFonts w:hint="eastAsia" w:asciiTheme="minorEastAsia" w:hAnsiTheme="minorEastAsia"/>
          <w:color w:val="auto"/>
          <w:sz w:val="24"/>
          <w:szCs w:val="24"/>
        </w:rPr>
        <w:t>每个工作日对档案室防火、防水、防盗等措施及温度/湿度等进行检查并记录。</w:t>
      </w:r>
    </w:p>
    <w:p>
      <w:pPr>
        <w:pStyle w:val="38"/>
        <w:spacing w:line="360" w:lineRule="auto"/>
        <w:ind w:firstLine="0" w:firstLineChars="0"/>
        <w:jc w:val="left"/>
        <w:rPr>
          <w:rFonts w:asciiTheme="minorEastAsia" w:hAnsiTheme="minorEastAsia" w:cstheme="minorEastAsia"/>
          <w:bCs/>
          <w:color w:val="auto"/>
          <w:sz w:val="24"/>
          <w:szCs w:val="24"/>
        </w:rPr>
      </w:pPr>
      <w:r>
        <w:rPr>
          <w:rFonts w:hint="eastAsia" w:asciiTheme="minorEastAsia" w:hAnsiTheme="minorEastAsia"/>
          <w:color w:val="auto"/>
          <w:sz w:val="24"/>
          <w:szCs w:val="24"/>
          <w:lang w:val="en-US" w:eastAsia="zh-CN"/>
        </w:rPr>
        <w:t xml:space="preserve">7. </w:t>
      </w:r>
      <w:r>
        <w:rPr>
          <w:rFonts w:hint="eastAsia" w:asciiTheme="minorEastAsia" w:hAnsiTheme="minorEastAsia"/>
          <w:color w:val="auto"/>
          <w:sz w:val="24"/>
          <w:szCs w:val="24"/>
        </w:rPr>
        <w:t>持借阅申请条</w:t>
      </w:r>
      <w:r>
        <w:rPr>
          <w:rFonts w:hint="eastAsia" w:asciiTheme="minorEastAsia" w:hAnsiTheme="minorEastAsia"/>
          <w:color w:val="auto"/>
          <w:sz w:val="24"/>
          <w:szCs w:val="24"/>
          <w:lang w:eastAsia="zh-CN"/>
        </w:rPr>
        <w:t>（</w:t>
      </w:r>
      <w:r>
        <w:rPr>
          <w:rFonts w:hint="eastAsia" w:asciiTheme="minorEastAsia" w:hAnsiTheme="minorEastAsia"/>
          <w:color w:val="auto"/>
          <w:sz w:val="24"/>
          <w:szCs w:val="24"/>
          <w:lang w:val="en-US" w:eastAsia="zh-CN"/>
        </w:rPr>
        <w:t>附件10</w:t>
      </w:r>
      <w:r>
        <w:rPr>
          <w:rFonts w:hint="eastAsia" w:asciiTheme="minorEastAsia" w:hAnsiTheme="minorEastAsia"/>
          <w:color w:val="auto"/>
          <w:sz w:val="24"/>
          <w:szCs w:val="24"/>
          <w:lang w:eastAsia="zh-CN"/>
        </w:rPr>
        <w:t>）</w:t>
      </w:r>
      <w:r>
        <w:rPr>
          <w:rFonts w:hint="eastAsia" w:asciiTheme="minorEastAsia" w:hAnsiTheme="minorEastAsia"/>
          <w:color w:val="auto"/>
          <w:sz w:val="24"/>
          <w:szCs w:val="24"/>
        </w:rPr>
        <w:t>经机构办公室主任签字同意后，借阅档案的人员应在机构办公室阅读、查看，不得私自带走、撕毁、修改、复印；特殊情况下应做好借阅登记，并在限定时间内归还。</w:t>
      </w:r>
    </w:p>
    <w:p>
      <w:pPr>
        <w:spacing w:line="360" w:lineRule="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rPr>
        <w:t>四、参考文献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[1]国家药监局 国家卫生健康委. 关于发布药物临床试验质量管理规范的公告（2020年第57号）[EB/OL].[2020-04-26]. https://www.nmpa.gov.cn/zhuanti/ypzhcglbf/ypzhcglbfzhcwj/20200426162401243.html.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 xml:space="preserve">[2]国家药品监督管理局，国家卫生健康委员会. 关于发布《医疗器械临床试验质量管理规范》的公告（2022年第28号）.[2022-03-31]. </w:t>
      </w:r>
      <w:r>
        <w:rPr>
          <w:rFonts w:hint="eastAsia" w:asciiTheme="minorEastAsia" w:hAnsiTheme="minorEastAsia" w:eastAsiaTheme="minorEastAsia" w:cstheme="minorEastAsia"/>
          <w:color w:val="auto"/>
          <w:u w:val="none"/>
          <w:shd w:val="clear" w:color="auto" w:fill="FFFFFF"/>
        </w:rPr>
        <w:t>https://www.nmpa.gov.cn/xxgk/ggtg/qtggtg/20220331144903101.html.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hint="default" w:asciiTheme="minorEastAsia" w:hAnsiTheme="minorEastAsia" w:eastAsiaTheme="minorEastAsia" w:cstheme="minorEastAsia"/>
          <w:color w:val="auto"/>
          <w:shd w:val="clear" w:color="auto" w:fill="FFFFFF"/>
          <w:lang w:val="en-US" w:eastAsia="zh-CN"/>
        </w:rPr>
      </w:pPr>
      <w:r>
        <w:rPr>
          <w:rFonts w:hint="eastAsia" w:asciiTheme="minorEastAsia" w:hAnsiTheme="minorEastAsia" w:eastAsiaTheme="minorEastAsia" w:cstheme="minorEastAsia"/>
          <w:color w:val="auto"/>
          <w:shd w:val="clear" w:color="auto" w:fill="FFFFFF"/>
        </w:rPr>
        <w:t>[</w:t>
      </w:r>
      <w:r>
        <w:rPr>
          <w:rFonts w:hint="eastAsia" w:asciiTheme="minorEastAsia" w:hAnsiTheme="minorEastAsia" w:eastAsiaTheme="minorEastAsia" w:cstheme="minorEastAsia"/>
          <w:color w:val="auto"/>
          <w:shd w:val="clear" w:color="auto" w:fill="FFFFFF"/>
          <w:lang w:val="en-US" w:eastAsia="zh-CN"/>
        </w:rPr>
        <w:t>3</w:t>
      </w:r>
      <w:r>
        <w:rPr>
          <w:rFonts w:hint="eastAsia" w:asciiTheme="minorEastAsia" w:hAnsiTheme="minorEastAsia" w:eastAsiaTheme="minorEastAsia" w:cstheme="minorEastAsia"/>
          <w:color w:val="auto"/>
          <w:shd w:val="clear" w:color="auto" w:fill="FFFFFF"/>
        </w:rPr>
        <w:t>]国家药监局</w:t>
      </w:r>
      <w:r>
        <w:rPr>
          <w:rFonts w:hint="eastAsia" w:asciiTheme="minorEastAsia" w:hAnsiTheme="minorEastAsia" w:eastAsiaTheme="minorEastAsia" w:cstheme="minorEastAsia"/>
          <w:color w:val="auto"/>
          <w:shd w:val="clear" w:color="auto" w:fill="FFFFFF"/>
          <w:lang w:val="en-US" w:eastAsia="zh-CN"/>
        </w:rPr>
        <w:t xml:space="preserve">. </w:t>
      </w:r>
      <w:r>
        <w:rPr>
          <w:rFonts w:hint="eastAsia" w:asciiTheme="minorEastAsia" w:hAnsiTheme="minorEastAsia" w:eastAsiaTheme="minorEastAsia" w:cstheme="minorEastAsia"/>
          <w:color w:val="auto"/>
          <w:shd w:val="clear" w:color="auto" w:fill="FFFFFF"/>
        </w:rPr>
        <w:t>关于发布药物临床试验必备文件保存指导原则的通告（2020年第37号）</w:t>
      </w:r>
      <w:r>
        <w:rPr>
          <w:rFonts w:hint="eastAsia" w:asciiTheme="minorEastAsia" w:hAnsiTheme="minorEastAsia" w:eastAsiaTheme="minorEastAsia" w:cstheme="minorEastAsia"/>
          <w:color w:val="auto"/>
          <w:shd w:val="clear" w:color="auto" w:fill="FFFFFF"/>
          <w:lang w:val="en-US" w:eastAsia="zh-CN"/>
        </w:rPr>
        <w:t>.[2020-06-08]. https://www.nmpa.gov.cn/yaopin/ypggtg/ypqtgg/20200608094301326.html.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w:t>
      </w:r>
      <w:r>
        <w:rPr>
          <w:rFonts w:hint="eastAsia" w:asciiTheme="minorEastAsia" w:hAnsiTheme="minorEastAsia" w:eastAsiaTheme="minorEastAsia" w:cstheme="minorEastAsia"/>
          <w:color w:val="auto"/>
          <w:shd w:val="clear" w:color="auto" w:fill="FFFFFF"/>
          <w:lang w:val="en-US" w:eastAsia="zh-CN"/>
        </w:rPr>
        <w:t>3</w:t>
      </w:r>
      <w:r>
        <w:rPr>
          <w:rFonts w:hint="eastAsia" w:asciiTheme="minorEastAsia" w:hAnsiTheme="minorEastAsia" w:eastAsiaTheme="minorEastAsia" w:cstheme="minorEastAsia"/>
          <w:color w:val="auto"/>
          <w:shd w:val="clear" w:color="auto" w:fill="FFFFFF"/>
        </w:rPr>
        <w:t>]国家药监局综合司关于印发医疗器械临床试验检查要点及判定原则的通知(药监综械注〔2018〕45号)[EB/OL].https://www.nmpa.gov.cn/directory/web/nmpa/xxgk/fgwj/gzwj/gzwjylqx/20181128142501830.html.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hint="eastAsia" w:asciiTheme="minorEastAsia" w:hAnsiTheme="minorEastAsia" w:eastAsiaTheme="minorEastAsia" w:cstheme="minorEastAsia"/>
          <w:color w:val="auto"/>
          <w:shd w:val="clear" w:color="auto" w:fill="FFFFFF"/>
          <w:lang w:eastAsia="zh-CN"/>
        </w:rPr>
      </w:pPr>
      <w:r>
        <w:rPr>
          <w:rFonts w:hint="eastAsia" w:asciiTheme="minorEastAsia" w:hAnsiTheme="minorEastAsia" w:eastAsiaTheme="minorEastAsia" w:cstheme="minorEastAsia"/>
          <w:color w:val="auto"/>
          <w:shd w:val="clear" w:color="auto" w:fill="FFFFFF"/>
          <w:lang w:eastAsia="zh-CN"/>
        </w:rPr>
        <w:t>[</w:t>
      </w:r>
      <w:r>
        <w:rPr>
          <w:rFonts w:hint="eastAsia" w:asciiTheme="minorEastAsia" w:hAnsiTheme="minorEastAsia" w:eastAsiaTheme="minorEastAsia" w:cstheme="minorEastAsia"/>
          <w:color w:val="auto"/>
          <w:shd w:val="clear" w:color="auto" w:fill="FFFFFF"/>
          <w:lang w:val="en-US" w:eastAsia="zh-CN"/>
        </w:rPr>
        <w:t>4</w:t>
      </w:r>
      <w:r>
        <w:rPr>
          <w:rFonts w:hint="eastAsia" w:asciiTheme="minorEastAsia" w:hAnsiTheme="minorEastAsia" w:eastAsiaTheme="minorEastAsia" w:cstheme="minorEastAsia"/>
          <w:color w:val="auto"/>
          <w:shd w:val="clear" w:color="auto" w:fill="FFFFFF"/>
          <w:lang w:eastAsia="zh-CN"/>
        </w:rPr>
        <w:t>]国家药监局 国家卫生健康委关于发布药物临床试验机构管理规定的公告(2019年第101号)[EB/OL].[2019-11-29]. https://www.nmpa.gov.cn/xxgk/ggtg/qtggtg/20191129174401214.html.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hint="eastAsia" w:asciiTheme="minorEastAsia" w:hAnsiTheme="minorEastAsia" w:eastAsiaTheme="minorEastAsia" w:cstheme="minorEastAsia"/>
          <w:color w:val="auto"/>
          <w:shd w:val="clear" w:color="auto" w:fill="FFFFFF"/>
          <w:lang w:eastAsia="zh-CN"/>
        </w:rPr>
      </w:pPr>
      <w:r>
        <w:rPr>
          <w:rFonts w:hint="eastAsia" w:asciiTheme="minorEastAsia" w:hAnsiTheme="minorEastAsia" w:eastAsiaTheme="minorEastAsia" w:cstheme="minorEastAsia"/>
          <w:color w:val="auto"/>
          <w:shd w:val="clear" w:color="auto" w:fill="FFFFFF"/>
          <w:lang w:eastAsia="zh-CN"/>
        </w:rPr>
        <w:t>[</w:t>
      </w:r>
      <w:r>
        <w:rPr>
          <w:rFonts w:hint="eastAsia" w:asciiTheme="minorEastAsia" w:hAnsiTheme="minorEastAsia" w:eastAsiaTheme="minorEastAsia" w:cstheme="minorEastAsia"/>
          <w:color w:val="auto"/>
          <w:shd w:val="clear" w:color="auto" w:fill="FFFFFF"/>
          <w:lang w:val="en-US" w:eastAsia="zh-CN"/>
        </w:rPr>
        <w:t>5</w:t>
      </w:r>
      <w:r>
        <w:rPr>
          <w:rFonts w:hint="eastAsia" w:asciiTheme="minorEastAsia" w:hAnsiTheme="minorEastAsia" w:eastAsiaTheme="minorEastAsia" w:cstheme="minorEastAsia"/>
          <w:color w:val="auto"/>
          <w:shd w:val="clear" w:color="auto" w:fill="FFFFFF"/>
          <w:lang w:eastAsia="zh-CN"/>
        </w:rPr>
        <w:t>]国家药监局核查中心. 关于公开征求《药物临床试验机构监督检查要点和判定原则（征求意见稿）》意见的通知.[EB/OL]. [2023-07-03]. https://www.cfdi.org.cn/resource/news/15515.html.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cstheme="minorEastAsia"/>
          <w:bCs/>
          <w:color w:val="auto"/>
          <w:sz w:val="24"/>
          <w:szCs w:val="24"/>
        </w:rPr>
      </w:pPr>
      <w:r>
        <w:rPr>
          <w:rFonts w:hint="eastAsia" w:asciiTheme="minorEastAsia" w:hAnsiTheme="minorEastAsia" w:cstheme="minorEastAsia"/>
          <w:bCs/>
          <w:color w:val="auto"/>
          <w:sz w:val="24"/>
          <w:szCs w:val="24"/>
          <w:lang w:eastAsia="zh-CN"/>
        </w:rPr>
        <w:t>五、</w:t>
      </w:r>
      <w:r>
        <w:rPr>
          <w:rFonts w:hint="eastAsia" w:asciiTheme="minorEastAsia" w:hAnsiTheme="minorEastAsia" w:cstheme="minorEastAsia"/>
          <w:bCs/>
          <w:color w:val="auto"/>
          <w:sz w:val="24"/>
          <w:szCs w:val="24"/>
        </w:rPr>
        <w:t>附件</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425" w:leftChars="0" w:hanging="425" w:firstLineChars="0"/>
        <w:textAlignment w:val="auto"/>
        <w:rPr>
          <w:rFonts w:hint="eastAsia" w:asciiTheme="minorEastAsia" w:hAnsiTheme="minorEastAsia" w:cstheme="minorEastAsia"/>
          <w:bCs/>
          <w:color w:val="auto"/>
          <w:sz w:val="24"/>
          <w:szCs w:val="24"/>
        </w:rPr>
      </w:pPr>
      <w:r>
        <w:rPr>
          <w:rFonts w:hint="eastAsia" w:asciiTheme="minorEastAsia" w:hAnsiTheme="minorEastAsia" w:cstheme="minorEastAsia"/>
          <w:bCs/>
          <w:color w:val="auto"/>
          <w:sz w:val="24"/>
          <w:szCs w:val="24"/>
          <w:lang w:eastAsia="zh-CN"/>
        </w:rPr>
        <w:t>（YYH-SOP-CTC-022</w:t>
      </w:r>
      <w:r>
        <w:rPr>
          <w:rFonts w:hint="eastAsia" w:asciiTheme="minorEastAsia" w:hAnsiTheme="minorEastAsia" w:cstheme="minorEastAsia"/>
          <w:bCs/>
          <w:color w:val="auto"/>
          <w:sz w:val="24"/>
          <w:szCs w:val="24"/>
          <w:lang w:val="en-US" w:eastAsia="zh-CN"/>
        </w:rPr>
        <w:t>-</w:t>
      </w:r>
      <w:r>
        <w:rPr>
          <w:rFonts w:hint="eastAsia" w:asciiTheme="minorEastAsia" w:hAnsiTheme="minorEastAsia" w:cstheme="minorEastAsia"/>
          <w:bCs/>
          <w:color w:val="auto"/>
          <w:sz w:val="24"/>
          <w:szCs w:val="24"/>
          <w:lang w:eastAsia="zh-CN"/>
        </w:rPr>
        <w:t>3.</w:t>
      </w:r>
      <w:r>
        <w:rPr>
          <w:rFonts w:hint="eastAsia" w:asciiTheme="minorEastAsia" w:hAnsiTheme="minorEastAsia" w:cstheme="minorEastAsia"/>
          <w:bCs/>
          <w:color w:val="auto"/>
          <w:sz w:val="24"/>
          <w:szCs w:val="24"/>
          <w:lang w:val="en-US" w:eastAsia="zh-CN"/>
        </w:rPr>
        <w:t>2-A01</w:t>
      </w:r>
      <w:r>
        <w:rPr>
          <w:rFonts w:hint="eastAsia" w:asciiTheme="minorEastAsia" w:hAnsiTheme="minorEastAsia" w:cstheme="minorEastAsia"/>
          <w:bCs/>
          <w:color w:val="auto"/>
          <w:sz w:val="24"/>
          <w:szCs w:val="24"/>
          <w:lang w:eastAsia="zh-CN"/>
        </w:rPr>
        <w:t>）：</w:t>
      </w:r>
      <w:r>
        <w:rPr>
          <w:rFonts w:hint="eastAsia" w:asciiTheme="minorEastAsia" w:hAnsiTheme="minorEastAsia" w:cstheme="minorEastAsia"/>
          <w:bCs/>
          <w:color w:val="auto"/>
          <w:sz w:val="24"/>
          <w:szCs w:val="24"/>
        </w:rPr>
        <w:t>药物临床试验项目资料归档清单</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425" w:leftChars="0" w:hanging="425" w:firstLineChars="0"/>
        <w:textAlignment w:val="auto"/>
        <w:rPr>
          <w:rFonts w:hint="eastAsia" w:asciiTheme="minorEastAsia" w:hAnsiTheme="minorEastAsia" w:cstheme="minorEastAsia"/>
          <w:bCs/>
          <w:color w:val="auto"/>
          <w:sz w:val="24"/>
          <w:szCs w:val="24"/>
          <w:lang w:val="en-US" w:eastAsia="zh-CN"/>
        </w:rPr>
      </w:pPr>
      <w:r>
        <w:rPr>
          <w:rFonts w:hint="eastAsia" w:asciiTheme="minorEastAsia" w:hAnsiTheme="minorEastAsia" w:cstheme="minorEastAsia"/>
          <w:bCs/>
          <w:color w:val="auto"/>
          <w:sz w:val="24"/>
          <w:szCs w:val="24"/>
          <w:lang w:eastAsia="zh-CN"/>
        </w:rPr>
        <w:t>（YYH-SOP-CTC-022</w:t>
      </w:r>
      <w:r>
        <w:rPr>
          <w:rFonts w:hint="eastAsia" w:asciiTheme="minorEastAsia" w:hAnsiTheme="minorEastAsia" w:cstheme="minorEastAsia"/>
          <w:bCs/>
          <w:color w:val="auto"/>
          <w:sz w:val="24"/>
          <w:szCs w:val="24"/>
          <w:lang w:val="en-US" w:eastAsia="zh-CN"/>
        </w:rPr>
        <w:t>-</w:t>
      </w:r>
      <w:r>
        <w:rPr>
          <w:rFonts w:hint="eastAsia" w:asciiTheme="minorEastAsia" w:hAnsiTheme="minorEastAsia" w:cstheme="minorEastAsia"/>
          <w:bCs/>
          <w:color w:val="auto"/>
          <w:sz w:val="24"/>
          <w:szCs w:val="24"/>
          <w:lang w:eastAsia="zh-CN"/>
        </w:rPr>
        <w:t>3</w:t>
      </w:r>
      <w:r>
        <w:rPr>
          <w:rFonts w:hint="eastAsia" w:asciiTheme="minorEastAsia" w:hAnsiTheme="minorEastAsia" w:cstheme="minorEastAsia"/>
          <w:bCs/>
          <w:color w:val="auto"/>
          <w:sz w:val="24"/>
          <w:szCs w:val="24"/>
          <w:lang w:val="en-US" w:eastAsia="zh-CN"/>
        </w:rPr>
        <w:t>.2-A02</w:t>
      </w:r>
      <w:r>
        <w:rPr>
          <w:rFonts w:hint="eastAsia" w:asciiTheme="minorEastAsia" w:hAnsiTheme="minorEastAsia" w:cstheme="minorEastAsia"/>
          <w:bCs/>
          <w:color w:val="auto"/>
          <w:sz w:val="24"/>
          <w:szCs w:val="24"/>
          <w:lang w:eastAsia="zh-CN"/>
        </w:rPr>
        <w:t>）：</w:t>
      </w:r>
      <w:r>
        <w:rPr>
          <w:rFonts w:hint="eastAsia" w:asciiTheme="minorEastAsia" w:hAnsiTheme="minorEastAsia" w:cstheme="minorEastAsia"/>
          <w:bCs/>
          <w:color w:val="auto"/>
          <w:sz w:val="24"/>
          <w:szCs w:val="24"/>
          <w:lang w:val="en-US" w:eastAsia="zh-CN"/>
        </w:rPr>
        <w:t>医疗器械临床试验项目资料归档清单</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425" w:leftChars="0" w:hanging="425" w:firstLineChars="0"/>
        <w:textAlignment w:val="auto"/>
        <w:rPr>
          <w:rFonts w:hint="eastAsia" w:asciiTheme="minorEastAsia" w:hAnsiTheme="minorEastAsia" w:cstheme="minorEastAsia"/>
          <w:bCs/>
          <w:color w:val="auto"/>
          <w:sz w:val="24"/>
          <w:szCs w:val="24"/>
        </w:rPr>
      </w:pPr>
      <w:r>
        <w:rPr>
          <w:rFonts w:hint="eastAsia" w:asciiTheme="minorEastAsia" w:hAnsiTheme="minorEastAsia" w:cstheme="minorEastAsia"/>
          <w:bCs/>
          <w:color w:val="auto"/>
          <w:sz w:val="24"/>
          <w:szCs w:val="24"/>
          <w:lang w:eastAsia="zh-CN"/>
        </w:rPr>
        <w:t>（YYH-SOP-CTC-022</w:t>
      </w:r>
      <w:r>
        <w:rPr>
          <w:rFonts w:hint="eastAsia" w:asciiTheme="minorEastAsia" w:hAnsiTheme="minorEastAsia" w:cstheme="minorEastAsia"/>
          <w:bCs/>
          <w:color w:val="auto"/>
          <w:sz w:val="24"/>
          <w:szCs w:val="24"/>
          <w:lang w:val="en-US" w:eastAsia="zh-CN"/>
        </w:rPr>
        <w:t>-</w:t>
      </w:r>
      <w:r>
        <w:rPr>
          <w:rFonts w:hint="eastAsia" w:asciiTheme="minorEastAsia" w:hAnsiTheme="minorEastAsia" w:cstheme="minorEastAsia"/>
          <w:bCs/>
          <w:color w:val="auto"/>
          <w:sz w:val="24"/>
          <w:szCs w:val="24"/>
          <w:lang w:eastAsia="zh-CN"/>
        </w:rPr>
        <w:t>3.</w:t>
      </w:r>
      <w:r>
        <w:rPr>
          <w:rFonts w:hint="eastAsia" w:asciiTheme="minorEastAsia" w:hAnsiTheme="minorEastAsia" w:cstheme="minorEastAsia"/>
          <w:bCs/>
          <w:color w:val="auto"/>
          <w:sz w:val="24"/>
          <w:szCs w:val="24"/>
          <w:lang w:val="en-US" w:eastAsia="zh-CN"/>
        </w:rPr>
        <w:t>2-A03</w:t>
      </w:r>
      <w:r>
        <w:rPr>
          <w:rFonts w:hint="eastAsia" w:asciiTheme="minorEastAsia" w:hAnsiTheme="minorEastAsia" w:cstheme="minorEastAsia"/>
          <w:bCs/>
          <w:color w:val="auto"/>
          <w:sz w:val="24"/>
          <w:szCs w:val="24"/>
          <w:lang w:eastAsia="zh-CN"/>
        </w:rPr>
        <w:t>）：</w:t>
      </w:r>
      <w:r>
        <w:rPr>
          <w:rFonts w:hint="eastAsia" w:asciiTheme="minorEastAsia" w:hAnsiTheme="minorEastAsia" w:cstheme="minorEastAsia"/>
          <w:bCs/>
          <w:color w:val="auto"/>
          <w:sz w:val="24"/>
          <w:szCs w:val="24"/>
        </w:rPr>
        <w:t>药物临床试验项目资料归档</w:t>
      </w:r>
      <w:r>
        <w:rPr>
          <w:rFonts w:hint="eastAsia" w:asciiTheme="minorEastAsia" w:hAnsiTheme="minorEastAsia" w:cstheme="minorEastAsia"/>
          <w:bCs/>
          <w:color w:val="auto"/>
          <w:sz w:val="24"/>
          <w:szCs w:val="24"/>
          <w:lang w:val="en-US" w:eastAsia="zh-CN"/>
        </w:rPr>
        <w:t>目录</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425" w:leftChars="0" w:hanging="425" w:firstLineChars="0"/>
        <w:textAlignment w:val="auto"/>
        <w:rPr>
          <w:rFonts w:hint="eastAsia" w:asciiTheme="minorEastAsia" w:hAnsiTheme="minorEastAsia" w:cstheme="minorEastAsia"/>
          <w:bCs/>
          <w:color w:val="auto"/>
          <w:sz w:val="24"/>
          <w:szCs w:val="24"/>
          <w:lang w:val="en-US" w:eastAsia="zh-CN"/>
        </w:rPr>
      </w:pPr>
      <w:r>
        <w:rPr>
          <w:rFonts w:hint="eastAsia" w:asciiTheme="minorEastAsia" w:hAnsiTheme="minorEastAsia" w:cstheme="minorEastAsia"/>
          <w:bCs/>
          <w:color w:val="auto"/>
          <w:sz w:val="24"/>
          <w:szCs w:val="24"/>
          <w:lang w:eastAsia="zh-CN"/>
        </w:rPr>
        <w:t>（YYH-SOP-CTC-022</w:t>
      </w:r>
      <w:r>
        <w:rPr>
          <w:rFonts w:hint="eastAsia" w:asciiTheme="minorEastAsia" w:hAnsiTheme="minorEastAsia" w:cstheme="minorEastAsia"/>
          <w:bCs/>
          <w:color w:val="auto"/>
          <w:sz w:val="24"/>
          <w:szCs w:val="24"/>
          <w:lang w:val="en-US" w:eastAsia="zh-CN"/>
        </w:rPr>
        <w:t>-</w:t>
      </w:r>
      <w:r>
        <w:rPr>
          <w:rFonts w:hint="eastAsia" w:asciiTheme="minorEastAsia" w:hAnsiTheme="minorEastAsia" w:cstheme="minorEastAsia"/>
          <w:bCs/>
          <w:color w:val="auto"/>
          <w:sz w:val="24"/>
          <w:szCs w:val="24"/>
          <w:lang w:eastAsia="zh-CN"/>
        </w:rPr>
        <w:t>3.</w:t>
      </w:r>
      <w:r>
        <w:rPr>
          <w:rFonts w:hint="eastAsia" w:asciiTheme="minorEastAsia" w:hAnsiTheme="minorEastAsia" w:cstheme="minorEastAsia"/>
          <w:bCs/>
          <w:color w:val="auto"/>
          <w:sz w:val="24"/>
          <w:szCs w:val="24"/>
          <w:lang w:val="en-US" w:eastAsia="zh-CN"/>
        </w:rPr>
        <w:t>2-A04</w:t>
      </w:r>
      <w:r>
        <w:rPr>
          <w:rFonts w:hint="eastAsia" w:asciiTheme="minorEastAsia" w:hAnsiTheme="minorEastAsia" w:cstheme="minorEastAsia"/>
          <w:bCs/>
          <w:color w:val="auto"/>
          <w:sz w:val="24"/>
          <w:szCs w:val="24"/>
          <w:lang w:eastAsia="zh-CN"/>
        </w:rPr>
        <w:t>）：</w:t>
      </w:r>
      <w:r>
        <w:rPr>
          <w:rFonts w:hint="eastAsia" w:asciiTheme="minorEastAsia" w:hAnsiTheme="minorEastAsia" w:cstheme="minorEastAsia"/>
          <w:bCs/>
          <w:color w:val="auto"/>
          <w:sz w:val="24"/>
          <w:szCs w:val="24"/>
          <w:lang w:val="en-US" w:eastAsia="zh-CN"/>
        </w:rPr>
        <w:t>医疗器械临床试验项目资料归档目录</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425" w:leftChars="0" w:hanging="425" w:firstLineChars="0"/>
        <w:textAlignment w:val="auto"/>
        <w:rPr>
          <w:rFonts w:hint="eastAsia" w:asciiTheme="minorEastAsia" w:hAnsiTheme="minorEastAsia" w:cstheme="minorEastAsia"/>
          <w:bCs/>
          <w:color w:val="auto"/>
          <w:sz w:val="24"/>
          <w:szCs w:val="24"/>
        </w:rPr>
      </w:pPr>
      <w:r>
        <w:rPr>
          <w:rFonts w:hint="eastAsia" w:asciiTheme="minorEastAsia" w:hAnsiTheme="minorEastAsia" w:cstheme="minorEastAsia"/>
          <w:bCs/>
          <w:color w:val="auto"/>
          <w:sz w:val="24"/>
          <w:szCs w:val="24"/>
          <w:lang w:eastAsia="zh-CN"/>
        </w:rPr>
        <w:t>（YYH-SOP-CTC-022</w:t>
      </w:r>
      <w:r>
        <w:rPr>
          <w:rFonts w:hint="eastAsia" w:asciiTheme="minorEastAsia" w:hAnsiTheme="minorEastAsia" w:cstheme="minorEastAsia"/>
          <w:bCs/>
          <w:color w:val="auto"/>
          <w:sz w:val="24"/>
          <w:szCs w:val="24"/>
          <w:lang w:val="en-US" w:eastAsia="zh-CN"/>
        </w:rPr>
        <w:t>-</w:t>
      </w:r>
      <w:r>
        <w:rPr>
          <w:rFonts w:hint="eastAsia" w:asciiTheme="minorEastAsia" w:hAnsiTheme="minorEastAsia" w:cstheme="minorEastAsia"/>
          <w:bCs/>
          <w:color w:val="auto"/>
          <w:sz w:val="24"/>
          <w:szCs w:val="24"/>
          <w:lang w:eastAsia="zh-CN"/>
        </w:rPr>
        <w:t>3.</w:t>
      </w:r>
      <w:r>
        <w:rPr>
          <w:rFonts w:hint="eastAsia" w:asciiTheme="minorEastAsia" w:hAnsiTheme="minorEastAsia" w:cstheme="minorEastAsia"/>
          <w:bCs/>
          <w:color w:val="auto"/>
          <w:sz w:val="24"/>
          <w:szCs w:val="24"/>
          <w:lang w:val="en-US" w:eastAsia="zh-CN"/>
        </w:rPr>
        <w:t>2-A05</w:t>
      </w:r>
      <w:r>
        <w:rPr>
          <w:rFonts w:hint="eastAsia" w:asciiTheme="minorEastAsia" w:hAnsiTheme="minorEastAsia" w:cstheme="minorEastAsia"/>
          <w:bCs/>
          <w:color w:val="auto"/>
          <w:sz w:val="24"/>
          <w:szCs w:val="24"/>
          <w:lang w:eastAsia="zh-CN"/>
        </w:rPr>
        <w:t>）：</w:t>
      </w:r>
      <w:r>
        <w:rPr>
          <w:rFonts w:hint="eastAsia" w:asciiTheme="minorEastAsia" w:hAnsiTheme="minorEastAsia" w:cstheme="minorEastAsia"/>
          <w:bCs/>
          <w:color w:val="auto"/>
          <w:sz w:val="24"/>
          <w:szCs w:val="24"/>
        </w:rPr>
        <w:t>药物临床试验项目归档资料签收表</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425" w:leftChars="0" w:hanging="425" w:firstLineChars="0"/>
        <w:textAlignment w:val="auto"/>
        <w:rPr>
          <w:rFonts w:hint="eastAsia" w:asciiTheme="minorEastAsia" w:hAnsiTheme="minorEastAsia" w:cstheme="minorEastAsia"/>
          <w:bCs/>
          <w:color w:val="auto"/>
          <w:sz w:val="24"/>
          <w:szCs w:val="24"/>
        </w:rPr>
      </w:pPr>
      <w:r>
        <w:rPr>
          <w:rFonts w:hint="eastAsia" w:asciiTheme="minorEastAsia" w:hAnsiTheme="minorEastAsia" w:cstheme="minorEastAsia"/>
          <w:bCs/>
          <w:color w:val="auto"/>
          <w:sz w:val="24"/>
          <w:szCs w:val="24"/>
          <w:lang w:eastAsia="zh-CN"/>
        </w:rPr>
        <w:t>（YYH-SOP-CTC-022</w:t>
      </w:r>
      <w:r>
        <w:rPr>
          <w:rFonts w:hint="eastAsia" w:asciiTheme="minorEastAsia" w:hAnsiTheme="minorEastAsia" w:cstheme="minorEastAsia"/>
          <w:bCs/>
          <w:color w:val="auto"/>
          <w:sz w:val="24"/>
          <w:szCs w:val="24"/>
          <w:lang w:val="en-US" w:eastAsia="zh-CN"/>
        </w:rPr>
        <w:t>-</w:t>
      </w:r>
      <w:r>
        <w:rPr>
          <w:rFonts w:hint="eastAsia" w:asciiTheme="minorEastAsia" w:hAnsiTheme="minorEastAsia" w:cstheme="minorEastAsia"/>
          <w:bCs/>
          <w:color w:val="auto"/>
          <w:sz w:val="24"/>
          <w:szCs w:val="24"/>
          <w:lang w:eastAsia="zh-CN"/>
        </w:rPr>
        <w:t>3.</w:t>
      </w:r>
      <w:r>
        <w:rPr>
          <w:rFonts w:hint="eastAsia" w:asciiTheme="minorEastAsia" w:hAnsiTheme="minorEastAsia" w:cstheme="minorEastAsia"/>
          <w:bCs/>
          <w:color w:val="auto"/>
          <w:sz w:val="24"/>
          <w:szCs w:val="24"/>
          <w:lang w:val="en-US" w:eastAsia="zh-CN"/>
        </w:rPr>
        <w:t>2-A06</w:t>
      </w:r>
      <w:r>
        <w:rPr>
          <w:rFonts w:hint="eastAsia" w:asciiTheme="minorEastAsia" w:hAnsiTheme="minorEastAsia" w:cstheme="minorEastAsia"/>
          <w:bCs/>
          <w:color w:val="auto"/>
          <w:sz w:val="24"/>
          <w:szCs w:val="24"/>
          <w:lang w:eastAsia="zh-CN"/>
        </w:rPr>
        <w:t>）：</w:t>
      </w:r>
      <w:r>
        <w:rPr>
          <w:rFonts w:hint="eastAsia" w:asciiTheme="minorEastAsia" w:hAnsiTheme="minorEastAsia" w:cstheme="minorEastAsia"/>
          <w:bCs/>
          <w:color w:val="auto"/>
          <w:sz w:val="24"/>
          <w:szCs w:val="24"/>
          <w:lang w:val="en-US" w:eastAsia="zh-CN"/>
        </w:rPr>
        <w:t>医疗器械</w:t>
      </w:r>
      <w:r>
        <w:rPr>
          <w:rFonts w:hint="eastAsia" w:asciiTheme="minorEastAsia" w:hAnsiTheme="minorEastAsia" w:cstheme="minorEastAsia"/>
          <w:bCs/>
          <w:color w:val="auto"/>
          <w:sz w:val="24"/>
          <w:szCs w:val="24"/>
        </w:rPr>
        <w:t>临床试验项目归档资料签收表</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425" w:leftChars="0" w:hanging="425" w:firstLineChars="0"/>
        <w:textAlignment w:val="auto"/>
        <w:rPr>
          <w:rFonts w:hint="eastAsia" w:asciiTheme="minorEastAsia" w:hAnsiTheme="minorEastAsia" w:cstheme="minorEastAsia"/>
          <w:bCs/>
          <w:color w:val="auto"/>
          <w:sz w:val="24"/>
          <w:szCs w:val="24"/>
        </w:rPr>
      </w:pPr>
      <w:r>
        <w:rPr>
          <w:rFonts w:hint="eastAsia" w:asciiTheme="minorEastAsia" w:hAnsiTheme="minorEastAsia" w:cstheme="minorEastAsia"/>
          <w:bCs/>
          <w:color w:val="auto"/>
          <w:sz w:val="24"/>
          <w:szCs w:val="24"/>
          <w:lang w:eastAsia="zh-CN"/>
        </w:rPr>
        <w:t>（YYH-SOP-CTC-022</w:t>
      </w:r>
      <w:r>
        <w:rPr>
          <w:rFonts w:hint="eastAsia" w:asciiTheme="minorEastAsia" w:hAnsiTheme="minorEastAsia" w:cstheme="minorEastAsia"/>
          <w:bCs/>
          <w:color w:val="auto"/>
          <w:sz w:val="24"/>
          <w:szCs w:val="24"/>
          <w:lang w:val="en-US" w:eastAsia="zh-CN"/>
        </w:rPr>
        <w:t>-</w:t>
      </w:r>
      <w:r>
        <w:rPr>
          <w:rFonts w:hint="eastAsia" w:asciiTheme="minorEastAsia" w:hAnsiTheme="minorEastAsia" w:cstheme="minorEastAsia"/>
          <w:bCs/>
          <w:color w:val="auto"/>
          <w:sz w:val="24"/>
          <w:szCs w:val="24"/>
          <w:lang w:eastAsia="zh-CN"/>
        </w:rPr>
        <w:t>3.</w:t>
      </w:r>
      <w:r>
        <w:rPr>
          <w:rFonts w:hint="eastAsia" w:asciiTheme="minorEastAsia" w:hAnsiTheme="minorEastAsia" w:cstheme="minorEastAsia"/>
          <w:bCs/>
          <w:color w:val="auto"/>
          <w:sz w:val="24"/>
          <w:szCs w:val="24"/>
          <w:lang w:val="en-US" w:eastAsia="zh-CN"/>
        </w:rPr>
        <w:t>2-A07</w:t>
      </w:r>
      <w:r>
        <w:rPr>
          <w:rFonts w:hint="eastAsia" w:asciiTheme="minorEastAsia" w:hAnsiTheme="minorEastAsia" w:cstheme="minorEastAsia"/>
          <w:bCs/>
          <w:color w:val="auto"/>
          <w:sz w:val="24"/>
          <w:szCs w:val="24"/>
          <w:lang w:eastAsia="zh-CN"/>
        </w:rPr>
        <w:t>）：</w:t>
      </w:r>
      <w:r>
        <w:rPr>
          <w:rFonts w:hint="eastAsia" w:asciiTheme="minorEastAsia" w:hAnsiTheme="minorEastAsia" w:cstheme="minorEastAsia"/>
          <w:bCs/>
          <w:color w:val="auto"/>
          <w:sz w:val="24"/>
          <w:szCs w:val="24"/>
        </w:rPr>
        <w:t>药物临床试验项目资料归档登记表</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425" w:leftChars="0" w:hanging="425" w:firstLineChars="0"/>
        <w:textAlignment w:val="auto"/>
        <w:rPr>
          <w:rFonts w:hint="eastAsia" w:asciiTheme="minorEastAsia" w:hAnsiTheme="minorEastAsia" w:cstheme="minorEastAsia"/>
          <w:bCs/>
          <w:color w:val="auto"/>
          <w:sz w:val="24"/>
          <w:szCs w:val="24"/>
        </w:rPr>
      </w:pPr>
      <w:r>
        <w:rPr>
          <w:rFonts w:hint="eastAsia" w:asciiTheme="minorEastAsia" w:hAnsiTheme="minorEastAsia" w:cstheme="minorEastAsia"/>
          <w:bCs/>
          <w:color w:val="auto"/>
          <w:sz w:val="24"/>
          <w:szCs w:val="24"/>
          <w:lang w:eastAsia="zh-CN"/>
        </w:rPr>
        <w:t>（YYH-SOP-CTC-022</w:t>
      </w:r>
      <w:r>
        <w:rPr>
          <w:rFonts w:hint="eastAsia" w:asciiTheme="minorEastAsia" w:hAnsiTheme="minorEastAsia" w:cstheme="minorEastAsia"/>
          <w:bCs/>
          <w:color w:val="auto"/>
          <w:sz w:val="24"/>
          <w:szCs w:val="24"/>
          <w:lang w:val="en-US" w:eastAsia="zh-CN"/>
        </w:rPr>
        <w:t>-</w:t>
      </w:r>
      <w:r>
        <w:rPr>
          <w:rFonts w:hint="eastAsia" w:asciiTheme="minorEastAsia" w:hAnsiTheme="minorEastAsia" w:cstheme="minorEastAsia"/>
          <w:bCs/>
          <w:color w:val="auto"/>
          <w:sz w:val="24"/>
          <w:szCs w:val="24"/>
          <w:lang w:eastAsia="zh-CN"/>
        </w:rPr>
        <w:t>3.</w:t>
      </w:r>
      <w:r>
        <w:rPr>
          <w:rFonts w:hint="eastAsia" w:asciiTheme="minorEastAsia" w:hAnsiTheme="minorEastAsia" w:cstheme="minorEastAsia"/>
          <w:bCs/>
          <w:color w:val="auto"/>
          <w:sz w:val="24"/>
          <w:szCs w:val="24"/>
          <w:lang w:val="en-US" w:eastAsia="zh-CN"/>
        </w:rPr>
        <w:t>2-A08</w:t>
      </w:r>
      <w:r>
        <w:rPr>
          <w:rFonts w:hint="eastAsia" w:asciiTheme="minorEastAsia" w:hAnsiTheme="minorEastAsia" w:cstheme="minorEastAsia"/>
          <w:bCs/>
          <w:color w:val="auto"/>
          <w:sz w:val="24"/>
          <w:szCs w:val="24"/>
          <w:lang w:eastAsia="zh-CN"/>
        </w:rPr>
        <w:t>）：</w:t>
      </w:r>
      <w:r>
        <w:rPr>
          <w:rFonts w:hint="eastAsia" w:asciiTheme="minorEastAsia" w:hAnsiTheme="minorEastAsia" w:cstheme="minorEastAsia"/>
          <w:bCs/>
          <w:color w:val="auto"/>
          <w:sz w:val="24"/>
          <w:szCs w:val="24"/>
          <w:lang w:val="en-US" w:eastAsia="zh-CN"/>
        </w:rPr>
        <w:t>医疗器械</w:t>
      </w:r>
      <w:r>
        <w:rPr>
          <w:rFonts w:hint="eastAsia" w:asciiTheme="minorEastAsia" w:hAnsiTheme="minorEastAsia" w:cstheme="minorEastAsia"/>
          <w:bCs/>
          <w:color w:val="auto"/>
          <w:sz w:val="24"/>
          <w:szCs w:val="24"/>
        </w:rPr>
        <w:t>临床试验项目资料归档登记表</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425" w:leftChars="0" w:hanging="425" w:firstLineChars="0"/>
        <w:textAlignment w:val="auto"/>
        <w:rPr>
          <w:rFonts w:asciiTheme="minorEastAsia" w:hAnsiTheme="minorEastAsia" w:cstheme="minorEastAsia"/>
          <w:bCs/>
          <w:color w:val="auto"/>
          <w:sz w:val="24"/>
          <w:szCs w:val="24"/>
        </w:rPr>
      </w:pPr>
      <w:r>
        <w:rPr>
          <w:rFonts w:hint="eastAsia" w:asciiTheme="minorEastAsia" w:hAnsiTheme="minorEastAsia" w:cstheme="minorEastAsia"/>
          <w:bCs/>
          <w:color w:val="auto"/>
          <w:sz w:val="24"/>
          <w:szCs w:val="24"/>
          <w:lang w:eastAsia="zh-CN"/>
        </w:rPr>
        <w:t>（YYH-SOP-CTC-022</w:t>
      </w:r>
      <w:r>
        <w:rPr>
          <w:rFonts w:hint="eastAsia" w:asciiTheme="minorEastAsia" w:hAnsiTheme="minorEastAsia" w:cstheme="minorEastAsia"/>
          <w:bCs/>
          <w:color w:val="auto"/>
          <w:sz w:val="24"/>
          <w:szCs w:val="24"/>
          <w:lang w:val="en-US" w:eastAsia="zh-CN"/>
        </w:rPr>
        <w:t>-</w:t>
      </w:r>
      <w:r>
        <w:rPr>
          <w:rFonts w:hint="eastAsia" w:asciiTheme="minorEastAsia" w:hAnsiTheme="minorEastAsia" w:cstheme="minorEastAsia"/>
          <w:bCs/>
          <w:color w:val="auto"/>
          <w:sz w:val="24"/>
          <w:szCs w:val="24"/>
          <w:lang w:eastAsia="zh-CN"/>
        </w:rPr>
        <w:t>3.</w:t>
      </w:r>
      <w:r>
        <w:rPr>
          <w:rFonts w:hint="eastAsia" w:asciiTheme="minorEastAsia" w:hAnsiTheme="minorEastAsia" w:cstheme="minorEastAsia"/>
          <w:bCs/>
          <w:color w:val="auto"/>
          <w:sz w:val="24"/>
          <w:szCs w:val="24"/>
          <w:lang w:val="en-US" w:eastAsia="zh-CN"/>
        </w:rPr>
        <w:t>2-A09</w:t>
      </w:r>
      <w:r>
        <w:rPr>
          <w:rFonts w:hint="eastAsia" w:asciiTheme="minorEastAsia" w:hAnsiTheme="minorEastAsia" w:cstheme="minorEastAsia"/>
          <w:bCs/>
          <w:color w:val="auto"/>
          <w:sz w:val="24"/>
          <w:szCs w:val="24"/>
          <w:lang w:eastAsia="zh-CN"/>
        </w:rPr>
        <w:t>）：</w:t>
      </w:r>
      <w:r>
        <w:rPr>
          <w:rFonts w:hint="eastAsia" w:asciiTheme="minorEastAsia" w:hAnsiTheme="minorEastAsia" w:cstheme="minorEastAsia"/>
          <w:bCs/>
          <w:color w:val="auto"/>
          <w:sz w:val="24"/>
          <w:szCs w:val="24"/>
        </w:rPr>
        <w:t>档案室资料查阅登记表</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425" w:leftChars="0" w:hanging="425" w:firstLineChars="0"/>
        <w:textAlignment w:val="auto"/>
        <w:rPr>
          <w:rFonts w:hint="eastAsia" w:asciiTheme="minorEastAsia" w:hAnsiTheme="minorEastAsia" w:cstheme="minorEastAsia"/>
          <w:bCs/>
          <w:color w:val="auto"/>
          <w:sz w:val="24"/>
          <w:szCs w:val="24"/>
        </w:rPr>
      </w:pPr>
      <w:r>
        <w:rPr>
          <w:rFonts w:hint="eastAsia" w:asciiTheme="minorEastAsia" w:hAnsiTheme="minorEastAsia" w:cstheme="minorEastAsia"/>
          <w:bCs/>
          <w:color w:val="auto"/>
          <w:sz w:val="24"/>
          <w:szCs w:val="24"/>
          <w:lang w:eastAsia="zh-CN"/>
        </w:rPr>
        <w:t>（YYH-SOP-CTC-022</w:t>
      </w:r>
      <w:r>
        <w:rPr>
          <w:rFonts w:hint="eastAsia" w:asciiTheme="minorEastAsia" w:hAnsiTheme="minorEastAsia" w:cstheme="minorEastAsia"/>
          <w:bCs/>
          <w:color w:val="auto"/>
          <w:sz w:val="24"/>
          <w:szCs w:val="24"/>
          <w:lang w:val="en-US" w:eastAsia="zh-CN"/>
        </w:rPr>
        <w:t>-</w:t>
      </w:r>
      <w:r>
        <w:rPr>
          <w:rFonts w:hint="eastAsia" w:asciiTheme="minorEastAsia" w:hAnsiTheme="minorEastAsia" w:cstheme="minorEastAsia"/>
          <w:bCs/>
          <w:color w:val="auto"/>
          <w:sz w:val="24"/>
          <w:szCs w:val="24"/>
          <w:lang w:eastAsia="zh-CN"/>
        </w:rPr>
        <w:t>3.</w:t>
      </w:r>
      <w:r>
        <w:rPr>
          <w:rFonts w:hint="eastAsia" w:asciiTheme="minorEastAsia" w:hAnsiTheme="minorEastAsia" w:cstheme="minorEastAsia"/>
          <w:bCs/>
          <w:color w:val="auto"/>
          <w:sz w:val="24"/>
          <w:szCs w:val="24"/>
          <w:lang w:val="en-US" w:eastAsia="zh-CN"/>
        </w:rPr>
        <w:t>2-A10</w:t>
      </w:r>
      <w:r>
        <w:rPr>
          <w:rFonts w:hint="eastAsia" w:asciiTheme="minorEastAsia" w:hAnsiTheme="minorEastAsia" w:cstheme="minorEastAsia"/>
          <w:bCs/>
          <w:color w:val="auto"/>
          <w:sz w:val="24"/>
          <w:szCs w:val="24"/>
          <w:lang w:eastAsia="zh-CN"/>
        </w:rPr>
        <w:t>）：</w:t>
      </w:r>
      <w:r>
        <w:rPr>
          <w:rFonts w:hint="eastAsia" w:asciiTheme="minorEastAsia" w:hAnsiTheme="minorEastAsia" w:cstheme="minorEastAsia"/>
          <w:bCs/>
          <w:color w:val="auto"/>
          <w:sz w:val="24"/>
          <w:szCs w:val="24"/>
        </w:rPr>
        <w:t>档案室资料查阅申请条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cstheme="minorEastAsia"/>
          <w:bCs/>
          <w:color w:val="auto"/>
          <w:sz w:val="24"/>
          <w:szCs w:val="24"/>
          <w:lang w:val="en-US" w:eastAsia="zh-CN"/>
        </w:rPr>
      </w:pPr>
      <w:r>
        <w:rPr>
          <w:rFonts w:hint="eastAsia" w:asciiTheme="minorEastAsia" w:hAnsiTheme="minorEastAsia" w:cstheme="minorEastAsia"/>
          <w:bCs/>
          <w:color w:val="auto"/>
          <w:sz w:val="24"/>
          <w:szCs w:val="24"/>
          <w:lang w:val="en-US" w:eastAsia="zh-CN"/>
        </w:rPr>
        <w:t>11.</w:t>
      </w:r>
      <w:r>
        <w:rPr>
          <w:rFonts w:hint="eastAsia" w:asciiTheme="minorEastAsia" w:hAnsiTheme="minorEastAsia" w:cstheme="minorEastAsia"/>
          <w:bCs/>
          <w:color w:val="auto"/>
          <w:sz w:val="24"/>
          <w:szCs w:val="24"/>
          <w:lang w:eastAsia="zh-CN"/>
        </w:rPr>
        <w:t>（YYH-SOP-CTC-022</w:t>
      </w:r>
      <w:r>
        <w:rPr>
          <w:rFonts w:hint="eastAsia" w:asciiTheme="minorEastAsia" w:hAnsiTheme="minorEastAsia" w:cstheme="minorEastAsia"/>
          <w:bCs/>
          <w:color w:val="auto"/>
          <w:sz w:val="24"/>
          <w:szCs w:val="24"/>
          <w:lang w:val="en-US" w:eastAsia="zh-CN"/>
        </w:rPr>
        <w:t>-</w:t>
      </w:r>
      <w:r>
        <w:rPr>
          <w:rFonts w:hint="eastAsia" w:asciiTheme="minorEastAsia" w:hAnsiTheme="minorEastAsia" w:cstheme="minorEastAsia"/>
          <w:bCs/>
          <w:color w:val="auto"/>
          <w:sz w:val="24"/>
          <w:szCs w:val="24"/>
          <w:lang w:eastAsia="zh-CN"/>
        </w:rPr>
        <w:t>3.</w:t>
      </w:r>
      <w:r>
        <w:rPr>
          <w:rFonts w:hint="eastAsia" w:asciiTheme="minorEastAsia" w:hAnsiTheme="minorEastAsia" w:cstheme="minorEastAsia"/>
          <w:bCs/>
          <w:color w:val="auto"/>
          <w:sz w:val="24"/>
          <w:szCs w:val="24"/>
          <w:lang w:val="en-US" w:eastAsia="zh-CN"/>
        </w:rPr>
        <w:t>2-A11</w:t>
      </w:r>
      <w:r>
        <w:rPr>
          <w:rFonts w:hint="eastAsia" w:asciiTheme="minorEastAsia" w:hAnsiTheme="minorEastAsia" w:cstheme="minorEastAsia"/>
          <w:bCs/>
          <w:color w:val="auto"/>
          <w:sz w:val="24"/>
          <w:szCs w:val="24"/>
          <w:lang w:eastAsia="zh-CN"/>
        </w:rPr>
        <w:t>）</w:t>
      </w:r>
      <w:r>
        <w:rPr>
          <w:rFonts w:hint="eastAsia" w:asciiTheme="minorEastAsia" w:hAnsiTheme="minorEastAsia" w:cstheme="minorEastAsia"/>
          <w:bCs/>
          <w:color w:val="auto"/>
          <w:sz w:val="24"/>
          <w:szCs w:val="24"/>
          <w:lang w:val="en-US" w:eastAsia="zh-CN"/>
        </w:rPr>
        <w:t>档案资料销毁授权书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inorEastAsia" w:hAnsiTheme="minorEastAsia" w:cstheme="minorEastAsia"/>
          <w:bCs/>
          <w:color w:val="auto"/>
          <w:sz w:val="24"/>
          <w:szCs w:val="24"/>
          <w:lang w:val="en-US" w:eastAsia="zh-CN"/>
        </w:rPr>
        <w:sectPr>
          <w:footerReference r:id="rId145" w:type="default"/>
          <w:pgSz w:w="11906" w:h="16838"/>
          <w:pgMar w:top="1417" w:right="1191" w:bottom="1474" w:left="1474" w:header="0" w:footer="992" w:gutter="0"/>
          <w:pgBorders>
            <w:top w:val="none" w:sz="0" w:space="0"/>
            <w:left w:val="none" w:sz="0" w:space="0"/>
            <w:bottom w:val="none" w:sz="0" w:space="0"/>
            <w:right w:val="none" w:sz="0" w:space="0"/>
          </w:pgBorders>
          <w:pgNumType w:fmt="decimal"/>
          <w:cols w:space="0" w:num="1"/>
          <w:docGrid w:type="lines" w:linePitch="312" w:charSpace="0"/>
        </w:sectPr>
      </w:pPr>
      <w:r>
        <w:rPr>
          <w:rFonts w:hint="eastAsia" w:asciiTheme="minorEastAsia" w:hAnsiTheme="minorEastAsia" w:cstheme="minorEastAsia"/>
          <w:bCs/>
          <w:color w:val="auto"/>
          <w:sz w:val="24"/>
          <w:szCs w:val="24"/>
          <w:lang w:val="en-US" w:eastAsia="zh-CN"/>
        </w:rPr>
        <w:t>12.</w:t>
      </w:r>
      <w:r>
        <w:rPr>
          <w:rFonts w:hint="eastAsia" w:asciiTheme="minorEastAsia" w:hAnsiTheme="minorEastAsia" w:cstheme="minorEastAsia"/>
          <w:bCs/>
          <w:color w:val="auto"/>
          <w:sz w:val="24"/>
          <w:szCs w:val="24"/>
          <w:lang w:eastAsia="zh-CN"/>
        </w:rPr>
        <w:t>（YYH-SOP-CTC-022</w:t>
      </w:r>
      <w:r>
        <w:rPr>
          <w:rFonts w:hint="eastAsia" w:asciiTheme="minorEastAsia" w:hAnsiTheme="minorEastAsia" w:cstheme="minorEastAsia"/>
          <w:bCs/>
          <w:color w:val="auto"/>
          <w:sz w:val="24"/>
          <w:szCs w:val="24"/>
          <w:lang w:val="en-US" w:eastAsia="zh-CN"/>
        </w:rPr>
        <w:t>-</w:t>
      </w:r>
      <w:r>
        <w:rPr>
          <w:rFonts w:hint="eastAsia" w:asciiTheme="minorEastAsia" w:hAnsiTheme="minorEastAsia" w:cstheme="minorEastAsia"/>
          <w:bCs/>
          <w:color w:val="auto"/>
          <w:sz w:val="24"/>
          <w:szCs w:val="24"/>
          <w:lang w:eastAsia="zh-CN"/>
        </w:rPr>
        <w:t>3.</w:t>
      </w:r>
      <w:r>
        <w:rPr>
          <w:rFonts w:hint="eastAsia" w:asciiTheme="minorEastAsia" w:hAnsiTheme="minorEastAsia" w:cstheme="minorEastAsia"/>
          <w:bCs/>
          <w:color w:val="auto"/>
          <w:sz w:val="24"/>
          <w:szCs w:val="24"/>
          <w:lang w:val="en-US" w:eastAsia="zh-CN"/>
        </w:rPr>
        <w:t>2-A12）药物临床试验/医疗器械临床试验档案资料销毁登记表</w:t>
      </w:r>
    </w:p>
    <w:p>
      <w:pPr>
        <w:rPr>
          <w:rFonts w:hint="eastAsia" w:ascii="黑体" w:hAnsi="黑体" w:eastAsia="黑体" w:cs="黑体"/>
          <w:color w:val="auto"/>
          <w:sz w:val="24"/>
          <w:szCs w:val="24"/>
        </w:rPr>
      </w:pPr>
      <w:r>
        <w:rPr>
          <w:rFonts w:hint="eastAsia" w:ascii="黑体" w:hAnsi="黑体" w:eastAsia="黑体" w:cs="黑体"/>
          <w:color w:val="auto"/>
          <w:sz w:val="24"/>
          <w:szCs w:val="24"/>
          <w:lang w:val="en-US" w:eastAsia="zh-CN"/>
        </w:rPr>
        <w:t>附件1：（YYH-SOP-CTC-022-3.2-A01）：</w:t>
      </w:r>
      <w:r>
        <w:rPr>
          <w:rFonts w:hint="eastAsia" w:ascii="黑体" w:hAnsi="黑体" w:eastAsia="黑体" w:cs="黑体"/>
          <w:color w:val="auto"/>
          <w:sz w:val="24"/>
          <w:szCs w:val="24"/>
        </w:rPr>
        <w:t>药物临床试验项目资料归档清单</w:t>
      </w:r>
    </w:p>
    <w:tbl>
      <w:tblPr>
        <w:tblStyle w:val="27"/>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455"/>
        <w:gridCol w:w="882"/>
        <w:gridCol w:w="882"/>
        <w:gridCol w:w="884"/>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cs="新宋体-18030" w:asciiTheme="minorEastAsia" w:hAnsiTheme="minorEastAsia"/>
                <w:bCs/>
                <w:color w:val="auto"/>
                <w:sz w:val="21"/>
                <w:szCs w:val="21"/>
              </w:rPr>
              <w:t>项目名称</w:t>
            </w:r>
          </w:p>
        </w:tc>
        <w:tc>
          <w:tcPr>
            <w:tcW w:w="7590" w:type="dxa"/>
            <w:gridSpan w:val="5"/>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default" w:ascii="黑体" w:hAnsi="黑体" w:eastAsia="黑体" w:cs="黑体"/>
                <w:bCs/>
                <w:color w:val="auto"/>
                <w:spacing w:val="-6"/>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cs="新宋体-18030" w:asciiTheme="minorEastAsia" w:hAnsiTheme="minorEastAsia"/>
                <w:bCs/>
                <w:color w:val="auto"/>
                <w:sz w:val="21"/>
                <w:szCs w:val="21"/>
              </w:rPr>
              <w:t>试验药物</w:t>
            </w:r>
          </w:p>
        </w:tc>
        <w:tc>
          <w:tcPr>
            <w:tcW w:w="3455"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cs="新宋体-18030" w:asciiTheme="minorEastAsia" w:hAnsiTheme="minorEastAsia"/>
                <w:bCs/>
                <w:color w:val="auto"/>
                <w:sz w:val="21"/>
                <w:szCs w:val="21"/>
              </w:rPr>
              <w:t>科室</w:t>
            </w:r>
          </w:p>
        </w:tc>
        <w:tc>
          <w:tcPr>
            <w:tcW w:w="3253" w:type="dxa"/>
            <w:gridSpan w:val="3"/>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cs="新宋体-18030" w:asciiTheme="minorEastAsia" w:hAnsiTheme="minorEastAsia"/>
                <w:bCs/>
                <w:color w:val="auto"/>
                <w:sz w:val="21"/>
                <w:szCs w:val="21"/>
              </w:rPr>
              <w:t>PI</w:t>
            </w:r>
          </w:p>
        </w:tc>
        <w:tc>
          <w:tcPr>
            <w:tcW w:w="3455"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cs="新宋体-18030" w:asciiTheme="minorEastAsia" w:hAnsiTheme="minorEastAsia"/>
                <w:bCs/>
                <w:color w:val="auto"/>
                <w:sz w:val="21"/>
                <w:szCs w:val="21"/>
              </w:rPr>
              <w:t>申办者</w:t>
            </w:r>
          </w:p>
        </w:tc>
        <w:tc>
          <w:tcPr>
            <w:tcW w:w="3253" w:type="dxa"/>
            <w:gridSpan w:val="3"/>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ascii="黑体" w:hAnsi="黑体" w:eastAsia="黑体" w:cs="黑体"/>
                <w:bCs/>
                <w:color w:val="auto"/>
                <w:spacing w:val="-6"/>
                <w:kern w:val="0"/>
                <w:sz w:val="21"/>
                <w:szCs w:val="21"/>
                <w:lang w:eastAsia="zh-CN"/>
              </w:rPr>
              <w:t>序号</w:t>
            </w:r>
          </w:p>
        </w:tc>
        <w:tc>
          <w:tcPr>
            <w:tcW w:w="3455"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val="en-US" w:eastAsia="zh-CN"/>
              </w:rPr>
            </w:pPr>
            <w:r>
              <w:rPr>
                <w:rFonts w:hint="eastAsia" w:ascii="黑体" w:hAnsi="黑体" w:eastAsia="黑体" w:cs="黑体"/>
                <w:bCs/>
                <w:color w:val="auto"/>
                <w:spacing w:val="-6"/>
                <w:kern w:val="0"/>
                <w:sz w:val="21"/>
                <w:szCs w:val="21"/>
              </w:rPr>
              <w:t>必备文件</w:t>
            </w:r>
          </w:p>
        </w:tc>
        <w:tc>
          <w:tcPr>
            <w:tcW w:w="88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ascii="黑体" w:hAnsi="黑体" w:eastAsia="黑体" w:cs="黑体"/>
                <w:bCs/>
                <w:color w:val="auto"/>
                <w:spacing w:val="-6"/>
                <w:kern w:val="0"/>
                <w:sz w:val="21"/>
                <w:szCs w:val="21"/>
                <w:lang w:eastAsia="zh-CN"/>
              </w:rPr>
              <w:t>有</w:t>
            </w:r>
          </w:p>
        </w:tc>
        <w:tc>
          <w:tcPr>
            <w:tcW w:w="88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ascii="黑体" w:hAnsi="黑体" w:eastAsia="黑体" w:cs="黑体"/>
                <w:bCs/>
                <w:color w:val="auto"/>
                <w:spacing w:val="-6"/>
                <w:kern w:val="0"/>
                <w:sz w:val="21"/>
                <w:szCs w:val="21"/>
                <w:lang w:eastAsia="zh-CN"/>
              </w:rPr>
              <w:t>无</w:t>
            </w:r>
          </w:p>
        </w:tc>
        <w:tc>
          <w:tcPr>
            <w:tcW w:w="88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ascii="黑体" w:hAnsi="黑体" w:eastAsia="黑体" w:cs="黑体"/>
                <w:bCs/>
                <w:color w:val="auto"/>
                <w:spacing w:val="-6"/>
                <w:kern w:val="0"/>
                <w:sz w:val="21"/>
                <w:szCs w:val="21"/>
                <w:lang w:eastAsia="zh-CN"/>
              </w:rPr>
              <w:t>不适用</w:t>
            </w:r>
          </w:p>
        </w:tc>
        <w:tc>
          <w:tcPr>
            <w:tcW w:w="148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ascii="黑体" w:hAnsi="黑体" w:eastAsia="黑体" w:cs="黑体"/>
                <w:bCs/>
                <w:color w:val="auto"/>
                <w:spacing w:val="-6"/>
                <w:kern w:val="0"/>
                <w:sz w:val="21"/>
                <w:szCs w:val="21"/>
                <w:lang w:eastAsia="zh-CN"/>
              </w:rPr>
              <w:t>第几盒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宋体"/>
                <w:color w:val="auto"/>
                <w:sz w:val="21"/>
                <w:szCs w:val="21"/>
                <w:lang w:val="en-US" w:eastAsia="zh-CN"/>
              </w:rPr>
            </w:pPr>
            <w:r>
              <w:rPr>
                <w:rFonts w:hint="eastAsia"/>
                <w:b/>
                <w:bCs/>
                <w:color w:val="auto"/>
                <w:sz w:val="21"/>
                <w:szCs w:val="21"/>
                <w:lang w:val="en-US" w:eastAsia="zh-CN"/>
              </w:rPr>
              <w:t>1</w:t>
            </w:r>
          </w:p>
        </w:tc>
        <w:tc>
          <w:tcPr>
            <w:tcW w:w="345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eastAsia="宋体"/>
                <w:color w:val="auto"/>
                <w:sz w:val="21"/>
                <w:szCs w:val="21"/>
                <w:lang w:eastAsia="zh-CN"/>
              </w:rPr>
            </w:pPr>
            <w:r>
              <w:rPr>
                <w:rFonts w:hint="eastAsia"/>
                <w:b/>
                <w:bCs/>
                <w:color w:val="auto"/>
                <w:sz w:val="21"/>
                <w:szCs w:val="21"/>
                <w:lang w:eastAsia="zh-CN"/>
              </w:rPr>
              <w:t>试验准备阶段</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1.1</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研究者手册</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1.2</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已签字的临床试验方案</w:t>
            </w:r>
            <w:r>
              <w:rPr>
                <w:rFonts w:hint="eastAsia" w:eastAsia="仿宋_GB2312"/>
                <w:color w:val="auto"/>
                <w:spacing w:val="-6"/>
                <w:sz w:val="21"/>
                <w:szCs w:val="21"/>
              </w:rPr>
              <w:t>（</w:t>
            </w:r>
            <w:r>
              <w:rPr>
                <w:rFonts w:eastAsia="仿宋_GB2312"/>
                <w:color w:val="auto"/>
                <w:spacing w:val="-6"/>
                <w:sz w:val="21"/>
                <w:szCs w:val="21"/>
              </w:rPr>
              <w:t>含修订版</w:t>
            </w:r>
            <w:r>
              <w:rPr>
                <w:rFonts w:hint="eastAsia" w:eastAsia="仿宋_GB2312"/>
                <w:color w:val="auto"/>
                <w:spacing w:val="-6"/>
                <w:sz w:val="21"/>
                <w:szCs w:val="21"/>
              </w:rPr>
              <w:t>）</w:t>
            </w:r>
            <w:r>
              <w:rPr>
                <w:rFonts w:eastAsia="仿宋_GB2312"/>
                <w:color w:val="auto"/>
                <w:spacing w:val="-6"/>
                <w:sz w:val="21"/>
                <w:szCs w:val="21"/>
              </w:rPr>
              <w:t>、病例报告表样本</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1.3</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提供给受试者的信息（样本）</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—知情同意书（包括所有适用的译文）</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—其他提供给受试者的任何书面资料</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—受试者的招募广告（若使用）</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1.4</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临床试验的财务合同</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1.5</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受试者保险的相关文件（若有）</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1.6</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参与临床试验各方之间签署的研究合同（或包括经费合同），包括：</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—研究者和临床试验机构与申办者签署的合同</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—研究者和临床试验机构与合同研究组织签署的合同</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—申办者与合同研究组织签署的合同</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widowControl w:val="0"/>
              <w:kinsoku/>
              <w:wordWrap/>
              <w:overflowPunct/>
              <w:topLinePunct w:val="0"/>
              <w:bidi w:val="0"/>
              <w:spacing w:line="240" w:lineRule="auto"/>
              <w:ind w:left="0" w:leftChars="0" w:right="0" w:rightChars="0" w:firstLine="0" w:firstLineChars="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1.7</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伦理委员会对以下各项内容的书面审查、同意文件，具签名、注明日期</w:t>
            </w:r>
          </w:p>
          <w:p>
            <w:pPr>
              <w:pStyle w:val="13"/>
              <w:keepNext w:val="0"/>
              <w:keepLines w:val="0"/>
              <w:pageBreakBefore w:val="0"/>
              <w:widowControl w:val="0"/>
              <w:kinsoku/>
              <w:wordWrap/>
              <w:overflowPunct/>
              <w:topLinePunct w:val="0"/>
              <w:bidi w:val="0"/>
              <w:spacing w:line="240" w:lineRule="auto"/>
              <w:ind w:left="0" w:leftChars="0" w:right="0" w:rightChars="0" w:firstLine="0" w:firstLineChars="0"/>
              <w:jc w:val="both"/>
              <w:textAlignment w:val="auto"/>
              <w:rPr>
                <w:rFonts w:eastAsia="仿宋_GB2312"/>
                <w:color w:val="auto"/>
                <w:spacing w:val="-6"/>
                <w:sz w:val="21"/>
                <w:szCs w:val="21"/>
              </w:rPr>
            </w:pPr>
            <w:r>
              <w:rPr>
                <w:rFonts w:eastAsia="仿宋_GB2312"/>
                <w:color w:val="auto"/>
                <w:spacing w:val="-6"/>
                <w:sz w:val="21"/>
                <w:szCs w:val="21"/>
              </w:rPr>
              <w:t>—试验方案及其修订版</w:t>
            </w:r>
          </w:p>
          <w:p>
            <w:pPr>
              <w:pStyle w:val="13"/>
              <w:keepNext w:val="0"/>
              <w:keepLines w:val="0"/>
              <w:pageBreakBefore w:val="0"/>
              <w:widowControl w:val="0"/>
              <w:kinsoku/>
              <w:wordWrap/>
              <w:overflowPunct/>
              <w:topLinePunct w:val="0"/>
              <w:bidi w:val="0"/>
              <w:spacing w:line="240" w:lineRule="auto"/>
              <w:ind w:left="0" w:leftChars="0" w:right="0" w:rightChars="0" w:firstLine="0" w:firstLineChars="0"/>
              <w:jc w:val="both"/>
              <w:textAlignment w:val="auto"/>
              <w:rPr>
                <w:rFonts w:eastAsia="仿宋_GB2312"/>
                <w:color w:val="auto"/>
                <w:spacing w:val="-6"/>
                <w:sz w:val="21"/>
                <w:szCs w:val="21"/>
              </w:rPr>
            </w:pPr>
            <w:r>
              <w:rPr>
                <w:rFonts w:eastAsia="仿宋_GB2312"/>
                <w:color w:val="auto"/>
                <w:spacing w:val="-6"/>
                <w:sz w:val="21"/>
                <w:szCs w:val="21"/>
              </w:rPr>
              <w:t>—知情同意书</w:t>
            </w:r>
          </w:p>
          <w:p>
            <w:pPr>
              <w:pStyle w:val="13"/>
              <w:keepNext w:val="0"/>
              <w:keepLines w:val="0"/>
              <w:pageBreakBefore w:val="0"/>
              <w:widowControl w:val="0"/>
              <w:kinsoku/>
              <w:wordWrap/>
              <w:overflowPunct/>
              <w:topLinePunct w:val="0"/>
              <w:bidi w:val="0"/>
              <w:spacing w:line="240" w:lineRule="auto"/>
              <w:ind w:left="0" w:leftChars="0" w:right="0" w:rightChars="0" w:firstLine="0" w:firstLineChars="0"/>
              <w:jc w:val="both"/>
              <w:textAlignment w:val="auto"/>
              <w:rPr>
                <w:rFonts w:eastAsia="仿宋_GB2312"/>
                <w:color w:val="auto"/>
                <w:spacing w:val="-6"/>
                <w:sz w:val="21"/>
                <w:szCs w:val="21"/>
              </w:rPr>
            </w:pPr>
            <w:r>
              <w:rPr>
                <w:rFonts w:eastAsia="仿宋_GB2312"/>
                <w:color w:val="auto"/>
                <w:spacing w:val="-6"/>
                <w:sz w:val="21"/>
                <w:szCs w:val="21"/>
              </w:rPr>
              <w:t>—其他提供给受试者的任何书面资料</w:t>
            </w:r>
          </w:p>
          <w:p>
            <w:pPr>
              <w:pStyle w:val="13"/>
              <w:keepNext w:val="0"/>
              <w:keepLines w:val="0"/>
              <w:pageBreakBefore w:val="0"/>
              <w:widowControl w:val="0"/>
              <w:kinsoku/>
              <w:wordWrap/>
              <w:overflowPunct/>
              <w:topLinePunct w:val="0"/>
              <w:bidi w:val="0"/>
              <w:spacing w:line="240" w:lineRule="auto"/>
              <w:ind w:left="0" w:leftChars="0" w:right="0" w:rightChars="0" w:firstLine="0" w:firstLineChars="0"/>
              <w:jc w:val="both"/>
              <w:textAlignment w:val="auto"/>
              <w:rPr>
                <w:rFonts w:eastAsia="仿宋_GB2312"/>
                <w:color w:val="auto"/>
                <w:spacing w:val="-6"/>
                <w:sz w:val="21"/>
                <w:szCs w:val="21"/>
              </w:rPr>
            </w:pPr>
            <w:r>
              <w:rPr>
                <w:rFonts w:eastAsia="仿宋_GB2312"/>
                <w:color w:val="auto"/>
                <w:spacing w:val="-6"/>
                <w:sz w:val="21"/>
                <w:szCs w:val="21"/>
              </w:rPr>
              <w:t>—受试者的招募广告（若使用）</w:t>
            </w:r>
          </w:p>
          <w:p>
            <w:pPr>
              <w:pStyle w:val="13"/>
              <w:keepNext w:val="0"/>
              <w:keepLines w:val="0"/>
              <w:pageBreakBefore w:val="0"/>
              <w:widowControl w:val="0"/>
              <w:kinsoku/>
              <w:wordWrap/>
              <w:overflowPunct/>
              <w:topLinePunct w:val="0"/>
              <w:bidi w:val="0"/>
              <w:spacing w:line="240" w:lineRule="auto"/>
              <w:ind w:left="0" w:leftChars="0" w:right="0" w:rightChars="0" w:firstLine="0" w:firstLineChars="0"/>
              <w:jc w:val="both"/>
              <w:textAlignment w:val="auto"/>
              <w:rPr>
                <w:rFonts w:eastAsia="仿宋_GB2312"/>
                <w:color w:val="auto"/>
                <w:spacing w:val="-6"/>
                <w:sz w:val="21"/>
                <w:szCs w:val="21"/>
              </w:rPr>
            </w:pPr>
            <w:r>
              <w:rPr>
                <w:rFonts w:eastAsia="仿宋_GB2312"/>
                <w:color w:val="auto"/>
                <w:spacing w:val="-6"/>
                <w:sz w:val="21"/>
                <w:szCs w:val="21"/>
              </w:rPr>
              <w:t>—对受试者的补偿（若有）</w:t>
            </w:r>
          </w:p>
          <w:p>
            <w:pPr>
              <w:pStyle w:val="13"/>
              <w:keepNext w:val="0"/>
              <w:keepLines w:val="0"/>
              <w:pageBreakBefore w:val="0"/>
              <w:widowControl w:val="0"/>
              <w:kinsoku/>
              <w:wordWrap/>
              <w:overflowPunct/>
              <w:topLinePunct w:val="0"/>
              <w:bidi w:val="0"/>
              <w:spacing w:line="240" w:lineRule="auto"/>
              <w:ind w:left="0" w:leftChars="0" w:right="0" w:rightChars="0" w:firstLine="0" w:firstLineChars="0"/>
              <w:jc w:val="both"/>
              <w:textAlignment w:val="auto"/>
              <w:rPr>
                <w:rFonts w:eastAsia="仿宋_GB2312"/>
                <w:color w:val="auto"/>
                <w:spacing w:val="-6"/>
                <w:sz w:val="21"/>
                <w:szCs w:val="21"/>
              </w:rPr>
            </w:pPr>
            <w:r>
              <w:rPr>
                <w:rFonts w:eastAsia="仿宋_GB2312"/>
                <w:color w:val="auto"/>
                <w:spacing w:val="-6"/>
                <w:sz w:val="21"/>
                <w:szCs w:val="21"/>
              </w:rPr>
              <w:t>—伦理委员会其他审查，同意的文件（如病例报告表样本）</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1.8</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伦理委员会的人员组成</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1.9</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药品监督管理部门对临床试验方案的许可、备案</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1.10</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研究者签名的履历和其他的资格文件</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经授权参与临床试验的医生、护士、药师等研究人员签名的履历和其他资质证明</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1.11</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在试验方案中涉及的医学、实验室、专业技术操作和相关检测的参考值和参考值范围</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1.12</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医学、实验室、专业技术操作和相关检测的资质证明</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（资质认可证书或者资质认证证书或者已建立质量控制体系或者外部质量评价体系</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或者其他验证体系）</w:t>
            </w:r>
            <w:r>
              <w:rPr>
                <w:rFonts w:hint="eastAsia" w:eastAsia="仿宋_GB2312"/>
                <w:color w:val="auto"/>
                <w:spacing w:val="-6"/>
                <w:sz w:val="21"/>
                <w:szCs w:val="21"/>
                <w:lang w:eastAsia="zh-CN"/>
              </w:rPr>
              <w:t>（必要时）</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1.13</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试验用药品的包装盒标签样本</w:t>
            </w:r>
            <w:r>
              <w:rPr>
                <w:rFonts w:hint="eastAsia" w:eastAsia="仿宋_GB2312"/>
                <w:color w:val="auto"/>
                <w:spacing w:val="-6"/>
                <w:sz w:val="21"/>
                <w:szCs w:val="21"/>
                <w:lang w:eastAsia="zh-CN"/>
              </w:rPr>
              <w:t>（如有）</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1.14</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试验用药品及其他试验相关材料的说明（若未在试验方案或研究者手册中说明）</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1.15</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试验用药品及其他试验相关材料的运送记录</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1.16</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试验用药品的检验报告</w:t>
            </w:r>
            <w:r>
              <w:rPr>
                <w:rFonts w:hint="eastAsia" w:eastAsia="仿宋_GB2312"/>
                <w:color w:val="auto"/>
                <w:spacing w:val="-6"/>
                <w:sz w:val="21"/>
                <w:szCs w:val="21"/>
                <w:lang w:eastAsia="zh-CN"/>
              </w:rPr>
              <w:t>（如有）</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1.17</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盲法试验的揭盲程序</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1.18</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总随机表</w:t>
            </w:r>
            <w:r>
              <w:rPr>
                <w:rFonts w:hint="eastAsia" w:eastAsia="仿宋_GB2312"/>
                <w:color w:val="auto"/>
                <w:spacing w:val="-6"/>
                <w:sz w:val="21"/>
                <w:szCs w:val="21"/>
                <w:lang w:eastAsia="zh-CN"/>
              </w:rPr>
              <w:t>（如有）</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1.19</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申办者试验前监查报告</w:t>
            </w:r>
            <w:r>
              <w:rPr>
                <w:rFonts w:hint="eastAsia" w:eastAsia="仿宋_GB2312"/>
                <w:color w:val="auto"/>
                <w:spacing w:val="-6"/>
                <w:sz w:val="21"/>
                <w:szCs w:val="21"/>
                <w:lang w:eastAsia="zh-CN"/>
              </w:rPr>
              <w:t>（如有）</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1.20</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试验启动监查报告</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default" w:eastAsia="仿宋_GB2312"/>
                <w:color w:val="auto"/>
                <w:spacing w:val="-6"/>
                <w:sz w:val="21"/>
                <w:szCs w:val="21"/>
                <w:lang w:val="en-US" w:eastAsia="zh-CN"/>
              </w:rPr>
            </w:pPr>
            <w:r>
              <w:rPr>
                <w:rFonts w:hint="eastAsia" w:eastAsia="仿宋_GB2312"/>
                <w:color w:val="auto"/>
                <w:spacing w:val="-6"/>
                <w:sz w:val="21"/>
                <w:szCs w:val="21"/>
                <w:lang w:val="en-US" w:eastAsia="zh-CN"/>
              </w:rPr>
              <w:t>1.21</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240" w:lineRule="auto"/>
              <w:jc w:val="left"/>
              <w:textAlignment w:val="auto"/>
              <w:rPr>
                <w:rFonts w:hint="eastAsia" w:ascii="楷体_GB2312" w:eastAsia="仿宋_GB2312" w:hAnsiTheme="minorHAnsi" w:cstheme="minorBidi"/>
                <w:color w:val="auto"/>
                <w:spacing w:val="-6"/>
                <w:kern w:val="2"/>
                <w:sz w:val="21"/>
                <w:szCs w:val="21"/>
                <w:lang w:val="en-US" w:eastAsia="zh-CN" w:bidi="ar-SA"/>
              </w:rPr>
            </w:pPr>
            <w:r>
              <w:rPr>
                <w:rFonts w:hint="eastAsia" w:ascii="楷体_GB2312" w:eastAsia="仿宋_GB2312" w:hAnsiTheme="minorHAnsi" w:cstheme="minorBidi"/>
                <w:color w:val="auto"/>
                <w:spacing w:val="-6"/>
                <w:kern w:val="2"/>
                <w:sz w:val="21"/>
                <w:szCs w:val="21"/>
                <w:lang w:val="en-US" w:eastAsia="zh-CN" w:bidi="ar-SA"/>
              </w:rPr>
              <w:t>立项审查评估审批文件</w:t>
            </w:r>
          </w:p>
          <w:p>
            <w:pPr>
              <w:pStyle w:val="13"/>
              <w:keepNext w:val="0"/>
              <w:keepLines w:val="0"/>
              <w:pageBreakBefore w:val="0"/>
              <w:widowControl w:val="0"/>
              <w:kinsoku/>
              <w:wordWrap/>
              <w:overflowPunct/>
              <w:topLinePunct w:val="0"/>
              <w:bidi w:val="0"/>
              <w:spacing w:line="240" w:lineRule="auto"/>
              <w:ind w:left="0" w:leftChars="0" w:right="0" w:rightChars="0" w:firstLine="0" w:firstLineChars="0"/>
              <w:jc w:val="both"/>
              <w:textAlignment w:val="auto"/>
              <w:rPr>
                <w:rFonts w:hint="default" w:eastAsia="仿宋_GB2312"/>
                <w:color w:val="auto"/>
                <w:spacing w:val="-6"/>
                <w:sz w:val="21"/>
                <w:szCs w:val="21"/>
                <w:lang w:val="en-US" w:eastAsia="zh-CN"/>
              </w:rPr>
            </w:pPr>
            <w:r>
              <w:rPr>
                <w:rFonts w:eastAsia="仿宋_GB2312"/>
                <w:color w:val="auto"/>
                <w:spacing w:val="-6"/>
                <w:sz w:val="21"/>
                <w:szCs w:val="21"/>
              </w:rPr>
              <w:t>—</w:t>
            </w:r>
            <w:r>
              <w:rPr>
                <w:rFonts w:hint="eastAsia" w:eastAsia="仿宋_GB2312"/>
                <w:color w:val="auto"/>
                <w:spacing w:val="-6"/>
                <w:sz w:val="21"/>
                <w:szCs w:val="21"/>
                <w:lang w:val="en-US" w:eastAsia="zh-CN"/>
              </w:rPr>
              <w:t>药物临床试验申请表</w:t>
            </w:r>
          </w:p>
          <w:p>
            <w:pPr>
              <w:pStyle w:val="13"/>
              <w:keepNext w:val="0"/>
              <w:keepLines w:val="0"/>
              <w:pageBreakBefore w:val="0"/>
              <w:widowControl w:val="0"/>
              <w:kinsoku/>
              <w:wordWrap/>
              <w:overflowPunct/>
              <w:topLinePunct w:val="0"/>
              <w:bidi w:val="0"/>
              <w:spacing w:line="240" w:lineRule="auto"/>
              <w:ind w:left="0" w:leftChars="0" w:right="0" w:rightChars="0" w:firstLine="0" w:firstLineChars="0"/>
              <w:jc w:val="both"/>
              <w:textAlignment w:val="auto"/>
              <w:rPr>
                <w:rFonts w:hint="default" w:eastAsia="仿宋_GB2312"/>
                <w:color w:val="auto"/>
                <w:spacing w:val="-6"/>
                <w:sz w:val="21"/>
                <w:szCs w:val="21"/>
                <w:lang w:val="en-US"/>
              </w:rPr>
            </w:pPr>
            <w:r>
              <w:rPr>
                <w:rFonts w:eastAsia="仿宋_GB2312"/>
                <w:color w:val="auto"/>
                <w:spacing w:val="-6"/>
                <w:sz w:val="21"/>
                <w:szCs w:val="21"/>
              </w:rPr>
              <w:t>—</w:t>
            </w:r>
            <w:r>
              <w:rPr>
                <w:rFonts w:hint="eastAsia" w:eastAsia="仿宋_GB2312"/>
                <w:color w:val="auto"/>
                <w:spacing w:val="-6"/>
                <w:sz w:val="21"/>
                <w:szCs w:val="21"/>
                <w:lang w:val="en-US" w:eastAsia="zh-CN"/>
              </w:rPr>
              <w:t>临床试验立项评估表</w:t>
            </w:r>
          </w:p>
          <w:p>
            <w:pPr>
              <w:pStyle w:val="13"/>
              <w:keepNext w:val="0"/>
              <w:keepLines w:val="0"/>
              <w:pageBreakBefore w:val="0"/>
              <w:widowControl w:val="0"/>
              <w:kinsoku/>
              <w:wordWrap/>
              <w:overflowPunct/>
              <w:topLinePunct w:val="0"/>
              <w:bidi w:val="0"/>
              <w:spacing w:line="240" w:lineRule="auto"/>
              <w:ind w:left="0" w:leftChars="0" w:right="0" w:rightChars="0" w:firstLine="0" w:firstLineChars="0"/>
              <w:jc w:val="both"/>
              <w:textAlignment w:val="auto"/>
              <w:rPr>
                <w:rFonts w:hint="default" w:eastAsia="仿宋_GB2312"/>
                <w:color w:val="auto"/>
                <w:spacing w:val="-6"/>
                <w:sz w:val="21"/>
                <w:szCs w:val="21"/>
                <w:lang w:val="en-US" w:eastAsia="zh-CN"/>
              </w:rPr>
            </w:pPr>
            <w:r>
              <w:rPr>
                <w:rFonts w:eastAsia="仿宋_GB2312"/>
                <w:color w:val="auto"/>
                <w:spacing w:val="-6"/>
                <w:sz w:val="21"/>
                <w:szCs w:val="21"/>
              </w:rPr>
              <w:t>—</w:t>
            </w:r>
            <w:r>
              <w:rPr>
                <w:rFonts w:hint="eastAsia" w:eastAsia="仿宋_GB2312"/>
                <w:color w:val="auto"/>
                <w:spacing w:val="-6"/>
                <w:sz w:val="21"/>
                <w:szCs w:val="21"/>
                <w:lang w:val="en-US" w:eastAsia="zh-CN"/>
              </w:rPr>
              <w:t>药物临床试验审批表</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hint="eastAsia" w:eastAsia="仿宋_GB2312"/>
                <w:color w:val="auto"/>
                <w:spacing w:val="-6"/>
                <w:sz w:val="21"/>
                <w:szCs w:val="21"/>
                <w:lang w:val="en-US" w:eastAsia="zh-CN"/>
              </w:rPr>
            </w:pP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hint="default" w:eastAsia="仿宋_GB2312"/>
                <w:color w:val="auto"/>
                <w:spacing w:val="-6"/>
                <w:sz w:val="21"/>
                <w:szCs w:val="21"/>
                <w:lang w:val="en-US"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b/>
                <w:bCs/>
                <w:color w:val="auto"/>
                <w:spacing w:val="-6"/>
                <w:sz w:val="21"/>
                <w:szCs w:val="21"/>
                <w:lang w:val="en-US" w:eastAsia="zh-CN"/>
              </w:rPr>
              <w:t>2</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eastAsia="zh-CN"/>
              </w:rPr>
            </w:pPr>
            <w:r>
              <w:rPr>
                <w:rFonts w:hint="eastAsia" w:eastAsia="仿宋_GB2312"/>
                <w:b/>
                <w:bCs/>
                <w:color w:val="auto"/>
                <w:spacing w:val="-6"/>
                <w:sz w:val="21"/>
                <w:szCs w:val="21"/>
                <w:lang w:eastAsia="zh-CN"/>
              </w:rPr>
              <w:t>试验进行阶段</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2.1</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更新的研究者手册</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2.2</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对下列内容的任何改：</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—试验方案及其修订版，病例报告表</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—知情同意书</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—其他提供给受试者的任何书面资料</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—受试者招募广告（若使用）</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2.3</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伦理委员会对以下各项内容的书面审查、同意文件，具签名、注明日期</w:t>
            </w:r>
          </w:p>
          <w:p>
            <w:pPr>
              <w:pStyle w:val="43"/>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auto"/>
              <w:rPr>
                <w:rFonts w:ascii="Times New Roman" w:hAnsi="Times New Roman" w:eastAsia="仿宋_GB2312"/>
                <w:color w:val="auto"/>
                <w:spacing w:val="-6"/>
                <w:sz w:val="21"/>
                <w:szCs w:val="21"/>
              </w:rPr>
            </w:pPr>
            <w:r>
              <w:rPr>
                <w:rFonts w:ascii="Times New Roman" w:hAnsi="Times New Roman" w:eastAsia="仿宋_GB2312"/>
                <w:color w:val="auto"/>
                <w:spacing w:val="-6"/>
                <w:sz w:val="21"/>
                <w:szCs w:val="21"/>
              </w:rPr>
              <w:t>—试验方案修改</w:t>
            </w:r>
          </w:p>
          <w:p>
            <w:pPr>
              <w:pStyle w:val="43"/>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auto"/>
              <w:rPr>
                <w:rFonts w:ascii="Times New Roman" w:hAnsi="Times New Roman" w:eastAsia="仿宋_GB2312"/>
                <w:color w:val="auto"/>
                <w:spacing w:val="-6"/>
                <w:sz w:val="21"/>
                <w:szCs w:val="21"/>
              </w:rPr>
            </w:pPr>
            <w:r>
              <w:rPr>
                <w:rFonts w:ascii="Times New Roman" w:hAnsi="Times New Roman" w:eastAsia="仿宋_GB2312"/>
                <w:color w:val="auto"/>
                <w:spacing w:val="-6"/>
                <w:sz w:val="21"/>
                <w:szCs w:val="21"/>
              </w:rPr>
              <w:t>—下列文件修订本</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—知情同意书</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—其他提供给受试者的任何书面资料</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—受试者招募广告（若使用）</w:t>
            </w:r>
          </w:p>
          <w:p>
            <w:pPr>
              <w:pStyle w:val="43"/>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auto"/>
              <w:rPr>
                <w:rFonts w:ascii="Times New Roman" w:hAnsi="Times New Roman" w:eastAsia="仿宋_GB2312"/>
                <w:color w:val="auto"/>
                <w:spacing w:val="-6"/>
                <w:sz w:val="21"/>
                <w:szCs w:val="21"/>
              </w:rPr>
            </w:pPr>
            <w:r>
              <w:rPr>
                <w:rFonts w:ascii="Times New Roman" w:hAnsi="Times New Roman" w:eastAsia="仿宋_GB2312"/>
                <w:color w:val="auto"/>
                <w:spacing w:val="-6"/>
                <w:sz w:val="21"/>
                <w:szCs w:val="21"/>
              </w:rPr>
              <w:t>—伦理委员会任何其他审查，同意的文件</w:t>
            </w:r>
          </w:p>
          <w:p>
            <w:pPr>
              <w:pStyle w:val="43"/>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auto"/>
              <w:rPr>
                <w:rFonts w:ascii="Times New Roman" w:hAnsi="Times New Roman" w:eastAsia="仿宋_GB2312"/>
                <w:color w:val="auto"/>
                <w:spacing w:val="-6"/>
                <w:sz w:val="21"/>
                <w:szCs w:val="21"/>
              </w:rPr>
            </w:pPr>
            <w:r>
              <w:rPr>
                <w:rFonts w:ascii="Times New Roman" w:hAnsi="Times New Roman" w:eastAsia="仿宋_GB2312"/>
                <w:color w:val="auto"/>
                <w:spacing w:val="-6"/>
                <w:sz w:val="21"/>
                <w:szCs w:val="21"/>
              </w:rPr>
              <w:t>—对临床试验的跟踪审查（必要时）</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2.4</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药品监督管理部门对试验方案修改及其他文件的许可、备案</w:t>
            </w:r>
            <w:r>
              <w:rPr>
                <w:rFonts w:hint="eastAsia" w:eastAsia="仿宋_GB2312"/>
                <w:color w:val="auto"/>
                <w:spacing w:val="-6"/>
                <w:sz w:val="21"/>
                <w:szCs w:val="21"/>
                <w:lang w:eastAsia="zh-CN"/>
              </w:rPr>
              <w:t>（必要时）</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2.5</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研究者更新的履历和其他的资格文件</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经授权参与临床试验的医生、护士、药师等研究人员更新的履历和其他资质证明</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2.6</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更新的医学、实验室、专业技术操作和相关检测的参考值和参考值范围</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2.7</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更新的医学、实验室、专业技术操作和相关检测的资质证明</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（资质认可证书或者资质认证证书或者已建立质量控制体系或者外部质量评价体系</w:t>
            </w:r>
          </w:p>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或者其他验证体系）</w:t>
            </w:r>
            <w:r>
              <w:rPr>
                <w:rFonts w:hint="eastAsia" w:eastAsia="仿宋_GB2312"/>
                <w:color w:val="auto"/>
                <w:spacing w:val="-6"/>
                <w:sz w:val="21"/>
                <w:szCs w:val="21"/>
                <w:lang w:eastAsia="zh-CN"/>
              </w:rPr>
              <w:t>（必要时）</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2.8</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试验用药品及其他试验相关材料的运送记录</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2.9</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新批号试验用药品的检验报告</w:t>
            </w:r>
            <w:r>
              <w:rPr>
                <w:rFonts w:hint="eastAsia" w:eastAsia="仿宋_GB2312"/>
                <w:color w:val="auto"/>
                <w:spacing w:val="-6"/>
                <w:sz w:val="21"/>
                <w:szCs w:val="21"/>
                <w:lang w:eastAsia="zh-CN"/>
              </w:rPr>
              <w:t>（如有）</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eastAsia="zh-CN"/>
              </w:rPr>
            </w:pPr>
            <w:r>
              <w:rPr>
                <w:rFonts w:hint="eastAsia" w:eastAsia="仿宋_GB2312"/>
                <w:color w:val="auto"/>
                <w:spacing w:val="-6"/>
                <w:sz w:val="21"/>
                <w:szCs w:val="21"/>
                <w:lang w:val="en-US" w:eastAsia="zh-CN"/>
              </w:rPr>
              <w:t>2.10</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监查访视报告</w:t>
            </w:r>
            <w:r>
              <w:rPr>
                <w:rFonts w:hint="eastAsia" w:eastAsia="仿宋_GB2312"/>
                <w:color w:val="auto"/>
                <w:spacing w:val="-6"/>
                <w:sz w:val="21"/>
                <w:szCs w:val="21"/>
                <w:lang w:eastAsia="zh-CN"/>
              </w:rPr>
              <w:t>（如有）</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2.11</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现场访视之外的相关通讯、联络记录</w:t>
            </w:r>
          </w:p>
          <w:p>
            <w:pPr>
              <w:pStyle w:val="43"/>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auto"/>
              <w:rPr>
                <w:rFonts w:ascii="Times New Roman" w:hAnsi="Times New Roman" w:eastAsia="仿宋_GB2312"/>
                <w:color w:val="auto"/>
                <w:spacing w:val="-6"/>
                <w:sz w:val="21"/>
                <w:szCs w:val="21"/>
              </w:rPr>
            </w:pPr>
            <w:r>
              <w:rPr>
                <w:rFonts w:ascii="Times New Roman" w:hAnsi="Times New Roman" w:eastAsia="仿宋_GB2312"/>
                <w:color w:val="auto"/>
                <w:spacing w:val="-6"/>
                <w:sz w:val="21"/>
                <w:szCs w:val="21"/>
              </w:rPr>
              <w:t>—往来信件</w:t>
            </w:r>
          </w:p>
          <w:p>
            <w:pPr>
              <w:pStyle w:val="43"/>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auto"/>
              <w:rPr>
                <w:rFonts w:ascii="Times New Roman" w:hAnsi="Times New Roman" w:eastAsia="仿宋_GB2312"/>
                <w:color w:val="auto"/>
                <w:spacing w:val="-6"/>
                <w:sz w:val="21"/>
                <w:szCs w:val="21"/>
              </w:rPr>
            </w:pPr>
            <w:r>
              <w:rPr>
                <w:rFonts w:ascii="Times New Roman" w:hAnsi="Times New Roman" w:eastAsia="仿宋_GB2312"/>
                <w:color w:val="auto"/>
                <w:spacing w:val="-6"/>
                <w:sz w:val="21"/>
                <w:szCs w:val="21"/>
              </w:rPr>
              <w:t>—会议记录</w:t>
            </w:r>
          </w:p>
          <w:p>
            <w:pPr>
              <w:pStyle w:val="43"/>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auto"/>
              <w:rPr>
                <w:rFonts w:ascii="Times New Roman" w:hAnsi="Times New Roman" w:eastAsia="仿宋_GB2312"/>
                <w:color w:val="auto"/>
                <w:spacing w:val="-6"/>
                <w:sz w:val="21"/>
                <w:szCs w:val="21"/>
              </w:rPr>
            </w:pPr>
            <w:r>
              <w:rPr>
                <w:rFonts w:ascii="Times New Roman" w:hAnsi="Times New Roman" w:eastAsia="仿宋_GB2312"/>
                <w:color w:val="auto"/>
                <w:spacing w:val="-6"/>
                <w:sz w:val="21"/>
                <w:szCs w:val="21"/>
              </w:rPr>
              <w:t>—电话记录</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val="en-US" w:eastAsia="zh-CN"/>
              </w:rPr>
            </w:pPr>
            <w:r>
              <w:rPr>
                <w:rFonts w:hint="eastAsia" w:eastAsia="仿宋_GB2312"/>
                <w:color w:val="auto"/>
                <w:spacing w:val="-6"/>
                <w:sz w:val="21"/>
                <w:szCs w:val="21"/>
                <w:lang w:val="en-US" w:eastAsia="zh-CN"/>
              </w:rPr>
              <w:t>2.12</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hint="default" w:eastAsia="仿宋_GB2312"/>
                <w:color w:val="auto"/>
                <w:spacing w:val="-6"/>
                <w:sz w:val="21"/>
                <w:szCs w:val="21"/>
                <w:lang w:val="en-US" w:eastAsia="zh-CN"/>
              </w:rPr>
            </w:pPr>
            <w:r>
              <w:rPr>
                <w:rFonts w:eastAsia="仿宋_GB2312"/>
                <w:color w:val="auto"/>
                <w:spacing w:val="-6"/>
                <w:sz w:val="21"/>
                <w:szCs w:val="21"/>
              </w:rPr>
              <w:t>签署的知情同意书</w:t>
            </w:r>
            <w:r>
              <w:rPr>
                <w:rFonts w:hint="eastAsia" w:eastAsia="仿宋_GB2312"/>
                <w:color w:val="auto"/>
                <w:spacing w:val="-6"/>
                <w:sz w:val="21"/>
                <w:szCs w:val="21"/>
                <w:lang w:eastAsia="zh-CN"/>
              </w:rPr>
              <w:t>：</w:t>
            </w:r>
            <w:r>
              <w:rPr>
                <w:rFonts w:hint="eastAsia" w:eastAsia="仿宋_GB2312"/>
                <w:color w:val="auto"/>
                <w:spacing w:val="-6"/>
                <w:sz w:val="21"/>
                <w:szCs w:val="21"/>
                <w:lang w:val="en-US" w:eastAsia="zh-CN"/>
              </w:rPr>
              <w:t xml:space="preserve"> ____份</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default"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2.13</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hint="eastAsia" w:eastAsia="仿宋_GB2312"/>
                <w:color w:val="auto"/>
                <w:spacing w:val="-6"/>
                <w:sz w:val="21"/>
                <w:szCs w:val="21"/>
                <w:lang w:eastAsia="zh-CN"/>
              </w:rPr>
            </w:pPr>
            <w:r>
              <w:rPr>
                <w:rFonts w:eastAsia="仿宋_GB2312"/>
                <w:color w:val="auto"/>
                <w:spacing w:val="-6"/>
                <w:sz w:val="21"/>
                <w:szCs w:val="21"/>
              </w:rPr>
              <w:t>原始医疗文件</w:t>
            </w:r>
            <w:r>
              <w:rPr>
                <w:rFonts w:hint="eastAsia" w:eastAsia="仿宋_GB2312"/>
                <w:color w:val="auto"/>
                <w:spacing w:val="-6"/>
                <w:sz w:val="21"/>
                <w:szCs w:val="21"/>
                <w:lang w:eastAsia="zh-CN"/>
              </w:rPr>
              <w:t>：</w:t>
            </w:r>
            <w:r>
              <w:rPr>
                <w:rFonts w:hint="eastAsia" w:eastAsia="仿宋_GB2312"/>
                <w:color w:val="auto"/>
                <w:spacing w:val="-6"/>
                <w:sz w:val="21"/>
                <w:szCs w:val="21"/>
                <w:lang w:val="en-US" w:eastAsia="zh-CN"/>
              </w:rPr>
              <w:t>___________份</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2.14</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已签署研究者姓名、记录日期和填写完整的病例报告表</w:t>
            </w:r>
            <w:r>
              <w:rPr>
                <w:rFonts w:hint="eastAsia" w:eastAsia="仿宋_GB2312"/>
                <w:color w:val="auto"/>
                <w:spacing w:val="-6"/>
                <w:sz w:val="21"/>
                <w:szCs w:val="21"/>
                <w:lang w:eastAsia="zh-CN"/>
              </w:rPr>
              <w:t>（复印件）</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2.15</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病例报告表修改记录</w:t>
            </w:r>
            <w:r>
              <w:rPr>
                <w:rFonts w:hint="eastAsia" w:eastAsia="仿宋_GB2312"/>
                <w:color w:val="auto"/>
                <w:spacing w:val="-6"/>
                <w:sz w:val="21"/>
                <w:szCs w:val="21"/>
                <w:lang w:eastAsia="zh-CN"/>
              </w:rPr>
              <w:t>（复印件）</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2.16</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研究者向申办者报告的严重不良事件</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2.17</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申办者或者研究者向药品监督管理部门、伦理委员会提交的可疑</w:t>
            </w:r>
            <w:r>
              <w:rPr>
                <w:rFonts w:hint="eastAsia" w:eastAsia="仿宋_GB2312"/>
                <w:color w:val="auto"/>
                <w:spacing w:val="-6"/>
                <w:sz w:val="21"/>
                <w:szCs w:val="21"/>
              </w:rPr>
              <w:t>且</w:t>
            </w:r>
            <w:r>
              <w:rPr>
                <w:rFonts w:eastAsia="仿宋_GB2312"/>
                <w:color w:val="auto"/>
                <w:spacing w:val="-6"/>
                <w:sz w:val="21"/>
                <w:szCs w:val="21"/>
              </w:rPr>
              <w:t>非预期严重不良反应及其他安全性资料</w:t>
            </w:r>
            <w:r>
              <w:rPr>
                <w:rFonts w:hint="eastAsia" w:eastAsia="仿宋_GB2312"/>
                <w:color w:val="auto"/>
                <w:spacing w:val="-6"/>
                <w:sz w:val="21"/>
                <w:szCs w:val="21"/>
                <w:lang w:eastAsia="zh-CN"/>
              </w:rPr>
              <w:t>（必要时）</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2.18</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申办者向研究者通报的安全性资料</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2.19</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向伦理委员会和药品监督管理部门提交的阶段性报告</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2.20</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受试者筛选表</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2.21</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受试者鉴认代码表</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2.22</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受试者入选表</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2.23</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试验用药品在临床试验机构的登记表</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2.24</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研究者职责分工及签名页</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default"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2.25</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体液/组织样本的留存记录（若有）</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b/>
                <w:bCs/>
                <w:color w:val="auto"/>
                <w:spacing w:val="-6"/>
                <w:sz w:val="21"/>
                <w:szCs w:val="21"/>
                <w:lang w:val="en-US" w:eastAsia="zh-CN"/>
              </w:rPr>
              <w:t>3</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eastAsia="zh-CN"/>
              </w:rPr>
            </w:pPr>
            <w:r>
              <w:rPr>
                <w:rFonts w:hint="eastAsia" w:eastAsia="仿宋_GB2312"/>
                <w:b/>
                <w:bCs/>
                <w:color w:val="auto"/>
                <w:spacing w:val="-6"/>
                <w:sz w:val="21"/>
                <w:szCs w:val="21"/>
                <w:lang w:eastAsia="zh-CN"/>
              </w:rPr>
              <w:t>试验结束阶段</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3.1</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试验用药品在临床试验机构的登记表</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3.2</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试验用药品销毁证明</w:t>
            </w:r>
            <w:r>
              <w:rPr>
                <w:rFonts w:hint="eastAsia" w:eastAsia="仿宋_GB2312"/>
                <w:color w:val="auto"/>
                <w:spacing w:val="-6"/>
                <w:sz w:val="21"/>
                <w:szCs w:val="21"/>
                <w:lang w:eastAsia="zh-CN"/>
              </w:rPr>
              <w:t>（若在机构销毁）</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3.3</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受试者鉴认代码表</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3.4</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稽查证明（若需要）</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3.5</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试验结束监查报告</w:t>
            </w:r>
            <w:r>
              <w:rPr>
                <w:rFonts w:hint="eastAsia" w:eastAsia="仿宋_GB2312"/>
                <w:color w:val="auto"/>
                <w:spacing w:val="-6"/>
                <w:sz w:val="21"/>
                <w:szCs w:val="21"/>
                <w:lang w:eastAsia="zh-CN"/>
              </w:rPr>
              <w:t>（若有）</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3.6</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试验分组和揭盲证明</w:t>
            </w:r>
            <w:r>
              <w:rPr>
                <w:rFonts w:hint="eastAsia" w:eastAsia="仿宋_GB2312"/>
                <w:color w:val="auto"/>
                <w:spacing w:val="-6"/>
                <w:sz w:val="21"/>
                <w:szCs w:val="21"/>
                <w:lang w:eastAsia="zh-CN"/>
              </w:rPr>
              <w:t>（若有）</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3.7</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hint="default" w:eastAsia="仿宋_GB2312"/>
                <w:color w:val="auto"/>
                <w:spacing w:val="-6"/>
                <w:sz w:val="21"/>
                <w:szCs w:val="21"/>
                <w:lang w:val="en-US" w:eastAsia="zh-CN"/>
              </w:rPr>
            </w:pPr>
            <w:r>
              <w:rPr>
                <w:rFonts w:eastAsia="仿宋_GB2312"/>
                <w:color w:val="auto"/>
                <w:spacing w:val="-6"/>
                <w:sz w:val="21"/>
                <w:szCs w:val="21"/>
              </w:rPr>
              <w:t>原始医疗文件</w:t>
            </w:r>
            <w:r>
              <w:rPr>
                <w:rFonts w:hint="eastAsia" w:eastAsia="仿宋_GB2312"/>
                <w:color w:val="auto"/>
                <w:spacing w:val="-6"/>
                <w:sz w:val="21"/>
                <w:szCs w:val="21"/>
                <w:lang w:eastAsia="zh-CN"/>
              </w:rPr>
              <w:t>：</w:t>
            </w:r>
            <w:r>
              <w:rPr>
                <w:rFonts w:hint="eastAsia" w:eastAsia="仿宋_GB2312"/>
                <w:color w:val="auto"/>
                <w:spacing w:val="-6"/>
                <w:sz w:val="21"/>
                <w:szCs w:val="21"/>
                <w:lang w:val="en-US" w:eastAsia="zh-CN"/>
              </w:rPr>
              <w:t>___________份</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3.8</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hint="default" w:eastAsia="仿宋_GB2312"/>
                <w:color w:val="auto"/>
                <w:spacing w:val="-6"/>
                <w:sz w:val="21"/>
                <w:szCs w:val="21"/>
                <w:lang w:val="en-US" w:eastAsia="zh-CN"/>
              </w:rPr>
            </w:pPr>
            <w:r>
              <w:rPr>
                <w:rFonts w:hint="eastAsia" w:eastAsia="仿宋_GB2312"/>
                <w:color w:val="auto"/>
                <w:spacing w:val="-6"/>
                <w:sz w:val="21"/>
                <w:szCs w:val="21"/>
                <w:lang w:eastAsia="zh-CN"/>
              </w:rPr>
              <w:t>脱落</w:t>
            </w:r>
            <w:r>
              <w:rPr>
                <w:rFonts w:hint="eastAsia" w:eastAsia="仿宋_GB2312"/>
                <w:color w:val="auto"/>
                <w:spacing w:val="-6"/>
                <w:sz w:val="21"/>
                <w:szCs w:val="21"/>
                <w:lang w:val="en-US" w:eastAsia="zh-CN"/>
              </w:rPr>
              <w:t>___例</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default"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3.9</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研究者向伦理委员会提交的试验完成文件</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default"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3.10</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eastAsia="仿宋_GB2312"/>
                <w:color w:val="auto"/>
                <w:spacing w:val="-6"/>
                <w:sz w:val="21"/>
                <w:szCs w:val="21"/>
              </w:rPr>
            </w:pPr>
            <w:r>
              <w:rPr>
                <w:rFonts w:eastAsia="仿宋_GB2312"/>
                <w:color w:val="auto"/>
                <w:spacing w:val="-6"/>
                <w:sz w:val="21"/>
                <w:szCs w:val="21"/>
              </w:rPr>
              <w:t>临床试验总结报告</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default"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3.11</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hint="eastAsia" w:eastAsia="仿宋_GB2312"/>
                <w:color w:val="auto"/>
                <w:spacing w:val="-6"/>
                <w:sz w:val="21"/>
                <w:szCs w:val="21"/>
                <w:lang w:eastAsia="zh-CN"/>
              </w:rPr>
            </w:pPr>
            <w:r>
              <w:rPr>
                <w:rFonts w:hint="eastAsia" w:eastAsia="仿宋_GB2312"/>
                <w:color w:val="auto"/>
                <w:spacing w:val="-6"/>
                <w:sz w:val="21"/>
                <w:szCs w:val="21"/>
                <w:lang w:eastAsia="zh-CN"/>
              </w:rPr>
              <w:t>专业项目质控员质控记录本</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default" w:ascii="Calibri" w:hAnsi="Calibri" w:eastAsia="仿宋_GB2312" w:cs="Times New Roman"/>
                <w:color w:val="auto"/>
                <w:spacing w:val="-6"/>
                <w:kern w:val="2"/>
                <w:sz w:val="21"/>
                <w:szCs w:val="21"/>
                <w:lang w:val="en-US" w:eastAsia="zh-CN" w:bidi="ar-SA"/>
              </w:rPr>
            </w:pPr>
            <w:r>
              <w:rPr>
                <w:rFonts w:hint="eastAsia" w:eastAsia="仿宋_GB2312"/>
                <w:color w:val="auto"/>
                <w:spacing w:val="-6"/>
                <w:sz w:val="21"/>
                <w:szCs w:val="21"/>
                <w:lang w:val="en-US" w:eastAsia="zh-CN"/>
              </w:rPr>
              <w:t>3.12</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both"/>
              <w:textAlignment w:val="auto"/>
              <w:rPr>
                <w:rFonts w:hint="default" w:eastAsia="仿宋_GB2312"/>
                <w:color w:val="auto"/>
                <w:spacing w:val="-6"/>
                <w:sz w:val="21"/>
                <w:szCs w:val="21"/>
                <w:lang w:val="en-US" w:eastAsia="zh-CN"/>
              </w:rPr>
            </w:pPr>
            <w:r>
              <w:rPr>
                <w:rFonts w:hint="eastAsia" w:eastAsia="仿宋_GB2312"/>
                <w:color w:val="auto"/>
                <w:spacing w:val="-6"/>
                <w:sz w:val="21"/>
                <w:szCs w:val="21"/>
                <w:lang w:eastAsia="zh-CN"/>
              </w:rPr>
              <w:t>机构质控员质控检查表汇总</w:t>
            </w:r>
            <w:r>
              <w:rPr>
                <w:rFonts w:hint="eastAsia" w:eastAsia="仿宋_GB2312"/>
                <w:color w:val="auto"/>
                <w:spacing w:val="-6"/>
                <w:sz w:val="21"/>
                <w:szCs w:val="21"/>
                <w:lang w:val="en-US" w:eastAsia="zh-CN"/>
              </w:rPr>
              <w:t>___份</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default" w:ascii="Calibri" w:hAnsi="Calibri" w:eastAsia="仿宋_GB2312" w:cs="Times New Roman"/>
                <w:color w:val="auto"/>
                <w:spacing w:val="-6"/>
                <w:kern w:val="2"/>
                <w:sz w:val="21"/>
                <w:szCs w:val="21"/>
                <w:lang w:val="en-US" w:eastAsia="zh-CN" w:bidi="ar-SA"/>
              </w:rPr>
            </w:pPr>
            <w:r>
              <w:rPr>
                <w:rFonts w:hint="eastAsia" w:eastAsia="仿宋_GB2312"/>
                <w:b/>
                <w:bCs/>
                <w:color w:val="auto"/>
                <w:spacing w:val="-6"/>
                <w:sz w:val="21"/>
                <w:szCs w:val="21"/>
                <w:lang w:val="en-US" w:eastAsia="zh-CN"/>
              </w:rPr>
              <w:t>4</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eastAsia="zh-CN"/>
              </w:rPr>
            </w:pPr>
            <w:r>
              <w:rPr>
                <w:rFonts w:hint="eastAsia" w:eastAsia="仿宋_GB2312"/>
                <w:b/>
                <w:bCs/>
                <w:color w:val="auto"/>
                <w:spacing w:val="-6"/>
                <w:sz w:val="21"/>
                <w:szCs w:val="21"/>
                <w:lang w:eastAsia="zh-CN"/>
              </w:rPr>
              <w:t>其他材料</w:t>
            </w: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default" w:ascii="Calibri" w:hAnsi="Calibri" w:eastAsia="仿宋_GB2312" w:cs="Times New Roman"/>
                <w:color w:val="auto"/>
                <w:spacing w:val="-6"/>
                <w:kern w:val="2"/>
                <w:sz w:val="21"/>
                <w:szCs w:val="21"/>
                <w:lang w:val="en-US" w:eastAsia="zh-CN" w:bidi="ar-SA"/>
              </w:rPr>
            </w:pPr>
          </w:p>
        </w:tc>
        <w:tc>
          <w:tcPr>
            <w:tcW w:w="3455" w:type="dxa"/>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eastAsia="仿宋_GB2312"/>
                <w:color w:val="auto"/>
                <w:spacing w:val="-6"/>
                <w:sz w:val="21"/>
                <w:szCs w:val="21"/>
                <w:lang w:eastAsia="zh-CN"/>
              </w:rPr>
            </w:pPr>
          </w:p>
        </w:tc>
        <w:tc>
          <w:tcPr>
            <w:tcW w:w="882" w:type="dxa"/>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2" w:type="dxa"/>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884" w:type="dxa"/>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sz w:val="21"/>
                <w:szCs w:val="21"/>
              </w:rPr>
            </w:pPr>
          </w:p>
        </w:tc>
        <w:tc>
          <w:tcPr>
            <w:tcW w:w="1487" w:type="dxa"/>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eastAsia="仿宋_GB2312"/>
                <w:color w:val="auto"/>
                <w:spacing w:val="-6"/>
                <w:kern w:val="0"/>
                <w:sz w:val="21"/>
                <w:szCs w:val="21"/>
              </w:rPr>
            </w:pPr>
          </w:p>
        </w:tc>
      </w:tr>
    </w:tbl>
    <w:p>
      <w:pPr>
        <w:rPr>
          <w:rFonts w:hint="eastAsia" w:ascii="黑体" w:hAnsi="黑体" w:eastAsia="黑体" w:cs="黑体"/>
          <w:color w:val="auto"/>
          <w:sz w:val="24"/>
          <w:szCs w:val="24"/>
        </w:rPr>
        <w:sectPr>
          <w:headerReference r:id="rId146" w:type="default"/>
          <w:footerReference r:id="rId147" w:type="default"/>
          <w:pgSz w:w="11906" w:h="16838"/>
          <w:pgMar w:top="1417" w:right="1191" w:bottom="1474" w:left="1474" w:header="0" w:footer="992" w:gutter="0"/>
          <w:pgBorders>
            <w:top w:val="none" w:sz="0" w:space="0"/>
            <w:left w:val="none" w:sz="0" w:space="0"/>
            <w:bottom w:val="none" w:sz="0" w:space="0"/>
            <w:right w:val="none" w:sz="0" w:space="0"/>
          </w:pgBorders>
          <w:pgNumType w:fmt="decimal"/>
          <w:cols w:space="0" w:num="1"/>
          <w:docGrid w:type="lines" w:linePitch="312" w:charSpace="0"/>
        </w:sectPr>
      </w:pPr>
    </w:p>
    <w:p>
      <w:pPr>
        <w:rPr>
          <w:rFonts w:hint="eastAsia" w:ascii="黑体" w:hAnsi="黑体" w:eastAsia="黑体" w:cs="黑体"/>
          <w:color w:val="auto"/>
          <w:sz w:val="24"/>
          <w:szCs w:val="24"/>
        </w:rPr>
      </w:pPr>
      <w:r>
        <w:rPr>
          <w:rFonts w:hint="eastAsia" w:ascii="黑体" w:hAnsi="黑体" w:eastAsia="黑体" w:cs="黑体"/>
          <w:color w:val="auto"/>
          <w:sz w:val="24"/>
          <w:szCs w:val="24"/>
          <w:lang w:val="en-US" w:eastAsia="zh-CN"/>
        </w:rPr>
        <w:t>附件2：（YYH-SOP-CTC-022-3.2-A02）：医疗器械</w:t>
      </w:r>
      <w:r>
        <w:rPr>
          <w:rFonts w:hint="eastAsia" w:ascii="黑体" w:hAnsi="黑体" w:eastAsia="黑体" w:cs="黑体"/>
          <w:color w:val="auto"/>
          <w:sz w:val="24"/>
          <w:szCs w:val="24"/>
        </w:rPr>
        <w:t>临床试验</w:t>
      </w:r>
      <w:r>
        <w:rPr>
          <w:rFonts w:hint="eastAsia" w:ascii="黑体" w:hAnsi="黑体" w:eastAsia="黑体" w:cs="黑体"/>
          <w:color w:val="auto"/>
          <w:sz w:val="24"/>
          <w:szCs w:val="24"/>
          <w:lang w:val="en-US" w:eastAsia="zh-CN"/>
        </w:rPr>
        <w:t>项目资料</w:t>
      </w:r>
      <w:r>
        <w:rPr>
          <w:rFonts w:hint="eastAsia" w:ascii="黑体" w:hAnsi="黑体" w:eastAsia="黑体" w:cs="黑体"/>
          <w:color w:val="auto"/>
          <w:sz w:val="24"/>
          <w:szCs w:val="24"/>
        </w:rPr>
        <w:t>归档清单</w:t>
      </w:r>
    </w:p>
    <w:tbl>
      <w:tblPr>
        <w:tblStyle w:val="27"/>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455"/>
        <w:gridCol w:w="882"/>
        <w:gridCol w:w="882"/>
        <w:gridCol w:w="884"/>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cs="新宋体-18030" w:asciiTheme="minorEastAsia" w:hAnsiTheme="minorEastAsia"/>
                <w:bCs/>
                <w:color w:val="auto"/>
                <w:sz w:val="21"/>
                <w:szCs w:val="21"/>
              </w:rPr>
              <w:t>项目名称</w:t>
            </w:r>
          </w:p>
        </w:tc>
        <w:tc>
          <w:tcPr>
            <w:tcW w:w="7590" w:type="dxa"/>
            <w:gridSpan w:val="5"/>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default" w:ascii="黑体" w:hAnsi="黑体" w:eastAsia="黑体" w:cs="黑体"/>
                <w:bCs/>
                <w:color w:val="auto"/>
                <w:spacing w:val="-6"/>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jc w:val="center"/>
        </w:trPr>
        <w:tc>
          <w:tcPr>
            <w:tcW w:w="118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default" w:ascii="黑体" w:hAnsi="黑体" w:eastAsia="黑体" w:cs="黑体"/>
                <w:bCs/>
                <w:color w:val="auto"/>
                <w:spacing w:val="-6"/>
                <w:kern w:val="0"/>
                <w:sz w:val="21"/>
                <w:szCs w:val="21"/>
                <w:lang w:val="en-US" w:eastAsia="zh-CN"/>
              </w:rPr>
            </w:pPr>
            <w:r>
              <w:rPr>
                <w:rFonts w:hint="eastAsia" w:cs="新宋体-18030" w:asciiTheme="minorEastAsia" w:hAnsiTheme="minorEastAsia"/>
                <w:bCs/>
                <w:color w:val="auto"/>
                <w:sz w:val="21"/>
                <w:szCs w:val="21"/>
                <w:lang w:val="en-US" w:eastAsia="zh-CN"/>
              </w:rPr>
              <w:t>试验医疗器械名称</w:t>
            </w:r>
          </w:p>
        </w:tc>
        <w:tc>
          <w:tcPr>
            <w:tcW w:w="3455"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cs="新宋体-18030" w:asciiTheme="minorEastAsia" w:hAnsiTheme="minorEastAsia"/>
                <w:bCs/>
                <w:color w:val="auto"/>
                <w:sz w:val="21"/>
                <w:szCs w:val="21"/>
              </w:rPr>
              <w:t>科室</w:t>
            </w:r>
          </w:p>
        </w:tc>
        <w:tc>
          <w:tcPr>
            <w:tcW w:w="3253" w:type="dxa"/>
            <w:gridSpan w:val="3"/>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cs="新宋体-18030" w:asciiTheme="minorEastAsia" w:hAnsiTheme="minorEastAsia"/>
                <w:bCs/>
                <w:color w:val="auto"/>
                <w:sz w:val="21"/>
                <w:szCs w:val="21"/>
              </w:rPr>
              <w:t>PI</w:t>
            </w:r>
          </w:p>
        </w:tc>
        <w:tc>
          <w:tcPr>
            <w:tcW w:w="3455"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cs="新宋体-18030" w:asciiTheme="minorEastAsia" w:hAnsiTheme="minorEastAsia"/>
                <w:bCs/>
                <w:color w:val="auto"/>
                <w:sz w:val="21"/>
                <w:szCs w:val="21"/>
              </w:rPr>
              <w:t>申办者</w:t>
            </w:r>
          </w:p>
        </w:tc>
        <w:tc>
          <w:tcPr>
            <w:tcW w:w="3253" w:type="dxa"/>
            <w:gridSpan w:val="3"/>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ascii="黑体" w:hAnsi="黑体" w:eastAsia="黑体" w:cs="黑体"/>
                <w:bCs/>
                <w:color w:val="auto"/>
                <w:spacing w:val="-6"/>
                <w:kern w:val="0"/>
                <w:sz w:val="21"/>
                <w:szCs w:val="21"/>
                <w:lang w:eastAsia="zh-CN"/>
              </w:rPr>
              <w:t>序号</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val="en-US" w:eastAsia="zh-CN"/>
              </w:rPr>
            </w:pPr>
            <w:r>
              <w:rPr>
                <w:rFonts w:hint="eastAsia" w:ascii="黑体" w:hAnsi="黑体" w:eastAsia="黑体" w:cs="黑体"/>
                <w:bCs/>
                <w:color w:val="auto"/>
                <w:spacing w:val="-6"/>
                <w:kern w:val="0"/>
                <w:sz w:val="21"/>
                <w:szCs w:val="21"/>
              </w:rPr>
              <w:t>必备文件</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ascii="黑体" w:hAnsi="黑体" w:eastAsia="黑体" w:cs="黑体"/>
                <w:bCs/>
                <w:color w:val="auto"/>
                <w:spacing w:val="-6"/>
                <w:kern w:val="0"/>
                <w:sz w:val="21"/>
                <w:szCs w:val="21"/>
                <w:lang w:eastAsia="zh-CN"/>
              </w:rPr>
              <w:t>有</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ascii="黑体" w:hAnsi="黑体" w:eastAsia="黑体" w:cs="黑体"/>
                <w:bCs/>
                <w:color w:val="auto"/>
                <w:spacing w:val="-6"/>
                <w:kern w:val="0"/>
                <w:sz w:val="21"/>
                <w:szCs w:val="21"/>
                <w:lang w:eastAsia="zh-CN"/>
              </w:rPr>
              <w:t>无</w:t>
            </w: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ascii="黑体" w:hAnsi="黑体" w:eastAsia="黑体" w:cs="黑体"/>
                <w:bCs/>
                <w:color w:val="auto"/>
                <w:spacing w:val="-6"/>
                <w:kern w:val="0"/>
                <w:sz w:val="21"/>
                <w:szCs w:val="21"/>
                <w:lang w:eastAsia="zh-CN"/>
              </w:rPr>
              <w:t>不适用</w:t>
            </w: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r>
              <w:rPr>
                <w:rFonts w:hint="eastAsia" w:ascii="黑体" w:hAnsi="黑体" w:eastAsia="黑体" w:cs="黑体"/>
                <w:bCs/>
                <w:color w:val="auto"/>
                <w:spacing w:val="-6"/>
                <w:kern w:val="0"/>
                <w:sz w:val="21"/>
                <w:szCs w:val="21"/>
                <w:lang w:eastAsia="zh-CN"/>
              </w:rPr>
              <w:t>第几盒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宋体" w:asciiTheme="minorHAnsi" w:hAnsiTheme="minorHAnsi" w:cstheme="minorBidi"/>
                <w:color w:val="auto"/>
                <w:kern w:val="2"/>
                <w:sz w:val="21"/>
                <w:szCs w:val="21"/>
                <w:lang w:val="en-US" w:eastAsia="zh-CN" w:bidi="ar-SA"/>
              </w:rPr>
            </w:pPr>
            <w:r>
              <w:rPr>
                <w:rFonts w:hint="eastAsia"/>
                <w:b/>
                <w:bCs/>
                <w:color w:val="auto"/>
                <w:sz w:val="21"/>
                <w:szCs w:val="21"/>
                <w:lang w:val="en-US" w:eastAsia="zh-CN"/>
              </w:rPr>
              <w:t>1</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asciiTheme="minorHAnsi" w:hAnsiTheme="minorHAnsi" w:cstheme="minorBidi"/>
                <w:color w:val="auto"/>
                <w:kern w:val="2"/>
                <w:sz w:val="21"/>
                <w:szCs w:val="21"/>
                <w:lang w:val="en-US" w:eastAsia="zh-CN" w:bidi="ar-SA"/>
              </w:rPr>
            </w:pPr>
            <w:r>
              <w:rPr>
                <w:rFonts w:hint="eastAsia"/>
                <w:b/>
                <w:bCs/>
                <w:color w:val="auto"/>
                <w:sz w:val="21"/>
                <w:szCs w:val="21"/>
                <w:lang w:eastAsia="zh-CN"/>
              </w:rPr>
              <w:t>试验准备阶段</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黑体" w:hAnsi="黑体" w:eastAsia="黑体" w:cs="黑体"/>
                <w:bCs/>
                <w:color w:val="auto"/>
                <w:spacing w:val="-6"/>
                <w:kern w:val="0"/>
                <w:sz w:val="21"/>
                <w:szCs w:val="21"/>
                <w:lang w:val="en-US" w:eastAsia="zh-CN" w:bidi="ar-SA"/>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黑体" w:hAnsi="黑体" w:eastAsia="黑体" w:cs="黑体"/>
                <w:bCs/>
                <w:color w:val="auto"/>
                <w:spacing w:val="-6"/>
                <w:kern w:val="0"/>
                <w:sz w:val="21"/>
                <w:szCs w:val="21"/>
                <w:lang w:val="en-US" w:eastAsia="zh-CN" w:bidi="ar-SA"/>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黑体" w:hAnsi="黑体" w:eastAsia="黑体" w:cs="黑体"/>
                <w:bCs/>
                <w:color w:val="auto"/>
                <w:spacing w:val="-6"/>
                <w:kern w:val="0"/>
                <w:sz w:val="21"/>
                <w:szCs w:val="21"/>
                <w:lang w:val="en-US" w:eastAsia="zh-CN" w:bidi="ar-SA"/>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黑体" w:hAnsi="黑体" w:eastAsia="黑体" w:cs="黑体"/>
                <w:bCs/>
                <w:color w:val="auto"/>
                <w:spacing w:val="-6"/>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1.1</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rFonts w:hint="eastAsia"/>
                <w:sz w:val="21"/>
                <w:szCs w:val="21"/>
              </w:rPr>
              <w:t>临床试验申请表</w:t>
            </w:r>
            <w:r>
              <w:rPr>
                <w:rFonts w:hint="eastAsia" w:cs="新宋体-18030" w:asciiTheme="minorEastAsia" w:hAnsiTheme="minorEastAsia"/>
                <w:bCs/>
                <w:color w:val="auto"/>
              </w:rPr>
              <w:t>*</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1.2</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sz w:val="21"/>
                <w:szCs w:val="21"/>
              </w:rPr>
              <w:t>试验方案</w:t>
            </w:r>
            <w:r>
              <w:rPr>
                <w:rFonts w:hint="eastAsia"/>
                <w:sz w:val="21"/>
                <w:szCs w:val="21"/>
              </w:rPr>
              <w:t>以</w:t>
            </w:r>
            <w:r>
              <w:rPr>
                <w:sz w:val="21"/>
                <w:szCs w:val="21"/>
              </w:rPr>
              <w:t>及其修正案（已签</w:t>
            </w:r>
            <w:r>
              <w:rPr>
                <w:rFonts w:hint="eastAsia"/>
                <w:sz w:val="21"/>
                <w:szCs w:val="21"/>
              </w:rPr>
              <w:t>章</w:t>
            </w:r>
            <w:r>
              <w:rPr>
                <w:sz w:val="21"/>
                <w:szCs w:val="21"/>
              </w:rPr>
              <w:t>）</w:t>
            </w:r>
            <w:r>
              <w:rPr>
                <w:rFonts w:hint="eastAsia" w:cs="新宋体-18030" w:asciiTheme="minorEastAsia" w:hAnsiTheme="minorEastAsia"/>
                <w:bCs/>
                <w:color w:val="auto"/>
              </w:rPr>
              <w:t>*</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1.3</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sz w:val="21"/>
                <w:szCs w:val="21"/>
              </w:rPr>
              <w:t>研究者手册</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1.4</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textAlignment w:val="auto"/>
              <w:rPr>
                <w:rFonts w:hint="eastAsia" w:ascii="宋体" w:hAnsiTheme="minorHAnsi" w:eastAsiaTheme="minorEastAsia" w:cstheme="minorBidi"/>
                <w:color w:val="auto"/>
                <w:kern w:val="2"/>
                <w:sz w:val="21"/>
                <w:szCs w:val="21"/>
                <w:lang w:val="en-US" w:eastAsia="zh-CN" w:bidi="ar-SA"/>
              </w:rPr>
            </w:pPr>
            <w:r>
              <w:rPr>
                <w:sz w:val="21"/>
                <w:szCs w:val="21"/>
              </w:rPr>
              <w:t>知情同意书文本</w:t>
            </w:r>
            <w:r>
              <w:rPr>
                <w:rFonts w:hint="eastAsia"/>
                <w:sz w:val="21"/>
                <w:szCs w:val="21"/>
              </w:rPr>
              <w:t>以及其他任何提供给受试者的书面材料</w:t>
            </w:r>
            <w:r>
              <w:rPr>
                <w:rFonts w:hint="eastAsia" w:cs="新宋体-18030" w:asciiTheme="minorEastAsia" w:hAnsiTheme="minorEastAsia"/>
                <w:bCs/>
                <w:color w:val="auto"/>
              </w:rPr>
              <w:t>*</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1.5</w:t>
            </w:r>
          </w:p>
        </w:tc>
        <w:tc>
          <w:tcPr>
            <w:tcW w:w="34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textAlignment w:val="auto"/>
              <w:rPr>
                <w:rFonts w:hint="eastAsia" w:ascii="宋体" w:hAnsiTheme="minorHAnsi" w:eastAsiaTheme="minorEastAsia" w:cstheme="minorBidi"/>
                <w:color w:val="auto"/>
                <w:kern w:val="2"/>
                <w:sz w:val="21"/>
                <w:szCs w:val="21"/>
                <w:lang w:val="en-US" w:eastAsia="zh-CN" w:bidi="ar-SA"/>
              </w:rPr>
            </w:pPr>
            <w:r>
              <w:rPr>
                <w:rFonts w:hint="eastAsia"/>
                <w:sz w:val="21"/>
                <w:szCs w:val="21"/>
              </w:rPr>
              <w:t>招募受试者和向其宣传的程序性文件</w:t>
            </w:r>
            <w:r>
              <w:rPr>
                <w:sz w:val="21"/>
                <w:szCs w:val="21"/>
              </w:rPr>
              <w:t>（若有）</w:t>
            </w:r>
            <w:r>
              <w:rPr>
                <w:rFonts w:hint="eastAsia" w:cs="新宋体-18030" w:asciiTheme="minorEastAsia" w:hAnsiTheme="minorEastAsia"/>
                <w:bCs/>
                <w:color w:val="auto"/>
              </w:rPr>
              <w:t>*</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1.6</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sz w:val="21"/>
                <w:szCs w:val="21"/>
              </w:rPr>
              <w:t>病例报告表文本</w:t>
            </w:r>
            <w:r>
              <w:rPr>
                <w:rFonts w:hint="eastAsia" w:cs="新宋体-18030" w:asciiTheme="minorEastAsia" w:hAnsiTheme="minorEastAsia"/>
                <w:bCs/>
                <w:color w:val="auto"/>
              </w:rPr>
              <w:t>*</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1.7</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rFonts w:hint="eastAsia"/>
                <w:sz w:val="21"/>
                <w:szCs w:val="21"/>
              </w:rPr>
              <w:t>基于产品技术要求的产品检验报告</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1.8</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sz w:val="21"/>
                <w:szCs w:val="21"/>
              </w:rPr>
            </w:pPr>
            <w:r>
              <w:rPr>
                <w:rFonts w:hint="eastAsia"/>
                <w:sz w:val="21"/>
                <w:szCs w:val="21"/>
              </w:rPr>
              <w:t>临床前研究相关资料</w:t>
            </w:r>
          </w:p>
          <w:p>
            <w:pPr>
              <w:rPr>
                <w:rFonts w:hint="eastAsia" w:ascii="宋体" w:hAnsiTheme="minorHAnsi" w:eastAsiaTheme="minorEastAsia" w:cstheme="minorBidi"/>
                <w:color w:val="auto"/>
                <w:kern w:val="2"/>
                <w:sz w:val="21"/>
                <w:szCs w:val="21"/>
                <w:lang w:val="en-US" w:eastAsia="zh-CN" w:bidi="ar-SA"/>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1.9</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eastAsia" w:ascii="宋体" w:hAnsi="宋体" w:eastAsia="宋体" w:cs="宋体"/>
                <w:color w:val="auto"/>
                <w:kern w:val="0"/>
                <w:sz w:val="21"/>
                <w:szCs w:val="21"/>
                <w:lang w:val="en-US" w:eastAsia="zh-CN" w:bidi="ar-SA"/>
              </w:rPr>
            </w:pPr>
            <w:r>
              <w:rPr>
                <w:rFonts w:hint="eastAsia"/>
                <w:sz w:val="21"/>
                <w:szCs w:val="21"/>
              </w:rPr>
              <w:t>研究者简历以及资格证明文件</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1.10</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rFonts w:hint="eastAsia"/>
                <w:sz w:val="21"/>
                <w:szCs w:val="21"/>
              </w:rPr>
              <w:t>试验医疗器械的研制符合适用的医疗器械质量管理体系相关要求的声明</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1.11</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sz w:val="21"/>
                <w:szCs w:val="21"/>
              </w:rPr>
              <w:t>受试者保险的相关文件（若有）</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1.12</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sz w:val="21"/>
                <w:szCs w:val="21"/>
              </w:rPr>
              <w:t>伦理委员会审查意见</w:t>
            </w:r>
            <w:r>
              <w:rPr>
                <w:rFonts w:hint="eastAsia" w:cs="新宋体-18030" w:asciiTheme="minorEastAsia" w:hAnsiTheme="minorEastAsia"/>
                <w:bCs/>
                <w:color w:val="auto"/>
              </w:rPr>
              <w:t>*</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1.13</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sz w:val="21"/>
                <w:szCs w:val="21"/>
              </w:rPr>
              <w:t>伦理委员会成员表</w:t>
            </w:r>
            <w:r>
              <w:rPr>
                <w:rFonts w:hint="eastAsia"/>
                <w:sz w:val="21"/>
                <w:szCs w:val="21"/>
              </w:rPr>
              <w:t>（若有）</w:t>
            </w:r>
            <w:r>
              <w:rPr>
                <w:rFonts w:hint="eastAsia" w:cs="新宋体-18030" w:asciiTheme="minorEastAsia" w:hAnsiTheme="minorEastAsia"/>
                <w:bCs/>
                <w:color w:val="auto"/>
              </w:rPr>
              <w:t>*</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1.14</w:t>
            </w:r>
          </w:p>
        </w:tc>
        <w:tc>
          <w:tcPr>
            <w:tcW w:w="3455"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50" w:beforeAutospacing="0" w:after="50" w:afterAutospacing="0" w:line="300" w:lineRule="exact"/>
              <w:jc w:val="both"/>
              <w:rPr>
                <w:rFonts w:hint="eastAsia" w:ascii="宋体"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 w:val="21"/>
                <w:szCs w:val="21"/>
              </w:rPr>
              <w:t>临床试验合同（已签</w:t>
            </w:r>
            <w:r>
              <w:rPr>
                <w:rFonts w:hint="eastAsia" w:ascii="Times New Roman" w:hAnsi="Times New Roman" w:eastAsia="宋体" w:cs="Times New Roman"/>
                <w:color w:val="auto"/>
                <w:sz w:val="21"/>
                <w:szCs w:val="21"/>
              </w:rPr>
              <w:t>章</w:t>
            </w:r>
            <w:r>
              <w:rPr>
                <w:rFonts w:ascii="Times New Roman" w:hAnsi="Times New Roman" w:eastAsia="宋体" w:cs="Times New Roman"/>
                <w:color w:val="auto"/>
                <w:sz w:val="21"/>
                <w:szCs w:val="21"/>
              </w:rPr>
              <w:t>）</w:t>
            </w:r>
            <w:r>
              <w:rPr>
                <w:rFonts w:hint="eastAsia" w:cs="新宋体-18030" w:asciiTheme="minorEastAsia" w:hAnsiTheme="minorEastAsia"/>
                <w:bCs/>
                <w:color w:val="auto"/>
              </w:rPr>
              <w:t>*</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1.15</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rFonts w:hint="eastAsia"/>
                <w:sz w:val="21"/>
                <w:szCs w:val="21"/>
              </w:rPr>
              <w:t>医疗器械临床试验批件</w:t>
            </w:r>
            <w:r>
              <w:rPr>
                <w:sz w:val="21"/>
                <w:szCs w:val="21"/>
              </w:rPr>
              <w:t>（若有）</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1.16</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sz w:val="21"/>
                <w:szCs w:val="21"/>
              </w:rPr>
              <w:t>药品监督管理部门临床试验备案文件</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1.17</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rFonts w:hint="eastAsia"/>
                <w:sz w:val="21"/>
                <w:szCs w:val="21"/>
              </w:rPr>
              <w:t>启动会相关</w:t>
            </w:r>
            <w:r>
              <w:rPr>
                <w:sz w:val="21"/>
                <w:szCs w:val="21"/>
              </w:rPr>
              <w:t>培训记录</w:t>
            </w:r>
            <w:r>
              <w:rPr>
                <w:rFonts w:hint="eastAsia" w:cs="新宋体-18030" w:asciiTheme="minorEastAsia" w:hAnsiTheme="minorEastAsia"/>
                <w:bCs/>
                <w:color w:val="auto"/>
              </w:rPr>
              <w:t>*</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1.18</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jc w:val="left"/>
              <w:rPr>
                <w:rFonts w:hint="eastAsia" w:ascii="宋体" w:hAnsiTheme="minorHAnsi" w:eastAsiaTheme="minorEastAsia" w:cstheme="minorBidi"/>
                <w:color w:val="auto"/>
                <w:kern w:val="2"/>
                <w:sz w:val="21"/>
                <w:szCs w:val="21"/>
                <w:lang w:val="en-US" w:eastAsia="zh-CN" w:bidi="ar-SA"/>
              </w:rPr>
            </w:pPr>
            <w:r>
              <w:rPr>
                <w:sz w:val="21"/>
                <w:szCs w:val="21"/>
              </w:rPr>
              <w:t>研究者签名样张</w:t>
            </w:r>
            <w:r>
              <w:rPr>
                <w:rFonts w:hint="eastAsia"/>
                <w:sz w:val="21"/>
                <w:szCs w:val="21"/>
              </w:rPr>
              <w:t>以</w:t>
            </w:r>
            <w:r>
              <w:rPr>
                <w:sz w:val="21"/>
                <w:szCs w:val="21"/>
              </w:rPr>
              <w:t>及研究者授权表</w:t>
            </w:r>
            <w:r>
              <w:rPr>
                <w:rFonts w:hint="eastAsia" w:cs="新宋体-18030" w:asciiTheme="minorEastAsia" w:hAnsiTheme="minorEastAsia"/>
                <w:bCs/>
                <w:color w:val="auto"/>
              </w:rPr>
              <w:t>*</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1.19</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sz w:val="21"/>
                <w:szCs w:val="21"/>
              </w:rPr>
              <w:t>临床试验有关的实验室检测正常值范围</w:t>
            </w:r>
            <w:r>
              <w:rPr>
                <w:rFonts w:hint="eastAsia"/>
                <w:sz w:val="21"/>
                <w:szCs w:val="21"/>
              </w:rPr>
              <w:t>（若有）</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1.20</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default" w:ascii="宋体" w:hAnsiTheme="minorHAnsi" w:eastAsiaTheme="minorEastAsia" w:cstheme="minorBidi"/>
                <w:color w:val="auto"/>
                <w:kern w:val="2"/>
                <w:sz w:val="21"/>
                <w:szCs w:val="21"/>
                <w:lang w:val="en-US" w:eastAsia="zh-CN" w:bidi="ar-SA"/>
              </w:rPr>
            </w:pPr>
            <w:r>
              <w:rPr>
                <w:sz w:val="21"/>
                <w:szCs w:val="21"/>
              </w:rPr>
              <w:t>医学或</w:t>
            </w:r>
            <w:r>
              <w:rPr>
                <w:rFonts w:hint="eastAsia"/>
                <w:sz w:val="21"/>
                <w:szCs w:val="21"/>
              </w:rPr>
              <w:t>者</w:t>
            </w:r>
            <w:r>
              <w:rPr>
                <w:sz w:val="21"/>
                <w:szCs w:val="21"/>
              </w:rPr>
              <w:t>实验室</w:t>
            </w:r>
            <w:r>
              <w:rPr>
                <w:rFonts w:hint="eastAsia"/>
                <w:sz w:val="21"/>
                <w:szCs w:val="21"/>
              </w:rPr>
              <w:t>室间质控</w:t>
            </w:r>
            <w:r>
              <w:rPr>
                <w:sz w:val="21"/>
                <w:szCs w:val="21"/>
              </w:rPr>
              <w:t>证明（若有）</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1.21</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sz w:val="21"/>
                <w:szCs w:val="21"/>
              </w:rPr>
              <w:t>试验医疗器械标签</w:t>
            </w:r>
            <w:r>
              <w:rPr>
                <w:rFonts w:hint="eastAsia"/>
                <w:sz w:val="21"/>
                <w:szCs w:val="21"/>
              </w:rPr>
              <w:t>文本</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11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1.22</w:t>
            </w:r>
          </w:p>
        </w:tc>
        <w:tc>
          <w:tcPr>
            <w:tcW w:w="3455" w:type="dxa"/>
            <w:tcBorders>
              <w:top w:val="single" w:color="auto" w:sz="4" w:space="0"/>
              <w:left w:val="single" w:color="auto" w:sz="4" w:space="0"/>
              <w:bottom w:val="single" w:color="auto" w:sz="4" w:space="0"/>
              <w:right w:val="single" w:color="auto" w:sz="4" w:space="0"/>
            </w:tcBorders>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sz w:val="21"/>
                <w:szCs w:val="21"/>
              </w:rPr>
              <w:t>试验医疗器械与试验相关物资的交接单</w:t>
            </w:r>
            <w:r>
              <w:rPr>
                <w:rFonts w:hint="eastAsia" w:cs="新宋体-18030" w:asciiTheme="minorEastAsia" w:hAnsiTheme="minorEastAsia"/>
                <w:bCs/>
                <w:color w:val="auto"/>
              </w:rPr>
              <w:t>*</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1.23</w:t>
            </w:r>
          </w:p>
        </w:tc>
        <w:tc>
          <w:tcPr>
            <w:tcW w:w="3455" w:type="dxa"/>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sz w:val="21"/>
                <w:szCs w:val="21"/>
              </w:rPr>
              <w:t>设盲试验的破盲程序（若有）</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1.24</w:t>
            </w:r>
          </w:p>
        </w:tc>
        <w:tc>
          <w:tcPr>
            <w:tcW w:w="3455" w:type="dxa"/>
            <w:vAlign w:val="center"/>
          </w:tcPr>
          <w:p>
            <w:pPr>
              <w:spacing w:before="50" w:after="50" w:line="300" w:lineRule="exact"/>
              <w:rPr>
                <w:rFonts w:hint="eastAsia" w:ascii="宋体" w:hAnsiTheme="minorHAnsi" w:eastAsiaTheme="minorEastAsia" w:cstheme="minorBidi"/>
                <w:color w:val="auto"/>
                <w:kern w:val="2"/>
                <w:sz w:val="21"/>
                <w:szCs w:val="21"/>
                <w:highlight w:val="yellow"/>
                <w:lang w:val="en-US" w:eastAsia="zh-CN" w:bidi="ar-SA"/>
              </w:rPr>
            </w:pPr>
            <w:r>
              <w:rPr>
                <w:sz w:val="21"/>
                <w:szCs w:val="21"/>
              </w:rPr>
              <w:t>总随机表（若有）</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黑体" w:hAnsi="黑体" w:eastAsia="黑体" w:cs="黑体"/>
                <w:bCs/>
                <w:color w:val="auto"/>
                <w:spacing w:val="-6"/>
                <w:kern w:val="0"/>
                <w:sz w:val="21"/>
                <w:szCs w:val="21"/>
                <w:lang w:val="en-US" w:eastAsia="zh-CN"/>
              </w:rPr>
            </w:pPr>
            <w:r>
              <w:rPr>
                <w:rFonts w:hint="eastAsia" w:eastAsia="仿宋_GB2312" w:asciiTheme="minorHAnsi" w:hAnsiTheme="minorHAnsi" w:cstheme="minorBidi"/>
                <w:color w:val="auto"/>
                <w:spacing w:val="-6"/>
                <w:kern w:val="2"/>
                <w:sz w:val="21"/>
                <w:szCs w:val="21"/>
                <w:lang w:val="en-US" w:eastAsia="zh-CN" w:bidi="ar-SA"/>
              </w:rPr>
              <w:t>1.25</w:t>
            </w:r>
          </w:p>
        </w:tc>
        <w:tc>
          <w:tcPr>
            <w:tcW w:w="3455" w:type="dxa"/>
            <w:vAlign w:val="center"/>
          </w:tcPr>
          <w:p>
            <w:pPr>
              <w:spacing w:before="50" w:after="50" w:line="300" w:lineRule="exact"/>
              <w:rPr>
                <w:rFonts w:hint="eastAsia" w:ascii="宋体" w:hAnsiTheme="minorHAnsi" w:eastAsiaTheme="minorEastAsia" w:cstheme="minorBidi"/>
                <w:color w:val="auto"/>
                <w:kern w:val="2"/>
                <w:sz w:val="21"/>
                <w:szCs w:val="21"/>
                <w:lang w:val="en-US" w:eastAsia="zh-CN" w:bidi="ar-SA"/>
              </w:rPr>
            </w:pPr>
            <w:r>
              <w:rPr>
                <w:sz w:val="21"/>
                <w:szCs w:val="21"/>
              </w:rPr>
              <w:t>监查计划</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asciiTheme="minorHAnsi" w:hAnsiTheme="minorHAnsi" w:cstheme="minorBidi"/>
                <w:color w:val="auto"/>
                <w:spacing w:val="-6"/>
                <w:kern w:val="2"/>
                <w:sz w:val="21"/>
                <w:szCs w:val="21"/>
                <w:lang w:val="en-US" w:eastAsia="zh-CN" w:bidi="ar-SA"/>
              </w:rPr>
            </w:pPr>
            <w:r>
              <w:rPr>
                <w:rFonts w:hint="eastAsia" w:eastAsia="仿宋_GB2312" w:cstheme="minorBidi"/>
                <w:color w:val="auto"/>
                <w:spacing w:val="-6"/>
                <w:kern w:val="2"/>
                <w:sz w:val="21"/>
                <w:szCs w:val="21"/>
                <w:lang w:val="en-US" w:eastAsia="zh-CN" w:bidi="ar-SA"/>
              </w:rPr>
              <w:t>1.26</w:t>
            </w:r>
          </w:p>
        </w:tc>
        <w:tc>
          <w:tcPr>
            <w:tcW w:w="3455" w:type="dxa"/>
            <w:vAlign w:val="center"/>
          </w:tcPr>
          <w:p>
            <w:pPr>
              <w:spacing w:before="50" w:after="50" w:line="300" w:lineRule="exact"/>
              <w:rPr>
                <w:rFonts w:hint="eastAsia" w:ascii="宋体"/>
                <w:color w:val="auto"/>
                <w:sz w:val="21"/>
                <w:szCs w:val="21"/>
              </w:rPr>
            </w:pPr>
            <w:r>
              <w:rPr>
                <w:sz w:val="21"/>
                <w:szCs w:val="21"/>
              </w:rPr>
              <w:t>试验启动监查报告</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asciiTheme="minorHAnsi" w:hAnsiTheme="minorHAnsi" w:cstheme="minorBidi"/>
                <w:color w:val="auto"/>
                <w:spacing w:val="-6"/>
                <w:kern w:val="2"/>
                <w:sz w:val="21"/>
                <w:szCs w:val="21"/>
                <w:lang w:val="en-US" w:eastAsia="zh-CN" w:bidi="ar-SA"/>
              </w:rPr>
            </w:pPr>
            <w:r>
              <w:rPr>
                <w:rFonts w:hint="eastAsia" w:eastAsia="仿宋_GB2312" w:cstheme="minorBidi"/>
                <w:color w:val="auto"/>
                <w:spacing w:val="-6"/>
                <w:kern w:val="2"/>
                <w:sz w:val="21"/>
                <w:szCs w:val="21"/>
                <w:lang w:val="en-US" w:eastAsia="zh-CN" w:bidi="ar-SA"/>
              </w:rPr>
              <w:t>1.27</w:t>
            </w:r>
          </w:p>
        </w:tc>
        <w:tc>
          <w:tcPr>
            <w:tcW w:w="3455" w:type="dxa"/>
            <w:vAlign w:val="center"/>
          </w:tcPr>
          <w:p>
            <w:pPr>
              <w:keepNext w:val="0"/>
              <w:keepLines w:val="0"/>
              <w:pageBreakBefore w:val="0"/>
              <w:widowControl w:val="0"/>
              <w:kinsoku/>
              <w:wordWrap/>
              <w:overflowPunct/>
              <w:topLinePunct w:val="0"/>
              <w:bidi w:val="0"/>
              <w:spacing w:line="240" w:lineRule="auto"/>
              <w:jc w:val="left"/>
              <w:textAlignment w:val="auto"/>
              <w:rPr>
                <w:rFonts w:hint="eastAsia" w:ascii="宋体"/>
                <w:color w:val="auto"/>
                <w:sz w:val="21"/>
                <w:szCs w:val="21"/>
                <w:lang w:val="en-US" w:eastAsia="zh-CN"/>
              </w:rPr>
            </w:pPr>
            <w:r>
              <w:rPr>
                <w:rFonts w:hint="eastAsia" w:ascii="宋体"/>
                <w:color w:val="auto"/>
                <w:sz w:val="21"/>
                <w:szCs w:val="21"/>
                <w:lang w:val="en-US" w:eastAsia="zh-CN"/>
              </w:rPr>
              <w:t>立项审查评估审批文件</w:t>
            </w:r>
          </w:p>
          <w:p>
            <w:pPr>
              <w:keepNext w:val="0"/>
              <w:keepLines w:val="0"/>
              <w:pageBreakBefore w:val="0"/>
              <w:widowControl w:val="0"/>
              <w:kinsoku/>
              <w:wordWrap/>
              <w:overflowPunct/>
              <w:topLinePunct w:val="0"/>
              <w:bidi w:val="0"/>
              <w:spacing w:line="240" w:lineRule="auto"/>
              <w:jc w:val="left"/>
              <w:textAlignment w:val="auto"/>
              <w:rPr>
                <w:rFonts w:hint="default" w:ascii="宋体"/>
                <w:color w:val="auto"/>
                <w:sz w:val="21"/>
                <w:szCs w:val="21"/>
                <w:lang w:val="en-US" w:eastAsia="zh-CN"/>
              </w:rPr>
            </w:pPr>
            <w:r>
              <w:rPr>
                <w:rFonts w:hint="eastAsia" w:ascii="宋体"/>
                <w:color w:val="auto"/>
                <w:sz w:val="21"/>
                <w:szCs w:val="21"/>
              </w:rPr>
              <w:t>—</w:t>
            </w:r>
            <w:r>
              <w:rPr>
                <w:rFonts w:hint="eastAsia" w:ascii="宋体"/>
                <w:color w:val="auto"/>
                <w:sz w:val="21"/>
                <w:szCs w:val="21"/>
                <w:lang w:val="en-US" w:eastAsia="zh-CN"/>
              </w:rPr>
              <w:t>医疗器械临床试验申请表</w:t>
            </w:r>
          </w:p>
          <w:p>
            <w:pPr>
              <w:keepNext w:val="0"/>
              <w:keepLines w:val="0"/>
              <w:pageBreakBefore w:val="0"/>
              <w:widowControl w:val="0"/>
              <w:kinsoku/>
              <w:wordWrap/>
              <w:overflowPunct/>
              <w:topLinePunct w:val="0"/>
              <w:bidi w:val="0"/>
              <w:spacing w:line="240" w:lineRule="auto"/>
              <w:jc w:val="left"/>
              <w:textAlignment w:val="auto"/>
              <w:rPr>
                <w:rFonts w:hint="default" w:ascii="宋体"/>
                <w:color w:val="auto"/>
                <w:sz w:val="21"/>
                <w:szCs w:val="21"/>
                <w:lang w:val="en-US"/>
              </w:rPr>
            </w:pPr>
            <w:r>
              <w:rPr>
                <w:rFonts w:hint="eastAsia" w:ascii="宋体"/>
                <w:color w:val="auto"/>
                <w:sz w:val="21"/>
                <w:szCs w:val="21"/>
              </w:rPr>
              <w:t>—</w:t>
            </w:r>
            <w:r>
              <w:rPr>
                <w:rFonts w:hint="eastAsia" w:ascii="宋体"/>
                <w:color w:val="auto"/>
                <w:sz w:val="21"/>
                <w:szCs w:val="21"/>
                <w:lang w:val="en-US" w:eastAsia="zh-CN"/>
              </w:rPr>
              <w:t>临床试验立项评估表</w:t>
            </w:r>
          </w:p>
          <w:p>
            <w:pPr>
              <w:keepNext w:val="0"/>
              <w:keepLines w:val="0"/>
              <w:pageBreakBefore w:val="0"/>
              <w:widowControl w:val="0"/>
              <w:kinsoku/>
              <w:wordWrap/>
              <w:overflowPunct/>
              <w:topLinePunct w:val="0"/>
              <w:bidi w:val="0"/>
              <w:spacing w:line="240" w:lineRule="auto"/>
              <w:jc w:val="left"/>
              <w:textAlignment w:val="auto"/>
              <w:rPr>
                <w:rFonts w:hint="eastAsia" w:ascii="宋体"/>
                <w:color w:val="auto"/>
                <w:sz w:val="21"/>
                <w:szCs w:val="21"/>
              </w:rPr>
            </w:pPr>
            <w:r>
              <w:rPr>
                <w:rFonts w:hint="eastAsia" w:ascii="宋体"/>
                <w:color w:val="auto"/>
                <w:sz w:val="21"/>
                <w:szCs w:val="21"/>
              </w:rPr>
              <w:t>—</w:t>
            </w:r>
            <w:r>
              <w:rPr>
                <w:rFonts w:hint="eastAsia" w:ascii="宋体"/>
                <w:color w:val="auto"/>
                <w:sz w:val="21"/>
                <w:szCs w:val="21"/>
                <w:lang w:val="en-US" w:eastAsia="zh-CN"/>
              </w:rPr>
              <w:t>医疗器械临床试验审批表</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黑体" w:hAnsi="黑体" w:eastAsia="黑体" w:cs="黑体"/>
                <w:b/>
                <w:bCs w:val="0"/>
                <w:color w:val="auto"/>
                <w:spacing w:val="-6"/>
                <w:kern w:val="0"/>
                <w:sz w:val="21"/>
                <w:szCs w:val="21"/>
                <w:lang w:val="en-US" w:eastAsia="zh-CN"/>
              </w:rPr>
            </w:pPr>
            <w:r>
              <w:rPr>
                <w:rFonts w:hint="eastAsia" w:ascii="黑体" w:hAnsi="黑体" w:eastAsia="黑体" w:cs="黑体"/>
                <w:b/>
                <w:bCs w:val="0"/>
                <w:color w:val="auto"/>
                <w:spacing w:val="-6"/>
                <w:kern w:val="0"/>
                <w:sz w:val="21"/>
                <w:szCs w:val="21"/>
                <w:lang w:val="en-US" w:eastAsia="zh-CN"/>
              </w:rPr>
              <w:t>2</w:t>
            </w:r>
          </w:p>
        </w:tc>
        <w:tc>
          <w:tcPr>
            <w:tcW w:w="3455" w:type="dxa"/>
            <w:vAlign w:val="center"/>
          </w:tcPr>
          <w:p>
            <w:pPr>
              <w:pStyle w:val="9"/>
              <w:keepNext w:val="0"/>
              <w:keepLines w:val="0"/>
              <w:pageBreakBefore w:val="0"/>
              <w:widowControl w:val="0"/>
              <w:kinsoku/>
              <w:wordWrap/>
              <w:overflowPunct/>
              <w:topLinePunct w:val="0"/>
              <w:bidi w:val="0"/>
              <w:spacing w:after="0" w:line="240" w:lineRule="auto"/>
              <w:jc w:val="both"/>
              <w:textAlignment w:val="auto"/>
              <w:rPr>
                <w:rFonts w:hint="eastAsia" w:ascii="宋体"/>
                <w:b/>
                <w:bCs w:val="0"/>
                <w:color w:val="auto"/>
                <w:sz w:val="21"/>
                <w:szCs w:val="21"/>
              </w:rPr>
            </w:pPr>
            <w:r>
              <w:rPr>
                <w:rFonts w:hint="eastAsia" w:ascii="宋体" w:eastAsia="宋体"/>
                <w:b/>
                <w:bCs w:val="0"/>
                <w:color w:val="auto"/>
                <w:sz w:val="21"/>
                <w:szCs w:val="21"/>
              </w:rPr>
              <w:t>临床试验进行阶段</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2.1</w:t>
            </w:r>
          </w:p>
        </w:tc>
        <w:tc>
          <w:tcPr>
            <w:tcW w:w="3455" w:type="dxa"/>
            <w:vAlign w:val="center"/>
          </w:tcPr>
          <w:p>
            <w:pPr>
              <w:spacing w:before="50" w:after="50" w:line="280" w:lineRule="exact"/>
              <w:jc w:val="left"/>
              <w:rPr>
                <w:rFonts w:hint="eastAsia" w:ascii="宋体" w:hAnsiTheme="minorHAnsi" w:eastAsiaTheme="minorEastAsia" w:cstheme="minorBidi"/>
                <w:color w:val="auto"/>
                <w:kern w:val="2"/>
                <w:sz w:val="21"/>
                <w:szCs w:val="21"/>
                <w:lang w:val="en-US" w:eastAsia="zh-CN" w:bidi="ar-SA"/>
              </w:rPr>
            </w:pPr>
            <w:r>
              <w:rPr>
                <w:sz w:val="21"/>
                <w:szCs w:val="21"/>
              </w:rPr>
              <w:t>研究者手册更新件（若有）</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2.2</w:t>
            </w:r>
          </w:p>
        </w:tc>
        <w:tc>
          <w:tcPr>
            <w:tcW w:w="3455" w:type="dxa"/>
            <w:vAlign w:val="center"/>
          </w:tcPr>
          <w:p>
            <w:pPr>
              <w:spacing w:before="50" w:after="50" w:line="280" w:lineRule="exact"/>
              <w:jc w:val="left"/>
              <w:rPr>
                <w:rFonts w:hint="eastAsia" w:ascii="宋体" w:hAnsiTheme="minorHAnsi" w:eastAsiaTheme="minorEastAsia" w:cstheme="minorBidi"/>
                <w:color w:val="auto"/>
                <w:kern w:val="2"/>
                <w:sz w:val="21"/>
                <w:szCs w:val="21"/>
                <w:lang w:val="en-US" w:eastAsia="zh-CN" w:bidi="ar-SA"/>
              </w:rPr>
            </w:pPr>
            <w:r>
              <w:rPr>
                <w:rFonts w:hint="eastAsia"/>
                <w:sz w:val="21"/>
                <w:szCs w:val="21"/>
              </w:rPr>
              <w:t>临床试验方案</w:t>
            </w:r>
            <w:r>
              <w:rPr>
                <w:sz w:val="21"/>
                <w:szCs w:val="21"/>
              </w:rPr>
              <w:t>更新</w:t>
            </w:r>
            <w:r>
              <w:rPr>
                <w:rFonts w:hint="eastAsia"/>
                <w:sz w:val="21"/>
                <w:szCs w:val="21"/>
              </w:rPr>
              <w:t>件</w:t>
            </w:r>
            <w:r>
              <w:rPr>
                <w:sz w:val="21"/>
                <w:szCs w:val="21"/>
              </w:rPr>
              <w:t>（若有）</w:t>
            </w:r>
            <w:r>
              <w:rPr>
                <w:rFonts w:hint="eastAsia" w:cs="新宋体-18030" w:asciiTheme="minorEastAsia" w:hAnsiTheme="minorEastAsia"/>
                <w:bCs/>
                <w:color w:val="auto"/>
              </w:rPr>
              <w:t>*</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2.3</w:t>
            </w:r>
          </w:p>
        </w:tc>
        <w:tc>
          <w:tcPr>
            <w:tcW w:w="3455" w:type="dxa"/>
            <w:vAlign w:val="center"/>
          </w:tcPr>
          <w:p>
            <w:pPr>
              <w:spacing w:before="50" w:after="50" w:line="280" w:lineRule="exact"/>
              <w:jc w:val="left"/>
              <w:rPr>
                <w:rFonts w:hint="eastAsia" w:ascii="宋体" w:hAnsiTheme="minorHAnsi" w:eastAsiaTheme="minorEastAsia" w:cstheme="minorBidi"/>
                <w:color w:val="auto"/>
                <w:kern w:val="2"/>
                <w:sz w:val="21"/>
                <w:szCs w:val="21"/>
                <w:lang w:val="en-US" w:eastAsia="zh-CN" w:bidi="ar-SA"/>
              </w:rPr>
            </w:pPr>
            <w:r>
              <w:rPr>
                <w:sz w:val="21"/>
                <w:szCs w:val="21"/>
              </w:rPr>
              <w:t>其他文件（病例报告表、知情同意书、书面情况通知）的更新（若有）</w:t>
            </w:r>
            <w:r>
              <w:rPr>
                <w:rFonts w:hint="eastAsia" w:cs="新宋体-18030" w:asciiTheme="minorEastAsia" w:hAnsiTheme="minorEastAsia"/>
                <w:bCs/>
                <w:color w:val="auto"/>
              </w:rPr>
              <w:t>*</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2.4</w:t>
            </w:r>
          </w:p>
        </w:tc>
        <w:tc>
          <w:tcPr>
            <w:tcW w:w="3455" w:type="dxa"/>
            <w:vAlign w:val="center"/>
          </w:tcPr>
          <w:p>
            <w:pPr>
              <w:spacing w:before="50" w:after="50" w:line="280" w:lineRule="exact"/>
              <w:rPr>
                <w:rFonts w:hint="eastAsia" w:ascii="宋体" w:hAnsiTheme="minorHAnsi" w:eastAsiaTheme="minorEastAsia" w:cstheme="minorBidi"/>
                <w:color w:val="auto"/>
                <w:kern w:val="2"/>
                <w:sz w:val="21"/>
                <w:szCs w:val="21"/>
                <w:lang w:val="en-US" w:eastAsia="zh-CN" w:bidi="ar-SA"/>
              </w:rPr>
            </w:pPr>
            <w:r>
              <w:rPr>
                <w:sz w:val="21"/>
                <w:szCs w:val="21"/>
              </w:rPr>
              <w:t>试验医疗器械</w:t>
            </w:r>
            <w:r>
              <w:rPr>
                <w:rFonts w:hint="eastAsia"/>
                <w:sz w:val="21"/>
                <w:szCs w:val="21"/>
              </w:rPr>
              <w:t>产品检验</w:t>
            </w:r>
            <w:r>
              <w:rPr>
                <w:sz w:val="21"/>
                <w:szCs w:val="21"/>
              </w:rPr>
              <w:t>报告的更新（若有）</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2.5</w:t>
            </w:r>
          </w:p>
        </w:tc>
        <w:tc>
          <w:tcPr>
            <w:tcW w:w="3455" w:type="dxa"/>
            <w:vAlign w:val="center"/>
          </w:tcPr>
          <w:p>
            <w:pPr>
              <w:spacing w:before="50" w:after="50" w:line="280" w:lineRule="exact"/>
              <w:jc w:val="left"/>
              <w:rPr>
                <w:rFonts w:hint="eastAsia" w:ascii="宋体" w:hAnsiTheme="minorHAnsi" w:eastAsiaTheme="minorEastAsia" w:cstheme="minorBidi"/>
                <w:color w:val="auto"/>
                <w:kern w:val="2"/>
                <w:sz w:val="21"/>
                <w:szCs w:val="21"/>
                <w:lang w:val="en-US" w:eastAsia="zh-CN" w:bidi="ar-SA"/>
              </w:rPr>
            </w:pPr>
            <w:r>
              <w:rPr>
                <w:rFonts w:hint="eastAsia"/>
                <w:sz w:val="21"/>
                <w:szCs w:val="21"/>
              </w:rPr>
              <w:t>伦理委员会对更新文件的书面审查意见</w:t>
            </w:r>
            <w:r>
              <w:rPr>
                <w:sz w:val="21"/>
                <w:szCs w:val="21"/>
              </w:rPr>
              <w:t>（若有）</w:t>
            </w:r>
            <w:r>
              <w:rPr>
                <w:rFonts w:hint="eastAsia" w:cs="新宋体-18030" w:asciiTheme="minorEastAsia" w:hAnsiTheme="minorEastAsia"/>
                <w:bCs/>
                <w:color w:val="auto"/>
              </w:rPr>
              <w:t>*</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2.6</w:t>
            </w:r>
          </w:p>
        </w:tc>
        <w:tc>
          <w:tcPr>
            <w:tcW w:w="3455" w:type="dxa"/>
            <w:vAlign w:val="center"/>
          </w:tcPr>
          <w:p>
            <w:pPr>
              <w:spacing w:before="50" w:after="50" w:line="280" w:lineRule="exact"/>
              <w:rPr>
                <w:rFonts w:hint="eastAsia" w:ascii="宋体" w:hAnsiTheme="minorHAnsi" w:eastAsiaTheme="minorEastAsia" w:cstheme="minorBidi"/>
                <w:color w:val="auto"/>
                <w:kern w:val="2"/>
                <w:sz w:val="21"/>
                <w:szCs w:val="21"/>
                <w:lang w:val="en-US" w:eastAsia="zh-CN" w:bidi="ar-SA"/>
              </w:rPr>
            </w:pPr>
            <w:r>
              <w:rPr>
                <w:rFonts w:hint="eastAsia"/>
                <w:sz w:val="21"/>
                <w:szCs w:val="21"/>
              </w:rPr>
              <w:t>研究者简历以及资格证明文件的更新</w:t>
            </w:r>
            <w:r>
              <w:rPr>
                <w:sz w:val="21"/>
                <w:szCs w:val="21"/>
              </w:rPr>
              <w:t>（若有）</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2.7</w:t>
            </w:r>
          </w:p>
        </w:tc>
        <w:tc>
          <w:tcPr>
            <w:tcW w:w="3455" w:type="dxa"/>
            <w:vAlign w:val="center"/>
          </w:tcPr>
          <w:p>
            <w:pPr>
              <w:spacing w:before="50" w:after="50" w:line="280" w:lineRule="exact"/>
              <w:rPr>
                <w:rFonts w:hint="eastAsia" w:ascii="宋体" w:hAnsiTheme="minorHAnsi" w:eastAsiaTheme="minorEastAsia" w:cstheme="minorBidi"/>
                <w:color w:val="auto"/>
                <w:kern w:val="2"/>
                <w:sz w:val="21"/>
                <w:szCs w:val="21"/>
                <w:lang w:val="en-US" w:eastAsia="zh-CN" w:bidi="ar-SA"/>
              </w:rPr>
            </w:pPr>
            <w:r>
              <w:rPr>
                <w:sz w:val="21"/>
                <w:szCs w:val="21"/>
              </w:rPr>
              <w:t>临床试验有关的实验室检测正常值范围</w:t>
            </w:r>
            <w:r>
              <w:rPr>
                <w:rFonts w:hint="eastAsia"/>
                <w:sz w:val="21"/>
                <w:szCs w:val="21"/>
              </w:rPr>
              <w:t>更新</w:t>
            </w:r>
            <w:r>
              <w:rPr>
                <w:sz w:val="21"/>
                <w:szCs w:val="21"/>
              </w:rPr>
              <w:t>（</w:t>
            </w:r>
            <w:r>
              <w:rPr>
                <w:rFonts w:hint="eastAsia"/>
                <w:sz w:val="21"/>
                <w:szCs w:val="21"/>
              </w:rPr>
              <w:t>若有</w:t>
            </w:r>
            <w:r>
              <w:rPr>
                <w:sz w:val="21"/>
                <w:szCs w:val="21"/>
              </w:rPr>
              <w:t>）</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2.8</w:t>
            </w:r>
          </w:p>
        </w:tc>
        <w:tc>
          <w:tcPr>
            <w:tcW w:w="3455" w:type="dxa"/>
            <w:vAlign w:val="center"/>
          </w:tcPr>
          <w:p>
            <w:pPr>
              <w:spacing w:before="50" w:after="50" w:line="280" w:lineRule="exact"/>
              <w:rPr>
                <w:rFonts w:hint="eastAsia" w:ascii="宋体" w:hAnsiTheme="minorHAnsi" w:eastAsiaTheme="minorEastAsia" w:cstheme="minorBidi"/>
                <w:color w:val="auto"/>
                <w:kern w:val="2"/>
                <w:sz w:val="21"/>
                <w:szCs w:val="21"/>
                <w:lang w:val="en-US" w:eastAsia="zh-CN" w:bidi="ar-SA"/>
              </w:rPr>
            </w:pPr>
            <w:r>
              <w:rPr>
                <w:sz w:val="21"/>
                <w:szCs w:val="21"/>
              </w:rPr>
              <w:t>医学或</w:t>
            </w:r>
            <w:r>
              <w:rPr>
                <w:rFonts w:hint="eastAsia"/>
                <w:sz w:val="21"/>
                <w:szCs w:val="21"/>
              </w:rPr>
              <w:t>者</w:t>
            </w:r>
            <w:r>
              <w:rPr>
                <w:sz w:val="21"/>
                <w:szCs w:val="21"/>
              </w:rPr>
              <w:t>实验室</w:t>
            </w:r>
            <w:r>
              <w:rPr>
                <w:rFonts w:hint="eastAsia"/>
                <w:sz w:val="21"/>
                <w:szCs w:val="21"/>
              </w:rPr>
              <w:t>室间质控</w:t>
            </w:r>
            <w:r>
              <w:rPr>
                <w:sz w:val="21"/>
                <w:szCs w:val="21"/>
              </w:rPr>
              <w:t>证明</w:t>
            </w:r>
            <w:r>
              <w:rPr>
                <w:rFonts w:hint="eastAsia"/>
                <w:sz w:val="21"/>
                <w:szCs w:val="21"/>
              </w:rPr>
              <w:t>更新</w:t>
            </w:r>
            <w:r>
              <w:rPr>
                <w:sz w:val="21"/>
                <w:szCs w:val="21"/>
              </w:rPr>
              <w:t>（若有）</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2.9</w:t>
            </w:r>
          </w:p>
        </w:tc>
        <w:tc>
          <w:tcPr>
            <w:tcW w:w="3455" w:type="dxa"/>
            <w:vAlign w:val="center"/>
          </w:tcPr>
          <w:p>
            <w:pPr>
              <w:spacing w:before="50" w:after="50" w:line="280" w:lineRule="exact"/>
              <w:rPr>
                <w:rFonts w:hint="eastAsia" w:ascii="宋体" w:hAnsiTheme="minorHAnsi" w:eastAsiaTheme="minorEastAsia" w:cstheme="minorBidi"/>
                <w:color w:val="auto"/>
                <w:kern w:val="2"/>
                <w:sz w:val="21"/>
                <w:szCs w:val="21"/>
                <w:lang w:val="en-US" w:eastAsia="zh-CN" w:bidi="ar-SA"/>
              </w:rPr>
            </w:pPr>
            <w:r>
              <w:rPr>
                <w:sz w:val="21"/>
                <w:szCs w:val="21"/>
              </w:rPr>
              <w:t>试验医疗器械与试验相关物资的交接单（若有）</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2.10</w:t>
            </w:r>
          </w:p>
        </w:tc>
        <w:tc>
          <w:tcPr>
            <w:tcW w:w="3455" w:type="dxa"/>
            <w:vAlign w:val="center"/>
          </w:tcPr>
          <w:p>
            <w:pPr>
              <w:spacing w:before="50" w:after="50" w:line="300" w:lineRule="exact"/>
              <w:jc w:val="left"/>
              <w:rPr>
                <w:rFonts w:hint="eastAsia" w:ascii="宋体" w:hAnsiTheme="minorHAnsi" w:eastAsiaTheme="minorEastAsia" w:cstheme="minorBidi"/>
                <w:color w:val="auto"/>
                <w:kern w:val="2"/>
                <w:sz w:val="21"/>
                <w:szCs w:val="21"/>
                <w:lang w:val="en-US" w:eastAsia="zh-CN" w:bidi="ar-SA"/>
              </w:rPr>
            </w:pPr>
            <w:r>
              <w:rPr>
                <w:sz w:val="21"/>
                <w:szCs w:val="21"/>
              </w:rPr>
              <w:t>已签名的知情同意书（若有）</w:t>
            </w:r>
            <w:r>
              <w:rPr>
                <w:rFonts w:hint="eastAsia" w:cs="新宋体-18030" w:asciiTheme="minorEastAsia" w:hAnsiTheme="minorEastAsia"/>
                <w:bCs/>
                <w:color w:val="auto"/>
              </w:rPr>
              <w:t>*</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2.11</w:t>
            </w:r>
          </w:p>
        </w:tc>
        <w:tc>
          <w:tcPr>
            <w:tcW w:w="3455" w:type="dxa"/>
            <w:vAlign w:val="center"/>
          </w:tcPr>
          <w:p>
            <w:pPr>
              <w:spacing w:before="50" w:after="50" w:line="300" w:lineRule="exact"/>
              <w:jc w:val="left"/>
              <w:rPr>
                <w:rFonts w:hint="eastAsia" w:ascii="宋体" w:hAnsiTheme="minorHAnsi" w:eastAsiaTheme="minorEastAsia" w:cstheme="minorBidi"/>
                <w:color w:val="auto"/>
                <w:kern w:val="2"/>
                <w:sz w:val="21"/>
                <w:szCs w:val="21"/>
                <w:lang w:val="en-US" w:eastAsia="zh-CN" w:bidi="ar-SA"/>
              </w:rPr>
            </w:pPr>
            <w:r>
              <w:rPr>
                <w:sz w:val="21"/>
                <w:szCs w:val="21"/>
              </w:rPr>
              <w:t>原始医疗文件（</w:t>
            </w:r>
            <w:r>
              <w:rPr>
                <w:rFonts w:hint="eastAsia"/>
                <w:sz w:val="21"/>
                <w:szCs w:val="21"/>
              </w:rPr>
              <w:t>若有</w:t>
            </w:r>
            <w:r>
              <w:rPr>
                <w:sz w:val="21"/>
                <w:szCs w:val="21"/>
              </w:rPr>
              <w:t>）</w:t>
            </w:r>
            <w:r>
              <w:rPr>
                <w:rFonts w:hint="eastAsia" w:cs="新宋体-18030" w:asciiTheme="minorEastAsia" w:hAnsiTheme="minorEastAsia"/>
                <w:bCs/>
                <w:color w:val="auto"/>
              </w:rPr>
              <w:t>*</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2.12</w:t>
            </w:r>
          </w:p>
        </w:tc>
        <w:tc>
          <w:tcPr>
            <w:tcW w:w="3455" w:type="dxa"/>
            <w:vAlign w:val="center"/>
          </w:tcPr>
          <w:p>
            <w:pPr>
              <w:spacing w:before="50" w:after="50" w:line="300" w:lineRule="exact"/>
              <w:jc w:val="left"/>
              <w:rPr>
                <w:rFonts w:hint="eastAsia" w:ascii="宋体" w:hAnsiTheme="minorHAnsi" w:eastAsiaTheme="minorEastAsia" w:cstheme="minorBidi"/>
                <w:color w:val="auto"/>
                <w:kern w:val="2"/>
                <w:sz w:val="21"/>
                <w:szCs w:val="21"/>
                <w:lang w:val="en-US" w:eastAsia="zh-CN" w:bidi="ar-SA"/>
              </w:rPr>
            </w:pPr>
            <w:r>
              <w:rPr>
                <w:sz w:val="21"/>
                <w:szCs w:val="21"/>
              </w:rPr>
              <w:t>已填</w:t>
            </w:r>
            <w:r>
              <w:rPr>
                <w:rFonts w:hint="eastAsia"/>
                <w:sz w:val="21"/>
                <w:szCs w:val="21"/>
              </w:rPr>
              <w:t>并签字的</w:t>
            </w:r>
            <w:r>
              <w:rPr>
                <w:sz w:val="21"/>
                <w:szCs w:val="21"/>
              </w:rPr>
              <w:t>病例报告表</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2.13</w:t>
            </w:r>
          </w:p>
        </w:tc>
        <w:tc>
          <w:tcPr>
            <w:tcW w:w="3455" w:type="dxa"/>
            <w:vAlign w:val="center"/>
          </w:tcPr>
          <w:p>
            <w:pPr>
              <w:spacing w:before="50" w:after="50" w:line="300" w:lineRule="exact"/>
              <w:jc w:val="left"/>
              <w:rPr>
                <w:rFonts w:hint="eastAsia" w:ascii="宋体" w:hAnsiTheme="minorHAnsi" w:eastAsiaTheme="minorEastAsia" w:cstheme="minorBidi"/>
                <w:color w:val="auto"/>
                <w:kern w:val="2"/>
                <w:sz w:val="21"/>
                <w:szCs w:val="21"/>
                <w:lang w:val="en-US" w:eastAsia="zh-CN" w:bidi="ar-SA"/>
              </w:rPr>
            </w:pPr>
            <w:r>
              <w:rPr>
                <w:sz w:val="21"/>
                <w:szCs w:val="21"/>
              </w:rPr>
              <w:t>研究者对严重不良事件的报告（若有）</w:t>
            </w:r>
            <w:r>
              <w:rPr>
                <w:rFonts w:hint="eastAsia" w:cs="新宋体-18030" w:asciiTheme="minorEastAsia" w:hAnsiTheme="minorEastAsia"/>
                <w:bCs/>
                <w:color w:val="auto"/>
              </w:rPr>
              <w:t>*</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asciiTheme="minorHAnsi" w:hAnsiTheme="minorHAnsi" w:cstheme="minorBidi"/>
                <w:color w:val="auto"/>
                <w:spacing w:val="-6"/>
                <w:kern w:val="2"/>
                <w:sz w:val="21"/>
                <w:szCs w:val="21"/>
                <w:lang w:val="en-US" w:eastAsia="zh-CN" w:bidi="ar-SA"/>
              </w:rPr>
            </w:pPr>
            <w:r>
              <w:rPr>
                <w:rFonts w:hint="eastAsia" w:eastAsia="仿宋_GB2312" w:cstheme="minorBidi"/>
                <w:color w:val="auto"/>
                <w:spacing w:val="-6"/>
                <w:kern w:val="2"/>
                <w:sz w:val="21"/>
                <w:szCs w:val="21"/>
                <w:lang w:val="en-US" w:eastAsia="zh-CN" w:bidi="ar-SA"/>
              </w:rPr>
              <w:t>2.14</w:t>
            </w:r>
          </w:p>
        </w:tc>
        <w:tc>
          <w:tcPr>
            <w:tcW w:w="3455" w:type="dxa"/>
            <w:vAlign w:val="center"/>
          </w:tcPr>
          <w:p>
            <w:pPr>
              <w:spacing w:before="50" w:after="50" w:line="300" w:lineRule="exact"/>
              <w:jc w:val="left"/>
              <w:rPr>
                <w:rFonts w:hint="eastAsia" w:ascii="宋体"/>
                <w:color w:val="auto"/>
                <w:sz w:val="21"/>
                <w:szCs w:val="21"/>
              </w:rPr>
            </w:pPr>
            <w:r>
              <w:rPr>
                <w:sz w:val="21"/>
                <w:szCs w:val="21"/>
              </w:rPr>
              <w:t>申办者对</w:t>
            </w:r>
            <w:r>
              <w:rPr>
                <w:rFonts w:hint="eastAsia"/>
                <w:sz w:val="21"/>
                <w:szCs w:val="21"/>
              </w:rPr>
              <w:t>试验医疗器械相关</w:t>
            </w:r>
            <w:r>
              <w:rPr>
                <w:sz w:val="21"/>
                <w:szCs w:val="21"/>
              </w:rPr>
              <w:t>严重不良事件的报告（若有）</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asciiTheme="minorHAnsi" w:hAnsiTheme="minorHAnsi" w:cstheme="minorBidi"/>
                <w:color w:val="auto"/>
                <w:spacing w:val="-6"/>
                <w:kern w:val="2"/>
                <w:sz w:val="21"/>
                <w:szCs w:val="21"/>
                <w:lang w:val="en-US" w:eastAsia="zh-CN" w:bidi="ar-SA"/>
              </w:rPr>
            </w:pPr>
            <w:r>
              <w:rPr>
                <w:rFonts w:hint="eastAsia" w:eastAsia="仿宋_GB2312" w:cstheme="minorBidi"/>
                <w:color w:val="auto"/>
                <w:spacing w:val="-6"/>
                <w:kern w:val="2"/>
                <w:sz w:val="21"/>
                <w:szCs w:val="21"/>
                <w:lang w:val="en-US" w:eastAsia="zh-CN" w:bidi="ar-SA"/>
              </w:rPr>
              <w:t>2.15</w:t>
            </w:r>
          </w:p>
        </w:tc>
        <w:tc>
          <w:tcPr>
            <w:tcW w:w="3455" w:type="dxa"/>
            <w:vAlign w:val="center"/>
          </w:tcPr>
          <w:p>
            <w:pPr>
              <w:spacing w:before="50" w:after="50" w:line="300" w:lineRule="exact"/>
              <w:jc w:val="left"/>
              <w:rPr>
                <w:rFonts w:hint="eastAsia" w:ascii="宋体"/>
                <w:color w:val="auto"/>
                <w:sz w:val="21"/>
                <w:szCs w:val="21"/>
              </w:rPr>
            </w:pPr>
            <w:r>
              <w:rPr>
                <w:rFonts w:hint="eastAsia"/>
                <w:sz w:val="21"/>
                <w:szCs w:val="21"/>
              </w:rPr>
              <w:t>其他严重安全性风险信息的报告</w:t>
            </w:r>
            <w:r>
              <w:rPr>
                <w:sz w:val="21"/>
                <w:szCs w:val="21"/>
              </w:rPr>
              <w:t>（若有）</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asciiTheme="minorHAnsi" w:hAnsiTheme="minorHAnsi" w:cstheme="minorBidi"/>
                <w:color w:val="auto"/>
                <w:spacing w:val="-6"/>
                <w:kern w:val="2"/>
                <w:sz w:val="21"/>
                <w:szCs w:val="21"/>
                <w:lang w:val="en-US" w:eastAsia="zh-CN" w:bidi="ar-SA"/>
              </w:rPr>
            </w:pPr>
            <w:r>
              <w:rPr>
                <w:rFonts w:hint="eastAsia" w:eastAsia="仿宋_GB2312" w:cstheme="minorBidi"/>
                <w:color w:val="auto"/>
                <w:spacing w:val="-6"/>
                <w:kern w:val="2"/>
                <w:sz w:val="21"/>
                <w:szCs w:val="21"/>
                <w:lang w:val="en-US" w:eastAsia="zh-CN" w:bidi="ar-SA"/>
              </w:rPr>
              <w:t>2.16</w:t>
            </w:r>
          </w:p>
        </w:tc>
        <w:tc>
          <w:tcPr>
            <w:tcW w:w="3455" w:type="dxa"/>
            <w:vAlign w:val="center"/>
          </w:tcPr>
          <w:p>
            <w:pPr>
              <w:spacing w:before="50" w:after="50" w:line="300" w:lineRule="exact"/>
              <w:jc w:val="left"/>
              <w:rPr>
                <w:rFonts w:hint="eastAsia" w:ascii="宋体"/>
                <w:color w:val="auto"/>
                <w:sz w:val="21"/>
                <w:szCs w:val="21"/>
              </w:rPr>
            </w:pPr>
            <w:r>
              <w:rPr>
                <w:sz w:val="21"/>
                <w:szCs w:val="21"/>
              </w:rPr>
              <w:t>受试者鉴认代码表</w:t>
            </w:r>
            <w:r>
              <w:rPr>
                <w:rFonts w:hint="eastAsia" w:cs="新宋体-18030" w:asciiTheme="minorEastAsia" w:hAnsiTheme="minorEastAsia"/>
                <w:bCs/>
                <w:color w:val="auto"/>
              </w:rPr>
              <w:t>*</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cstheme="minorBidi"/>
                <w:color w:val="auto"/>
                <w:spacing w:val="-6"/>
                <w:kern w:val="2"/>
                <w:sz w:val="21"/>
                <w:szCs w:val="21"/>
                <w:lang w:val="en-US" w:eastAsia="zh-CN" w:bidi="ar-SA"/>
              </w:rPr>
            </w:pPr>
            <w:r>
              <w:rPr>
                <w:rFonts w:hint="eastAsia" w:eastAsia="仿宋_GB2312" w:cstheme="minorBidi"/>
                <w:color w:val="auto"/>
                <w:spacing w:val="-6"/>
                <w:kern w:val="2"/>
                <w:sz w:val="21"/>
                <w:szCs w:val="21"/>
                <w:lang w:val="en-US" w:eastAsia="zh-CN" w:bidi="ar-SA"/>
              </w:rPr>
              <w:t>2.17</w:t>
            </w:r>
          </w:p>
        </w:tc>
        <w:tc>
          <w:tcPr>
            <w:tcW w:w="3455" w:type="dxa"/>
            <w:vAlign w:val="center"/>
          </w:tcPr>
          <w:p>
            <w:pPr>
              <w:spacing w:before="50" w:after="50" w:line="300" w:lineRule="exact"/>
              <w:jc w:val="left"/>
              <w:rPr>
                <w:rFonts w:hint="eastAsia" w:ascii="宋体"/>
                <w:color w:val="auto"/>
                <w:sz w:val="21"/>
                <w:szCs w:val="21"/>
              </w:rPr>
            </w:pPr>
            <w:r>
              <w:rPr>
                <w:sz w:val="21"/>
                <w:szCs w:val="21"/>
              </w:rPr>
              <w:t>受试者筛选表与入选表</w:t>
            </w:r>
            <w:r>
              <w:rPr>
                <w:rFonts w:hint="eastAsia" w:cs="新宋体-18030" w:asciiTheme="minorEastAsia" w:hAnsiTheme="minorEastAsia"/>
                <w:bCs/>
                <w:color w:val="auto"/>
              </w:rPr>
              <w:t>*</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cstheme="minorBidi"/>
                <w:color w:val="auto"/>
                <w:spacing w:val="-6"/>
                <w:kern w:val="2"/>
                <w:sz w:val="21"/>
                <w:szCs w:val="21"/>
                <w:lang w:val="en-US" w:eastAsia="zh-CN" w:bidi="ar-SA"/>
              </w:rPr>
            </w:pPr>
            <w:r>
              <w:rPr>
                <w:rFonts w:hint="eastAsia" w:eastAsia="仿宋_GB2312" w:cstheme="minorBidi"/>
                <w:color w:val="auto"/>
                <w:spacing w:val="-6"/>
                <w:kern w:val="2"/>
                <w:sz w:val="21"/>
                <w:szCs w:val="21"/>
                <w:lang w:val="en-US" w:eastAsia="zh-CN" w:bidi="ar-SA"/>
              </w:rPr>
              <w:t>2.18</w:t>
            </w:r>
          </w:p>
        </w:tc>
        <w:tc>
          <w:tcPr>
            <w:tcW w:w="3455" w:type="dxa"/>
            <w:vAlign w:val="center"/>
          </w:tcPr>
          <w:p>
            <w:pPr>
              <w:spacing w:before="50" w:after="50" w:line="300" w:lineRule="exact"/>
              <w:jc w:val="left"/>
              <w:rPr>
                <w:rFonts w:hint="eastAsia" w:ascii="宋体"/>
                <w:color w:val="auto"/>
                <w:sz w:val="21"/>
                <w:szCs w:val="21"/>
              </w:rPr>
            </w:pPr>
            <w:r>
              <w:rPr>
                <w:sz w:val="21"/>
                <w:szCs w:val="21"/>
              </w:rPr>
              <w:t>研究者签名样张</w:t>
            </w:r>
            <w:r>
              <w:rPr>
                <w:rFonts w:hint="eastAsia"/>
                <w:sz w:val="21"/>
                <w:szCs w:val="21"/>
              </w:rPr>
              <w:t>以</w:t>
            </w:r>
            <w:r>
              <w:rPr>
                <w:sz w:val="21"/>
                <w:szCs w:val="21"/>
              </w:rPr>
              <w:t>及研究者授权表</w:t>
            </w:r>
            <w:r>
              <w:rPr>
                <w:rFonts w:hint="eastAsia"/>
                <w:sz w:val="21"/>
                <w:szCs w:val="21"/>
              </w:rPr>
              <w:t>更新文件（若有）</w:t>
            </w:r>
            <w:r>
              <w:rPr>
                <w:rFonts w:hint="eastAsia" w:cs="新宋体-18030" w:asciiTheme="minorEastAsia" w:hAnsiTheme="minorEastAsia"/>
                <w:bCs/>
                <w:color w:val="auto"/>
              </w:rPr>
              <w:t>*</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asciiTheme="minorHAnsi" w:hAnsiTheme="minorHAnsi" w:cstheme="minorBidi"/>
                <w:color w:val="auto"/>
                <w:spacing w:val="-6"/>
                <w:kern w:val="2"/>
                <w:sz w:val="21"/>
                <w:szCs w:val="21"/>
                <w:lang w:val="en-US" w:eastAsia="zh-CN" w:bidi="ar-SA"/>
              </w:rPr>
            </w:pPr>
            <w:r>
              <w:rPr>
                <w:rFonts w:hint="eastAsia" w:eastAsia="仿宋_GB2312" w:cstheme="minorBidi"/>
                <w:color w:val="auto"/>
                <w:spacing w:val="-6"/>
                <w:kern w:val="2"/>
                <w:sz w:val="21"/>
                <w:szCs w:val="21"/>
                <w:lang w:val="en-US" w:eastAsia="zh-CN" w:bidi="ar-SA"/>
              </w:rPr>
              <w:t>2.19</w:t>
            </w:r>
          </w:p>
        </w:tc>
        <w:tc>
          <w:tcPr>
            <w:tcW w:w="3455" w:type="dxa"/>
            <w:vAlign w:val="center"/>
          </w:tcPr>
          <w:p>
            <w:pPr>
              <w:spacing w:before="50" w:after="50" w:line="300" w:lineRule="exact"/>
              <w:jc w:val="left"/>
              <w:rPr>
                <w:rFonts w:hint="eastAsia" w:ascii="宋体"/>
                <w:color w:val="auto"/>
                <w:sz w:val="21"/>
                <w:szCs w:val="21"/>
              </w:rPr>
            </w:pPr>
            <w:r>
              <w:rPr>
                <w:sz w:val="21"/>
                <w:szCs w:val="21"/>
              </w:rPr>
              <w:t>监查员监查报告</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Calibri" w:hAnsi="Calibri" w:eastAsia="仿宋_GB2312" w:cs="Times New Roman"/>
                <w:b/>
                <w:bCs/>
                <w:color w:val="auto"/>
                <w:spacing w:val="-6"/>
                <w:kern w:val="2"/>
                <w:sz w:val="21"/>
                <w:szCs w:val="21"/>
                <w:lang w:val="en-US" w:eastAsia="zh-CN" w:bidi="ar-SA"/>
              </w:rPr>
            </w:pPr>
            <w:r>
              <w:rPr>
                <w:rFonts w:hint="eastAsia" w:ascii="Calibri" w:hAnsi="Calibri" w:eastAsia="仿宋_GB2312" w:cs="Times New Roman"/>
                <w:b/>
                <w:bCs/>
                <w:color w:val="auto"/>
                <w:spacing w:val="-6"/>
                <w:kern w:val="2"/>
                <w:sz w:val="21"/>
                <w:szCs w:val="21"/>
                <w:lang w:val="en-US" w:eastAsia="zh-CN" w:bidi="ar-SA"/>
              </w:rPr>
              <w:t>3</w:t>
            </w:r>
          </w:p>
        </w:tc>
        <w:tc>
          <w:tcPr>
            <w:tcW w:w="3455" w:type="dxa"/>
            <w:vAlign w:val="center"/>
          </w:tcPr>
          <w:p>
            <w:pPr>
              <w:keepNext w:val="0"/>
              <w:keepLines w:val="0"/>
              <w:pageBreakBefore w:val="0"/>
              <w:widowControl w:val="0"/>
              <w:kinsoku/>
              <w:wordWrap/>
              <w:overflowPunct/>
              <w:topLinePunct w:val="0"/>
              <w:bidi w:val="0"/>
              <w:spacing w:line="240" w:lineRule="auto"/>
              <w:jc w:val="left"/>
              <w:textAlignment w:val="auto"/>
              <w:rPr>
                <w:rFonts w:hint="eastAsia" w:ascii="宋体"/>
                <w:b/>
                <w:bCs/>
                <w:color w:val="auto"/>
                <w:sz w:val="21"/>
                <w:szCs w:val="21"/>
              </w:rPr>
            </w:pPr>
            <w:r>
              <w:rPr>
                <w:rFonts w:hint="eastAsia" w:eastAsia="宋体"/>
                <w:b/>
                <w:bCs/>
                <w:color w:val="auto"/>
                <w:sz w:val="21"/>
                <w:szCs w:val="21"/>
              </w:rPr>
              <w:t>临床试验终止或者完成后</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3.1</w:t>
            </w:r>
          </w:p>
        </w:tc>
        <w:tc>
          <w:tcPr>
            <w:tcW w:w="3455" w:type="dxa"/>
            <w:vAlign w:val="center"/>
          </w:tcPr>
          <w:p>
            <w:pPr>
              <w:spacing w:before="50" w:after="50" w:line="300" w:lineRule="exact"/>
              <w:jc w:val="left"/>
              <w:rPr>
                <w:rFonts w:hint="eastAsia" w:ascii="宋体" w:hAnsiTheme="minorHAnsi" w:eastAsiaTheme="minorEastAsia" w:cstheme="minorBidi"/>
                <w:color w:val="auto"/>
                <w:kern w:val="2"/>
                <w:sz w:val="21"/>
                <w:szCs w:val="21"/>
                <w:lang w:val="en-US" w:eastAsia="zh-CN" w:bidi="ar-SA"/>
              </w:rPr>
            </w:pPr>
            <w:r>
              <w:rPr>
                <w:sz w:val="21"/>
                <w:szCs w:val="21"/>
              </w:rPr>
              <w:t>试验</w:t>
            </w:r>
            <w:r>
              <w:rPr>
                <w:rFonts w:hint="eastAsia"/>
                <w:sz w:val="21"/>
                <w:szCs w:val="21"/>
              </w:rPr>
              <w:t>医疗器械储存、</w:t>
            </w:r>
            <w:r>
              <w:rPr>
                <w:sz w:val="21"/>
                <w:szCs w:val="21"/>
              </w:rPr>
              <w:t>使用</w:t>
            </w:r>
            <w:r>
              <w:rPr>
                <w:rFonts w:hint="eastAsia"/>
                <w:sz w:val="21"/>
                <w:szCs w:val="21"/>
              </w:rPr>
              <w:t>、维护、保养、销毁、回收等</w:t>
            </w:r>
            <w:r>
              <w:rPr>
                <w:sz w:val="21"/>
                <w:szCs w:val="21"/>
              </w:rPr>
              <w:t>记录</w:t>
            </w:r>
            <w:r>
              <w:rPr>
                <w:rFonts w:hint="eastAsia"/>
                <w:sz w:val="21"/>
                <w:szCs w:val="21"/>
              </w:rPr>
              <w:t>（若有）</w:t>
            </w:r>
            <w:r>
              <w:rPr>
                <w:rFonts w:hint="eastAsia" w:cs="新宋体-18030" w:asciiTheme="minorEastAsia" w:hAnsiTheme="minorEastAsia"/>
                <w:bCs/>
                <w:color w:val="auto"/>
              </w:rPr>
              <w:t>*</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3.2</w:t>
            </w:r>
          </w:p>
        </w:tc>
        <w:tc>
          <w:tcPr>
            <w:tcW w:w="3455" w:type="dxa"/>
            <w:vAlign w:val="center"/>
          </w:tcPr>
          <w:p>
            <w:pPr>
              <w:spacing w:before="50" w:after="50" w:line="300" w:lineRule="exact"/>
              <w:jc w:val="left"/>
              <w:rPr>
                <w:rFonts w:hint="eastAsia" w:ascii="宋体" w:hAnsiTheme="minorHAnsi" w:eastAsiaTheme="minorEastAsia" w:cstheme="minorBidi"/>
                <w:color w:val="auto"/>
                <w:kern w:val="2"/>
                <w:sz w:val="21"/>
                <w:szCs w:val="21"/>
                <w:lang w:val="en-US" w:eastAsia="zh-CN" w:bidi="ar-SA"/>
              </w:rPr>
            </w:pPr>
            <w:r>
              <w:rPr>
                <w:rFonts w:hint="eastAsia"/>
                <w:sz w:val="21"/>
                <w:szCs w:val="21"/>
              </w:rPr>
              <w:t>生物</w:t>
            </w:r>
            <w:r>
              <w:rPr>
                <w:sz w:val="21"/>
                <w:szCs w:val="21"/>
              </w:rPr>
              <w:t>样本</w:t>
            </w:r>
            <w:r>
              <w:rPr>
                <w:rFonts w:hint="eastAsia"/>
                <w:sz w:val="21"/>
                <w:szCs w:val="21"/>
              </w:rPr>
              <w:t>采集、处理、使用、保存、运输、销毁</w:t>
            </w:r>
            <w:r>
              <w:rPr>
                <w:sz w:val="21"/>
                <w:szCs w:val="21"/>
              </w:rPr>
              <w:t>等各环节的完整记录（</w:t>
            </w:r>
            <w:r>
              <w:rPr>
                <w:rFonts w:hint="eastAsia"/>
                <w:sz w:val="21"/>
                <w:szCs w:val="21"/>
              </w:rPr>
              <w:t>若有</w:t>
            </w:r>
            <w:r>
              <w:rPr>
                <w:sz w:val="21"/>
                <w:szCs w:val="21"/>
              </w:rPr>
              <w:t>）</w:t>
            </w:r>
            <w:r>
              <w:rPr>
                <w:rFonts w:hint="eastAsia" w:cs="新宋体-18030" w:asciiTheme="minorEastAsia" w:hAnsiTheme="minorEastAsia"/>
                <w:bCs/>
                <w:color w:val="auto"/>
              </w:rPr>
              <w:t>*</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3.3</w:t>
            </w:r>
          </w:p>
        </w:tc>
        <w:tc>
          <w:tcPr>
            <w:tcW w:w="3455" w:type="dxa"/>
            <w:vAlign w:val="center"/>
          </w:tcPr>
          <w:p>
            <w:pPr>
              <w:spacing w:before="50" w:after="50" w:line="300" w:lineRule="exact"/>
              <w:jc w:val="left"/>
              <w:rPr>
                <w:rFonts w:hint="eastAsia" w:ascii="宋体" w:hAnsiTheme="minorHAnsi" w:eastAsiaTheme="minorEastAsia" w:cstheme="minorBidi"/>
                <w:color w:val="auto"/>
                <w:kern w:val="2"/>
                <w:sz w:val="21"/>
                <w:szCs w:val="21"/>
                <w:lang w:val="en-US" w:eastAsia="zh-CN" w:bidi="ar-SA"/>
              </w:rPr>
            </w:pPr>
            <w:r>
              <w:rPr>
                <w:sz w:val="21"/>
                <w:szCs w:val="21"/>
              </w:rPr>
              <w:t>所有检测试验结果原始记录（</w:t>
            </w:r>
            <w:r>
              <w:rPr>
                <w:rFonts w:hint="eastAsia"/>
                <w:sz w:val="21"/>
                <w:szCs w:val="21"/>
              </w:rPr>
              <w:t>若有</w:t>
            </w:r>
            <w:r>
              <w:rPr>
                <w:sz w:val="21"/>
                <w:szCs w:val="21"/>
              </w:rPr>
              <w:t>）</w:t>
            </w:r>
            <w:r>
              <w:rPr>
                <w:rFonts w:hint="eastAsia" w:cs="新宋体-18030" w:asciiTheme="minorEastAsia" w:hAnsiTheme="minorEastAsia"/>
                <w:bCs/>
                <w:color w:val="auto"/>
              </w:rPr>
              <w:t>*</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3.4</w:t>
            </w:r>
          </w:p>
        </w:tc>
        <w:tc>
          <w:tcPr>
            <w:tcW w:w="3455" w:type="dxa"/>
            <w:vAlign w:val="center"/>
          </w:tcPr>
          <w:p>
            <w:pPr>
              <w:spacing w:before="50" w:after="50" w:line="300" w:lineRule="exact"/>
              <w:jc w:val="left"/>
              <w:rPr>
                <w:rFonts w:hint="eastAsia" w:ascii="宋体" w:hAnsiTheme="minorHAnsi" w:eastAsiaTheme="minorEastAsia" w:cstheme="minorBidi"/>
                <w:color w:val="auto"/>
                <w:kern w:val="2"/>
                <w:sz w:val="21"/>
                <w:szCs w:val="21"/>
                <w:lang w:val="en-US" w:eastAsia="zh-CN" w:bidi="ar-SA"/>
              </w:rPr>
            </w:pPr>
            <w:r>
              <w:rPr>
                <w:sz w:val="21"/>
                <w:szCs w:val="21"/>
              </w:rPr>
              <w:t>最终监查报告</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3.5</w:t>
            </w:r>
          </w:p>
        </w:tc>
        <w:tc>
          <w:tcPr>
            <w:tcW w:w="3455" w:type="dxa"/>
            <w:vAlign w:val="center"/>
          </w:tcPr>
          <w:p>
            <w:pPr>
              <w:spacing w:before="50" w:after="50" w:line="300" w:lineRule="exact"/>
              <w:jc w:val="left"/>
              <w:rPr>
                <w:rFonts w:hint="eastAsia" w:ascii="宋体" w:hAnsiTheme="minorHAnsi" w:eastAsiaTheme="minorEastAsia" w:cstheme="minorBidi"/>
                <w:color w:val="auto"/>
                <w:kern w:val="2"/>
                <w:sz w:val="21"/>
                <w:szCs w:val="21"/>
                <w:lang w:val="en-US" w:eastAsia="zh-CN" w:bidi="ar-SA"/>
              </w:rPr>
            </w:pPr>
            <w:r>
              <w:rPr>
                <w:sz w:val="21"/>
                <w:szCs w:val="21"/>
              </w:rPr>
              <w:t>稽查证明（若有）</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3.6</w:t>
            </w:r>
          </w:p>
        </w:tc>
        <w:tc>
          <w:tcPr>
            <w:tcW w:w="3455" w:type="dxa"/>
            <w:vAlign w:val="center"/>
          </w:tcPr>
          <w:p>
            <w:pPr>
              <w:spacing w:before="50" w:after="50" w:line="300" w:lineRule="exact"/>
              <w:jc w:val="left"/>
              <w:rPr>
                <w:rFonts w:hint="eastAsia" w:ascii="宋体" w:hAnsiTheme="minorHAnsi" w:eastAsiaTheme="minorEastAsia" w:cstheme="minorBidi"/>
                <w:color w:val="auto"/>
                <w:kern w:val="2"/>
                <w:sz w:val="21"/>
                <w:szCs w:val="21"/>
                <w:lang w:val="en-US" w:eastAsia="zh-CN" w:bidi="ar-SA"/>
              </w:rPr>
            </w:pPr>
            <w:r>
              <w:rPr>
                <w:sz w:val="21"/>
                <w:szCs w:val="21"/>
              </w:rPr>
              <w:t>治疗分配记录（若有）</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asciiTheme="minorHAnsi" w:hAnsiTheme="minorHAnsi" w:cstheme="minorBidi"/>
                <w:color w:val="auto"/>
                <w:spacing w:val="-6"/>
                <w:kern w:val="2"/>
                <w:sz w:val="21"/>
                <w:szCs w:val="21"/>
                <w:lang w:val="en-US" w:eastAsia="zh-CN" w:bidi="ar-SA"/>
              </w:rPr>
              <w:t>3.7</w:t>
            </w:r>
          </w:p>
        </w:tc>
        <w:tc>
          <w:tcPr>
            <w:tcW w:w="3455" w:type="dxa"/>
            <w:vAlign w:val="center"/>
          </w:tcPr>
          <w:p>
            <w:pPr>
              <w:spacing w:before="50" w:after="50" w:line="300" w:lineRule="exact"/>
              <w:jc w:val="left"/>
              <w:rPr>
                <w:rFonts w:hint="eastAsia" w:ascii="宋体" w:hAnsiTheme="minorHAnsi" w:eastAsiaTheme="minorEastAsia" w:cstheme="minorBidi"/>
                <w:color w:val="auto"/>
                <w:kern w:val="2"/>
                <w:sz w:val="21"/>
                <w:szCs w:val="21"/>
                <w:lang w:val="en-US" w:eastAsia="zh-CN" w:bidi="ar-SA"/>
              </w:rPr>
            </w:pPr>
            <w:r>
              <w:rPr>
                <w:sz w:val="21"/>
                <w:szCs w:val="21"/>
              </w:rPr>
              <w:t>破盲证明（若有）</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asciiTheme="minorHAnsi" w:hAnsiTheme="minorHAnsi" w:cstheme="minorBidi"/>
                <w:color w:val="auto"/>
                <w:spacing w:val="-6"/>
                <w:kern w:val="2"/>
                <w:sz w:val="21"/>
                <w:szCs w:val="21"/>
                <w:lang w:val="en-US" w:eastAsia="zh-CN" w:bidi="ar-SA"/>
              </w:rPr>
            </w:pPr>
            <w:r>
              <w:rPr>
                <w:rFonts w:hint="eastAsia" w:eastAsia="仿宋_GB2312" w:cstheme="minorBidi"/>
                <w:color w:val="auto"/>
                <w:spacing w:val="-6"/>
                <w:kern w:val="2"/>
                <w:sz w:val="21"/>
                <w:szCs w:val="21"/>
                <w:lang w:val="en-US" w:eastAsia="zh-CN" w:bidi="ar-SA"/>
              </w:rPr>
              <w:t>3.8</w:t>
            </w:r>
          </w:p>
        </w:tc>
        <w:tc>
          <w:tcPr>
            <w:tcW w:w="3455" w:type="dxa"/>
            <w:vAlign w:val="center"/>
          </w:tcPr>
          <w:p>
            <w:pPr>
              <w:adjustRightInd w:val="0"/>
              <w:snapToGrid w:val="0"/>
              <w:ind w:right="-20" w:rightChars="0"/>
              <w:rPr>
                <w:rFonts w:hint="eastAsia" w:ascii="宋体"/>
                <w:color w:val="auto"/>
                <w:sz w:val="21"/>
                <w:szCs w:val="21"/>
              </w:rPr>
            </w:pPr>
            <w:r>
              <w:rPr>
                <w:sz w:val="21"/>
                <w:szCs w:val="21"/>
              </w:rPr>
              <w:t>研究者向伦理委员会提交的试验完成文件</w:t>
            </w:r>
            <w:r>
              <w:rPr>
                <w:rFonts w:hint="eastAsia" w:cs="新宋体-18030" w:asciiTheme="minorEastAsia" w:hAnsiTheme="minorEastAsia"/>
                <w:bCs/>
                <w:color w:val="auto"/>
              </w:rPr>
              <w:t>*</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asciiTheme="minorHAnsi" w:hAnsiTheme="minorHAnsi" w:cstheme="minorBidi"/>
                <w:color w:val="auto"/>
                <w:spacing w:val="-6"/>
                <w:kern w:val="2"/>
                <w:sz w:val="21"/>
                <w:szCs w:val="21"/>
                <w:lang w:val="en-US" w:eastAsia="zh-CN" w:bidi="ar-SA"/>
              </w:rPr>
            </w:pPr>
            <w:r>
              <w:rPr>
                <w:rFonts w:hint="eastAsia" w:eastAsia="仿宋_GB2312" w:cstheme="minorBidi"/>
                <w:color w:val="auto"/>
                <w:spacing w:val="-6"/>
                <w:kern w:val="2"/>
                <w:sz w:val="21"/>
                <w:szCs w:val="21"/>
                <w:lang w:val="en-US" w:eastAsia="zh-CN" w:bidi="ar-SA"/>
              </w:rPr>
              <w:t>3.9</w:t>
            </w:r>
          </w:p>
        </w:tc>
        <w:tc>
          <w:tcPr>
            <w:tcW w:w="3455" w:type="dxa"/>
            <w:vAlign w:val="center"/>
          </w:tcPr>
          <w:p>
            <w:pPr>
              <w:adjustRightInd w:val="0"/>
              <w:snapToGrid w:val="0"/>
              <w:ind w:right="-20" w:rightChars="0"/>
              <w:rPr>
                <w:rFonts w:hint="eastAsia" w:ascii="宋体" w:eastAsiaTheme="minorEastAsia"/>
                <w:color w:val="auto"/>
                <w:sz w:val="21"/>
                <w:szCs w:val="21"/>
                <w:lang w:eastAsia="zh-CN"/>
              </w:rPr>
            </w:pPr>
            <w:r>
              <w:rPr>
                <w:rFonts w:hint="eastAsia"/>
                <w:sz w:val="21"/>
                <w:szCs w:val="21"/>
              </w:rPr>
              <w:t>分中心临床试验小结</w:t>
            </w:r>
            <w:r>
              <w:rPr>
                <w:rFonts w:hint="eastAsia"/>
                <w:sz w:val="21"/>
                <w:szCs w:val="21"/>
                <w:lang w:eastAsia="zh-CN"/>
              </w:rPr>
              <w:t>（</w:t>
            </w:r>
            <w:r>
              <w:rPr>
                <w:rFonts w:hint="eastAsia"/>
                <w:sz w:val="21"/>
                <w:szCs w:val="21"/>
                <w:lang w:val="en-US" w:eastAsia="zh-CN"/>
              </w:rPr>
              <w:t>本中心</w:t>
            </w:r>
            <w:r>
              <w:rPr>
                <w:rFonts w:hint="eastAsia"/>
                <w:sz w:val="21"/>
                <w:szCs w:val="21"/>
                <w:lang w:eastAsia="zh-CN"/>
              </w:rPr>
              <w:t>）</w:t>
            </w:r>
            <w:r>
              <w:rPr>
                <w:rFonts w:hint="eastAsia" w:cs="新宋体-18030" w:asciiTheme="minorEastAsia" w:hAnsiTheme="minorEastAsia"/>
                <w:bCs/>
                <w:color w:val="auto"/>
              </w:rPr>
              <w:t>*</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仿宋_GB2312" w:asciiTheme="minorHAnsi" w:hAnsiTheme="minorHAnsi" w:cstheme="minorBidi"/>
                <w:color w:val="auto"/>
                <w:spacing w:val="-6"/>
                <w:kern w:val="2"/>
                <w:sz w:val="21"/>
                <w:szCs w:val="21"/>
                <w:lang w:val="en-US" w:eastAsia="zh-CN" w:bidi="ar-SA"/>
              </w:rPr>
            </w:pPr>
            <w:r>
              <w:rPr>
                <w:rFonts w:hint="eastAsia" w:eastAsia="仿宋_GB2312" w:cstheme="minorBidi"/>
                <w:color w:val="auto"/>
                <w:spacing w:val="-6"/>
                <w:kern w:val="2"/>
                <w:sz w:val="21"/>
                <w:szCs w:val="21"/>
                <w:lang w:val="en-US" w:eastAsia="zh-CN" w:bidi="ar-SA"/>
              </w:rPr>
              <w:t>3.10</w:t>
            </w:r>
          </w:p>
        </w:tc>
        <w:tc>
          <w:tcPr>
            <w:tcW w:w="3455" w:type="dxa"/>
            <w:vAlign w:val="center"/>
          </w:tcPr>
          <w:p>
            <w:pPr>
              <w:spacing w:before="50" w:after="50" w:line="300" w:lineRule="exact"/>
              <w:jc w:val="left"/>
              <w:rPr>
                <w:rFonts w:hint="eastAsia" w:ascii="宋体" w:eastAsiaTheme="minorEastAsia"/>
                <w:color w:val="auto"/>
                <w:sz w:val="21"/>
                <w:szCs w:val="21"/>
                <w:lang w:eastAsia="zh-CN"/>
              </w:rPr>
            </w:pPr>
            <w:r>
              <w:rPr>
                <w:sz w:val="21"/>
                <w:szCs w:val="21"/>
              </w:rPr>
              <w:t>临床试验报告</w:t>
            </w:r>
            <w:r>
              <w:rPr>
                <w:rFonts w:hint="eastAsia"/>
                <w:sz w:val="21"/>
                <w:szCs w:val="21"/>
                <w:lang w:eastAsia="zh-CN"/>
              </w:rPr>
              <w:t>（</w:t>
            </w:r>
            <w:r>
              <w:rPr>
                <w:rFonts w:hint="eastAsia"/>
                <w:sz w:val="21"/>
                <w:szCs w:val="21"/>
                <w:lang w:val="en-US" w:eastAsia="zh-CN"/>
              </w:rPr>
              <w:t>组长单位</w:t>
            </w:r>
            <w:r>
              <w:rPr>
                <w:rFonts w:hint="eastAsia"/>
                <w:sz w:val="21"/>
                <w:szCs w:val="21"/>
                <w:lang w:eastAsia="zh-CN"/>
              </w:rPr>
              <w:t>）</w:t>
            </w:r>
            <w:r>
              <w:rPr>
                <w:rFonts w:hint="eastAsia" w:cs="新宋体-18030" w:asciiTheme="minorEastAsia" w:hAnsiTheme="minorEastAsia"/>
                <w:bCs/>
                <w:color w:val="auto"/>
              </w:rPr>
              <w:t>*</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jc w:val="center"/>
        </w:trPr>
        <w:tc>
          <w:tcPr>
            <w:tcW w:w="1188"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Calibri" w:hAnsi="Calibri" w:eastAsia="仿宋_GB2312" w:cs="Times New Roman"/>
                <w:color w:val="auto"/>
                <w:spacing w:val="-6"/>
                <w:kern w:val="2"/>
                <w:sz w:val="21"/>
                <w:szCs w:val="21"/>
                <w:lang w:val="en-US" w:eastAsia="zh-CN" w:bidi="ar-SA"/>
              </w:rPr>
            </w:pPr>
            <w:r>
              <w:rPr>
                <w:rFonts w:hint="eastAsia" w:eastAsia="仿宋_GB2312"/>
                <w:b/>
                <w:bCs/>
                <w:color w:val="auto"/>
                <w:spacing w:val="-6"/>
                <w:sz w:val="21"/>
                <w:szCs w:val="21"/>
                <w:lang w:val="en-US" w:eastAsia="zh-CN"/>
              </w:rPr>
              <w:t>4</w:t>
            </w:r>
          </w:p>
        </w:tc>
        <w:tc>
          <w:tcPr>
            <w:tcW w:w="3455" w:type="dxa"/>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仿宋_GB2312" w:asciiTheme="minorHAnsi" w:hAnsiTheme="minorHAnsi" w:cstheme="minorBidi"/>
                <w:color w:val="auto"/>
                <w:spacing w:val="-6"/>
                <w:kern w:val="2"/>
                <w:sz w:val="21"/>
                <w:szCs w:val="21"/>
                <w:lang w:val="en-US" w:eastAsia="zh-CN" w:bidi="ar-SA"/>
              </w:rPr>
            </w:pPr>
            <w:r>
              <w:rPr>
                <w:rFonts w:hint="eastAsia" w:eastAsia="仿宋_GB2312"/>
                <w:b/>
                <w:bCs/>
                <w:color w:val="auto"/>
                <w:spacing w:val="-6"/>
                <w:sz w:val="21"/>
                <w:szCs w:val="21"/>
                <w:lang w:eastAsia="zh-CN"/>
              </w:rPr>
              <w:t>其他材料</w:t>
            </w: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jc w:val="center"/>
        </w:trPr>
        <w:tc>
          <w:tcPr>
            <w:tcW w:w="11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val="en-US" w:eastAsia="zh-CN"/>
              </w:rPr>
            </w:pPr>
          </w:p>
        </w:tc>
        <w:tc>
          <w:tcPr>
            <w:tcW w:w="3455"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color w:val="auto"/>
                <w:sz w:val="21"/>
                <w:szCs w:val="21"/>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eastAsia" w:ascii="黑体" w:hAnsi="黑体" w:eastAsia="黑体" w:cs="黑体"/>
                <w:bCs/>
                <w:color w:val="auto"/>
                <w:spacing w:val="-6"/>
                <w:kern w:val="0"/>
                <w:sz w:val="21"/>
                <w:szCs w:val="21"/>
                <w:lang w:eastAsia="zh-CN"/>
              </w:rPr>
            </w:pPr>
          </w:p>
        </w:tc>
      </w:tr>
    </w:tbl>
    <w:p>
      <w:pPr>
        <w:rPr>
          <w:color w:val="auto"/>
        </w:rPr>
      </w:pPr>
    </w:p>
    <w:p>
      <w:pPr>
        <w:rPr>
          <w:rFonts w:hint="eastAsia" w:eastAsiaTheme="minorEastAsia"/>
          <w:color w:val="auto"/>
          <w:lang w:eastAsia="zh-CN"/>
        </w:rPr>
      </w:pPr>
      <w:r>
        <w:rPr>
          <w:rFonts w:hint="eastAsia" w:cs="新宋体-18030" w:asciiTheme="minorEastAsia" w:hAnsiTheme="minorEastAsia"/>
          <w:bCs/>
          <w:color w:val="auto"/>
        </w:rPr>
        <w:t>注：带“*”者保存原件</w:t>
      </w:r>
      <w:r>
        <w:rPr>
          <w:rFonts w:hint="eastAsia" w:cs="新宋体-18030" w:asciiTheme="minorEastAsia" w:hAnsiTheme="minorEastAsia"/>
          <w:bCs/>
          <w:color w:val="auto"/>
          <w:lang w:eastAsia="zh-CN"/>
        </w:rPr>
        <w:t>。</w:t>
      </w:r>
    </w:p>
    <w:p>
      <w:pPr>
        <w:rPr>
          <w:rFonts w:hint="eastAsia" w:ascii="黑体" w:hAnsi="黑体" w:eastAsia="黑体" w:cs="黑体"/>
          <w:color w:val="auto"/>
          <w:sz w:val="24"/>
          <w:szCs w:val="24"/>
        </w:rPr>
        <w:sectPr>
          <w:pgSz w:w="11906" w:h="16838"/>
          <w:pgMar w:top="1417" w:right="1191" w:bottom="1474" w:left="1474" w:header="0" w:footer="992" w:gutter="0"/>
          <w:pgBorders>
            <w:top w:val="none" w:sz="0" w:space="0"/>
            <w:left w:val="none" w:sz="0" w:space="0"/>
            <w:bottom w:val="none" w:sz="0" w:space="0"/>
            <w:right w:val="none" w:sz="0" w:space="0"/>
          </w:pgBorders>
          <w:pgNumType w:fmt="decimal"/>
          <w:cols w:space="0" w:num="1"/>
          <w:docGrid w:type="lines" w:linePitch="312" w:charSpace="0"/>
        </w:sectPr>
      </w:pPr>
    </w:p>
    <w:p>
      <w:pPr>
        <w:rPr>
          <w:rFonts w:hint="eastAsia" w:ascii="黑体" w:hAnsi="黑体" w:eastAsia="黑体" w:cs="黑体"/>
          <w:color w:val="auto"/>
          <w:sz w:val="24"/>
          <w:szCs w:val="24"/>
          <w:lang w:eastAsia="zh-CN"/>
        </w:rPr>
      </w:pPr>
      <w:r>
        <w:rPr>
          <w:rFonts w:hint="eastAsia" w:ascii="黑体" w:hAnsi="黑体" w:eastAsia="黑体" w:cs="黑体"/>
          <w:color w:val="auto"/>
          <w:sz w:val="24"/>
          <w:szCs w:val="24"/>
        </w:rPr>
        <w:t>附件</w:t>
      </w:r>
      <w:r>
        <w:rPr>
          <w:rFonts w:hint="eastAsia" w:ascii="黑体" w:hAnsi="黑体" w:eastAsia="黑体" w:cs="黑体"/>
          <w:color w:val="auto"/>
          <w:sz w:val="24"/>
          <w:szCs w:val="24"/>
          <w:lang w:val="en-US" w:eastAsia="zh-CN"/>
        </w:rPr>
        <w:t>3</w:t>
      </w:r>
      <w:r>
        <w:rPr>
          <w:rFonts w:hint="eastAsia" w:ascii="黑体" w:hAnsi="黑体" w:eastAsia="黑体" w:cs="黑体"/>
          <w:color w:val="auto"/>
          <w:sz w:val="24"/>
          <w:szCs w:val="24"/>
        </w:rPr>
        <w:t>：（YYH-SOP-CTC-022-3.</w:t>
      </w:r>
      <w:r>
        <w:rPr>
          <w:rFonts w:hint="eastAsia" w:ascii="黑体" w:hAnsi="黑体" w:eastAsia="黑体" w:cs="黑体"/>
          <w:color w:val="auto"/>
          <w:sz w:val="24"/>
          <w:szCs w:val="24"/>
          <w:lang w:val="en-US" w:eastAsia="zh-CN"/>
        </w:rPr>
        <w:t>2</w:t>
      </w:r>
      <w:r>
        <w:rPr>
          <w:rFonts w:hint="eastAsia" w:ascii="黑体" w:hAnsi="黑体" w:eastAsia="黑体" w:cs="黑体"/>
          <w:color w:val="auto"/>
          <w:sz w:val="24"/>
          <w:szCs w:val="24"/>
        </w:rPr>
        <w:t>-A0</w:t>
      </w:r>
      <w:r>
        <w:rPr>
          <w:rFonts w:hint="eastAsia" w:ascii="黑体" w:hAnsi="黑体" w:eastAsia="黑体" w:cs="黑体"/>
          <w:color w:val="auto"/>
          <w:sz w:val="24"/>
          <w:szCs w:val="24"/>
          <w:lang w:val="en-US" w:eastAsia="zh-CN"/>
        </w:rPr>
        <w:t>3</w:t>
      </w:r>
      <w:r>
        <w:rPr>
          <w:rFonts w:hint="eastAsia" w:ascii="黑体" w:hAnsi="黑体" w:eastAsia="黑体" w:cs="黑体"/>
          <w:color w:val="auto"/>
          <w:sz w:val="24"/>
          <w:szCs w:val="24"/>
        </w:rPr>
        <w:t>）：药物临床试验项目资料归档</w:t>
      </w:r>
      <w:r>
        <w:rPr>
          <w:rFonts w:hint="eastAsia" w:ascii="黑体" w:hAnsi="黑体" w:eastAsia="黑体" w:cs="黑体"/>
          <w:color w:val="auto"/>
          <w:sz w:val="24"/>
          <w:szCs w:val="24"/>
          <w:lang w:val="en-US" w:eastAsia="zh-CN"/>
        </w:rPr>
        <w:t>目录</w:t>
      </w:r>
    </w:p>
    <w:tbl>
      <w:tblPr>
        <w:tblStyle w:val="27"/>
        <w:tblW w:w="10389" w:type="dxa"/>
        <w:tblInd w:w="-4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1046"/>
        <w:gridCol w:w="5103"/>
        <w:gridCol w:w="935"/>
        <w:gridCol w:w="1063"/>
        <w:gridCol w:w="1126"/>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trPr>
        <w:tc>
          <w:tcPr>
            <w:tcW w:w="1046" w:type="dxa"/>
            <w:vAlign w:val="center"/>
          </w:tcPr>
          <w:p>
            <w:pPr>
              <w:widowControl/>
              <w:wordWrap/>
              <w:autoSpaceDE/>
              <w:autoSpaceDN/>
              <w:spacing w:before="20" w:after="20"/>
              <w:jc w:val="center"/>
              <w:rPr>
                <w:rFonts w:hint="eastAsia" w:ascii="宋体" w:hAnsi="宋体" w:eastAsia="宋体" w:cs="Arial"/>
                <w:b/>
                <w:bCs/>
                <w:color w:val="auto"/>
                <w:kern w:val="0"/>
                <w:sz w:val="22"/>
                <w:szCs w:val="22"/>
              </w:rPr>
            </w:pPr>
            <w:r>
              <w:rPr>
                <w:rFonts w:hint="eastAsia" w:ascii="宋体" w:hAnsi="宋体" w:eastAsia="宋体" w:cs="Arial"/>
                <w:b/>
                <w:bCs/>
                <w:color w:val="auto"/>
                <w:kern w:val="0"/>
                <w:sz w:val="22"/>
                <w:szCs w:val="22"/>
                <w:lang w:eastAsia="zh-CN"/>
              </w:rPr>
              <w:t>序号</w:t>
            </w:r>
          </w:p>
        </w:tc>
        <w:tc>
          <w:tcPr>
            <w:tcW w:w="5103" w:type="dxa"/>
            <w:vAlign w:val="center"/>
          </w:tcPr>
          <w:p>
            <w:pPr>
              <w:widowControl/>
              <w:wordWrap/>
              <w:autoSpaceDE/>
              <w:autoSpaceDN/>
              <w:spacing w:before="20" w:after="20"/>
              <w:jc w:val="center"/>
              <w:rPr>
                <w:rFonts w:ascii="宋体" w:hAnsi="宋体" w:eastAsia="宋体" w:cs="Arial"/>
                <w:b/>
                <w:bCs/>
                <w:color w:val="auto"/>
                <w:kern w:val="0"/>
                <w:sz w:val="22"/>
                <w:szCs w:val="22"/>
              </w:rPr>
            </w:pPr>
            <w:r>
              <w:rPr>
                <w:rFonts w:hint="eastAsia" w:ascii="宋体" w:hAnsi="宋体" w:eastAsia="宋体" w:cs="Arial"/>
                <w:b/>
                <w:bCs/>
                <w:color w:val="auto"/>
                <w:kern w:val="0"/>
                <w:sz w:val="22"/>
                <w:szCs w:val="22"/>
                <w:lang w:eastAsia="zh-CN"/>
              </w:rPr>
              <w:t>目录</w:t>
            </w:r>
          </w:p>
        </w:tc>
        <w:tc>
          <w:tcPr>
            <w:tcW w:w="935" w:type="dxa"/>
            <w:vAlign w:val="center"/>
          </w:tcPr>
          <w:p>
            <w:pPr>
              <w:widowControl/>
              <w:wordWrap/>
              <w:autoSpaceDE/>
              <w:autoSpaceDN/>
              <w:spacing w:before="20" w:after="20"/>
              <w:ind w:firstLine="221" w:firstLineChars="100"/>
              <w:rPr>
                <w:rFonts w:ascii="宋体" w:hAnsi="宋体" w:eastAsia="宋体" w:cs="Arial"/>
                <w:b/>
                <w:bCs/>
                <w:color w:val="auto"/>
                <w:kern w:val="0"/>
                <w:sz w:val="22"/>
                <w:szCs w:val="22"/>
              </w:rPr>
            </w:pPr>
            <w:r>
              <w:rPr>
                <w:rFonts w:hint="eastAsia" w:ascii="宋体" w:hAnsi="宋体" w:eastAsia="宋体" w:cs="Arial"/>
                <w:b/>
                <w:bCs/>
                <w:color w:val="auto"/>
                <w:kern w:val="0"/>
                <w:sz w:val="22"/>
                <w:szCs w:val="22"/>
                <w:lang w:eastAsia="zh-CN"/>
              </w:rPr>
              <w:t>原件</w:t>
            </w:r>
          </w:p>
        </w:tc>
        <w:tc>
          <w:tcPr>
            <w:tcW w:w="1063" w:type="dxa"/>
            <w:vAlign w:val="center"/>
          </w:tcPr>
          <w:p>
            <w:pPr>
              <w:widowControl/>
              <w:wordWrap/>
              <w:autoSpaceDE/>
              <w:autoSpaceDN/>
              <w:spacing w:before="20" w:after="20"/>
              <w:jc w:val="center"/>
              <w:rPr>
                <w:rFonts w:ascii="宋体" w:hAnsi="宋体" w:eastAsia="宋体" w:cs="Arial"/>
                <w:b/>
                <w:bCs/>
                <w:color w:val="auto"/>
                <w:kern w:val="0"/>
                <w:sz w:val="22"/>
                <w:szCs w:val="22"/>
              </w:rPr>
            </w:pPr>
            <w:r>
              <w:rPr>
                <w:rFonts w:hint="eastAsia" w:ascii="宋体" w:hAnsi="宋体" w:eastAsia="宋体" w:cs="微软雅黑"/>
                <w:b/>
                <w:bCs/>
                <w:color w:val="auto"/>
                <w:kern w:val="0"/>
                <w:sz w:val="22"/>
                <w:szCs w:val="22"/>
                <w:lang w:eastAsia="zh-CN"/>
              </w:rPr>
              <w:t>复印件</w:t>
            </w:r>
          </w:p>
        </w:tc>
        <w:tc>
          <w:tcPr>
            <w:tcW w:w="1126" w:type="dxa"/>
            <w:vAlign w:val="center"/>
          </w:tcPr>
          <w:p>
            <w:pPr>
              <w:widowControl/>
              <w:wordWrap/>
              <w:autoSpaceDE/>
              <w:autoSpaceDN/>
              <w:spacing w:before="20" w:after="20"/>
              <w:ind w:firstLine="221" w:firstLineChars="100"/>
              <w:rPr>
                <w:rFonts w:ascii="宋体" w:hAnsi="宋体" w:eastAsia="宋体" w:cs="Arial"/>
                <w:b/>
                <w:bCs/>
                <w:color w:val="auto"/>
                <w:kern w:val="0"/>
                <w:sz w:val="22"/>
                <w:szCs w:val="22"/>
              </w:rPr>
            </w:pPr>
            <w:r>
              <w:rPr>
                <w:rFonts w:hint="eastAsia" w:ascii="宋体" w:hAnsi="宋体" w:eastAsia="宋体" w:cs="Arial"/>
                <w:b/>
                <w:bCs/>
                <w:color w:val="auto"/>
                <w:kern w:val="0"/>
                <w:sz w:val="22"/>
                <w:szCs w:val="22"/>
                <w:lang w:eastAsia="zh-CN"/>
              </w:rPr>
              <w:t>不适用</w:t>
            </w:r>
          </w:p>
        </w:tc>
        <w:tc>
          <w:tcPr>
            <w:tcW w:w="1116" w:type="dxa"/>
            <w:vAlign w:val="center"/>
          </w:tcPr>
          <w:p>
            <w:pPr>
              <w:widowControl/>
              <w:wordWrap/>
              <w:autoSpaceDE/>
              <w:autoSpaceDN/>
              <w:spacing w:before="20" w:after="20"/>
              <w:ind w:firstLine="221" w:firstLineChars="100"/>
              <w:rPr>
                <w:rFonts w:hint="default"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第几盒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left"/>
              <w:rPr>
                <w:rFonts w:ascii="宋体" w:hAnsi="宋体" w:eastAsia="宋体" w:cs="Arial"/>
                <w:b/>
                <w:bCs/>
                <w:color w:val="auto"/>
                <w:kern w:val="0"/>
                <w:sz w:val="22"/>
                <w:szCs w:val="22"/>
              </w:rPr>
            </w:pPr>
            <w:r>
              <w:rPr>
                <w:rFonts w:ascii="宋体" w:hAnsi="宋体" w:eastAsia="宋体" w:cs="Arial"/>
                <w:b/>
                <w:bCs/>
                <w:color w:val="auto"/>
                <w:kern w:val="0"/>
                <w:sz w:val="22"/>
                <w:szCs w:val="22"/>
              </w:rPr>
              <w:t>1</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ascii="宋体" w:hAnsi="宋体" w:eastAsia="宋体" w:cs="Arial"/>
                <w:color w:val="auto"/>
                <w:kern w:val="0"/>
                <w:sz w:val="22"/>
                <w:szCs w:val="22"/>
              </w:rPr>
            </w:pPr>
            <w:r>
              <w:rPr>
                <w:rFonts w:ascii="宋体" w:hAnsi="宋体" w:eastAsia="宋体" w:cs="Arial"/>
                <w:color w:val="auto"/>
                <w:kern w:val="0"/>
                <w:sz w:val="22"/>
                <w:szCs w:val="22"/>
              </w:rPr>
              <w:t>1.1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研究协议</w:t>
            </w:r>
          </w:p>
        </w:tc>
        <w:tc>
          <w:tcPr>
            <w:tcW w:w="4240" w:type="dxa"/>
            <w:gridSpan w:val="4"/>
            <w:vAlign w:val="center"/>
          </w:tcPr>
          <w:p>
            <w:pPr>
              <w:widowControl/>
              <w:wordWrap/>
              <w:autoSpaceDE/>
              <w:autoSpaceDN/>
              <w:spacing w:before="20" w:after="20"/>
              <w:jc w:val="center"/>
              <w:rPr>
                <w:rFonts w:ascii="宋体" w:hAnsi="宋体" w:eastAsia="宋体" w:cs="Arial"/>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ascii="宋体" w:hAnsi="宋体" w:eastAsia="宋体" w:cs="Arial"/>
                <w:color w:val="auto"/>
                <w:kern w:val="0"/>
                <w:sz w:val="22"/>
                <w:szCs w:val="22"/>
              </w:rPr>
            </w:pP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default" w:eastAsiaTheme="minorEastAsia"/>
                <w:color w:val="auto"/>
                <w:lang w:val="en-US" w:eastAsia="zh-CN"/>
              </w:rPr>
              <w:t>研究者和临床试验机构与申办者签署</w:t>
            </w:r>
            <w:r>
              <w:rPr>
                <w:rFonts w:hint="eastAsia" w:eastAsiaTheme="minorEastAsia"/>
                <w:color w:val="auto"/>
                <w:lang w:val="en-US" w:eastAsia="zh-CN"/>
              </w:rPr>
              <w:t>的合同</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ascii="宋体" w:hAnsi="宋体" w:eastAsia="宋体" w:cs="Arial"/>
                <w:color w:val="auto"/>
                <w:kern w:val="0"/>
                <w:sz w:val="22"/>
                <w:szCs w:val="22"/>
              </w:rPr>
            </w:pP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val="en-US" w:eastAsia="zh-CN"/>
              </w:rPr>
            </w:pPr>
            <w:r>
              <w:rPr>
                <w:rFonts w:hint="default" w:eastAsiaTheme="minorEastAsia"/>
                <w:color w:val="auto"/>
                <w:lang w:val="en-US" w:eastAsia="zh-CN"/>
              </w:rPr>
              <w:t>研究者和临床试验机构与合同研究组织签署的合同</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ascii="宋体" w:hAnsi="宋体" w:eastAsia="宋体" w:cs="Arial"/>
                <w:color w:val="auto"/>
                <w:kern w:val="0"/>
                <w:sz w:val="22"/>
                <w:szCs w:val="22"/>
              </w:rPr>
            </w:pP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eastAsiaTheme="minorEastAsia"/>
                <w:color w:val="auto"/>
                <w:lang w:val="en-US" w:eastAsia="zh-CN"/>
              </w:rPr>
            </w:pPr>
            <w:r>
              <w:rPr>
                <w:rFonts w:hint="default" w:eastAsiaTheme="minorEastAsia"/>
                <w:color w:val="auto"/>
                <w:lang w:val="en-US" w:eastAsia="zh-CN"/>
              </w:rPr>
              <w:t>申办者与合同研究组织签署的合同</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ascii="宋体" w:hAnsi="宋体" w:eastAsia="宋体" w:cs="Arial"/>
                <w:color w:val="auto"/>
                <w:kern w:val="0"/>
                <w:sz w:val="22"/>
                <w:szCs w:val="22"/>
              </w:rPr>
            </w:pP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eastAsiaTheme="minorEastAsia"/>
                <w:color w:val="auto"/>
                <w:lang w:val="en-US" w:eastAsia="zh-CN"/>
              </w:rPr>
            </w:pPr>
            <w:r>
              <w:rPr>
                <w:rFonts w:hint="eastAsia" w:eastAsiaTheme="minorEastAsia"/>
                <w:color w:val="auto"/>
                <w:lang w:val="en-US" w:eastAsia="zh-CN"/>
              </w:rPr>
              <w:t>临床试验的财务合同</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1</w:t>
            </w:r>
            <w:r>
              <w:rPr>
                <w:rFonts w:ascii="宋体" w:hAnsi="宋体" w:eastAsia="宋体" w:cs="Arial"/>
                <w:color w:val="auto"/>
                <w:kern w:val="0"/>
                <w:sz w:val="22"/>
                <w:szCs w:val="22"/>
                <w:lang w:eastAsia="zh-CN"/>
              </w:rPr>
              <w:t>.2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微软雅黑"/>
                <w:color w:val="auto"/>
                <w:kern w:val="0"/>
                <w:sz w:val="22"/>
                <w:szCs w:val="22"/>
                <w:lang w:val="en-US" w:eastAsia="zh-CN"/>
              </w:rPr>
            </w:pPr>
            <w:r>
              <w:rPr>
                <w:rFonts w:hint="eastAsia" w:ascii="宋体" w:hAnsi="宋体" w:eastAsia="宋体" w:cs="微软雅黑"/>
                <w:color w:val="auto"/>
                <w:kern w:val="0"/>
                <w:sz w:val="22"/>
                <w:szCs w:val="22"/>
                <w:lang w:val="en-US" w:eastAsia="zh-CN"/>
              </w:rPr>
              <w:t>保险文件（若有）</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微软雅黑"/>
                <w:color w:val="auto"/>
                <w:kern w:val="0"/>
                <w:sz w:val="22"/>
                <w:szCs w:val="22"/>
                <w:lang w:val="en-US" w:eastAsia="zh-CN"/>
              </w:rPr>
            </w:pPr>
            <w:r>
              <w:rPr>
                <w:rFonts w:hint="eastAsia" w:ascii="宋体" w:hAnsi="宋体" w:eastAsia="宋体" w:cs="微软雅黑"/>
                <w:color w:val="auto"/>
                <w:kern w:val="0"/>
                <w:sz w:val="22"/>
                <w:szCs w:val="22"/>
                <w:lang w:val="en-US" w:eastAsia="zh-CN"/>
              </w:rPr>
              <w:t>其他：</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left"/>
              <w:rPr>
                <w:rFonts w:ascii="宋体" w:hAnsi="宋体" w:eastAsia="宋体" w:cs="Arial"/>
                <w:b/>
                <w:bCs/>
                <w:color w:val="auto"/>
                <w:kern w:val="0"/>
                <w:sz w:val="22"/>
                <w:szCs w:val="22"/>
              </w:rPr>
            </w:pPr>
            <w:r>
              <w:rPr>
                <w:rFonts w:ascii="宋体" w:hAnsi="宋体" w:eastAsia="宋体" w:cs="Arial"/>
                <w:b/>
                <w:bCs/>
                <w:color w:val="auto"/>
                <w:kern w:val="0"/>
                <w:sz w:val="22"/>
                <w:szCs w:val="22"/>
              </w:rPr>
              <w:t>2</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研究主要文件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2.1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color w:val="auto"/>
              </w:rPr>
              <w:t>药品监督管理部门对临床试验方案的许可、备案</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rPr>
            </w:pPr>
            <w:r>
              <w:rPr>
                <w:rFonts w:ascii="宋体" w:hAnsi="宋体" w:eastAsia="宋体" w:cs="Arial"/>
                <w:color w:val="auto"/>
                <w:kern w:val="0"/>
                <w:sz w:val="22"/>
                <w:szCs w:val="22"/>
              </w:rPr>
              <w:t>2.</w:t>
            </w:r>
            <w:r>
              <w:rPr>
                <w:rFonts w:hint="eastAsia" w:ascii="宋体" w:hAnsi="宋体" w:eastAsia="宋体" w:cs="Arial"/>
                <w:color w:val="auto"/>
                <w:kern w:val="0"/>
                <w:sz w:val="22"/>
                <w:szCs w:val="22"/>
                <w:lang w:val="en-US" w:eastAsia="zh-CN"/>
              </w:rPr>
              <w:t>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研究者手册（</w:t>
            </w:r>
            <w:r>
              <w:rPr>
                <w:rFonts w:hint="eastAsia" w:ascii="宋体" w:hAnsi="宋体" w:eastAsia="宋体" w:cs="Arial"/>
                <w:color w:val="auto"/>
                <w:kern w:val="0"/>
                <w:sz w:val="22"/>
                <w:szCs w:val="22"/>
                <w:lang w:val="en-US" w:eastAsia="zh-CN"/>
              </w:rPr>
              <w:t>版本及版本日期</w:t>
            </w:r>
            <w:r>
              <w:rPr>
                <w:rFonts w:hint="eastAsia" w:ascii="宋体" w:hAnsi="宋体" w:eastAsia="宋体" w:cs="Arial"/>
                <w:color w:val="auto"/>
                <w:kern w:val="0"/>
                <w:sz w:val="22"/>
                <w:szCs w:val="22"/>
                <w:lang w:eastAsia="zh-CN"/>
              </w:rPr>
              <w:t>）</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rPr>
            </w:pPr>
            <w:r>
              <w:rPr>
                <w:rFonts w:ascii="宋体" w:hAnsi="宋体" w:eastAsia="宋体" w:cs="Arial"/>
                <w:color w:val="auto"/>
                <w:kern w:val="0"/>
                <w:sz w:val="22"/>
                <w:szCs w:val="22"/>
              </w:rPr>
              <w:t>2.</w:t>
            </w:r>
            <w:r>
              <w:rPr>
                <w:rFonts w:hint="eastAsia" w:ascii="宋体" w:hAnsi="宋体" w:eastAsia="宋体" w:cs="Arial"/>
                <w:color w:val="auto"/>
                <w:kern w:val="0"/>
                <w:sz w:val="22"/>
                <w:szCs w:val="22"/>
                <w:lang w:val="en-US" w:eastAsia="zh-CN"/>
              </w:rPr>
              <w:t>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临床试验方案</w:t>
            </w:r>
            <w:r>
              <w:rPr>
                <w:rFonts w:hint="eastAsia" w:ascii="宋体" w:hAnsi="宋体" w:eastAsia="宋体" w:cs="Arial"/>
                <w:color w:val="auto"/>
                <w:kern w:val="0"/>
                <w:sz w:val="22"/>
                <w:szCs w:val="22"/>
                <w:lang w:eastAsia="zh-CN"/>
              </w:rPr>
              <w:t>（</w:t>
            </w:r>
            <w:r>
              <w:rPr>
                <w:rFonts w:hint="eastAsia" w:ascii="宋体" w:hAnsi="宋体" w:eastAsia="宋体" w:cs="Arial"/>
                <w:color w:val="auto"/>
                <w:kern w:val="0"/>
                <w:sz w:val="22"/>
                <w:szCs w:val="22"/>
                <w:lang w:val="en-US" w:eastAsia="zh-CN"/>
              </w:rPr>
              <w:t>版本及版本日期</w:t>
            </w:r>
            <w:r>
              <w:rPr>
                <w:rFonts w:hint="eastAsia" w:ascii="宋体" w:hAnsi="宋体" w:eastAsia="宋体" w:cs="Arial"/>
                <w:color w:val="auto"/>
                <w:kern w:val="0"/>
                <w:sz w:val="22"/>
                <w:szCs w:val="22"/>
                <w:lang w:eastAsia="zh-CN"/>
              </w:rPr>
              <w:t>）</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2.4</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eastAsia="zh-CN"/>
              </w:rPr>
              <w:t>空白</w:t>
            </w:r>
            <w:r>
              <w:rPr>
                <w:rFonts w:hint="eastAsia" w:ascii="宋体" w:hAnsi="宋体" w:eastAsia="宋体" w:cs="Arial"/>
                <w:color w:val="auto"/>
                <w:kern w:val="0"/>
                <w:sz w:val="22"/>
                <w:szCs w:val="22"/>
                <w:lang w:val="en-US" w:eastAsia="zh-CN"/>
              </w:rPr>
              <w:t>病例报告表（</w:t>
            </w:r>
            <w:r>
              <w:rPr>
                <w:rFonts w:ascii="宋体" w:hAnsi="宋体" w:eastAsia="宋体" w:cs="Arial"/>
                <w:color w:val="auto"/>
                <w:kern w:val="0"/>
                <w:sz w:val="22"/>
                <w:szCs w:val="22"/>
              </w:rPr>
              <w:t xml:space="preserve">CRF </w:t>
            </w:r>
            <w:r>
              <w:rPr>
                <w:rFonts w:hint="eastAsia" w:ascii="宋体" w:hAnsi="宋体" w:eastAsia="宋体" w:cs="Arial"/>
                <w:color w:val="auto"/>
                <w:kern w:val="0"/>
                <w:sz w:val="22"/>
                <w:szCs w:val="22"/>
                <w:lang w:val="en-US" w:eastAsia="zh-CN"/>
              </w:rPr>
              <w:t>/eCRF）</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2.5</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知情同意书</w:t>
            </w:r>
            <w:r>
              <w:rPr>
                <w:rFonts w:hint="eastAsia" w:ascii="宋体" w:hAnsi="宋体" w:eastAsia="宋体" w:cs="Arial"/>
                <w:color w:val="auto"/>
                <w:kern w:val="0"/>
                <w:sz w:val="22"/>
                <w:szCs w:val="22"/>
                <w:lang w:eastAsia="zh-CN"/>
              </w:rPr>
              <w:t>（</w:t>
            </w:r>
            <w:r>
              <w:rPr>
                <w:rFonts w:hint="eastAsia" w:ascii="宋体" w:hAnsi="宋体" w:eastAsia="宋体" w:cs="Arial"/>
                <w:color w:val="auto"/>
                <w:kern w:val="0"/>
                <w:sz w:val="22"/>
                <w:szCs w:val="22"/>
                <w:lang w:val="en-US" w:eastAsia="zh-CN"/>
              </w:rPr>
              <w:t>版本及版本日期</w:t>
            </w:r>
            <w:r>
              <w:rPr>
                <w:rFonts w:hint="eastAsia" w:ascii="宋体" w:hAnsi="宋体" w:eastAsia="宋体" w:cs="Arial"/>
                <w:color w:val="auto"/>
                <w:kern w:val="0"/>
                <w:sz w:val="22"/>
                <w:szCs w:val="22"/>
                <w:lang w:eastAsia="zh-CN"/>
              </w:rPr>
              <w:t>）</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2.6</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招募广告及其他提供给受试者的任何书面资料</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ind w:firstLine="221" w:firstLineChars="100"/>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3</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3.1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申办方资质（GMP、营业执照、药品生产许可证）</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3.2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Malgun Gothic" w:cs="Arial"/>
                <w:color w:val="auto"/>
                <w:kern w:val="0"/>
                <w:sz w:val="22"/>
                <w:szCs w:val="22"/>
                <w:lang w:val="en-US" w:eastAsia="zh-CN"/>
              </w:rPr>
            </w:pPr>
            <w:r>
              <w:rPr>
                <w:rFonts w:hint="eastAsia" w:ascii="宋体" w:hAnsi="宋体" w:eastAsia="Malgun Gothic" w:cs="Arial"/>
                <w:color w:val="auto"/>
                <w:kern w:val="0"/>
                <w:sz w:val="22"/>
                <w:szCs w:val="22"/>
                <w:lang w:val="en-US" w:eastAsia="zh-CN"/>
              </w:rPr>
              <w:t>CRO资质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3.3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CRA资质（GCP、简历、身份证复印件）</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3.4</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试验启动监查报告</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3.5</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其他</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1" w:hRule="atLeast"/>
          <w:tblHeader/>
        </w:trPr>
        <w:tc>
          <w:tcPr>
            <w:tcW w:w="1046" w:type="dxa"/>
            <w:vAlign w:val="bottom"/>
          </w:tcPr>
          <w:p>
            <w:pPr>
              <w:widowControl/>
              <w:wordWrap/>
              <w:autoSpaceDE/>
              <w:autoSpaceDN/>
              <w:spacing w:before="20" w:after="20"/>
              <w:ind w:firstLine="221" w:firstLineChars="100"/>
              <w:jc w:val="left"/>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4</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4.1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申办方对研究中心授权委托书</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4.2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申办方对CRO授权委托书</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4.3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CRO对CRA授权委托书</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4.4</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其他</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left"/>
              <w:rPr>
                <w:rFonts w:hint="default"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5</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伦理委员会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伦理委员会成员表</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机构及伦理递交信（CRA to PI、PI to EC）</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伦理意见回复函</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ind w:firstLine="462" w:firstLineChars="210"/>
              <w:jc w:val="both"/>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5.4</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伦理委员会审查意见</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5.5</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试验相关说明</w:t>
            </w:r>
            <w:r>
              <w:rPr>
                <w:rFonts w:hint="eastAsia" w:eastAsia="宋体"/>
                <w:color w:val="auto"/>
                <w:lang w:eastAsia="zh-CN"/>
              </w:rPr>
              <w:t>（</w:t>
            </w:r>
            <w:r>
              <w:rPr>
                <w:rFonts w:hint="eastAsia" w:ascii="宋体" w:hAnsi="宋体" w:eastAsia="宋体" w:cs="Arial"/>
                <w:color w:val="auto"/>
                <w:kern w:val="0"/>
                <w:sz w:val="22"/>
                <w:szCs w:val="22"/>
                <w:lang w:eastAsia="zh-CN"/>
              </w:rPr>
              <w:t>伦理沟通文件及其他</w:t>
            </w:r>
            <w:r>
              <w:rPr>
                <w:rFonts w:hint="eastAsia" w:ascii="宋体" w:hAnsi="宋体" w:eastAsia="宋体" w:cs="Arial"/>
                <w:color w:val="auto"/>
                <w:kern w:val="0"/>
                <w:sz w:val="22"/>
                <w:szCs w:val="22"/>
                <w:lang w:val="en-US" w:eastAsia="zh-CN"/>
              </w:rPr>
              <w:t>备案文件如方案违背</w:t>
            </w:r>
            <w:r>
              <w:rPr>
                <w:rFonts w:hint="eastAsia" w:eastAsia="宋体"/>
                <w:color w:val="auto"/>
                <w:lang w:eastAsia="zh-CN"/>
              </w:rPr>
              <w:t>）</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5.6</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eastAsia="zh-CN"/>
              </w:rPr>
              <w:t>中期/年度报告</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7"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5.7</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致伦理委员的试验完成报告</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5.8</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临床试验总结报告</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5.9</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其他重要文件（如遗传办批件）</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left"/>
              <w:rPr>
                <w:rFonts w:hint="eastAsia" w:ascii="宋体" w:hAnsi="宋体" w:eastAsia="宋体" w:cs="Arial"/>
                <w:b/>
                <w:color w:val="auto"/>
                <w:kern w:val="0"/>
                <w:sz w:val="22"/>
                <w:szCs w:val="22"/>
                <w:lang w:val="en-US" w:eastAsia="zh-CN"/>
              </w:rPr>
            </w:pPr>
            <w:r>
              <w:rPr>
                <w:rFonts w:hint="eastAsia" w:ascii="宋体" w:hAnsi="宋体" w:eastAsia="宋体" w:cs="Arial"/>
                <w:b/>
                <w:bCs/>
                <w:color w:val="auto"/>
                <w:kern w:val="0"/>
                <w:sz w:val="22"/>
                <w:szCs w:val="22"/>
              </w:rPr>
              <w:t xml:space="preserve">  </w:t>
            </w:r>
            <w:r>
              <w:rPr>
                <w:rFonts w:hint="eastAsia" w:ascii="宋体" w:hAnsi="宋体" w:eastAsia="宋体" w:cs="Arial"/>
                <w:b/>
                <w:bCs/>
                <w:color w:val="auto"/>
                <w:kern w:val="0"/>
                <w:sz w:val="22"/>
                <w:szCs w:val="22"/>
                <w:lang w:val="en-US" w:eastAsia="zh-CN"/>
              </w:rPr>
              <w:t>6</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color w:val="auto"/>
                <w:kern w:val="0"/>
                <w:sz w:val="22"/>
                <w:szCs w:val="22"/>
                <w:lang w:eastAsia="zh-CN"/>
              </w:rPr>
            </w:pPr>
            <w:r>
              <w:rPr>
                <w:rFonts w:hint="eastAsia" w:ascii="宋体" w:hAnsi="宋体" w:eastAsia="宋体" w:cs="Arial"/>
                <w:b/>
                <w:color w:val="auto"/>
                <w:kern w:val="0"/>
                <w:sz w:val="22"/>
                <w:szCs w:val="22"/>
                <w:lang w:eastAsia="zh-CN"/>
              </w:rPr>
              <w:t>研究参与人员信息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ascii="宋体" w:hAnsi="宋体" w:eastAsia="宋体" w:cs="Arial"/>
                <w:color w:val="auto"/>
                <w:kern w:val="0"/>
                <w:sz w:val="22"/>
                <w:szCs w:val="22"/>
              </w:rPr>
            </w:pPr>
            <w:r>
              <w:rPr>
                <w:rFonts w:hint="eastAsia" w:ascii="宋体" w:hAnsi="宋体" w:eastAsia="宋体" w:cs="Arial"/>
                <w:color w:val="auto"/>
                <w:kern w:val="0"/>
                <w:sz w:val="22"/>
                <w:szCs w:val="22"/>
                <w:lang w:val="en-US" w:eastAsia="zh-CN"/>
              </w:rPr>
              <w:t>6</w:t>
            </w:r>
            <w:r>
              <w:rPr>
                <w:rFonts w:hint="eastAsia" w:ascii="宋体" w:hAnsi="宋体" w:eastAsia="宋体" w:cs="Arial"/>
                <w:color w:val="auto"/>
                <w:kern w:val="0"/>
                <w:sz w:val="22"/>
                <w:szCs w:val="22"/>
              </w:rPr>
              <w:t>.1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rPr>
            </w:pPr>
            <w:r>
              <w:rPr>
                <w:rFonts w:hint="eastAsia" w:ascii="宋体" w:hAnsi="宋体" w:eastAsia="宋体" w:cs="Arial"/>
                <w:color w:val="auto"/>
                <w:kern w:val="0"/>
                <w:sz w:val="22"/>
                <w:szCs w:val="22"/>
                <w:lang w:eastAsia="zh-CN"/>
              </w:rPr>
              <w:t>职责授权分工表</w:t>
            </w:r>
          </w:p>
        </w:tc>
        <w:tc>
          <w:tcPr>
            <w:tcW w:w="935"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val="en-US" w:eastAsia="zh-CN"/>
              </w:rPr>
              <w:t>6</w:t>
            </w:r>
            <w:r>
              <w:rPr>
                <w:rFonts w:ascii="宋体" w:hAnsi="宋体" w:eastAsia="宋体" w:cs="Arial"/>
                <w:color w:val="auto"/>
                <w:kern w:val="0"/>
                <w:sz w:val="22"/>
                <w:szCs w:val="22"/>
                <w:lang w:eastAsia="zh-CN"/>
              </w:rPr>
              <w:t>.2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PI简历及资质</w:t>
            </w:r>
          </w:p>
        </w:tc>
        <w:tc>
          <w:tcPr>
            <w:tcW w:w="935"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6.3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研究者简历</w:t>
            </w:r>
            <w:r>
              <w:rPr>
                <w:rFonts w:hint="eastAsia" w:eastAsia="宋体"/>
                <w:color w:val="auto"/>
                <w:lang w:val="en-US" w:eastAsia="zh-CN"/>
              </w:rPr>
              <w:t>及资质</w:t>
            </w:r>
          </w:p>
        </w:tc>
        <w:tc>
          <w:tcPr>
            <w:tcW w:w="935"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left"/>
              <w:rPr>
                <w:rFonts w:hint="default"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7</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会议及培训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7.1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方案讨论会会议纪要/记录</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7.2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启动会签到表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7.3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授权分工表及签名样张</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7.4</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保密承诺</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7.5</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启动会培训资料（如PPT）</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bookmarkStart w:id="3" w:name="OLE_LINK15"/>
            <w:bookmarkStart w:id="4" w:name="OLE_LINK16"/>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bookmarkEnd w:id="3"/>
            <w:bookmarkEnd w:id="4"/>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7.6</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其他</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ind w:firstLine="221" w:firstLineChars="100"/>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8</w:t>
            </w:r>
          </w:p>
        </w:tc>
        <w:tc>
          <w:tcPr>
            <w:tcW w:w="9343" w:type="dxa"/>
            <w:gridSpan w:val="5"/>
            <w:vAlign w:val="center"/>
          </w:tcPr>
          <w:p>
            <w:pPr>
              <w:widowControl/>
              <w:wordWrap/>
              <w:autoSpaceDE/>
              <w:autoSpaceDN/>
              <w:spacing w:before="20" w:after="20"/>
              <w:jc w:val="left"/>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研究药物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8.1</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参比制剂说明书</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8.2</w:t>
            </w:r>
          </w:p>
        </w:tc>
        <w:tc>
          <w:tcPr>
            <w:tcW w:w="5103" w:type="dxa"/>
            <w:vAlign w:val="center"/>
          </w:tcPr>
          <w:p>
            <w:pPr>
              <w:widowControl/>
              <w:wordWrap/>
              <w:autoSpaceDE/>
              <w:autoSpaceDN/>
              <w:spacing w:before="20" w:after="2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试验用药品的检验报告（参比制剂、受试制剂）</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8.3</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一次性进口批件</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8.4</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试验用药品的包装盒标签样本</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8.5</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试验用药物接收登记表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8.6</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试验药物发放回收记录表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8.7</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试验用药物请领单</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8.8</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试验用药物出入库记录表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8.9</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试验用药物退还表及物流单</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8.10</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试验用药品销毁证明</w:t>
            </w:r>
          </w:p>
        </w:tc>
        <w:tc>
          <w:tcPr>
            <w:tcW w:w="935"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8.11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药品存储温湿度记录表</w:t>
            </w:r>
          </w:p>
        </w:tc>
        <w:tc>
          <w:tcPr>
            <w:tcW w:w="935"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8.12</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其他</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ind w:firstLine="221" w:firstLineChars="100"/>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9</w:t>
            </w:r>
          </w:p>
        </w:tc>
        <w:tc>
          <w:tcPr>
            <w:tcW w:w="9343" w:type="dxa"/>
            <w:gridSpan w:val="5"/>
            <w:vAlign w:val="center"/>
          </w:tcPr>
          <w:p>
            <w:pPr>
              <w:widowControl/>
              <w:wordWrap/>
              <w:autoSpaceDE/>
              <w:autoSpaceDN/>
              <w:spacing w:before="20" w:after="20"/>
              <w:jc w:val="left"/>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9.1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中心实验室资质</w:t>
            </w:r>
            <w:r>
              <w:rPr>
                <w:rFonts w:hint="eastAsia"/>
                <w:color w:val="auto"/>
                <w:lang w:eastAsia="zh-CN"/>
              </w:rPr>
              <w:t>（</w:t>
            </w:r>
            <w:r>
              <w:rPr>
                <w:rFonts w:hint="eastAsia"/>
                <w:color w:val="auto"/>
                <w:lang w:val="en-US" w:eastAsia="zh-CN"/>
              </w:rPr>
              <w:t>室间质评证书等</w:t>
            </w:r>
            <w:r>
              <w:rPr>
                <w:rFonts w:hint="eastAsia"/>
                <w:color w:val="auto"/>
                <w:lang w:eastAsia="zh-CN"/>
              </w:rPr>
              <w:t>）</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9.2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中心实验室负责人简历</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9.3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color w:val="auto"/>
                <w:lang w:val="en-US" w:eastAsia="zh-CN"/>
              </w:rPr>
              <w:t>中心实验室</w:t>
            </w:r>
            <w:r>
              <w:rPr>
                <w:rFonts w:hint="eastAsia"/>
                <w:color w:val="auto"/>
              </w:rPr>
              <w:t>在试验方案中涉及的医学、实验室、专业技术操作和相关检测的参考值和参考值范围</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26"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9.4</w:t>
            </w:r>
          </w:p>
        </w:tc>
        <w:tc>
          <w:tcPr>
            <w:tcW w:w="5103" w:type="dxa"/>
            <w:vAlign w:val="center"/>
          </w:tcPr>
          <w:p>
            <w:pPr>
              <w:pStyle w:val="43"/>
              <w:keepNext w:val="0"/>
              <w:keepLines w:val="0"/>
              <w:pageBreakBefore w:val="0"/>
              <w:numPr>
                <w:ilvl w:val="0"/>
                <w:numId w:val="0"/>
              </w:numPr>
              <w:kinsoku/>
              <w:overflowPunct/>
              <w:topLinePunct w:val="0"/>
              <w:bidi w:val="0"/>
              <w:adjustRightInd/>
              <w:snapToGrid/>
              <w:ind w:left="105" w:leftChars="50"/>
              <w:textAlignment w:val="auto"/>
              <w:rPr>
                <w:rFonts w:ascii="宋体" w:hAnsi="宋体" w:eastAsia="宋体" w:cs="Arial"/>
                <w:color w:val="auto"/>
                <w:kern w:val="0"/>
                <w:sz w:val="22"/>
                <w:szCs w:val="22"/>
                <w:lang w:eastAsia="zh-CN"/>
              </w:rPr>
            </w:pPr>
            <w:r>
              <w:rPr>
                <w:rFonts w:hint="eastAsia" w:ascii="宋体" w:hAnsi="宋体" w:eastAsia="宋体" w:cs="Times New Roman"/>
                <w:b w:val="0"/>
                <w:bCs w:val="0"/>
                <w:color w:val="auto"/>
                <w:kern w:val="2"/>
                <w:sz w:val="21"/>
                <w:szCs w:val="22"/>
                <w:lang w:val="en-US" w:eastAsia="zh-CN" w:bidi="ar-SA"/>
              </w:rPr>
              <w:t>中心实验室物资预定、运输及确认</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9.5</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本院实验室资质</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9.6</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本院实验室</w:t>
            </w:r>
            <w:r>
              <w:rPr>
                <w:rFonts w:hint="eastAsia"/>
                <w:color w:val="auto"/>
              </w:rPr>
              <w:t>在试验方案中涉及的医学、实验室、专业技术操作和相关检测的参考值和参考值范围</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9.7</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本院实验室仪器校准证明</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9.8</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与实验室相关的其他文件</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left"/>
              <w:rPr>
                <w:rFonts w:hint="default"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10</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eastAsia="zh-CN"/>
              </w:rPr>
            </w:pPr>
            <w:r>
              <w:rPr>
                <w:rFonts w:hint="eastAsia" w:ascii="宋体" w:hAnsi="宋体" w:eastAsia="宋体" w:cs="Arial"/>
                <w:b/>
                <w:bCs/>
                <w:color w:val="auto"/>
                <w:kern w:val="0"/>
                <w:sz w:val="22"/>
                <w:szCs w:val="22"/>
                <w:lang w:eastAsia="zh-CN"/>
              </w:rPr>
              <w:t>随机和破盲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10.1</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随机方案</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10.2</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盲法试验的揭盲程序</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01" w:hRule="atLeas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10.3</w:t>
            </w:r>
          </w:p>
        </w:tc>
        <w:tc>
          <w:tcPr>
            <w:tcW w:w="5103" w:type="dxa"/>
            <w:vAlign w:val="center"/>
          </w:tcPr>
          <w:p>
            <w:pPr>
              <w:widowControl/>
              <w:wordWrap/>
              <w:autoSpaceDE/>
              <w:autoSpaceDN/>
              <w:spacing w:before="20" w:after="20"/>
              <w:ind w:left="105" w:leftChars="50"/>
              <w:jc w:val="left"/>
              <w:rPr>
                <w:rFonts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破盲记录表</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10.4</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应急信封接收与回收</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left"/>
              <w:rPr>
                <w:rFonts w:hint="eastAsia" w:ascii="宋体" w:hAnsi="宋体" w:eastAsia="宋体" w:cs="Arial"/>
                <w:b/>
                <w:bCs/>
                <w:color w:val="auto"/>
                <w:kern w:val="0"/>
                <w:sz w:val="22"/>
                <w:szCs w:val="22"/>
                <w:lang w:val="en-US" w:eastAsia="zh-CN"/>
              </w:rPr>
            </w:pPr>
            <w:r>
              <w:rPr>
                <w:rFonts w:ascii="宋体" w:hAnsi="宋体" w:eastAsia="宋体" w:cs="Arial"/>
                <w:b/>
                <w:bCs/>
                <w:color w:val="auto"/>
                <w:kern w:val="0"/>
                <w:sz w:val="22"/>
                <w:szCs w:val="22"/>
              </w:rPr>
              <w:t>1</w:t>
            </w:r>
            <w:r>
              <w:rPr>
                <w:rFonts w:hint="eastAsia" w:ascii="宋体" w:hAnsi="宋体" w:eastAsia="宋体" w:cs="Arial"/>
                <w:b/>
                <w:bCs/>
                <w:color w:val="auto"/>
                <w:kern w:val="0"/>
                <w:sz w:val="22"/>
                <w:szCs w:val="22"/>
                <w:lang w:val="en-US" w:eastAsia="zh-CN"/>
              </w:rPr>
              <w:t>1</w:t>
            </w:r>
          </w:p>
        </w:tc>
        <w:tc>
          <w:tcPr>
            <w:tcW w:w="9343" w:type="dxa"/>
            <w:gridSpan w:val="5"/>
            <w:vAlign w:val="center"/>
          </w:tcPr>
          <w:p>
            <w:pPr>
              <w:widowControl/>
              <w:wordWrap/>
              <w:autoSpaceDE/>
              <w:autoSpaceDN/>
              <w:spacing w:before="20" w:after="20"/>
              <w:jc w:val="left"/>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临床监查/稽查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1" w:hRule="atLeas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11.1</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val="en-US" w:eastAsia="zh-CN"/>
              </w:rPr>
              <w:t>研究前中心监查（PSV）确认信函/随访信函</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1" w:hRule="atLeas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11.2</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研究中心启动监查(SIV)确认信函/报随访信函</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403" w:hRule="atLeas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11.3</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常规监查（RMV)确认信函/随访信函</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11.4</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研究中心关闭（COV）确认信函/随访信函</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7" w:hRule="atLeas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11.5</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稽查确认函</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11.6</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稽查随访信函</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11.7</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与稽查相关的通讯</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11.8</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其他文件</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left"/>
              <w:rPr>
                <w:rFonts w:hint="eastAsia" w:ascii="宋体" w:hAnsi="宋体" w:eastAsia="宋体" w:cs="Arial"/>
                <w:b/>
                <w:bCs/>
                <w:color w:val="auto"/>
                <w:kern w:val="0"/>
                <w:sz w:val="22"/>
                <w:szCs w:val="22"/>
                <w:lang w:val="en-US" w:eastAsia="zh-CN"/>
              </w:rPr>
            </w:pPr>
            <w:r>
              <w:rPr>
                <w:rFonts w:ascii="宋体" w:hAnsi="宋体" w:eastAsia="宋体" w:cs="Arial"/>
                <w:b/>
                <w:bCs/>
                <w:color w:val="auto"/>
                <w:kern w:val="0"/>
                <w:sz w:val="22"/>
                <w:szCs w:val="22"/>
              </w:rPr>
              <w:t>1</w:t>
            </w:r>
            <w:r>
              <w:rPr>
                <w:rFonts w:hint="eastAsia" w:ascii="宋体" w:hAnsi="宋体" w:eastAsia="宋体" w:cs="Arial"/>
                <w:b/>
                <w:bCs/>
                <w:color w:val="auto"/>
                <w:kern w:val="0"/>
                <w:sz w:val="22"/>
                <w:szCs w:val="22"/>
                <w:lang w:val="en-US" w:eastAsia="zh-CN"/>
              </w:rPr>
              <w:t>2</w:t>
            </w:r>
          </w:p>
        </w:tc>
        <w:tc>
          <w:tcPr>
            <w:tcW w:w="9343" w:type="dxa"/>
            <w:gridSpan w:val="5"/>
            <w:vAlign w:val="center"/>
          </w:tcPr>
          <w:p>
            <w:pPr>
              <w:widowControl/>
              <w:wordWrap/>
              <w:autoSpaceDE/>
              <w:autoSpaceDN/>
              <w:spacing w:before="20" w:after="20"/>
              <w:jc w:val="left"/>
              <w:rPr>
                <w:rFonts w:hint="eastAsia" w:ascii="宋体" w:hAnsi="宋体" w:eastAsia="宋体" w:cs="Arial"/>
                <w:b/>
                <w:bCs/>
                <w:color w:val="auto"/>
                <w:kern w:val="0"/>
                <w:sz w:val="22"/>
                <w:szCs w:val="22"/>
                <w:lang w:eastAsia="zh-CN"/>
              </w:rPr>
            </w:pPr>
            <w:r>
              <w:rPr>
                <w:rFonts w:hint="eastAsia" w:ascii="宋体" w:hAnsi="宋体" w:eastAsia="宋体" w:cs="Arial"/>
                <w:b/>
                <w:bCs/>
                <w:color w:val="auto"/>
                <w:kern w:val="0"/>
                <w:sz w:val="22"/>
                <w:szCs w:val="22"/>
                <w:lang w:eastAsia="zh-CN"/>
              </w:rPr>
              <w:t>试验物资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2</w:t>
            </w:r>
            <w:r>
              <w:rPr>
                <w:rFonts w:ascii="宋体" w:hAnsi="宋体" w:eastAsia="宋体" w:cs="Arial"/>
                <w:color w:val="auto"/>
                <w:kern w:val="0"/>
                <w:sz w:val="22"/>
                <w:szCs w:val="22"/>
                <w:lang w:eastAsia="zh-CN"/>
              </w:rPr>
              <w:t>.1</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eastAsia="zh-CN"/>
              </w:rPr>
              <w:t>仪器、耗材交接</w:t>
            </w:r>
            <w:r>
              <w:rPr>
                <w:rFonts w:hint="eastAsia" w:ascii="宋体" w:hAnsi="宋体" w:eastAsia="宋体" w:cs="Arial"/>
                <w:color w:val="auto"/>
                <w:kern w:val="0"/>
                <w:sz w:val="22"/>
                <w:szCs w:val="22"/>
                <w:lang w:val="en-US" w:eastAsia="zh-CN"/>
              </w:rPr>
              <w:t>证明</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2</w:t>
            </w:r>
            <w:r>
              <w:rPr>
                <w:rFonts w:ascii="宋体" w:hAnsi="宋体" w:eastAsia="宋体" w:cs="Arial"/>
                <w:color w:val="auto"/>
                <w:kern w:val="0"/>
                <w:sz w:val="22"/>
                <w:szCs w:val="22"/>
                <w:lang w:eastAsia="zh-CN"/>
              </w:rPr>
              <w:t>.2</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eastAsia="zh-CN"/>
              </w:rPr>
              <w:t>试验印刷材料交接</w:t>
            </w:r>
            <w:r>
              <w:rPr>
                <w:rFonts w:hint="eastAsia" w:ascii="宋体" w:hAnsi="宋体" w:eastAsia="宋体" w:cs="Arial"/>
                <w:color w:val="auto"/>
                <w:kern w:val="0"/>
                <w:sz w:val="22"/>
                <w:szCs w:val="22"/>
                <w:lang w:val="en-US" w:eastAsia="zh-CN"/>
              </w:rPr>
              <w:t>证明</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2</w:t>
            </w:r>
            <w:r>
              <w:rPr>
                <w:rFonts w:ascii="宋体" w:hAnsi="宋体" w:eastAsia="宋体" w:cs="Arial"/>
                <w:color w:val="auto"/>
                <w:kern w:val="0"/>
                <w:sz w:val="22"/>
                <w:szCs w:val="22"/>
                <w:lang w:eastAsia="zh-CN"/>
              </w:rPr>
              <w:t>.3</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eastAsia="zh-CN"/>
              </w:rPr>
              <w:t>研究中心文件物料交接</w:t>
            </w:r>
            <w:r>
              <w:rPr>
                <w:rFonts w:hint="eastAsia" w:ascii="宋体" w:hAnsi="宋体" w:eastAsia="宋体" w:cs="Arial"/>
                <w:color w:val="auto"/>
                <w:kern w:val="0"/>
                <w:sz w:val="22"/>
                <w:szCs w:val="22"/>
                <w:lang w:val="en-US" w:eastAsia="zh-CN"/>
              </w:rPr>
              <w:t>证明</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2</w:t>
            </w:r>
            <w:r>
              <w:rPr>
                <w:rFonts w:hint="eastAsia" w:ascii="宋体" w:hAnsi="宋体" w:eastAsia="宋体" w:cs="Arial"/>
                <w:color w:val="auto"/>
                <w:kern w:val="0"/>
                <w:sz w:val="22"/>
                <w:szCs w:val="22"/>
                <w:lang w:eastAsia="zh-CN"/>
              </w:rPr>
              <w:t>.</w:t>
            </w:r>
            <w:r>
              <w:rPr>
                <w:rFonts w:ascii="宋体" w:hAnsi="宋体" w:eastAsia="宋体" w:cs="Arial"/>
                <w:color w:val="auto"/>
                <w:kern w:val="0"/>
                <w:sz w:val="22"/>
                <w:szCs w:val="22"/>
                <w:lang w:eastAsia="zh-CN"/>
              </w:rPr>
              <w:t>4</w:t>
            </w:r>
          </w:p>
        </w:tc>
        <w:tc>
          <w:tcPr>
            <w:tcW w:w="5103" w:type="dxa"/>
            <w:vAlign w:val="center"/>
          </w:tcPr>
          <w:p>
            <w:pPr>
              <w:widowControl/>
              <w:wordWrap/>
              <w:autoSpaceDE/>
              <w:autoSpaceDN/>
              <w:spacing w:before="20" w:after="20"/>
              <w:ind w:left="105" w:leftChars="50"/>
              <w:jc w:val="left"/>
              <w:rPr>
                <w:rFonts w:ascii="宋体" w:hAnsi="宋体" w:eastAsia="宋体" w:cs="Arial"/>
                <w:color w:val="auto"/>
                <w:kern w:val="0"/>
                <w:sz w:val="22"/>
                <w:szCs w:val="22"/>
              </w:rPr>
            </w:pPr>
            <w:r>
              <w:rPr>
                <w:rFonts w:hint="eastAsia" w:ascii="宋体" w:hAnsi="宋体" w:eastAsia="宋体" w:cs="Arial"/>
                <w:color w:val="auto"/>
                <w:kern w:val="0"/>
                <w:sz w:val="22"/>
                <w:szCs w:val="22"/>
                <w:lang w:eastAsia="zh-CN"/>
              </w:rPr>
              <w:t>其他</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left"/>
              <w:rPr>
                <w:rFonts w:hint="eastAsia" w:ascii="宋体" w:hAnsi="宋体" w:eastAsia="宋体" w:cs="Arial"/>
                <w:b/>
                <w:bCs/>
                <w:color w:val="auto"/>
                <w:kern w:val="0"/>
                <w:sz w:val="22"/>
                <w:szCs w:val="22"/>
                <w:lang w:val="en-US" w:eastAsia="zh-CN"/>
              </w:rPr>
            </w:pPr>
            <w:bookmarkStart w:id="5" w:name="_Hlk511843885"/>
            <w:r>
              <w:rPr>
                <w:rFonts w:ascii="宋体" w:hAnsi="宋体" w:eastAsia="宋体" w:cs="Arial"/>
                <w:b/>
                <w:bCs/>
                <w:color w:val="auto"/>
                <w:kern w:val="0"/>
                <w:sz w:val="22"/>
                <w:szCs w:val="22"/>
              </w:rPr>
              <w:t>1</w:t>
            </w:r>
            <w:r>
              <w:rPr>
                <w:rFonts w:hint="eastAsia" w:ascii="宋体" w:hAnsi="宋体" w:eastAsia="宋体" w:cs="Arial"/>
                <w:b/>
                <w:bCs/>
                <w:color w:val="auto"/>
                <w:kern w:val="0"/>
                <w:sz w:val="22"/>
                <w:szCs w:val="22"/>
                <w:lang w:val="en-US" w:eastAsia="zh-CN"/>
              </w:rPr>
              <w:t>3</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eastAsia="zh-CN"/>
              </w:rPr>
            </w:pPr>
            <w:r>
              <w:rPr>
                <w:rFonts w:hint="eastAsia" w:ascii="宋体" w:hAnsi="宋体" w:eastAsia="宋体" w:cs="Arial"/>
                <w:b/>
                <w:bCs/>
                <w:color w:val="auto"/>
                <w:kern w:val="0"/>
                <w:sz w:val="22"/>
                <w:szCs w:val="22"/>
                <w:lang w:eastAsia="zh-CN"/>
              </w:rPr>
              <w:t>安全性信息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bookmarkStart w:id="6" w:name="OLE_LINK6" w:colFirst="2" w:colLast="2"/>
            <w:bookmarkStart w:id="7" w:name="_Hlk339638778"/>
            <w:bookmarkStart w:id="8" w:name="OLE_LINK5" w:colFirst="2" w:colLast="2"/>
            <w:r>
              <w:rPr>
                <w:rFonts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3</w:t>
            </w:r>
            <w:r>
              <w:rPr>
                <w:rFonts w:ascii="宋体" w:hAnsi="宋体" w:eastAsia="宋体" w:cs="Arial"/>
                <w:color w:val="auto"/>
                <w:kern w:val="0"/>
                <w:sz w:val="22"/>
                <w:szCs w:val="22"/>
                <w:lang w:eastAsia="zh-CN"/>
              </w:rPr>
              <w:t>.1</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 xml:space="preserve">空白 </w:t>
            </w:r>
            <w:r>
              <w:rPr>
                <w:rFonts w:ascii="宋体" w:hAnsi="宋体" w:eastAsia="宋体" w:cs="Arial"/>
                <w:color w:val="auto"/>
                <w:kern w:val="0"/>
                <w:sz w:val="22"/>
                <w:szCs w:val="22"/>
                <w:lang w:eastAsia="zh-CN"/>
              </w:rPr>
              <w:t>SAE</w:t>
            </w:r>
            <w:r>
              <w:rPr>
                <w:rFonts w:hint="eastAsia" w:ascii="宋体" w:hAnsi="宋体" w:eastAsia="宋体" w:cs="Arial"/>
                <w:color w:val="auto"/>
                <w:kern w:val="0"/>
                <w:sz w:val="22"/>
                <w:szCs w:val="22"/>
                <w:lang w:eastAsia="zh-CN"/>
              </w:rPr>
              <w:t>报告表</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bookmarkEnd w:id="5"/>
      <w:bookmarkEnd w:id="6"/>
      <w:bookmarkEnd w:id="7"/>
      <w:bookmarkEnd w:id="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3</w:t>
            </w:r>
            <w:r>
              <w:rPr>
                <w:rFonts w:ascii="宋体" w:hAnsi="宋体" w:eastAsia="宋体" w:cs="Arial"/>
                <w:color w:val="auto"/>
                <w:kern w:val="0"/>
                <w:sz w:val="22"/>
                <w:szCs w:val="22"/>
                <w:lang w:eastAsia="zh-CN"/>
              </w:rPr>
              <w:t>.2</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S</w:t>
            </w:r>
            <w:r>
              <w:rPr>
                <w:rFonts w:ascii="宋体" w:hAnsi="宋体" w:eastAsia="宋体" w:cs="Arial"/>
                <w:color w:val="auto"/>
                <w:kern w:val="0"/>
                <w:sz w:val="22"/>
                <w:szCs w:val="22"/>
                <w:lang w:eastAsia="zh-CN"/>
              </w:rPr>
              <w:t xml:space="preserve">AE </w:t>
            </w:r>
            <w:r>
              <w:rPr>
                <w:rFonts w:hint="eastAsia" w:ascii="宋体" w:hAnsi="宋体" w:eastAsia="宋体" w:cs="Arial"/>
                <w:color w:val="auto"/>
                <w:kern w:val="0"/>
                <w:sz w:val="22"/>
                <w:szCs w:val="22"/>
                <w:lang w:eastAsia="zh-CN"/>
              </w:rPr>
              <w:t>填写指南</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3</w:t>
            </w:r>
            <w:r>
              <w:rPr>
                <w:rFonts w:ascii="宋体" w:hAnsi="宋体" w:eastAsia="宋体" w:cs="Arial"/>
                <w:color w:val="auto"/>
                <w:kern w:val="0"/>
                <w:sz w:val="22"/>
                <w:szCs w:val="22"/>
                <w:lang w:eastAsia="zh-CN"/>
              </w:rPr>
              <w:t>.3</w:t>
            </w:r>
          </w:p>
        </w:tc>
        <w:tc>
          <w:tcPr>
            <w:tcW w:w="5103" w:type="dxa"/>
            <w:vAlign w:val="bottom"/>
          </w:tcPr>
          <w:p>
            <w:pPr>
              <w:widowControl/>
              <w:wordWrap/>
              <w:autoSpaceDE/>
              <w:autoSpaceDN/>
              <w:spacing w:before="20" w:after="20"/>
              <w:ind w:left="105" w:leftChars="50"/>
              <w:jc w:val="left"/>
              <w:rPr>
                <w:rFonts w:ascii="宋体" w:hAnsi="宋体" w:eastAsia="宋体" w:cs="Arial"/>
                <w:color w:val="auto"/>
                <w:kern w:val="0"/>
                <w:sz w:val="22"/>
                <w:szCs w:val="22"/>
              </w:rPr>
            </w:pPr>
            <w:r>
              <w:rPr>
                <w:rFonts w:ascii="宋体" w:hAnsi="宋体" w:eastAsia="宋体" w:cs="Arial"/>
                <w:color w:val="auto"/>
                <w:kern w:val="0"/>
                <w:sz w:val="22"/>
                <w:szCs w:val="22"/>
              </w:rPr>
              <w:t xml:space="preserve">SAE </w:t>
            </w:r>
            <w:r>
              <w:rPr>
                <w:rFonts w:hint="eastAsia" w:ascii="宋体" w:hAnsi="宋体" w:eastAsia="宋体" w:cs="Arial"/>
                <w:color w:val="auto"/>
                <w:kern w:val="0"/>
                <w:sz w:val="22"/>
                <w:szCs w:val="22"/>
                <w:lang w:eastAsia="zh-CN"/>
              </w:rPr>
              <w:t>报告</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3</w:t>
            </w:r>
            <w:r>
              <w:rPr>
                <w:rFonts w:ascii="宋体" w:hAnsi="宋体" w:eastAsia="宋体" w:cs="Arial"/>
                <w:color w:val="auto"/>
                <w:kern w:val="0"/>
                <w:sz w:val="22"/>
                <w:szCs w:val="22"/>
                <w:lang w:eastAsia="zh-CN"/>
              </w:rPr>
              <w:t>.4</w:t>
            </w:r>
          </w:p>
        </w:tc>
        <w:tc>
          <w:tcPr>
            <w:tcW w:w="5103" w:type="dxa"/>
            <w:vAlign w:val="bottom"/>
          </w:tcPr>
          <w:p>
            <w:pPr>
              <w:widowControl/>
              <w:wordWrap/>
              <w:autoSpaceDE/>
              <w:autoSpaceDN/>
              <w:spacing w:before="20" w:after="20"/>
              <w:ind w:left="105" w:leftChars="50"/>
              <w:jc w:val="left"/>
              <w:rPr>
                <w:rFonts w:ascii="宋体" w:hAnsi="宋体" w:eastAsia="宋体" w:cs="Arial"/>
                <w:color w:val="auto"/>
                <w:kern w:val="0"/>
                <w:sz w:val="22"/>
                <w:szCs w:val="22"/>
              </w:rPr>
            </w:pPr>
            <w:r>
              <w:rPr>
                <w:rFonts w:ascii="宋体" w:hAnsi="宋体" w:eastAsia="宋体" w:cs="Arial"/>
                <w:color w:val="auto"/>
                <w:kern w:val="0"/>
                <w:sz w:val="22"/>
                <w:szCs w:val="22"/>
              </w:rPr>
              <w:t xml:space="preserve">SUSAR </w:t>
            </w:r>
            <w:r>
              <w:rPr>
                <w:rFonts w:hint="eastAsia" w:ascii="宋体" w:hAnsi="宋体" w:eastAsia="宋体" w:cs="Arial"/>
                <w:color w:val="auto"/>
                <w:kern w:val="0"/>
                <w:sz w:val="22"/>
                <w:szCs w:val="22"/>
                <w:lang w:eastAsia="zh-CN"/>
              </w:rPr>
              <w:t>报告</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3</w:t>
            </w:r>
            <w:r>
              <w:rPr>
                <w:rFonts w:ascii="宋体" w:hAnsi="宋体" w:eastAsia="宋体" w:cs="Arial"/>
                <w:color w:val="auto"/>
                <w:kern w:val="0"/>
                <w:sz w:val="22"/>
                <w:szCs w:val="22"/>
                <w:lang w:eastAsia="zh-CN"/>
              </w:rPr>
              <w:t>.5</w:t>
            </w:r>
          </w:p>
        </w:tc>
        <w:tc>
          <w:tcPr>
            <w:tcW w:w="5103" w:type="dxa"/>
            <w:vAlign w:val="center"/>
          </w:tcPr>
          <w:p>
            <w:pPr>
              <w:widowControl/>
              <w:wordWrap/>
              <w:autoSpaceDE/>
              <w:autoSpaceDN/>
              <w:spacing w:before="20" w:after="20"/>
              <w:ind w:left="105" w:leftChars="50"/>
              <w:jc w:val="left"/>
              <w:rPr>
                <w:rFonts w:hint="eastAsia" w:ascii="宋体" w:hAnsi="宋体" w:eastAsia="Malgun Gothic" w:cs="Arial"/>
                <w:color w:val="auto"/>
                <w:kern w:val="0"/>
                <w:sz w:val="22"/>
                <w:szCs w:val="22"/>
              </w:rPr>
            </w:pPr>
            <w:r>
              <w:rPr>
                <w:rFonts w:hint="eastAsia" w:ascii="宋体" w:hAnsi="宋体" w:eastAsia="宋体" w:cs="Arial"/>
                <w:color w:val="auto"/>
                <w:kern w:val="0"/>
                <w:sz w:val="22"/>
                <w:szCs w:val="22"/>
                <w:lang w:eastAsia="zh-CN"/>
              </w:rPr>
              <w:t>空白妊娠报告表</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bookmarkStart w:id="9" w:name="OLE_LINK21"/>
            <w:bookmarkStart w:id="10" w:name="OLE_LINK22"/>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bookmarkEnd w:id="9"/>
            <w:bookmarkEnd w:id="10"/>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3</w:t>
            </w:r>
            <w:r>
              <w:rPr>
                <w:rFonts w:ascii="宋体" w:hAnsi="宋体" w:eastAsia="宋体" w:cs="Arial"/>
                <w:color w:val="auto"/>
                <w:kern w:val="0"/>
                <w:sz w:val="22"/>
                <w:szCs w:val="22"/>
                <w:lang w:eastAsia="zh-CN"/>
              </w:rPr>
              <w:t>.6</w:t>
            </w:r>
          </w:p>
        </w:tc>
        <w:tc>
          <w:tcPr>
            <w:tcW w:w="5103" w:type="dxa"/>
            <w:vAlign w:val="center"/>
          </w:tcPr>
          <w:p>
            <w:pPr>
              <w:widowControl/>
              <w:wordWrap/>
              <w:autoSpaceDE/>
              <w:autoSpaceDN/>
              <w:spacing w:before="20" w:after="20"/>
              <w:ind w:left="105" w:leftChars="50"/>
              <w:jc w:val="left"/>
              <w:rPr>
                <w:rFonts w:hint="eastAsia" w:ascii="宋体" w:hAnsi="宋体" w:eastAsia="Malgun Gothic" w:cs="Arial"/>
                <w:color w:val="auto"/>
                <w:kern w:val="0"/>
                <w:sz w:val="22"/>
                <w:szCs w:val="22"/>
              </w:rPr>
            </w:pPr>
            <w:r>
              <w:rPr>
                <w:rFonts w:hint="eastAsia" w:ascii="宋体" w:hAnsi="宋体" w:eastAsia="宋体" w:cs="Arial"/>
                <w:color w:val="auto"/>
                <w:kern w:val="0"/>
                <w:sz w:val="22"/>
                <w:szCs w:val="22"/>
                <w:lang w:eastAsia="zh-CN"/>
              </w:rPr>
              <w:t>妊娠报告表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3</w:t>
            </w:r>
            <w:r>
              <w:rPr>
                <w:rFonts w:ascii="宋体" w:hAnsi="宋体" w:eastAsia="宋体" w:cs="Arial"/>
                <w:color w:val="auto"/>
                <w:kern w:val="0"/>
                <w:sz w:val="22"/>
                <w:szCs w:val="22"/>
                <w:lang w:eastAsia="zh-CN"/>
              </w:rPr>
              <w:t>.7</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伦理递交回执</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3</w:t>
            </w:r>
            <w:r>
              <w:rPr>
                <w:rFonts w:hint="eastAsia" w:ascii="宋体" w:hAnsi="宋体" w:eastAsia="宋体" w:cs="Arial"/>
                <w:color w:val="auto"/>
                <w:kern w:val="0"/>
                <w:sz w:val="22"/>
                <w:szCs w:val="22"/>
                <w:lang w:eastAsia="zh-CN"/>
              </w:rPr>
              <w:t>.</w:t>
            </w:r>
            <w:r>
              <w:rPr>
                <w:rFonts w:ascii="宋体" w:hAnsi="宋体" w:eastAsia="宋体" w:cs="Arial"/>
                <w:color w:val="auto"/>
                <w:kern w:val="0"/>
                <w:sz w:val="22"/>
                <w:szCs w:val="22"/>
                <w:lang w:eastAsia="zh-CN"/>
              </w:rPr>
              <w:t>8</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rPr>
            </w:pPr>
            <w:r>
              <w:rPr>
                <w:rFonts w:hint="eastAsia" w:ascii="宋体" w:hAnsi="宋体" w:eastAsia="宋体" w:cs="Arial"/>
                <w:color w:val="auto"/>
                <w:kern w:val="0"/>
                <w:sz w:val="22"/>
                <w:szCs w:val="22"/>
                <w:lang w:eastAsia="zh-CN"/>
              </w:rPr>
              <w:t>其他</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046" w:type="dxa"/>
            <w:vAlign w:val="top"/>
          </w:tcPr>
          <w:p>
            <w:pPr>
              <w:widowControl/>
              <w:wordWrap/>
              <w:autoSpaceDE/>
              <w:autoSpaceDN/>
              <w:spacing w:before="20" w:after="20"/>
              <w:ind w:firstLine="221" w:firstLineChars="100"/>
              <w:jc w:val="both"/>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rPr>
              <w:t>1</w:t>
            </w:r>
            <w:r>
              <w:rPr>
                <w:rFonts w:hint="eastAsia" w:ascii="宋体" w:hAnsi="宋体" w:eastAsia="宋体" w:cs="Arial"/>
                <w:b/>
                <w:bCs/>
                <w:color w:val="auto"/>
                <w:kern w:val="0"/>
                <w:sz w:val="22"/>
                <w:szCs w:val="22"/>
                <w:lang w:val="en-US" w:eastAsia="zh-CN"/>
              </w:rPr>
              <w:t>4</w:t>
            </w:r>
          </w:p>
        </w:tc>
        <w:tc>
          <w:tcPr>
            <w:tcW w:w="9343" w:type="dxa"/>
            <w:gridSpan w:val="5"/>
            <w:vAlign w:val="center"/>
          </w:tcPr>
          <w:p>
            <w:pPr>
              <w:widowControl/>
              <w:wordWrap/>
              <w:autoSpaceDE/>
              <w:autoSpaceDN/>
              <w:spacing w:before="20" w:after="20"/>
              <w:jc w:val="left"/>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试验流程相关文件及原始医疗文件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jc w:val="righ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14.1</w:t>
            </w:r>
          </w:p>
        </w:tc>
        <w:tc>
          <w:tcPr>
            <w:tcW w:w="5103" w:type="dxa"/>
            <w:vAlign w:val="center"/>
          </w:tcPr>
          <w:p>
            <w:pPr>
              <w:widowControl/>
              <w:wordWrap/>
              <w:autoSpaceDE/>
              <w:autoSpaceDN/>
              <w:spacing w:before="20" w:after="2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受试者筛选相关原始记录和文件</w:t>
            </w:r>
          </w:p>
        </w:tc>
        <w:tc>
          <w:tcPr>
            <w:tcW w:w="935"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62"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14.2</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受试者筛选入选登记表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14.3</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受试者鉴认代码表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14.4</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体液/组织样本的相关留存记录（若有）</w:t>
            </w:r>
          </w:p>
        </w:tc>
        <w:tc>
          <w:tcPr>
            <w:tcW w:w="935"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14.5</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受试者给药及治疗相关文件记录</w:t>
            </w:r>
          </w:p>
        </w:tc>
        <w:tc>
          <w:tcPr>
            <w:tcW w:w="935"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14.6</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bidi="ar-SA"/>
              </w:rPr>
            </w:pPr>
            <w:r>
              <w:rPr>
                <w:rFonts w:hint="eastAsia" w:ascii="宋体" w:hAnsi="宋体" w:eastAsia="宋体" w:cs="Arial"/>
                <w:b w:val="0"/>
                <w:bCs w:val="0"/>
                <w:color w:val="auto"/>
                <w:kern w:val="0"/>
                <w:sz w:val="22"/>
                <w:szCs w:val="22"/>
                <w:lang w:val="en-US" w:eastAsia="zh-CN"/>
              </w:rPr>
              <w:t>受试者电话随访记录表</w:t>
            </w:r>
          </w:p>
        </w:tc>
        <w:tc>
          <w:tcPr>
            <w:tcW w:w="935"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5"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14.7</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签署的知情同意书：___份</w:t>
            </w:r>
          </w:p>
        </w:tc>
        <w:tc>
          <w:tcPr>
            <w:tcW w:w="935"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14.8</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原始医疗资料：___份</w:t>
            </w:r>
          </w:p>
        </w:tc>
        <w:tc>
          <w:tcPr>
            <w:tcW w:w="935"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14.9</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病例报告表（已填写，签名，注明日期）：___份</w:t>
            </w:r>
          </w:p>
        </w:tc>
        <w:tc>
          <w:tcPr>
            <w:tcW w:w="935" w:type="dxa"/>
            <w:vAlign w:val="center"/>
          </w:tcPr>
          <w:p>
            <w:pPr>
              <w:widowControl/>
              <w:wordWrap/>
              <w:autoSpaceDE/>
              <w:autoSpaceDN/>
              <w:spacing w:before="20" w:after="20"/>
              <w:jc w:val="center"/>
              <w:rPr>
                <w:rFonts w:ascii="宋体" w:hAnsi="宋体" w:eastAsia="宋体" w:cstheme="minorBidi"/>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theme="minorBidi"/>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theme="minorBidi"/>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7"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14.10</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b w:val="0"/>
                <w:bCs w:val="0"/>
                <w:color w:val="auto"/>
                <w:kern w:val="0"/>
                <w:sz w:val="22"/>
                <w:szCs w:val="22"/>
                <w:lang w:val="en-US" w:eastAsia="zh-CN"/>
              </w:rPr>
              <w:t>其他</w:t>
            </w:r>
          </w:p>
        </w:tc>
        <w:tc>
          <w:tcPr>
            <w:tcW w:w="935"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left"/>
              <w:rPr>
                <w:rFonts w:hint="default" w:ascii="宋体" w:hAnsi="宋体" w:eastAsia="宋体" w:cs="Arial"/>
                <w:b w:val="0"/>
                <w:bCs w:val="0"/>
                <w:color w:val="auto"/>
                <w:kern w:val="0"/>
                <w:sz w:val="22"/>
                <w:szCs w:val="22"/>
                <w:lang w:val="en-US" w:eastAsia="zh-CN"/>
              </w:rPr>
            </w:pPr>
            <w:r>
              <w:rPr>
                <w:rFonts w:hint="eastAsia" w:ascii="宋体" w:hAnsi="宋体" w:eastAsia="宋体" w:cs="Arial"/>
                <w:b/>
                <w:bCs/>
                <w:color w:val="auto"/>
                <w:kern w:val="0"/>
                <w:sz w:val="22"/>
                <w:szCs w:val="22"/>
                <w:lang w:val="en-US" w:eastAsia="zh-CN"/>
              </w:rPr>
              <w:t>15</w:t>
            </w:r>
          </w:p>
        </w:tc>
        <w:tc>
          <w:tcPr>
            <w:tcW w:w="9343" w:type="dxa"/>
            <w:gridSpan w:val="5"/>
            <w:vAlign w:val="center"/>
          </w:tcPr>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Arial"/>
                <w:b/>
                <w:bCs/>
                <w:color w:val="auto"/>
                <w:kern w:val="0"/>
                <w:sz w:val="22"/>
                <w:szCs w:val="22"/>
                <w:lang w:val="en-US" w:eastAsia="zh-CN"/>
              </w:rPr>
            </w:pPr>
            <w:r>
              <w:rPr>
                <w:rFonts w:hint="eastAsia" w:ascii="宋体"/>
                <w:b/>
                <w:bCs/>
                <w:color w:val="auto"/>
                <w:sz w:val="21"/>
                <w:szCs w:val="21"/>
                <w:lang w:val="en-US" w:eastAsia="zh-CN"/>
              </w:rPr>
              <w:t>立项审查评估审批文件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right"/>
              <w:rPr>
                <w:rFonts w:hint="default"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15.1</w:t>
            </w:r>
          </w:p>
        </w:tc>
        <w:tc>
          <w:tcPr>
            <w:tcW w:w="5103" w:type="dxa"/>
            <w:vAlign w:val="center"/>
          </w:tcPr>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Arial"/>
                <w:b/>
                <w:bCs/>
                <w:color w:val="auto"/>
                <w:kern w:val="0"/>
                <w:sz w:val="22"/>
                <w:szCs w:val="22"/>
                <w:lang w:val="en-US" w:eastAsia="zh-CN"/>
              </w:rPr>
            </w:pPr>
            <w:r>
              <w:rPr>
                <w:rFonts w:hint="eastAsia" w:ascii="宋体"/>
                <w:color w:val="auto"/>
                <w:sz w:val="21"/>
                <w:szCs w:val="21"/>
                <w:lang w:val="en-US" w:eastAsia="zh-CN"/>
              </w:rPr>
              <w:t>药物临床试验申请表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34" w:hRule="atLeast"/>
          <w:tblHeader/>
        </w:trPr>
        <w:tc>
          <w:tcPr>
            <w:tcW w:w="1046" w:type="dxa"/>
            <w:vAlign w:val="bottom"/>
          </w:tcPr>
          <w:p>
            <w:pPr>
              <w:widowControl/>
              <w:wordWrap/>
              <w:autoSpaceDE/>
              <w:autoSpaceDN/>
              <w:spacing w:before="20" w:after="20"/>
              <w:ind w:firstLine="221" w:firstLineChars="100"/>
              <w:jc w:val="right"/>
              <w:rPr>
                <w:rFonts w:hint="default"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15.2</w:t>
            </w:r>
          </w:p>
        </w:tc>
        <w:tc>
          <w:tcPr>
            <w:tcW w:w="5103" w:type="dxa"/>
            <w:vAlign w:val="center"/>
          </w:tcPr>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Arial"/>
                <w:b/>
                <w:bCs/>
                <w:color w:val="auto"/>
                <w:kern w:val="0"/>
                <w:sz w:val="22"/>
                <w:szCs w:val="22"/>
                <w:lang w:val="en-US" w:eastAsia="zh-CN"/>
              </w:rPr>
            </w:pPr>
            <w:r>
              <w:rPr>
                <w:rFonts w:hint="eastAsia" w:ascii="宋体"/>
                <w:color w:val="auto"/>
                <w:sz w:val="21"/>
                <w:szCs w:val="21"/>
                <w:lang w:val="en-US" w:eastAsia="zh-CN"/>
              </w:rPr>
              <w:t>临床试验立项评估表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34" w:hRule="atLeast"/>
          <w:tblHeader/>
        </w:trPr>
        <w:tc>
          <w:tcPr>
            <w:tcW w:w="1046" w:type="dxa"/>
            <w:vAlign w:val="bottom"/>
          </w:tcPr>
          <w:p>
            <w:pPr>
              <w:widowControl/>
              <w:wordWrap/>
              <w:autoSpaceDE/>
              <w:autoSpaceDN/>
              <w:spacing w:before="20" w:after="20"/>
              <w:ind w:firstLine="221" w:firstLineChars="100"/>
              <w:jc w:val="right"/>
              <w:rPr>
                <w:rFonts w:hint="default"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15.3</w:t>
            </w:r>
          </w:p>
        </w:tc>
        <w:tc>
          <w:tcPr>
            <w:tcW w:w="5103" w:type="dxa"/>
            <w:vAlign w:val="center"/>
          </w:tcPr>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Arial"/>
                <w:b/>
                <w:bCs/>
                <w:color w:val="auto"/>
                <w:kern w:val="0"/>
                <w:sz w:val="22"/>
                <w:szCs w:val="22"/>
                <w:lang w:val="en-US" w:eastAsia="zh-CN"/>
              </w:rPr>
            </w:pPr>
            <w:r>
              <w:rPr>
                <w:rFonts w:hint="eastAsia" w:ascii="宋体"/>
                <w:color w:val="auto"/>
                <w:sz w:val="21"/>
                <w:szCs w:val="21"/>
                <w:lang w:val="en-US" w:eastAsia="zh-CN"/>
              </w:rPr>
              <w:t>药物临床试验审批表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right"/>
              <w:rPr>
                <w:rFonts w:hint="eastAsia" w:ascii="宋体" w:hAnsi="宋体" w:eastAsia="宋体" w:cs="Arial"/>
                <w:b w:val="0"/>
                <w:bCs w:val="0"/>
                <w:color w:val="auto"/>
                <w:kern w:val="0"/>
                <w:sz w:val="22"/>
                <w:szCs w:val="22"/>
                <w:lang w:val="en-US" w:eastAsia="zh-CN"/>
              </w:rPr>
            </w:pPr>
            <w:r>
              <w:rPr>
                <w:rFonts w:hint="eastAsia" w:ascii="宋体" w:hAnsi="宋体" w:eastAsia="宋体" w:cs="Arial"/>
                <w:b/>
                <w:bCs/>
                <w:color w:val="auto"/>
                <w:kern w:val="0"/>
                <w:sz w:val="22"/>
                <w:szCs w:val="22"/>
              </w:rPr>
              <w:t>1</w:t>
            </w:r>
            <w:r>
              <w:rPr>
                <w:rFonts w:hint="eastAsia" w:ascii="宋体" w:hAnsi="宋体" w:eastAsia="宋体" w:cs="Arial"/>
                <w:b/>
                <w:bCs/>
                <w:color w:val="auto"/>
                <w:kern w:val="0"/>
                <w:sz w:val="22"/>
                <w:szCs w:val="22"/>
                <w:lang w:val="en-US" w:eastAsia="zh-CN"/>
              </w:rPr>
              <w:t>6</w:t>
            </w:r>
          </w:p>
        </w:tc>
        <w:tc>
          <w:tcPr>
            <w:tcW w:w="9343" w:type="dxa"/>
            <w:gridSpan w:val="5"/>
            <w:vAlign w:val="center"/>
          </w:tcPr>
          <w:p>
            <w:pPr>
              <w:widowControl/>
              <w:wordWrap/>
              <w:autoSpaceDE/>
              <w:autoSpaceDN/>
              <w:spacing w:before="20" w:after="20"/>
              <w:jc w:val="both"/>
              <w:rPr>
                <w:rFonts w:ascii="宋体" w:hAnsi="宋体" w:eastAsia="宋体"/>
                <w:color w:val="auto"/>
                <w:sz w:val="22"/>
                <w:szCs w:val="22"/>
              </w:rPr>
            </w:pPr>
            <w:r>
              <w:rPr>
                <w:rFonts w:hint="eastAsia" w:ascii="宋体" w:hAnsi="宋体" w:eastAsia="宋体" w:cs="Arial"/>
                <w:b/>
                <w:bCs/>
                <w:color w:val="auto"/>
                <w:kern w:val="0"/>
                <w:sz w:val="22"/>
                <w:szCs w:val="22"/>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0" w:firstLineChars="100"/>
              <w:jc w:val="right"/>
              <w:rPr>
                <w:rFonts w:hint="eastAsia" w:ascii="宋体" w:hAnsi="宋体" w:eastAsia="宋体" w:cs="Arial"/>
                <w:b w:val="0"/>
                <w:bCs w:val="0"/>
                <w:color w:val="auto"/>
                <w:kern w:val="0"/>
                <w:sz w:val="22"/>
                <w:szCs w:val="22"/>
                <w:lang w:val="en-US" w:eastAsia="zh-CN"/>
              </w:rPr>
            </w:pPr>
            <w:r>
              <w:rPr>
                <w:rFonts w:hint="eastAsia" w:ascii="宋体" w:hAnsi="宋体" w:eastAsia="宋体" w:cs="Arial"/>
                <w:b w:val="0"/>
                <w:bCs w:val="0"/>
                <w:color w:val="auto"/>
                <w:kern w:val="0"/>
                <w:sz w:val="22"/>
                <w:szCs w:val="22"/>
                <w:lang w:val="en-US" w:eastAsia="zh-CN"/>
              </w:rPr>
              <w:t>16.1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b w:val="0"/>
                <w:bCs w:val="0"/>
                <w:color w:val="auto"/>
              </w:rPr>
            </w:pPr>
            <w:r>
              <w:rPr>
                <w:rFonts w:hint="eastAsia" w:ascii="宋体" w:hAnsi="宋体" w:eastAsia="宋体"/>
                <w:b w:val="0"/>
                <w:bCs w:val="0"/>
                <w:color w:val="auto"/>
              </w:rPr>
              <w:t>视项目需要，添加相关文件</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bl>
    <w:p>
      <w:pPr>
        <w:rPr>
          <w:color w:val="auto"/>
        </w:rPr>
      </w:pPr>
      <w:r>
        <w:rPr>
          <w:rFonts w:hint="eastAsia"/>
          <w:color w:val="auto"/>
        </w:rPr>
        <w:t>本表由机构资料管理员填写（入档）</w:t>
      </w: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hint="eastAsia" w:ascii="黑体" w:hAnsi="黑体" w:eastAsia="黑体" w:cs="黑体"/>
          <w:color w:val="auto"/>
          <w:sz w:val="24"/>
          <w:szCs w:val="24"/>
        </w:rPr>
      </w:pPr>
    </w:p>
    <w:p>
      <w:pPr>
        <w:rPr>
          <w:rFonts w:hint="eastAsia" w:ascii="黑体" w:hAnsi="黑体" w:eastAsia="黑体" w:cs="黑体"/>
          <w:color w:val="auto"/>
          <w:sz w:val="24"/>
          <w:szCs w:val="24"/>
        </w:rPr>
      </w:pPr>
    </w:p>
    <w:p>
      <w:pPr>
        <w:rPr>
          <w:rFonts w:hint="eastAsia" w:ascii="黑体" w:hAnsi="黑体" w:eastAsia="黑体" w:cs="黑体"/>
          <w:color w:val="auto"/>
          <w:sz w:val="24"/>
          <w:szCs w:val="24"/>
          <w:lang w:eastAsia="zh-CN"/>
        </w:rPr>
      </w:pPr>
      <w:r>
        <w:rPr>
          <w:rFonts w:hint="eastAsia" w:ascii="黑体" w:hAnsi="黑体" w:eastAsia="黑体" w:cs="黑体"/>
          <w:color w:val="auto"/>
          <w:sz w:val="24"/>
          <w:szCs w:val="24"/>
        </w:rPr>
        <w:t>附件</w:t>
      </w:r>
      <w:r>
        <w:rPr>
          <w:rFonts w:hint="eastAsia" w:ascii="黑体" w:hAnsi="黑体" w:eastAsia="黑体" w:cs="黑体"/>
          <w:color w:val="auto"/>
          <w:sz w:val="24"/>
          <w:szCs w:val="24"/>
          <w:lang w:val="en-US" w:eastAsia="zh-CN"/>
        </w:rPr>
        <w:t>4</w:t>
      </w:r>
      <w:r>
        <w:rPr>
          <w:rFonts w:hint="eastAsia" w:ascii="黑体" w:hAnsi="黑体" w:eastAsia="黑体" w:cs="黑体"/>
          <w:color w:val="auto"/>
          <w:sz w:val="24"/>
          <w:szCs w:val="24"/>
        </w:rPr>
        <w:t>：（YYH-SOP-CTC-022-3.</w:t>
      </w:r>
      <w:r>
        <w:rPr>
          <w:rFonts w:hint="eastAsia" w:ascii="黑体" w:hAnsi="黑体" w:eastAsia="黑体" w:cs="黑体"/>
          <w:color w:val="auto"/>
          <w:sz w:val="24"/>
          <w:szCs w:val="24"/>
          <w:lang w:val="en-US" w:eastAsia="zh-CN"/>
        </w:rPr>
        <w:t>2</w:t>
      </w:r>
      <w:r>
        <w:rPr>
          <w:rFonts w:hint="eastAsia" w:ascii="黑体" w:hAnsi="黑体" w:eastAsia="黑体" w:cs="黑体"/>
          <w:color w:val="auto"/>
          <w:sz w:val="24"/>
          <w:szCs w:val="24"/>
        </w:rPr>
        <w:t>-A</w:t>
      </w:r>
      <w:r>
        <w:rPr>
          <w:rFonts w:hint="eastAsia" w:ascii="黑体" w:hAnsi="黑体" w:eastAsia="黑体" w:cs="黑体"/>
          <w:color w:val="auto"/>
          <w:sz w:val="24"/>
          <w:szCs w:val="24"/>
          <w:lang w:val="en-US" w:eastAsia="zh-CN"/>
        </w:rPr>
        <w:t>04</w:t>
      </w:r>
      <w:r>
        <w:rPr>
          <w:rFonts w:hint="eastAsia" w:ascii="黑体" w:hAnsi="黑体" w:eastAsia="黑体" w:cs="黑体"/>
          <w:color w:val="auto"/>
          <w:sz w:val="24"/>
          <w:szCs w:val="24"/>
        </w:rPr>
        <w:t>）：</w:t>
      </w:r>
      <w:r>
        <w:rPr>
          <w:rFonts w:hint="eastAsia" w:ascii="黑体" w:hAnsi="黑体" w:eastAsia="黑体" w:cs="黑体"/>
          <w:color w:val="auto"/>
          <w:sz w:val="24"/>
          <w:szCs w:val="24"/>
          <w:lang w:val="en-US" w:eastAsia="zh-CN"/>
        </w:rPr>
        <w:t>医疗器械</w:t>
      </w:r>
      <w:r>
        <w:rPr>
          <w:rFonts w:hint="eastAsia" w:ascii="黑体" w:hAnsi="黑体" w:eastAsia="黑体" w:cs="黑体"/>
          <w:color w:val="auto"/>
          <w:sz w:val="24"/>
          <w:szCs w:val="24"/>
        </w:rPr>
        <w:t>临床试验项目资料归档</w:t>
      </w:r>
      <w:r>
        <w:rPr>
          <w:rFonts w:hint="eastAsia" w:ascii="黑体" w:hAnsi="黑体" w:eastAsia="黑体" w:cs="黑体"/>
          <w:color w:val="auto"/>
          <w:sz w:val="24"/>
          <w:szCs w:val="24"/>
          <w:lang w:val="en-US" w:eastAsia="zh-CN"/>
        </w:rPr>
        <w:t>目录</w:t>
      </w:r>
    </w:p>
    <w:p>
      <w:pPr>
        <w:rPr>
          <w:rFonts w:hint="default" w:ascii="黑体" w:hAnsi="黑体" w:eastAsia="黑体" w:cs="黑体"/>
          <w:bCs/>
          <w:color w:val="auto"/>
          <w:sz w:val="24"/>
          <w:szCs w:val="24"/>
          <w:lang w:val="en-US" w:eastAsia="zh-CN"/>
        </w:rPr>
      </w:pPr>
    </w:p>
    <w:tbl>
      <w:tblPr>
        <w:tblStyle w:val="27"/>
        <w:tblW w:w="10389" w:type="dxa"/>
        <w:tblInd w:w="-4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1046"/>
        <w:gridCol w:w="5103"/>
        <w:gridCol w:w="935"/>
        <w:gridCol w:w="1063"/>
        <w:gridCol w:w="1126"/>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trPr>
        <w:tc>
          <w:tcPr>
            <w:tcW w:w="1046" w:type="dxa"/>
            <w:vAlign w:val="center"/>
          </w:tcPr>
          <w:p>
            <w:pPr>
              <w:widowControl/>
              <w:wordWrap/>
              <w:autoSpaceDE/>
              <w:autoSpaceDN/>
              <w:spacing w:before="20" w:after="20"/>
              <w:jc w:val="center"/>
              <w:rPr>
                <w:rFonts w:hint="eastAsia" w:ascii="宋体" w:hAnsi="宋体" w:eastAsia="宋体" w:cs="Arial"/>
                <w:b/>
                <w:bCs/>
                <w:color w:val="auto"/>
                <w:kern w:val="0"/>
                <w:sz w:val="22"/>
                <w:szCs w:val="22"/>
              </w:rPr>
            </w:pPr>
            <w:r>
              <w:rPr>
                <w:rFonts w:hint="eastAsia" w:ascii="宋体" w:hAnsi="宋体" w:eastAsia="宋体" w:cs="Arial"/>
                <w:b/>
                <w:bCs/>
                <w:color w:val="auto"/>
                <w:kern w:val="0"/>
                <w:sz w:val="22"/>
                <w:szCs w:val="22"/>
                <w:lang w:eastAsia="zh-CN"/>
              </w:rPr>
              <w:t>序号</w:t>
            </w:r>
          </w:p>
        </w:tc>
        <w:tc>
          <w:tcPr>
            <w:tcW w:w="5103" w:type="dxa"/>
            <w:vAlign w:val="center"/>
          </w:tcPr>
          <w:p>
            <w:pPr>
              <w:widowControl/>
              <w:wordWrap/>
              <w:autoSpaceDE/>
              <w:autoSpaceDN/>
              <w:spacing w:before="20" w:after="20"/>
              <w:jc w:val="center"/>
              <w:rPr>
                <w:rFonts w:ascii="宋体" w:hAnsi="宋体" w:eastAsia="宋体" w:cs="Arial"/>
                <w:b/>
                <w:bCs/>
                <w:color w:val="auto"/>
                <w:kern w:val="0"/>
                <w:sz w:val="22"/>
                <w:szCs w:val="22"/>
              </w:rPr>
            </w:pPr>
            <w:r>
              <w:rPr>
                <w:rFonts w:hint="eastAsia" w:ascii="宋体" w:hAnsi="宋体" w:eastAsia="宋体" w:cs="Arial"/>
                <w:b/>
                <w:bCs/>
                <w:color w:val="auto"/>
                <w:kern w:val="0"/>
                <w:sz w:val="22"/>
                <w:szCs w:val="22"/>
                <w:lang w:eastAsia="zh-CN"/>
              </w:rPr>
              <w:t>目录</w:t>
            </w:r>
          </w:p>
        </w:tc>
        <w:tc>
          <w:tcPr>
            <w:tcW w:w="935" w:type="dxa"/>
            <w:vAlign w:val="center"/>
          </w:tcPr>
          <w:p>
            <w:pPr>
              <w:widowControl/>
              <w:wordWrap/>
              <w:autoSpaceDE/>
              <w:autoSpaceDN/>
              <w:spacing w:before="20" w:after="20"/>
              <w:ind w:firstLine="221" w:firstLineChars="100"/>
              <w:rPr>
                <w:rFonts w:ascii="宋体" w:hAnsi="宋体" w:eastAsia="宋体" w:cs="Arial"/>
                <w:b/>
                <w:bCs/>
                <w:color w:val="auto"/>
                <w:kern w:val="0"/>
                <w:sz w:val="22"/>
                <w:szCs w:val="22"/>
              </w:rPr>
            </w:pPr>
            <w:r>
              <w:rPr>
                <w:rFonts w:hint="eastAsia" w:ascii="宋体" w:hAnsi="宋体" w:eastAsia="宋体" w:cs="Arial"/>
                <w:b/>
                <w:bCs/>
                <w:color w:val="auto"/>
                <w:kern w:val="0"/>
                <w:sz w:val="22"/>
                <w:szCs w:val="22"/>
                <w:lang w:eastAsia="zh-CN"/>
              </w:rPr>
              <w:t>原件</w:t>
            </w:r>
          </w:p>
        </w:tc>
        <w:tc>
          <w:tcPr>
            <w:tcW w:w="1063" w:type="dxa"/>
            <w:vAlign w:val="center"/>
          </w:tcPr>
          <w:p>
            <w:pPr>
              <w:widowControl/>
              <w:wordWrap/>
              <w:autoSpaceDE/>
              <w:autoSpaceDN/>
              <w:spacing w:before="20" w:after="20"/>
              <w:jc w:val="center"/>
              <w:rPr>
                <w:rFonts w:ascii="宋体" w:hAnsi="宋体" w:eastAsia="宋体" w:cs="Arial"/>
                <w:b/>
                <w:bCs/>
                <w:color w:val="auto"/>
                <w:kern w:val="0"/>
                <w:sz w:val="22"/>
                <w:szCs w:val="22"/>
              </w:rPr>
            </w:pPr>
            <w:r>
              <w:rPr>
                <w:rFonts w:hint="eastAsia" w:ascii="宋体" w:hAnsi="宋体" w:eastAsia="宋体" w:cs="微软雅黑"/>
                <w:b/>
                <w:bCs/>
                <w:color w:val="auto"/>
                <w:kern w:val="0"/>
                <w:sz w:val="22"/>
                <w:szCs w:val="22"/>
                <w:lang w:eastAsia="zh-CN"/>
              </w:rPr>
              <w:t>复印件</w:t>
            </w:r>
          </w:p>
        </w:tc>
        <w:tc>
          <w:tcPr>
            <w:tcW w:w="1126" w:type="dxa"/>
            <w:vAlign w:val="center"/>
          </w:tcPr>
          <w:p>
            <w:pPr>
              <w:widowControl/>
              <w:wordWrap/>
              <w:autoSpaceDE/>
              <w:autoSpaceDN/>
              <w:spacing w:before="20" w:after="20"/>
              <w:ind w:firstLine="221" w:firstLineChars="100"/>
              <w:rPr>
                <w:rFonts w:ascii="宋体" w:hAnsi="宋体" w:eastAsia="宋体" w:cs="Arial"/>
                <w:b/>
                <w:bCs/>
                <w:color w:val="auto"/>
                <w:kern w:val="0"/>
                <w:sz w:val="22"/>
                <w:szCs w:val="22"/>
              </w:rPr>
            </w:pPr>
            <w:r>
              <w:rPr>
                <w:rFonts w:hint="eastAsia" w:ascii="宋体" w:hAnsi="宋体" w:eastAsia="宋体" w:cs="Arial"/>
                <w:b/>
                <w:bCs/>
                <w:color w:val="auto"/>
                <w:kern w:val="0"/>
                <w:sz w:val="22"/>
                <w:szCs w:val="22"/>
                <w:lang w:eastAsia="zh-CN"/>
              </w:rPr>
              <w:t>不适用</w:t>
            </w:r>
          </w:p>
        </w:tc>
        <w:tc>
          <w:tcPr>
            <w:tcW w:w="1116" w:type="dxa"/>
            <w:vAlign w:val="center"/>
          </w:tcPr>
          <w:p>
            <w:pPr>
              <w:widowControl/>
              <w:wordWrap/>
              <w:autoSpaceDE/>
              <w:autoSpaceDN/>
              <w:spacing w:before="20" w:after="20"/>
              <w:ind w:firstLine="221" w:firstLineChars="100"/>
              <w:rPr>
                <w:rFonts w:hint="default"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第几盒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left"/>
              <w:rPr>
                <w:rFonts w:ascii="宋体" w:hAnsi="宋体" w:eastAsia="宋体" w:cs="Arial"/>
                <w:b/>
                <w:bCs/>
                <w:color w:val="auto"/>
                <w:kern w:val="0"/>
                <w:sz w:val="22"/>
                <w:szCs w:val="22"/>
              </w:rPr>
            </w:pPr>
            <w:r>
              <w:rPr>
                <w:rFonts w:ascii="宋体" w:hAnsi="宋体" w:eastAsia="宋体" w:cs="Arial"/>
                <w:b/>
                <w:bCs/>
                <w:color w:val="auto"/>
                <w:kern w:val="0"/>
                <w:sz w:val="22"/>
                <w:szCs w:val="22"/>
              </w:rPr>
              <w:t>1</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ascii="宋体" w:hAnsi="宋体" w:eastAsia="宋体" w:cs="Arial"/>
                <w:color w:val="auto"/>
                <w:kern w:val="0"/>
                <w:sz w:val="22"/>
                <w:szCs w:val="22"/>
              </w:rPr>
            </w:pPr>
            <w:r>
              <w:rPr>
                <w:rFonts w:ascii="宋体" w:hAnsi="宋体" w:eastAsia="宋体" w:cs="Arial"/>
                <w:color w:val="auto"/>
                <w:kern w:val="0"/>
                <w:sz w:val="22"/>
                <w:szCs w:val="22"/>
              </w:rPr>
              <w:t>1.1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研究协议</w:t>
            </w:r>
          </w:p>
        </w:tc>
        <w:tc>
          <w:tcPr>
            <w:tcW w:w="4240" w:type="dxa"/>
            <w:gridSpan w:val="4"/>
            <w:vAlign w:val="center"/>
          </w:tcPr>
          <w:p>
            <w:pPr>
              <w:widowControl/>
              <w:wordWrap/>
              <w:autoSpaceDE/>
              <w:autoSpaceDN/>
              <w:spacing w:before="20" w:after="20"/>
              <w:jc w:val="center"/>
              <w:rPr>
                <w:rFonts w:ascii="宋体" w:hAnsi="宋体" w:eastAsia="宋体" w:cs="Arial"/>
                <w:color w:val="auto"/>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ascii="宋体" w:hAnsi="宋体" w:eastAsia="宋体" w:cs="Arial"/>
                <w:color w:val="auto"/>
                <w:kern w:val="0"/>
                <w:sz w:val="22"/>
                <w:szCs w:val="22"/>
              </w:rPr>
            </w:pP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default" w:eastAsiaTheme="minorEastAsia"/>
                <w:color w:val="auto"/>
                <w:lang w:val="en-US" w:eastAsia="zh-CN"/>
              </w:rPr>
              <w:t>研究者和临床试验机构与申办者签署</w:t>
            </w:r>
            <w:r>
              <w:rPr>
                <w:rFonts w:hint="eastAsia" w:eastAsiaTheme="minorEastAsia"/>
                <w:color w:val="auto"/>
                <w:lang w:val="en-US" w:eastAsia="zh-CN"/>
              </w:rPr>
              <w:t>的合同</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ascii="宋体" w:hAnsi="宋体" w:eastAsia="宋体" w:cs="Arial"/>
                <w:color w:val="auto"/>
                <w:kern w:val="0"/>
                <w:sz w:val="22"/>
                <w:szCs w:val="22"/>
              </w:rPr>
            </w:pP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val="en-US" w:eastAsia="zh-CN"/>
              </w:rPr>
            </w:pPr>
            <w:r>
              <w:rPr>
                <w:rFonts w:hint="default" w:eastAsiaTheme="minorEastAsia"/>
                <w:color w:val="auto"/>
                <w:lang w:val="en-US" w:eastAsia="zh-CN"/>
              </w:rPr>
              <w:t>研究者和临床试验机构与合同研究组织签署的合同</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ascii="宋体" w:hAnsi="宋体" w:eastAsia="宋体" w:cs="Arial"/>
                <w:color w:val="auto"/>
                <w:kern w:val="0"/>
                <w:sz w:val="22"/>
                <w:szCs w:val="22"/>
              </w:rPr>
            </w:pP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eastAsiaTheme="minorEastAsia"/>
                <w:color w:val="auto"/>
                <w:lang w:val="en-US" w:eastAsia="zh-CN"/>
              </w:rPr>
            </w:pPr>
            <w:r>
              <w:rPr>
                <w:rFonts w:hint="default" w:eastAsiaTheme="minorEastAsia"/>
                <w:color w:val="auto"/>
                <w:lang w:val="en-US" w:eastAsia="zh-CN"/>
              </w:rPr>
              <w:t>申办者与合同研究组织签署的合同</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ascii="宋体" w:hAnsi="宋体" w:eastAsia="宋体" w:cs="Arial"/>
                <w:color w:val="auto"/>
                <w:kern w:val="0"/>
                <w:sz w:val="22"/>
                <w:szCs w:val="22"/>
              </w:rPr>
            </w:pP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eastAsiaTheme="minorEastAsia"/>
                <w:color w:val="auto"/>
                <w:lang w:val="en-US" w:eastAsia="zh-CN"/>
              </w:rPr>
            </w:pPr>
            <w:r>
              <w:rPr>
                <w:rFonts w:hint="eastAsia" w:eastAsiaTheme="minorEastAsia"/>
                <w:color w:val="auto"/>
                <w:lang w:val="en-US" w:eastAsia="zh-CN"/>
              </w:rPr>
              <w:t>临床试验的财务合同</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1</w:t>
            </w:r>
            <w:r>
              <w:rPr>
                <w:rFonts w:ascii="宋体" w:hAnsi="宋体" w:eastAsia="宋体" w:cs="Arial"/>
                <w:color w:val="auto"/>
                <w:kern w:val="0"/>
                <w:sz w:val="22"/>
                <w:szCs w:val="22"/>
                <w:lang w:eastAsia="zh-CN"/>
              </w:rPr>
              <w:t>.2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微软雅黑"/>
                <w:color w:val="auto"/>
                <w:kern w:val="0"/>
                <w:sz w:val="22"/>
                <w:szCs w:val="22"/>
                <w:lang w:val="en-US" w:eastAsia="zh-CN"/>
              </w:rPr>
            </w:pPr>
            <w:r>
              <w:rPr>
                <w:rFonts w:hint="eastAsia" w:ascii="宋体" w:hAnsi="宋体" w:eastAsia="宋体" w:cs="微软雅黑"/>
                <w:color w:val="auto"/>
                <w:kern w:val="0"/>
                <w:sz w:val="22"/>
                <w:szCs w:val="22"/>
                <w:lang w:val="en-US" w:eastAsia="zh-CN"/>
              </w:rPr>
              <w:t>保险文件（若有）</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微软雅黑"/>
                <w:color w:val="auto"/>
                <w:kern w:val="0"/>
                <w:sz w:val="22"/>
                <w:szCs w:val="22"/>
                <w:lang w:val="en-US" w:eastAsia="zh-CN"/>
              </w:rPr>
            </w:pPr>
            <w:r>
              <w:rPr>
                <w:rFonts w:hint="eastAsia" w:ascii="宋体" w:hAnsi="宋体" w:eastAsia="宋体" w:cs="微软雅黑"/>
                <w:color w:val="auto"/>
                <w:kern w:val="0"/>
                <w:sz w:val="22"/>
                <w:szCs w:val="22"/>
                <w:lang w:val="en-US" w:eastAsia="zh-CN"/>
              </w:rPr>
              <w:t>其他：</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left"/>
              <w:rPr>
                <w:rFonts w:ascii="宋体" w:hAnsi="宋体" w:eastAsia="宋体" w:cs="Arial"/>
                <w:b/>
                <w:bCs/>
                <w:color w:val="auto"/>
                <w:kern w:val="0"/>
                <w:sz w:val="22"/>
                <w:szCs w:val="22"/>
              </w:rPr>
            </w:pPr>
            <w:r>
              <w:rPr>
                <w:rFonts w:ascii="宋体" w:hAnsi="宋体" w:eastAsia="宋体" w:cs="Arial"/>
                <w:b/>
                <w:bCs/>
                <w:color w:val="auto"/>
                <w:kern w:val="0"/>
                <w:sz w:val="22"/>
                <w:szCs w:val="22"/>
              </w:rPr>
              <w:t>2</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研究主要文件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2.1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eastAsia="zh-CN"/>
              </w:rPr>
              <w:t>医疗器械临床试验批件（若有）</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rPr>
            </w:pPr>
            <w:r>
              <w:rPr>
                <w:rFonts w:ascii="宋体" w:hAnsi="宋体" w:eastAsia="宋体" w:cs="Arial"/>
                <w:color w:val="auto"/>
                <w:kern w:val="0"/>
                <w:sz w:val="22"/>
                <w:szCs w:val="22"/>
              </w:rPr>
              <w:t>2.</w:t>
            </w:r>
            <w:r>
              <w:rPr>
                <w:rFonts w:hint="eastAsia" w:ascii="宋体" w:hAnsi="宋体" w:eastAsia="宋体" w:cs="Arial"/>
                <w:color w:val="auto"/>
                <w:kern w:val="0"/>
                <w:sz w:val="22"/>
                <w:szCs w:val="22"/>
                <w:lang w:val="en-US" w:eastAsia="zh-CN"/>
              </w:rPr>
              <w:t>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药品监督管理部门临床试验备案文件</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bidi="ar-SA"/>
              </w:rPr>
            </w:pPr>
            <w:r>
              <w:rPr>
                <w:rFonts w:ascii="宋体" w:hAnsi="宋体" w:eastAsia="宋体" w:cs="Arial"/>
                <w:color w:val="auto"/>
                <w:kern w:val="0"/>
                <w:sz w:val="22"/>
                <w:szCs w:val="22"/>
              </w:rPr>
              <w:t>2.</w:t>
            </w:r>
            <w:r>
              <w:rPr>
                <w:rFonts w:hint="eastAsia" w:ascii="宋体" w:hAnsi="宋体" w:eastAsia="宋体" w:cs="Arial"/>
                <w:color w:val="auto"/>
                <w:kern w:val="0"/>
                <w:sz w:val="22"/>
                <w:szCs w:val="22"/>
                <w:lang w:val="en-US" w:eastAsia="zh-CN"/>
              </w:rPr>
              <w:t>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研究者手册（</w:t>
            </w:r>
            <w:r>
              <w:rPr>
                <w:rFonts w:hint="eastAsia" w:ascii="宋体" w:hAnsi="宋体" w:eastAsia="宋体" w:cs="Arial"/>
                <w:color w:val="auto"/>
                <w:kern w:val="0"/>
                <w:sz w:val="22"/>
                <w:szCs w:val="22"/>
                <w:lang w:val="en-US" w:eastAsia="zh-CN"/>
              </w:rPr>
              <w:t>版本及版本日期</w:t>
            </w:r>
            <w:r>
              <w:rPr>
                <w:rFonts w:hint="eastAsia" w:ascii="宋体" w:hAnsi="宋体" w:eastAsia="宋体" w:cs="Arial"/>
                <w:color w:val="auto"/>
                <w:kern w:val="0"/>
                <w:sz w:val="22"/>
                <w:szCs w:val="22"/>
                <w:lang w:eastAsia="zh-CN"/>
              </w:rPr>
              <w:t>）</w:t>
            </w:r>
          </w:p>
        </w:tc>
        <w:tc>
          <w:tcPr>
            <w:tcW w:w="935" w:type="dxa"/>
            <w:vAlign w:val="center"/>
          </w:tcPr>
          <w:p>
            <w:pPr>
              <w:widowControl/>
              <w:wordWrap/>
              <w:autoSpaceDE/>
              <w:autoSpaceDN/>
              <w:spacing w:before="20" w:after="20"/>
              <w:jc w:val="center"/>
              <w:rPr>
                <w:rFonts w:ascii="宋体" w:hAnsi="宋体" w:eastAsia="宋体"/>
                <w:color w:val="auto"/>
                <w:sz w:val="22"/>
                <w:szCs w:val="22"/>
              </w:rPr>
            </w:pPr>
          </w:p>
        </w:tc>
        <w:tc>
          <w:tcPr>
            <w:tcW w:w="1063" w:type="dxa"/>
            <w:vAlign w:val="center"/>
          </w:tcPr>
          <w:p>
            <w:pPr>
              <w:widowControl/>
              <w:wordWrap/>
              <w:autoSpaceDE/>
              <w:autoSpaceDN/>
              <w:spacing w:before="20" w:after="20"/>
              <w:jc w:val="center"/>
              <w:rPr>
                <w:rFonts w:ascii="宋体" w:hAnsi="宋体" w:eastAsia="宋体"/>
                <w:color w:val="auto"/>
                <w:sz w:val="22"/>
                <w:szCs w:val="22"/>
              </w:rPr>
            </w:pPr>
          </w:p>
        </w:tc>
        <w:tc>
          <w:tcPr>
            <w:tcW w:w="1126" w:type="dxa"/>
            <w:vAlign w:val="center"/>
          </w:tcPr>
          <w:p>
            <w:pPr>
              <w:widowControl/>
              <w:wordWrap/>
              <w:autoSpaceDE/>
              <w:autoSpaceDN/>
              <w:spacing w:before="20" w:after="20"/>
              <w:jc w:val="center"/>
              <w:rPr>
                <w:rFonts w:ascii="宋体" w:hAnsi="宋体" w:eastAsia="宋体"/>
                <w:color w:val="auto"/>
                <w:sz w:val="22"/>
                <w:szCs w:val="22"/>
              </w:rPr>
            </w:pP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2.4</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临床前实验室资料（若有）</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2.5</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临床试验方案</w:t>
            </w:r>
            <w:r>
              <w:rPr>
                <w:rFonts w:hint="eastAsia" w:ascii="宋体" w:hAnsi="宋体" w:eastAsia="宋体" w:cs="Arial"/>
                <w:color w:val="auto"/>
                <w:kern w:val="0"/>
                <w:sz w:val="22"/>
                <w:szCs w:val="22"/>
                <w:lang w:eastAsia="zh-CN"/>
              </w:rPr>
              <w:t>（</w:t>
            </w:r>
            <w:r>
              <w:rPr>
                <w:rFonts w:hint="eastAsia" w:ascii="宋体" w:hAnsi="宋体" w:eastAsia="宋体" w:cs="Arial"/>
                <w:color w:val="auto"/>
                <w:kern w:val="0"/>
                <w:sz w:val="22"/>
                <w:szCs w:val="22"/>
                <w:lang w:val="en-US" w:eastAsia="zh-CN"/>
              </w:rPr>
              <w:t>版本及版本日期</w:t>
            </w:r>
            <w:r>
              <w:rPr>
                <w:rFonts w:hint="eastAsia" w:ascii="宋体" w:hAnsi="宋体" w:eastAsia="宋体" w:cs="Arial"/>
                <w:color w:val="auto"/>
                <w:kern w:val="0"/>
                <w:sz w:val="22"/>
                <w:szCs w:val="22"/>
                <w:lang w:eastAsia="zh-CN"/>
              </w:rPr>
              <w:t>）</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2.6</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eastAsia="zh-CN"/>
              </w:rPr>
              <w:t>空白</w:t>
            </w:r>
            <w:r>
              <w:rPr>
                <w:rFonts w:hint="eastAsia" w:ascii="宋体" w:hAnsi="宋体" w:eastAsia="宋体" w:cs="Arial"/>
                <w:color w:val="auto"/>
                <w:kern w:val="0"/>
                <w:sz w:val="22"/>
                <w:szCs w:val="22"/>
                <w:lang w:val="en-US" w:eastAsia="zh-CN"/>
              </w:rPr>
              <w:t>病例报告表（</w:t>
            </w:r>
            <w:r>
              <w:rPr>
                <w:rFonts w:ascii="宋体" w:hAnsi="宋体" w:eastAsia="宋体" w:cs="Arial"/>
                <w:color w:val="auto"/>
                <w:kern w:val="0"/>
                <w:sz w:val="22"/>
                <w:szCs w:val="22"/>
              </w:rPr>
              <w:t xml:space="preserve">CRF </w:t>
            </w:r>
            <w:r>
              <w:rPr>
                <w:rFonts w:hint="eastAsia" w:ascii="宋体" w:hAnsi="宋体" w:eastAsia="宋体" w:cs="Arial"/>
                <w:color w:val="auto"/>
                <w:kern w:val="0"/>
                <w:sz w:val="22"/>
                <w:szCs w:val="22"/>
                <w:lang w:val="en-US" w:eastAsia="zh-CN"/>
              </w:rPr>
              <w:t>/eCRF）</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2.7</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知情同意书</w:t>
            </w:r>
            <w:r>
              <w:rPr>
                <w:rFonts w:hint="eastAsia" w:ascii="宋体" w:hAnsi="宋体" w:eastAsia="宋体" w:cs="Arial"/>
                <w:color w:val="auto"/>
                <w:kern w:val="0"/>
                <w:sz w:val="22"/>
                <w:szCs w:val="22"/>
                <w:lang w:eastAsia="zh-CN"/>
              </w:rPr>
              <w:t>（</w:t>
            </w:r>
            <w:r>
              <w:rPr>
                <w:rFonts w:hint="eastAsia" w:ascii="宋体" w:hAnsi="宋体" w:eastAsia="宋体" w:cs="Arial"/>
                <w:color w:val="auto"/>
                <w:kern w:val="0"/>
                <w:sz w:val="22"/>
                <w:szCs w:val="22"/>
                <w:lang w:val="en-US" w:eastAsia="zh-CN"/>
              </w:rPr>
              <w:t>版本及版本日期</w:t>
            </w:r>
            <w:r>
              <w:rPr>
                <w:rFonts w:hint="eastAsia" w:ascii="宋体" w:hAnsi="宋体" w:eastAsia="宋体" w:cs="Arial"/>
                <w:color w:val="auto"/>
                <w:kern w:val="0"/>
                <w:sz w:val="22"/>
                <w:szCs w:val="22"/>
                <w:lang w:eastAsia="zh-CN"/>
              </w:rPr>
              <w:t>）</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2.8</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招募广告及其他提供给受试者的任何书面资料</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ind w:firstLine="221" w:firstLineChars="100"/>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3</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3.1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申办方资质（GMP、营业执照、药品生产许可证）</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3.2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Malgun Gothic" w:cs="Arial"/>
                <w:color w:val="auto"/>
                <w:kern w:val="0"/>
                <w:sz w:val="22"/>
                <w:szCs w:val="22"/>
                <w:lang w:val="en-US" w:eastAsia="zh-CN"/>
              </w:rPr>
            </w:pPr>
            <w:r>
              <w:rPr>
                <w:rFonts w:hint="eastAsia" w:ascii="宋体" w:hAnsi="宋体" w:eastAsia="Malgun Gothic" w:cs="Arial"/>
                <w:color w:val="auto"/>
                <w:kern w:val="0"/>
                <w:sz w:val="22"/>
                <w:szCs w:val="22"/>
                <w:lang w:val="en-US" w:eastAsia="zh-CN"/>
              </w:rPr>
              <w:t>CRO资质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3.3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CRA资质（GCP、简历、身份证复印件）</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3.4</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试验启动监查报告</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3.5</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其他</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left"/>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4</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4.1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申办方对研究中心授权委托书</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4.2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申办方对CRO授权委托书</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4.3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CRO对CRA授权委托书</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4.4</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其他</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left"/>
              <w:rPr>
                <w:rFonts w:hint="default"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5</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伦理委员会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伦理委员会成员表</w:t>
            </w:r>
          </w:p>
        </w:tc>
        <w:tc>
          <w:tcPr>
            <w:tcW w:w="935" w:type="dxa"/>
            <w:vAlign w:val="center"/>
          </w:tcPr>
          <w:p>
            <w:pPr>
              <w:widowControl/>
              <w:wordWrap/>
              <w:autoSpaceDE/>
              <w:autoSpaceDN/>
              <w:spacing w:before="20" w:after="20"/>
              <w:jc w:val="center"/>
              <w:rPr>
                <w:rFonts w:ascii="宋体" w:hAnsi="宋体" w:eastAsia="宋体" w:cstheme="minorBidi"/>
                <w:color w:val="auto"/>
                <w:kern w:val="2"/>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theme="minorBidi"/>
                <w:color w:val="auto"/>
                <w:kern w:val="2"/>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theme="minorBidi"/>
                <w:color w:val="auto"/>
                <w:kern w:val="2"/>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机构及伦理递交信（CRA to PI、PI to EC）</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伦理意见回复函</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ind w:firstLine="462" w:firstLineChars="210"/>
              <w:jc w:val="both"/>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5.4</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伦理委员会审查意见</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046" w:type="dxa"/>
            <w:vAlign w:val="center"/>
          </w:tcPr>
          <w:p>
            <w:pPr>
              <w:widowControl/>
              <w:wordWrap/>
              <w:autoSpaceDE/>
              <w:autoSpaceDN/>
              <w:spacing w:before="20" w:after="20"/>
              <w:ind w:firstLine="462" w:firstLineChars="210"/>
              <w:jc w:val="both"/>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5.5</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试验相关说明</w:t>
            </w:r>
            <w:r>
              <w:rPr>
                <w:rFonts w:hint="eastAsia" w:eastAsia="宋体"/>
                <w:color w:val="auto"/>
                <w:lang w:eastAsia="zh-CN"/>
              </w:rPr>
              <w:t>（</w:t>
            </w:r>
            <w:r>
              <w:rPr>
                <w:rFonts w:hint="eastAsia" w:ascii="宋体" w:hAnsi="宋体" w:eastAsia="宋体" w:cs="Arial"/>
                <w:color w:val="auto"/>
                <w:kern w:val="0"/>
                <w:sz w:val="22"/>
                <w:szCs w:val="22"/>
                <w:lang w:eastAsia="zh-CN"/>
              </w:rPr>
              <w:t>伦理沟通文件及其他</w:t>
            </w:r>
            <w:r>
              <w:rPr>
                <w:rFonts w:hint="eastAsia" w:ascii="宋体" w:hAnsi="宋体" w:eastAsia="宋体" w:cs="Arial"/>
                <w:color w:val="auto"/>
                <w:kern w:val="0"/>
                <w:sz w:val="22"/>
                <w:szCs w:val="22"/>
                <w:lang w:val="en-US" w:eastAsia="zh-CN"/>
              </w:rPr>
              <w:t>备案文件如方案违背</w:t>
            </w:r>
            <w:r>
              <w:rPr>
                <w:rFonts w:hint="eastAsia" w:eastAsia="宋体"/>
                <w:color w:val="auto"/>
                <w:lang w:eastAsia="zh-CN"/>
              </w:rPr>
              <w:t>）</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5.6</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eastAsia="zh-CN"/>
              </w:rPr>
              <w:t>中期/年度报告</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7"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5.7</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致伦理委员的试验完成报告</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5.8</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临床试验总结报告</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5.9</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其他重要文件（如遗传办批件）</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left"/>
              <w:rPr>
                <w:rFonts w:hint="eastAsia" w:ascii="宋体" w:hAnsi="宋体" w:eastAsia="宋体" w:cs="Arial"/>
                <w:b/>
                <w:color w:val="auto"/>
                <w:kern w:val="0"/>
                <w:sz w:val="22"/>
                <w:szCs w:val="22"/>
                <w:lang w:val="en-US" w:eastAsia="zh-CN"/>
              </w:rPr>
            </w:pPr>
            <w:r>
              <w:rPr>
                <w:rFonts w:hint="eastAsia" w:ascii="宋体" w:hAnsi="宋体" w:eastAsia="宋体" w:cs="Arial"/>
                <w:b/>
                <w:bCs/>
                <w:color w:val="auto"/>
                <w:kern w:val="0"/>
                <w:sz w:val="22"/>
                <w:szCs w:val="22"/>
              </w:rPr>
              <w:t xml:space="preserve">  </w:t>
            </w:r>
            <w:r>
              <w:rPr>
                <w:rFonts w:hint="eastAsia" w:ascii="宋体" w:hAnsi="宋体" w:eastAsia="宋体" w:cs="Arial"/>
                <w:b/>
                <w:bCs/>
                <w:color w:val="auto"/>
                <w:kern w:val="0"/>
                <w:sz w:val="22"/>
                <w:szCs w:val="22"/>
                <w:lang w:val="en-US" w:eastAsia="zh-CN"/>
              </w:rPr>
              <w:t>6</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color w:val="auto"/>
                <w:kern w:val="0"/>
                <w:sz w:val="22"/>
                <w:szCs w:val="22"/>
                <w:lang w:eastAsia="zh-CN"/>
              </w:rPr>
            </w:pPr>
            <w:r>
              <w:rPr>
                <w:rFonts w:hint="eastAsia" w:ascii="宋体" w:hAnsi="宋体" w:eastAsia="宋体" w:cs="Arial"/>
                <w:b/>
                <w:color w:val="auto"/>
                <w:kern w:val="0"/>
                <w:sz w:val="22"/>
                <w:szCs w:val="22"/>
                <w:lang w:eastAsia="zh-CN"/>
              </w:rPr>
              <w:t>研究参与人员信息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ascii="宋体" w:hAnsi="宋体" w:eastAsia="宋体" w:cs="Arial"/>
                <w:color w:val="auto"/>
                <w:kern w:val="0"/>
                <w:sz w:val="22"/>
                <w:szCs w:val="22"/>
              </w:rPr>
            </w:pPr>
            <w:r>
              <w:rPr>
                <w:rFonts w:hint="eastAsia" w:ascii="宋体" w:hAnsi="宋体" w:eastAsia="宋体" w:cs="Arial"/>
                <w:color w:val="auto"/>
                <w:kern w:val="0"/>
                <w:sz w:val="22"/>
                <w:szCs w:val="22"/>
                <w:lang w:val="en-US" w:eastAsia="zh-CN"/>
              </w:rPr>
              <w:t>6</w:t>
            </w:r>
            <w:r>
              <w:rPr>
                <w:rFonts w:hint="eastAsia" w:ascii="宋体" w:hAnsi="宋体" w:eastAsia="宋体" w:cs="Arial"/>
                <w:color w:val="auto"/>
                <w:kern w:val="0"/>
                <w:sz w:val="22"/>
                <w:szCs w:val="22"/>
              </w:rPr>
              <w:t>.1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rPr>
            </w:pPr>
            <w:r>
              <w:rPr>
                <w:rFonts w:hint="eastAsia" w:ascii="宋体" w:hAnsi="宋体" w:eastAsia="宋体" w:cs="Arial"/>
                <w:color w:val="auto"/>
                <w:kern w:val="0"/>
                <w:sz w:val="22"/>
                <w:szCs w:val="22"/>
                <w:lang w:eastAsia="zh-CN"/>
              </w:rPr>
              <w:t>职责授权分工表</w:t>
            </w:r>
          </w:p>
        </w:tc>
        <w:tc>
          <w:tcPr>
            <w:tcW w:w="935"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val="en-US" w:eastAsia="zh-CN"/>
              </w:rPr>
              <w:t>6</w:t>
            </w:r>
            <w:r>
              <w:rPr>
                <w:rFonts w:ascii="宋体" w:hAnsi="宋体" w:eastAsia="宋体" w:cs="Arial"/>
                <w:color w:val="auto"/>
                <w:kern w:val="0"/>
                <w:sz w:val="22"/>
                <w:szCs w:val="22"/>
                <w:lang w:eastAsia="zh-CN"/>
              </w:rPr>
              <w:t>.2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PI简历及资质</w:t>
            </w:r>
          </w:p>
        </w:tc>
        <w:tc>
          <w:tcPr>
            <w:tcW w:w="935"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6.3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研究者简历</w:t>
            </w:r>
            <w:r>
              <w:rPr>
                <w:rFonts w:hint="eastAsia" w:eastAsia="宋体"/>
                <w:color w:val="auto"/>
                <w:lang w:val="en-US" w:eastAsia="zh-CN"/>
              </w:rPr>
              <w:t>及资质</w:t>
            </w:r>
          </w:p>
        </w:tc>
        <w:tc>
          <w:tcPr>
            <w:tcW w:w="935"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left"/>
              <w:rPr>
                <w:rFonts w:hint="default"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7</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会议及培训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7.1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方案讨论会会议纪要/记录</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7.2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启动会签到表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7.3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授权分工表及签名样张</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7.4</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保密承诺</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7.5</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启动会培训资料（如PPT）</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7.6</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其他</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ind w:firstLine="221" w:firstLineChars="100"/>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8</w:t>
            </w:r>
          </w:p>
        </w:tc>
        <w:tc>
          <w:tcPr>
            <w:tcW w:w="9343" w:type="dxa"/>
            <w:gridSpan w:val="5"/>
            <w:vAlign w:val="center"/>
          </w:tcPr>
          <w:p>
            <w:pPr>
              <w:widowControl/>
              <w:wordWrap/>
              <w:autoSpaceDE/>
              <w:autoSpaceDN/>
              <w:spacing w:before="20" w:after="20"/>
              <w:jc w:val="left"/>
              <w:rPr>
                <w:rFonts w:hint="default"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试验用医疗器械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ind w:firstLine="462" w:firstLineChars="210"/>
              <w:jc w:val="both"/>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8.1</w:t>
            </w:r>
          </w:p>
        </w:tc>
        <w:tc>
          <w:tcPr>
            <w:tcW w:w="5103" w:type="dxa"/>
            <w:vAlign w:val="center"/>
          </w:tcPr>
          <w:p>
            <w:pPr>
              <w:widowControl/>
              <w:wordWrap/>
              <w:autoSpaceDE/>
              <w:autoSpaceDN/>
              <w:spacing w:before="20" w:after="2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试验用医疗器械研制符合适用的医疗器械生产质量管理规范声明</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8.2</w:t>
            </w:r>
          </w:p>
        </w:tc>
        <w:tc>
          <w:tcPr>
            <w:tcW w:w="5103" w:type="dxa"/>
            <w:vAlign w:val="center"/>
          </w:tcPr>
          <w:p>
            <w:pPr>
              <w:widowControl/>
              <w:wordWrap/>
              <w:autoSpaceDE/>
              <w:autoSpaceDN/>
              <w:spacing w:before="20" w:after="2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试验用医疗器械研制的质量保证和质量控制文件</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643"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8.3</w:t>
            </w:r>
          </w:p>
        </w:tc>
        <w:tc>
          <w:tcPr>
            <w:tcW w:w="5103" w:type="dxa"/>
            <w:vAlign w:val="center"/>
          </w:tcPr>
          <w:p>
            <w:pPr>
              <w:widowControl/>
              <w:wordWrap/>
              <w:autoSpaceDE/>
              <w:autoSpaceDN/>
              <w:spacing w:before="20" w:after="20"/>
              <w:jc w:val="lef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试验用医疗器械的标签</w:t>
            </w:r>
          </w:p>
        </w:tc>
        <w:tc>
          <w:tcPr>
            <w:tcW w:w="935" w:type="dxa"/>
            <w:vAlign w:val="center"/>
          </w:tcPr>
          <w:p>
            <w:pPr>
              <w:widowControl/>
              <w:wordWrap/>
              <w:autoSpaceDE/>
              <w:autoSpaceDN/>
              <w:spacing w:before="20" w:after="20"/>
              <w:jc w:val="center"/>
              <w:rPr>
                <w:rFonts w:hint="eastAsia"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hint="default"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hint="default"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8.4</w:t>
            </w:r>
          </w:p>
        </w:tc>
        <w:tc>
          <w:tcPr>
            <w:tcW w:w="5103" w:type="dxa"/>
            <w:vAlign w:val="center"/>
          </w:tcPr>
          <w:p>
            <w:pPr>
              <w:widowControl/>
              <w:wordWrap/>
              <w:autoSpaceDE/>
              <w:autoSpaceDN/>
              <w:spacing w:before="20" w:after="2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试验用医疗器械的交接单</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highlight w:val="none"/>
                <w:lang w:val="en-US" w:eastAsia="zh-CN" w:bidi="ar-SA"/>
              </w:rPr>
            </w:pPr>
            <w:r>
              <w:rPr>
                <w:rFonts w:hint="eastAsia" w:ascii="宋体" w:hAnsi="宋体" w:eastAsia="宋体" w:cs="Arial"/>
                <w:color w:val="auto"/>
                <w:kern w:val="0"/>
                <w:sz w:val="22"/>
                <w:szCs w:val="22"/>
                <w:highlight w:val="none"/>
                <w:lang w:val="en-US" w:eastAsia="zh-CN"/>
              </w:rPr>
              <w:t>8.5</w:t>
            </w:r>
          </w:p>
        </w:tc>
        <w:tc>
          <w:tcPr>
            <w:tcW w:w="5103" w:type="dxa"/>
            <w:vAlign w:val="center"/>
          </w:tcPr>
          <w:p>
            <w:pPr>
              <w:widowControl/>
              <w:wordWrap/>
              <w:autoSpaceDE/>
              <w:autoSpaceDN/>
              <w:spacing w:before="20" w:after="20"/>
              <w:jc w:val="left"/>
              <w:rPr>
                <w:rFonts w:hint="default" w:ascii="宋体" w:hAnsi="宋体" w:eastAsia="宋体" w:cs="Arial"/>
                <w:color w:val="auto"/>
                <w:kern w:val="0"/>
                <w:sz w:val="22"/>
                <w:szCs w:val="22"/>
                <w:highlight w:val="none"/>
                <w:lang w:val="en-US" w:eastAsia="zh-CN" w:bidi="ar-SA"/>
              </w:rPr>
            </w:pPr>
            <w:r>
              <w:rPr>
                <w:rFonts w:hint="eastAsia" w:ascii="宋体" w:hAnsi="宋体" w:eastAsia="宋体" w:cs="Arial"/>
                <w:color w:val="auto"/>
                <w:kern w:val="0"/>
                <w:sz w:val="22"/>
                <w:szCs w:val="22"/>
                <w:highlight w:val="none"/>
                <w:lang w:val="en-US" w:eastAsia="zh-CN"/>
              </w:rPr>
              <w:t>试验用医疗器械的</w:t>
            </w:r>
            <w:r>
              <w:rPr>
                <w:rFonts w:hint="eastAsia" w:ascii="宋体" w:hAnsi="宋体" w:eastAsia="宋体" w:cs="Arial"/>
                <w:strike w:val="0"/>
                <w:dstrike w:val="0"/>
                <w:color w:val="auto"/>
                <w:kern w:val="0"/>
                <w:sz w:val="22"/>
                <w:szCs w:val="22"/>
                <w:highlight w:val="none"/>
                <w:lang w:val="en-US" w:eastAsia="zh-CN"/>
              </w:rPr>
              <w:t>产品检验报告</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highlight w:val="none"/>
                <w:lang w:val="en-US" w:eastAsia="zh-CN" w:bidi="ar-SA"/>
              </w:rPr>
            </w:pPr>
            <w:r>
              <w:rPr>
                <w:rFonts w:ascii="宋体" w:hAnsi="宋体" w:eastAsia="宋体"/>
                <w:color w:val="auto"/>
                <w:sz w:val="22"/>
                <w:szCs w:val="22"/>
                <w:highlight w:val="none"/>
              </w:rPr>
              <w:fldChar w:fldCharType="begin">
                <w:ffData>
                  <w:name w:val="Check3"/>
                  <w:enabled/>
                  <w:calcOnExit w:val="0"/>
                  <w:checkBox>
                    <w:sizeAuto/>
                    <w:default w:val="0"/>
                    <w:checked w:val="0"/>
                  </w:checkBox>
                </w:ffData>
              </w:fldChar>
            </w:r>
            <w:r>
              <w:rPr>
                <w:rFonts w:ascii="宋体" w:hAnsi="宋体" w:eastAsia="宋体"/>
                <w:color w:val="auto"/>
                <w:sz w:val="22"/>
                <w:szCs w:val="22"/>
                <w:highlight w:val="none"/>
              </w:rPr>
              <w:instrText xml:space="preserve"> FORMCHECKBOX </w:instrText>
            </w:r>
            <w:r>
              <w:rPr>
                <w:rFonts w:ascii="宋体" w:hAnsi="宋体" w:eastAsia="宋体"/>
                <w:color w:val="auto"/>
                <w:sz w:val="22"/>
                <w:szCs w:val="22"/>
                <w:highlight w:val="none"/>
              </w:rPr>
              <w:fldChar w:fldCharType="separate"/>
            </w:r>
            <w:r>
              <w:rPr>
                <w:rFonts w:ascii="宋体" w:hAnsi="宋体" w:eastAsia="宋体"/>
                <w:color w:val="auto"/>
                <w:sz w:val="22"/>
                <w:szCs w:val="22"/>
                <w:highlight w:val="none"/>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highlight w:val="none"/>
                <w:lang w:val="en-US" w:eastAsia="zh-CN" w:bidi="ar-SA"/>
              </w:rPr>
            </w:pPr>
            <w:r>
              <w:rPr>
                <w:rFonts w:ascii="宋体" w:hAnsi="宋体" w:eastAsia="宋体"/>
                <w:color w:val="auto"/>
                <w:sz w:val="22"/>
                <w:szCs w:val="22"/>
                <w:highlight w:val="none"/>
              </w:rPr>
              <w:fldChar w:fldCharType="begin">
                <w:ffData>
                  <w:name w:val="Check3"/>
                  <w:enabled/>
                  <w:calcOnExit w:val="0"/>
                  <w:checkBox>
                    <w:sizeAuto/>
                    <w:default w:val="0"/>
                    <w:checked w:val="0"/>
                  </w:checkBox>
                </w:ffData>
              </w:fldChar>
            </w:r>
            <w:r>
              <w:rPr>
                <w:rFonts w:ascii="宋体" w:hAnsi="宋体" w:eastAsia="宋体"/>
                <w:color w:val="auto"/>
                <w:sz w:val="22"/>
                <w:szCs w:val="22"/>
                <w:highlight w:val="none"/>
              </w:rPr>
              <w:instrText xml:space="preserve"> FORMCHECKBOX </w:instrText>
            </w:r>
            <w:r>
              <w:rPr>
                <w:rFonts w:ascii="宋体" w:hAnsi="宋体" w:eastAsia="宋体"/>
                <w:color w:val="auto"/>
                <w:sz w:val="22"/>
                <w:szCs w:val="22"/>
                <w:highlight w:val="none"/>
              </w:rPr>
              <w:fldChar w:fldCharType="separate"/>
            </w:r>
            <w:r>
              <w:rPr>
                <w:rFonts w:ascii="宋体" w:hAnsi="宋体" w:eastAsia="宋体"/>
                <w:color w:val="auto"/>
                <w:sz w:val="22"/>
                <w:szCs w:val="22"/>
                <w:highlight w:val="none"/>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highlight w:val="none"/>
                <w:lang w:val="en-US" w:eastAsia="zh-CN" w:bidi="ar-SA"/>
              </w:rPr>
            </w:pPr>
            <w:r>
              <w:rPr>
                <w:rFonts w:ascii="宋体" w:hAnsi="宋体" w:eastAsia="宋体"/>
                <w:color w:val="auto"/>
                <w:sz w:val="22"/>
                <w:szCs w:val="22"/>
                <w:highlight w:val="none"/>
              </w:rPr>
              <w:fldChar w:fldCharType="begin">
                <w:ffData>
                  <w:name w:val="Check3"/>
                  <w:enabled/>
                  <w:calcOnExit w:val="0"/>
                  <w:checkBox>
                    <w:sizeAuto/>
                    <w:default w:val="0"/>
                    <w:checked w:val="0"/>
                  </w:checkBox>
                </w:ffData>
              </w:fldChar>
            </w:r>
            <w:r>
              <w:rPr>
                <w:rFonts w:ascii="宋体" w:hAnsi="宋体" w:eastAsia="宋体"/>
                <w:color w:val="auto"/>
                <w:sz w:val="22"/>
                <w:szCs w:val="22"/>
                <w:highlight w:val="none"/>
              </w:rPr>
              <w:instrText xml:space="preserve"> FORMCHECKBOX </w:instrText>
            </w:r>
            <w:r>
              <w:rPr>
                <w:rFonts w:ascii="宋体" w:hAnsi="宋体" w:eastAsia="宋体"/>
                <w:color w:val="auto"/>
                <w:sz w:val="22"/>
                <w:szCs w:val="22"/>
                <w:highlight w:val="none"/>
              </w:rPr>
              <w:fldChar w:fldCharType="separate"/>
            </w:r>
            <w:r>
              <w:rPr>
                <w:rFonts w:ascii="宋体" w:hAnsi="宋体" w:eastAsia="宋体"/>
                <w:color w:val="auto"/>
                <w:sz w:val="22"/>
                <w:szCs w:val="22"/>
                <w:highlight w:val="none"/>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8.6</w:t>
            </w:r>
          </w:p>
        </w:tc>
        <w:tc>
          <w:tcPr>
            <w:tcW w:w="5103" w:type="dxa"/>
            <w:vAlign w:val="center"/>
          </w:tcPr>
          <w:p>
            <w:pPr>
              <w:widowControl/>
              <w:wordWrap/>
              <w:autoSpaceDE/>
              <w:autoSpaceDN/>
              <w:spacing w:before="20" w:after="2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试验用医疗器械的接收、保存、分发、回收记录表</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8.7</w:t>
            </w:r>
          </w:p>
        </w:tc>
        <w:tc>
          <w:tcPr>
            <w:tcW w:w="5103" w:type="dxa"/>
            <w:vAlign w:val="center"/>
          </w:tcPr>
          <w:p>
            <w:pPr>
              <w:widowControl/>
              <w:wordWrap/>
              <w:autoSpaceDE/>
              <w:autoSpaceDN/>
              <w:spacing w:before="20" w:after="2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试验用医疗器械的退还表及物流单</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8.8</w:t>
            </w:r>
          </w:p>
        </w:tc>
        <w:tc>
          <w:tcPr>
            <w:tcW w:w="5103" w:type="dxa"/>
            <w:vAlign w:val="center"/>
          </w:tcPr>
          <w:p>
            <w:pPr>
              <w:widowControl/>
              <w:wordWrap/>
              <w:autoSpaceDE/>
              <w:autoSpaceDN/>
              <w:spacing w:before="20" w:after="20"/>
              <w:jc w:val="lef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试验用医疗器械的销毁证明</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8.9</w:t>
            </w:r>
          </w:p>
        </w:tc>
        <w:tc>
          <w:tcPr>
            <w:tcW w:w="5103" w:type="dxa"/>
            <w:vAlign w:val="center"/>
          </w:tcPr>
          <w:p>
            <w:pPr>
              <w:widowControl/>
              <w:wordWrap/>
              <w:autoSpaceDE/>
              <w:autoSpaceDN/>
              <w:spacing w:before="20" w:after="20"/>
              <w:jc w:val="lef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试验用医疗器械的存储温湿度记录表（若有）</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jc w:val="righ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8.10</w:t>
            </w:r>
          </w:p>
        </w:tc>
        <w:tc>
          <w:tcPr>
            <w:tcW w:w="5103" w:type="dxa"/>
            <w:vAlign w:val="center"/>
          </w:tcPr>
          <w:p>
            <w:pPr>
              <w:widowControl/>
              <w:wordWrap/>
              <w:autoSpaceDE/>
              <w:autoSpaceDN/>
              <w:spacing w:before="20" w:after="20"/>
              <w:jc w:val="left"/>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其他</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ind w:firstLine="221" w:firstLineChars="100"/>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9</w:t>
            </w:r>
          </w:p>
        </w:tc>
        <w:tc>
          <w:tcPr>
            <w:tcW w:w="9343" w:type="dxa"/>
            <w:gridSpan w:val="5"/>
            <w:vAlign w:val="center"/>
          </w:tcPr>
          <w:p>
            <w:pPr>
              <w:widowControl/>
              <w:wordWrap/>
              <w:autoSpaceDE/>
              <w:autoSpaceDN/>
              <w:spacing w:before="20" w:after="20"/>
              <w:jc w:val="left"/>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9.1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中心实验室资质</w:t>
            </w:r>
            <w:r>
              <w:rPr>
                <w:rFonts w:hint="eastAsia"/>
                <w:color w:val="auto"/>
                <w:lang w:eastAsia="zh-CN"/>
              </w:rPr>
              <w:t>（</w:t>
            </w:r>
            <w:r>
              <w:rPr>
                <w:rFonts w:hint="eastAsia"/>
                <w:color w:val="auto"/>
                <w:lang w:val="en-US" w:eastAsia="zh-CN"/>
              </w:rPr>
              <w:t>室间质评证书等</w:t>
            </w:r>
            <w:r>
              <w:rPr>
                <w:rFonts w:hint="eastAsia"/>
                <w:color w:val="auto"/>
                <w:lang w:eastAsia="zh-CN"/>
              </w:rPr>
              <w:t>）</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9.2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中心实验室负责人简历</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754"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9.3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color w:val="auto"/>
                <w:lang w:val="en-US" w:eastAsia="zh-CN"/>
              </w:rPr>
              <w:t>中心实验室</w:t>
            </w:r>
            <w:r>
              <w:rPr>
                <w:rFonts w:hint="eastAsia"/>
                <w:color w:val="auto"/>
              </w:rPr>
              <w:t>在试验方案中涉及的医学、实验室、专业技术操作和相关检测的参考值和参考值范围</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0"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9.4</w:t>
            </w:r>
          </w:p>
        </w:tc>
        <w:tc>
          <w:tcPr>
            <w:tcW w:w="5103" w:type="dxa"/>
            <w:vAlign w:val="center"/>
          </w:tcPr>
          <w:p>
            <w:pPr>
              <w:pStyle w:val="43"/>
              <w:keepNext w:val="0"/>
              <w:keepLines w:val="0"/>
              <w:pageBreakBefore w:val="0"/>
              <w:numPr>
                <w:ilvl w:val="0"/>
                <w:numId w:val="0"/>
              </w:numPr>
              <w:kinsoku/>
              <w:overflowPunct/>
              <w:topLinePunct w:val="0"/>
              <w:bidi w:val="0"/>
              <w:adjustRightInd/>
              <w:snapToGrid/>
              <w:ind w:left="105" w:leftChars="50"/>
              <w:textAlignment w:val="auto"/>
              <w:rPr>
                <w:rFonts w:ascii="宋体" w:hAnsi="宋体" w:eastAsia="宋体" w:cs="Arial"/>
                <w:color w:val="auto"/>
                <w:kern w:val="0"/>
                <w:sz w:val="22"/>
                <w:szCs w:val="22"/>
                <w:lang w:eastAsia="zh-CN"/>
              </w:rPr>
            </w:pPr>
            <w:r>
              <w:rPr>
                <w:rFonts w:hint="eastAsia" w:ascii="宋体" w:hAnsi="宋体" w:eastAsia="宋体" w:cs="Times New Roman"/>
                <w:b w:val="0"/>
                <w:bCs w:val="0"/>
                <w:color w:val="auto"/>
                <w:kern w:val="2"/>
                <w:sz w:val="21"/>
                <w:szCs w:val="22"/>
                <w:lang w:val="en-US" w:eastAsia="zh-CN" w:bidi="ar-SA"/>
              </w:rPr>
              <w:t>中心实验室物资预定、运输及确认</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0"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9.5</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本院实验室资质</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741" w:hRule="atLeast"/>
          <w:tblHeader/>
        </w:trPr>
        <w:tc>
          <w:tcPr>
            <w:tcW w:w="1046" w:type="dxa"/>
            <w:vAlign w:val="center"/>
          </w:tcPr>
          <w:p>
            <w:pPr>
              <w:widowControl/>
              <w:wordWrap/>
              <w:autoSpaceDE/>
              <w:autoSpaceDN/>
              <w:spacing w:before="20" w:after="20"/>
              <w:ind w:firstLine="462" w:firstLineChars="210"/>
              <w:jc w:val="both"/>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9.6</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本院实验室</w:t>
            </w:r>
            <w:r>
              <w:rPr>
                <w:rFonts w:hint="eastAsia"/>
                <w:color w:val="auto"/>
              </w:rPr>
              <w:t>在试验方案中涉及的医学、实验室、专业技术操作和相关检测的参考值和参考值范围</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3" w:hRule="atLeas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9.7</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本院实验室仪器校准证明</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ind w:firstLine="462" w:firstLineChars="21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9.8</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与实验室相关的其他文件</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ind w:firstLine="221" w:firstLineChars="100"/>
              <w:jc w:val="left"/>
              <w:rPr>
                <w:rFonts w:hint="default"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10</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eastAsia="zh-CN"/>
              </w:rPr>
            </w:pPr>
            <w:r>
              <w:rPr>
                <w:rFonts w:hint="eastAsia" w:ascii="宋体" w:hAnsi="宋体" w:eastAsia="宋体" w:cs="Arial"/>
                <w:b/>
                <w:bCs/>
                <w:color w:val="auto"/>
                <w:kern w:val="0"/>
                <w:sz w:val="22"/>
                <w:szCs w:val="22"/>
                <w:lang w:eastAsia="zh-CN"/>
              </w:rPr>
              <w:t>随机和破盲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10.1</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随机方案</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10.2</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盲法试验的揭盲程序</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10.3</w:t>
            </w:r>
          </w:p>
        </w:tc>
        <w:tc>
          <w:tcPr>
            <w:tcW w:w="5103" w:type="dxa"/>
            <w:vAlign w:val="center"/>
          </w:tcPr>
          <w:p>
            <w:pPr>
              <w:widowControl/>
              <w:wordWrap/>
              <w:autoSpaceDE/>
              <w:autoSpaceDN/>
              <w:spacing w:before="20" w:after="20"/>
              <w:ind w:left="105" w:leftChars="50"/>
              <w:jc w:val="left"/>
              <w:rPr>
                <w:rFonts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破盲记录表</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10.4</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应急信封接收与回收</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ind w:firstLine="221" w:firstLineChars="100"/>
              <w:jc w:val="left"/>
              <w:rPr>
                <w:rFonts w:hint="eastAsia" w:ascii="宋体" w:hAnsi="宋体" w:eastAsia="宋体" w:cs="Arial"/>
                <w:b/>
                <w:bCs/>
                <w:color w:val="auto"/>
                <w:kern w:val="0"/>
                <w:sz w:val="22"/>
                <w:szCs w:val="22"/>
                <w:lang w:val="en-US" w:eastAsia="zh-CN"/>
              </w:rPr>
            </w:pPr>
            <w:r>
              <w:rPr>
                <w:rFonts w:ascii="宋体" w:hAnsi="宋体" w:eastAsia="宋体" w:cs="Arial"/>
                <w:b/>
                <w:bCs/>
                <w:color w:val="auto"/>
                <w:kern w:val="0"/>
                <w:sz w:val="22"/>
                <w:szCs w:val="22"/>
              </w:rPr>
              <w:t>1</w:t>
            </w:r>
            <w:r>
              <w:rPr>
                <w:rFonts w:hint="eastAsia" w:ascii="宋体" w:hAnsi="宋体" w:eastAsia="宋体" w:cs="Arial"/>
                <w:b/>
                <w:bCs/>
                <w:color w:val="auto"/>
                <w:kern w:val="0"/>
                <w:sz w:val="22"/>
                <w:szCs w:val="22"/>
                <w:lang w:val="en-US" w:eastAsia="zh-CN"/>
              </w:rPr>
              <w:t>1</w:t>
            </w:r>
          </w:p>
        </w:tc>
        <w:tc>
          <w:tcPr>
            <w:tcW w:w="9343" w:type="dxa"/>
            <w:gridSpan w:val="5"/>
            <w:vAlign w:val="center"/>
          </w:tcPr>
          <w:p>
            <w:pPr>
              <w:widowControl/>
              <w:wordWrap/>
              <w:autoSpaceDE/>
              <w:autoSpaceDN/>
              <w:spacing w:before="20" w:after="20"/>
              <w:jc w:val="left"/>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临床监查/稽查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11.1</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val="en-US" w:eastAsia="zh-CN"/>
              </w:rPr>
              <w:t>研究前中心监查（PSV）确认信函/随访信函</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11.2</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研究中心启动监查(SIV)确认信函/报随访信函</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11.3</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常规监查（RMV)确认信函/随访信函</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11.4</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监查员访视报告</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11.5</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研究中心关闭（COV）确认信函/随访信函</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11.6</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稽查确认函</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11.7</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稽查随访信函</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11.8</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与稽查相关的通讯</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11.9</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其他文件</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ind w:firstLine="221" w:firstLineChars="100"/>
              <w:jc w:val="left"/>
              <w:rPr>
                <w:rFonts w:hint="eastAsia" w:ascii="宋体" w:hAnsi="宋体" w:eastAsia="宋体" w:cs="Arial"/>
                <w:b/>
                <w:bCs/>
                <w:color w:val="auto"/>
                <w:kern w:val="0"/>
                <w:sz w:val="22"/>
                <w:szCs w:val="22"/>
                <w:lang w:val="en-US" w:eastAsia="zh-CN"/>
              </w:rPr>
            </w:pPr>
            <w:r>
              <w:rPr>
                <w:rFonts w:ascii="宋体" w:hAnsi="宋体" w:eastAsia="宋体" w:cs="Arial"/>
                <w:b/>
                <w:bCs/>
                <w:color w:val="auto"/>
                <w:kern w:val="0"/>
                <w:sz w:val="22"/>
                <w:szCs w:val="22"/>
              </w:rPr>
              <w:t>1</w:t>
            </w:r>
            <w:r>
              <w:rPr>
                <w:rFonts w:hint="eastAsia" w:ascii="宋体" w:hAnsi="宋体" w:eastAsia="宋体" w:cs="Arial"/>
                <w:b/>
                <w:bCs/>
                <w:color w:val="auto"/>
                <w:kern w:val="0"/>
                <w:sz w:val="22"/>
                <w:szCs w:val="22"/>
                <w:lang w:val="en-US" w:eastAsia="zh-CN"/>
              </w:rPr>
              <w:t>2</w:t>
            </w:r>
          </w:p>
        </w:tc>
        <w:tc>
          <w:tcPr>
            <w:tcW w:w="9343" w:type="dxa"/>
            <w:gridSpan w:val="5"/>
            <w:vAlign w:val="center"/>
          </w:tcPr>
          <w:p>
            <w:pPr>
              <w:widowControl/>
              <w:wordWrap/>
              <w:autoSpaceDE/>
              <w:autoSpaceDN/>
              <w:spacing w:before="20" w:after="20"/>
              <w:jc w:val="left"/>
              <w:rPr>
                <w:rFonts w:hint="eastAsia" w:ascii="宋体" w:hAnsi="宋体" w:eastAsia="宋体" w:cs="Arial"/>
                <w:b/>
                <w:bCs/>
                <w:color w:val="auto"/>
                <w:kern w:val="0"/>
                <w:sz w:val="22"/>
                <w:szCs w:val="22"/>
                <w:lang w:eastAsia="zh-CN"/>
              </w:rPr>
            </w:pPr>
            <w:r>
              <w:rPr>
                <w:rFonts w:hint="eastAsia" w:ascii="宋体" w:hAnsi="宋体" w:eastAsia="宋体" w:cs="Arial"/>
                <w:b/>
                <w:bCs/>
                <w:color w:val="auto"/>
                <w:kern w:val="0"/>
                <w:sz w:val="22"/>
                <w:szCs w:val="22"/>
                <w:lang w:eastAsia="zh-CN"/>
              </w:rPr>
              <w:t>试验物资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2</w:t>
            </w:r>
            <w:r>
              <w:rPr>
                <w:rFonts w:ascii="宋体" w:hAnsi="宋体" w:eastAsia="宋体" w:cs="Arial"/>
                <w:color w:val="auto"/>
                <w:kern w:val="0"/>
                <w:sz w:val="22"/>
                <w:szCs w:val="22"/>
                <w:lang w:eastAsia="zh-CN"/>
              </w:rPr>
              <w:t>.1</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eastAsia="zh-CN"/>
              </w:rPr>
              <w:t>仪器、耗材交接</w:t>
            </w:r>
            <w:r>
              <w:rPr>
                <w:rFonts w:hint="eastAsia" w:ascii="宋体" w:hAnsi="宋体" w:eastAsia="宋体" w:cs="Arial"/>
                <w:color w:val="auto"/>
                <w:kern w:val="0"/>
                <w:sz w:val="22"/>
                <w:szCs w:val="22"/>
                <w:lang w:val="en-US" w:eastAsia="zh-CN"/>
              </w:rPr>
              <w:t>证明</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2</w:t>
            </w:r>
            <w:r>
              <w:rPr>
                <w:rFonts w:ascii="宋体" w:hAnsi="宋体" w:eastAsia="宋体" w:cs="Arial"/>
                <w:color w:val="auto"/>
                <w:kern w:val="0"/>
                <w:sz w:val="22"/>
                <w:szCs w:val="22"/>
                <w:lang w:eastAsia="zh-CN"/>
              </w:rPr>
              <w:t>.2</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eastAsia="zh-CN"/>
              </w:rPr>
              <w:t>试验印刷材料交接</w:t>
            </w:r>
            <w:r>
              <w:rPr>
                <w:rFonts w:hint="eastAsia" w:ascii="宋体" w:hAnsi="宋体" w:eastAsia="宋体" w:cs="Arial"/>
                <w:color w:val="auto"/>
                <w:kern w:val="0"/>
                <w:sz w:val="22"/>
                <w:szCs w:val="22"/>
                <w:lang w:val="en-US" w:eastAsia="zh-CN"/>
              </w:rPr>
              <w:t>证明</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2</w:t>
            </w:r>
            <w:r>
              <w:rPr>
                <w:rFonts w:ascii="宋体" w:hAnsi="宋体" w:eastAsia="宋体" w:cs="Arial"/>
                <w:color w:val="auto"/>
                <w:kern w:val="0"/>
                <w:sz w:val="22"/>
                <w:szCs w:val="22"/>
                <w:lang w:eastAsia="zh-CN"/>
              </w:rPr>
              <w:t>.3</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eastAsia="zh-CN"/>
              </w:rPr>
              <w:t>研究中心文件物料交接</w:t>
            </w:r>
            <w:r>
              <w:rPr>
                <w:rFonts w:hint="eastAsia" w:ascii="宋体" w:hAnsi="宋体" w:eastAsia="宋体" w:cs="Arial"/>
                <w:color w:val="auto"/>
                <w:kern w:val="0"/>
                <w:sz w:val="22"/>
                <w:szCs w:val="22"/>
                <w:lang w:val="en-US" w:eastAsia="zh-CN"/>
              </w:rPr>
              <w:t>证明</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2</w:t>
            </w:r>
            <w:r>
              <w:rPr>
                <w:rFonts w:hint="eastAsia" w:ascii="宋体" w:hAnsi="宋体" w:eastAsia="宋体" w:cs="Arial"/>
                <w:color w:val="auto"/>
                <w:kern w:val="0"/>
                <w:sz w:val="22"/>
                <w:szCs w:val="22"/>
                <w:lang w:eastAsia="zh-CN"/>
              </w:rPr>
              <w:t>.</w:t>
            </w:r>
            <w:r>
              <w:rPr>
                <w:rFonts w:ascii="宋体" w:hAnsi="宋体" w:eastAsia="宋体" w:cs="Arial"/>
                <w:color w:val="auto"/>
                <w:kern w:val="0"/>
                <w:sz w:val="22"/>
                <w:szCs w:val="22"/>
                <w:lang w:eastAsia="zh-CN"/>
              </w:rPr>
              <w:t>4</w:t>
            </w:r>
          </w:p>
        </w:tc>
        <w:tc>
          <w:tcPr>
            <w:tcW w:w="5103" w:type="dxa"/>
            <w:vAlign w:val="center"/>
          </w:tcPr>
          <w:p>
            <w:pPr>
              <w:widowControl/>
              <w:wordWrap/>
              <w:autoSpaceDE/>
              <w:autoSpaceDN/>
              <w:spacing w:before="20" w:after="20"/>
              <w:ind w:left="105" w:leftChars="50"/>
              <w:jc w:val="left"/>
              <w:rPr>
                <w:rFonts w:ascii="宋体" w:hAnsi="宋体" w:eastAsia="宋体" w:cs="Arial"/>
                <w:color w:val="auto"/>
                <w:kern w:val="0"/>
                <w:sz w:val="22"/>
                <w:szCs w:val="22"/>
              </w:rPr>
            </w:pPr>
            <w:r>
              <w:rPr>
                <w:rFonts w:hint="eastAsia" w:ascii="宋体" w:hAnsi="宋体" w:eastAsia="宋体" w:cs="Arial"/>
                <w:color w:val="auto"/>
                <w:kern w:val="0"/>
                <w:sz w:val="22"/>
                <w:szCs w:val="22"/>
                <w:lang w:eastAsia="zh-CN"/>
              </w:rPr>
              <w:t>其他</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ind w:firstLine="221" w:firstLineChars="100"/>
              <w:jc w:val="left"/>
              <w:rPr>
                <w:rFonts w:hint="eastAsia" w:ascii="宋体" w:hAnsi="宋体" w:eastAsia="宋体" w:cs="Arial"/>
                <w:b/>
                <w:bCs/>
                <w:color w:val="auto"/>
                <w:kern w:val="0"/>
                <w:sz w:val="22"/>
                <w:szCs w:val="22"/>
                <w:lang w:val="en-US" w:eastAsia="zh-CN"/>
              </w:rPr>
            </w:pPr>
            <w:r>
              <w:rPr>
                <w:rFonts w:ascii="宋体" w:hAnsi="宋体" w:eastAsia="宋体" w:cs="Arial"/>
                <w:b/>
                <w:bCs/>
                <w:color w:val="auto"/>
                <w:kern w:val="0"/>
                <w:sz w:val="22"/>
                <w:szCs w:val="22"/>
              </w:rPr>
              <w:t>1</w:t>
            </w:r>
            <w:r>
              <w:rPr>
                <w:rFonts w:hint="eastAsia" w:ascii="宋体" w:hAnsi="宋体" w:eastAsia="宋体" w:cs="Arial"/>
                <w:b/>
                <w:bCs/>
                <w:color w:val="auto"/>
                <w:kern w:val="0"/>
                <w:sz w:val="22"/>
                <w:szCs w:val="22"/>
                <w:lang w:val="en-US" w:eastAsia="zh-CN"/>
              </w:rPr>
              <w:t>3</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eastAsia="zh-CN"/>
              </w:rPr>
            </w:pPr>
            <w:r>
              <w:rPr>
                <w:rFonts w:hint="eastAsia" w:ascii="宋体" w:hAnsi="宋体" w:eastAsia="宋体" w:cs="Arial"/>
                <w:b/>
                <w:bCs/>
                <w:color w:val="auto"/>
                <w:kern w:val="0"/>
                <w:sz w:val="22"/>
                <w:szCs w:val="22"/>
                <w:lang w:eastAsia="zh-CN"/>
              </w:rPr>
              <w:t>安全性信息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3</w:t>
            </w:r>
            <w:r>
              <w:rPr>
                <w:rFonts w:ascii="宋体" w:hAnsi="宋体" w:eastAsia="宋体" w:cs="Arial"/>
                <w:color w:val="auto"/>
                <w:kern w:val="0"/>
                <w:sz w:val="22"/>
                <w:szCs w:val="22"/>
                <w:lang w:eastAsia="zh-CN"/>
              </w:rPr>
              <w:t>.1</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 xml:space="preserve">空白 </w:t>
            </w:r>
            <w:r>
              <w:rPr>
                <w:rFonts w:ascii="宋体" w:hAnsi="宋体" w:eastAsia="宋体" w:cs="Arial"/>
                <w:color w:val="auto"/>
                <w:kern w:val="0"/>
                <w:sz w:val="22"/>
                <w:szCs w:val="22"/>
                <w:lang w:eastAsia="zh-CN"/>
              </w:rPr>
              <w:t>SAE</w:t>
            </w:r>
            <w:r>
              <w:rPr>
                <w:rFonts w:hint="eastAsia" w:ascii="宋体" w:hAnsi="宋体" w:eastAsia="宋体" w:cs="Arial"/>
                <w:color w:val="auto"/>
                <w:kern w:val="0"/>
                <w:sz w:val="22"/>
                <w:szCs w:val="22"/>
                <w:lang w:eastAsia="zh-CN"/>
              </w:rPr>
              <w:t>报告表</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3</w:t>
            </w:r>
            <w:r>
              <w:rPr>
                <w:rFonts w:ascii="宋体" w:hAnsi="宋体" w:eastAsia="宋体" w:cs="Arial"/>
                <w:color w:val="auto"/>
                <w:kern w:val="0"/>
                <w:sz w:val="22"/>
                <w:szCs w:val="22"/>
                <w:lang w:eastAsia="zh-CN"/>
              </w:rPr>
              <w:t>.2</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S</w:t>
            </w:r>
            <w:r>
              <w:rPr>
                <w:rFonts w:ascii="宋体" w:hAnsi="宋体" w:eastAsia="宋体" w:cs="Arial"/>
                <w:color w:val="auto"/>
                <w:kern w:val="0"/>
                <w:sz w:val="22"/>
                <w:szCs w:val="22"/>
                <w:lang w:eastAsia="zh-CN"/>
              </w:rPr>
              <w:t xml:space="preserve">AE </w:t>
            </w:r>
            <w:r>
              <w:rPr>
                <w:rFonts w:hint="eastAsia" w:ascii="宋体" w:hAnsi="宋体" w:eastAsia="宋体" w:cs="Arial"/>
                <w:color w:val="auto"/>
                <w:kern w:val="0"/>
                <w:sz w:val="22"/>
                <w:szCs w:val="22"/>
                <w:lang w:eastAsia="zh-CN"/>
              </w:rPr>
              <w:t>填写指南</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eastAsia="zh-CN"/>
              </w:rPr>
            </w:pPr>
            <w:r>
              <w:rPr>
                <w:rFonts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3</w:t>
            </w:r>
            <w:r>
              <w:rPr>
                <w:rFonts w:ascii="宋体" w:hAnsi="宋体" w:eastAsia="宋体" w:cs="Arial"/>
                <w:color w:val="auto"/>
                <w:kern w:val="0"/>
                <w:sz w:val="22"/>
                <w:szCs w:val="22"/>
                <w:lang w:eastAsia="zh-CN"/>
              </w:rPr>
              <w:t>.3</w:t>
            </w:r>
          </w:p>
        </w:tc>
        <w:tc>
          <w:tcPr>
            <w:tcW w:w="5103" w:type="dxa"/>
            <w:vAlign w:val="bottom"/>
          </w:tcPr>
          <w:p>
            <w:pPr>
              <w:widowControl/>
              <w:wordWrap/>
              <w:autoSpaceDE/>
              <w:autoSpaceDN/>
              <w:spacing w:before="20" w:after="20"/>
              <w:ind w:left="105" w:leftChars="50"/>
              <w:jc w:val="left"/>
              <w:rPr>
                <w:rFonts w:ascii="宋体" w:hAnsi="宋体" w:eastAsia="宋体" w:cs="Arial"/>
                <w:color w:val="auto"/>
                <w:kern w:val="0"/>
                <w:sz w:val="22"/>
                <w:szCs w:val="22"/>
              </w:rPr>
            </w:pPr>
            <w:r>
              <w:rPr>
                <w:rFonts w:ascii="宋体" w:hAnsi="宋体" w:eastAsia="宋体" w:cs="Arial"/>
                <w:color w:val="auto"/>
                <w:kern w:val="0"/>
                <w:sz w:val="22"/>
                <w:szCs w:val="22"/>
              </w:rPr>
              <w:t xml:space="preserve">SAE </w:t>
            </w:r>
            <w:r>
              <w:rPr>
                <w:rFonts w:hint="eastAsia" w:ascii="宋体" w:hAnsi="宋体" w:eastAsia="宋体" w:cs="Arial"/>
                <w:color w:val="auto"/>
                <w:kern w:val="0"/>
                <w:sz w:val="22"/>
                <w:szCs w:val="22"/>
                <w:lang w:eastAsia="zh-CN"/>
              </w:rPr>
              <w:t>报告</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center"/>
          </w:tcPr>
          <w:p>
            <w:pPr>
              <w:widowControl/>
              <w:wordWrap/>
              <w:autoSpaceDE/>
              <w:autoSpaceDN/>
              <w:spacing w:before="20" w:after="20"/>
              <w:jc w:val="right"/>
              <w:rPr>
                <w:rFonts w:ascii="宋体" w:hAnsi="宋体" w:eastAsia="宋体" w:cs="Arial"/>
                <w:color w:val="auto"/>
                <w:kern w:val="0"/>
                <w:sz w:val="22"/>
                <w:szCs w:val="22"/>
                <w:lang w:val="en-US" w:eastAsia="zh-CN" w:bidi="ar-SA"/>
              </w:rPr>
            </w:pPr>
            <w:r>
              <w:rPr>
                <w:rFonts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3</w:t>
            </w:r>
            <w:r>
              <w:rPr>
                <w:rFonts w:ascii="宋体" w:hAnsi="宋体" w:eastAsia="宋体" w:cs="Arial"/>
                <w:color w:val="auto"/>
                <w:kern w:val="0"/>
                <w:sz w:val="22"/>
                <w:szCs w:val="22"/>
                <w:lang w:eastAsia="zh-CN"/>
              </w:rPr>
              <w:t>.4</w:t>
            </w:r>
          </w:p>
        </w:tc>
        <w:tc>
          <w:tcPr>
            <w:tcW w:w="5103" w:type="dxa"/>
            <w:vAlign w:val="bottom"/>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申办者对严重不良事件和可能导致严重不良事件的器械缺陷的报告</w:t>
            </w:r>
          </w:p>
        </w:tc>
        <w:tc>
          <w:tcPr>
            <w:tcW w:w="935" w:type="dxa"/>
            <w:vAlign w:val="center"/>
          </w:tcPr>
          <w:p>
            <w:pPr>
              <w:widowControl/>
              <w:wordWrap/>
              <w:autoSpaceDE/>
              <w:autoSpaceDN/>
              <w:spacing w:before="20" w:after="20"/>
              <w:jc w:val="center"/>
              <w:rPr>
                <w:rFonts w:ascii="宋体" w:hAnsi="宋体" w:eastAsia="宋体" w:cstheme="minorBidi"/>
                <w:color w:val="auto"/>
                <w:kern w:val="2"/>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theme="minorBidi"/>
                <w:color w:val="auto"/>
                <w:kern w:val="2"/>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theme="minorBidi"/>
                <w:color w:val="auto"/>
                <w:kern w:val="2"/>
                <w:sz w:val="22"/>
                <w:szCs w:val="22"/>
                <w:lang w:val="en-US" w:eastAsia="zh-CN"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val="en-US" w:eastAsia="zh-CN" w:bidi="ar-SA"/>
              </w:rPr>
            </w:pPr>
            <w:r>
              <w:rPr>
                <w:rFonts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3</w:t>
            </w:r>
            <w:r>
              <w:rPr>
                <w:rFonts w:ascii="宋体" w:hAnsi="宋体" w:eastAsia="宋体" w:cs="Arial"/>
                <w:color w:val="auto"/>
                <w:kern w:val="0"/>
                <w:sz w:val="22"/>
                <w:szCs w:val="22"/>
                <w:lang w:eastAsia="zh-CN"/>
              </w:rPr>
              <w:t>.5</w:t>
            </w:r>
          </w:p>
        </w:tc>
        <w:tc>
          <w:tcPr>
            <w:tcW w:w="5103" w:type="dxa"/>
            <w:vAlign w:val="bottom"/>
          </w:tcPr>
          <w:p>
            <w:pPr>
              <w:widowControl/>
              <w:wordWrap/>
              <w:autoSpaceDE/>
              <w:autoSpaceDN/>
              <w:spacing w:before="20" w:after="20"/>
              <w:ind w:left="105" w:leftChars="50"/>
              <w:jc w:val="left"/>
              <w:rPr>
                <w:rFonts w:ascii="宋体" w:hAnsi="宋体" w:eastAsia="宋体" w:cs="Arial"/>
                <w:color w:val="auto"/>
                <w:kern w:val="0"/>
                <w:sz w:val="22"/>
                <w:szCs w:val="22"/>
              </w:rPr>
            </w:pPr>
            <w:r>
              <w:rPr>
                <w:rFonts w:ascii="宋体" w:hAnsi="宋体" w:eastAsia="宋体" w:cs="Arial"/>
                <w:color w:val="auto"/>
                <w:kern w:val="0"/>
                <w:sz w:val="22"/>
                <w:szCs w:val="22"/>
              </w:rPr>
              <w:t xml:space="preserve">SUSAR </w:t>
            </w:r>
            <w:r>
              <w:rPr>
                <w:rFonts w:hint="eastAsia" w:ascii="宋体" w:hAnsi="宋体" w:eastAsia="宋体" w:cs="Arial"/>
                <w:color w:val="auto"/>
                <w:kern w:val="0"/>
                <w:sz w:val="22"/>
                <w:szCs w:val="22"/>
                <w:lang w:eastAsia="zh-CN"/>
              </w:rPr>
              <w:t>报告</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val="en-US" w:eastAsia="zh-CN" w:bidi="ar-SA"/>
              </w:rPr>
            </w:pPr>
            <w:r>
              <w:rPr>
                <w:rFonts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3</w:t>
            </w:r>
            <w:r>
              <w:rPr>
                <w:rFonts w:ascii="宋体" w:hAnsi="宋体" w:eastAsia="宋体" w:cs="Arial"/>
                <w:color w:val="auto"/>
                <w:kern w:val="0"/>
                <w:sz w:val="22"/>
                <w:szCs w:val="22"/>
                <w:lang w:eastAsia="zh-CN"/>
              </w:rPr>
              <w:t>.6</w:t>
            </w:r>
          </w:p>
        </w:tc>
        <w:tc>
          <w:tcPr>
            <w:tcW w:w="5103" w:type="dxa"/>
            <w:vAlign w:val="center"/>
          </w:tcPr>
          <w:p>
            <w:pPr>
              <w:widowControl/>
              <w:wordWrap/>
              <w:autoSpaceDE/>
              <w:autoSpaceDN/>
              <w:spacing w:before="20" w:after="20"/>
              <w:ind w:left="105" w:leftChars="50"/>
              <w:jc w:val="left"/>
              <w:rPr>
                <w:rFonts w:hint="eastAsia" w:ascii="宋体" w:hAnsi="宋体" w:eastAsia="Malgun Gothic" w:cs="Arial"/>
                <w:color w:val="auto"/>
                <w:kern w:val="0"/>
                <w:sz w:val="22"/>
                <w:szCs w:val="22"/>
              </w:rPr>
            </w:pPr>
            <w:r>
              <w:rPr>
                <w:rFonts w:hint="eastAsia" w:ascii="宋体" w:hAnsi="宋体" w:eastAsia="宋体" w:cs="Arial"/>
                <w:color w:val="auto"/>
                <w:kern w:val="0"/>
                <w:sz w:val="22"/>
                <w:szCs w:val="22"/>
                <w:lang w:eastAsia="zh-CN"/>
              </w:rPr>
              <w:t>空白妊娠报告表</w:t>
            </w:r>
          </w:p>
        </w:tc>
        <w:tc>
          <w:tcPr>
            <w:tcW w:w="935"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s="Arial"/>
                <w:color w:val="auto"/>
                <w:kern w:val="0"/>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3</w:t>
            </w:r>
            <w:r>
              <w:rPr>
                <w:rFonts w:ascii="宋体" w:hAnsi="宋体" w:eastAsia="宋体" w:cs="Arial"/>
                <w:color w:val="auto"/>
                <w:kern w:val="0"/>
                <w:sz w:val="22"/>
                <w:szCs w:val="22"/>
                <w:lang w:eastAsia="zh-CN"/>
              </w:rPr>
              <w:t>.7</w:t>
            </w:r>
          </w:p>
        </w:tc>
        <w:tc>
          <w:tcPr>
            <w:tcW w:w="5103" w:type="dxa"/>
            <w:vAlign w:val="center"/>
          </w:tcPr>
          <w:p>
            <w:pPr>
              <w:widowControl/>
              <w:wordWrap/>
              <w:autoSpaceDE/>
              <w:autoSpaceDN/>
              <w:spacing w:before="20" w:after="20"/>
              <w:ind w:left="105" w:leftChars="50"/>
              <w:jc w:val="left"/>
              <w:rPr>
                <w:rFonts w:hint="eastAsia" w:ascii="宋体" w:hAnsi="宋体" w:eastAsia="Malgun Gothic" w:cs="Arial"/>
                <w:color w:val="auto"/>
                <w:kern w:val="0"/>
                <w:sz w:val="22"/>
                <w:szCs w:val="22"/>
              </w:rPr>
            </w:pPr>
            <w:r>
              <w:rPr>
                <w:rFonts w:hint="eastAsia" w:ascii="宋体" w:hAnsi="宋体" w:eastAsia="宋体" w:cs="Arial"/>
                <w:color w:val="auto"/>
                <w:kern w:val="0"/>
                <w:sz w:val="22"/>
                <w:szCs w:val="22"/>
                <w:lang w:eastAsia="zh-CN"/>
              </w:rPr>
              <w:t>妊娠报告表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eastAsia="zh-CN"/>
              </w:rPr>
              <w:t>1</w:t>
            </w:r>
            <w:r>
              <w:rPr>
                <w:rFonts w:hint="eastAsia" w:ascii="宋体" w:hAnsi="宋体" w:eastAsia="宋体" w:cs="Arial"/>
                <w:color w:val="auto"/>
                <w:kern w:val="0"/>
                <w:sz w:val="22"/>
                <w:szCs w:val="22"/>
                <w:lang w:val="en-US" w:eastAsia="zh-CN"/>
              </w:rPr>
              <w:t>3</w:t>
            </w:r>
            <w:r>
              <w:rPr>
                <w:rFonts w:hint="eastAsia" w:ascii="宋体" w:hAnsi="宋体" w:eastAsia="宋体" w:cs="Arial"/>
                <w:color w:val="auto"/>
                <w:kern w:val="0"/>
                <w:sz w:val="22"/>
                <w:szCs w:val="22"/>
                <w:lang w:eastAsia="zh-CN"/>
              </w:rPr>
              <w:t>.</w:t>
            </w:r>
            <w:r>
              <w:rPr>
                <w:rFonts w:ascii="宋体" w:hAnsi="宋体" w:eastAsia="宋体" w:cs="Arial"/>
                <w:color w:val="auto"/>
                <w:kern w:val="0"/>
                <w:sz w:val="22"/>
                <w:szCs w:val="22"/>
                <w:lang w:eastAsia="zh-CN"/>
              </w:rPr>
              <w:t>8</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lang w:eastAsia="zh-CN"/>
              </w:rPr>
            </w:pPr>
            <w:r>
              <w:rPr>
                <w:rFonts w:hint="eastAsia" w:ascii="宋体" w:hAnsi="宋体" w:eastAsia="宋体" w:cs="Arial"/>
                <w:color w:val="auto"/>
                <w:kern w:val="0"/>
                <w:sz w:val="22"/>
                <w:szCs w:val="22"/>
                <w:lang w:eastAsia="zh-CN"/>
              </w:rPr>
              <w:t>伦理递交回执</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bottom"/>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13.9</w:t>
            </w:r>
          </w:p>
        </w:tc>
        <w:tc>
          <w:tcPr>
            <w:tcW w:w="5103" w:type="dxa"/>
            <w:vAlign w:val="center"/>
          </w:tcPr>
          <w:p>
            <w:pPr>
              <w:widowControl/>
              <w:wordWrap/>
              <w:autoSpaceDE/>
              <w:autoSpaceDN/>
              <w:spacing w:before="20" w:after="20"/>
              <w:ind w:left="105" w:leftChars="50"/>
              <w:jc w:val="left"/>
              <w:rPr>
                <w:rFonts w:hint="eastAsia" w:ascii="宋体" w:hAnsi="宋体" w:eastAsia="宋体" w:cs="Arial"/>
                <w:color w:val="auto"/>
                <w:kern w:val="0"/>
                <w:sz w:val="22"/>
                <w:szCs w:val="22"/>
              </w:rPr>
            </w:pPr>
            <w:r>
              <w:rPr>
                <w:rFonts w:hint="eastAsia" w:ascii="宋体" w:hAnsi="宋体" w:eastAsia="宋体" w:cs="Arial"/>
                <w:color w:val="auto"/>
                <w:kern w:val="0"/>
                <w:sz w:val="22"/>
                <w:szCs w:val="22"/>
                <w:lang w:eastAsia="zh-CN"/>
              </w:rPr>
              <w:t>其他</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top"/>
          </w:tcPr>
          <w:p>
            <w:pPr>
              <w:widowControl/>
              <w:wordWrap/>
              <w:autoSpaceDE/>
              <w:autoSpaceDN/>
              <w:spacing w:before="20" w:after="20"/>
              <w:ind w:firstLine="221" w:firstLineChars="100"/>
              <w:jc w:val="both"/>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rPr>
              <w:t>1</w:t>
            </w:r>
            <w:r>
              <w:rPr>
                <w:rFonts w:hint="eastAsia" w:ascii="宋体" w:hAnsi="宋体" w:eastAsia="宋体" w:cs="Arial"/>
                <w:b/>
                <w:bCs/>
                <w:color w:val="auto"/>
                <w:kern w:val="0"/>
                <w:sz w:val="22"/>
                <w:szCs w:val="22"/>
                <w:lang w:val="en-US" w:eastAsia="zh-CN"/>
              </w:rPr>
              <w:t>4</w:t>
            </w:r>
          </w:p>
        </w:tc>
        <w:tc>
          <w:tcPr>
            <w:tcW w:w="9343" w:type="dxa"/>
            <w:gridSpan w:val="5"/>
            <w:vAlign w:val="center"/>
          </w:tcPr>
          <w:p>
            <w:pPr>
              <w:widowControl/>
              <w:wordWrap/>
              <w:autoSpaceDE/>
              <w:autoSpaceDN/>
              <w:spacing w:before="20" w:after="20"/>
              <w:jc w:val="left"/>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试验流程相关文件及原始医疗文件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center"/>
          </w:tcPr>
          <w:p>
            <w:pPr>
              <w:widowControl/>
              <w:wordWrap/>
              <w:autoSpaceDE/>
              <w:autoSpaceDN/>
              <w:spacing w:before="20" w:after="20"/>
              <w:jc w:val="right"/>
              <w:rPr>
                <w:rFonts w:hint="eastAsia"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14.1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受试者筛选相关原始记录和文件</w:t>
            </w:r>
          </w:p>
        </w:tc>
        <w:tc>
          <w:tcPr>
            <w:tcW w:w="935"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14.2</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受试者筛选入选登记表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7" w:hRule="exac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14.3</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受试者鉴认代码表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14.4</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体液/组织样本的相关留存记录（若有）</w:t>
            </w:r>
          </w:p>
        </w:tc>
        <w:tc>
          <w:tcPr>
            <w:tcW w:w="935"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14.5</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受试者治疗分配相关文件记录</w:t>
            </w:r>
          </w:p>
        </w:tc>
        <w:tc>
          <w:tcPr>
            <w:tcW w:w="935"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14.6</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bidi="ar-SA"/>
              </w:rPr>
            </w:pPr>
            <w:r>
              <w:rPr>
                <w:rFonts w:hint="eastAsia" w:ascii="宋体" w:hAnsi="宋体" w:eastAsia="宋体" w:cs="Arial"/>
                <w:b w:val="0"/>
                <w:bCs w:val="0"/>
                <w:color w:val="auto"/>
                <w:kern w:val="0"/>
                <w:sz w:val="22"/>
                <w:szCs w:val="22"/>
                <w:lang w:val="en-US" w:eastAsia="zh-CN"/>
              </w:rPr>
              <w:t>受试者电话随访记录表</w:t>
            </w:r>
          </w:p>
        </w:tc>
        <w:tc>
          <w:tcPr>
            <w:tcW w:w="935"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5"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14.7</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签署的知情同意书：___份</w:t>
            </w:r>
          </w:p>
        </w:tc>
        <w:tc>
          <w:tcPr>
            <w:tcW w:w="935"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14.8</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bidi="ar-SA"/>
              </w:rPr>
            </w:pPr>
            <w:r>
              <w:rPr>
                <w:rFonts w:hint="eastAsia" w:ascii="宋体" w:hAnsi="宋体" w:eastAsia="宋体" w:cs="Arial"/>
                <w:color w:val="auto"/>
                <w:kern w:val="0"/>
                <w:sz w:val="22"/>
                <w:szCs w:val="22"/>
                <w:lang w:val="en-US" w:eastAsia="zh-CN"/>
              </w:rPr>
              <w:t>原始医疗资料：___份</w:t>
            </w:r>
          </w:p>
        </w:tc>
        <w:tc>
          <w:tcPr>
            <w:tcW w:w="935"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14.9</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病例报告表（已填写，签名，注明日期）：___份</w:t>
            </w:r>
          </w:p>
        </w:tc>
        <w:tc>
          <w:tcPr>
            <w:tcW w:w="935" w:type="dxa"/>
            <w:vAlign w:val="center"/>
          </w:tcPr>
          <w:p>
            <w:pPr>
              <w:widowControl/>
              <w:wordWrap/>
              <w:autoSpaceDE/>
              <w:autoSpaceDN/>
              <w:spacing w:before="20" w:after="20"/>
              <w:jc w:val="center"/>
              <w:rPr>
                <w:rFonts w:ascii="宋体" w:hAnsi="宋体" w:eastAsia="宋体"/>
                <w:color w:val="auto"/>
                <w:sz w:val="22"/>
                <w:szCs w:val="22"/>
              </w:rPr>
            </w:pPr>
          </w:p>
        </w:tc>
        <w:tc>
          <w:tcPr>
            <w:tcW w:w="1063" w:type="dxa"/>
            <w:vAlign w:val="center"/>
          </w:tcPr>
          <w:p>
            <w:pPr>
              <w:widowControl/>
              <w:wordWrap/>
              <w:autoSpaceDE/>
              <w:autoSpaceDN/>
              <w:spacing w:before="20" w:after="20"/>
              <w:jc w:val="center"/>
              <w:rPr>
                <w:rFonts w:ascii="宋体" w:hAnsi="宋体" w:eastAsia="宋体"/>
                <w:color w:val="auto"/>
                <w:sz w:val="22"/>
                <w:szCs w:val="22"/>
              </w:rPr>
            </w:pPr>
          </w:p>
        </w:tc>
        <w:tc>
          <w:tcPr>
            <w:tcW w:w="1126" w:type="dxa"/>
            <w:vAlign w:val="center"/>
          </w:tcPr>
          <w:p>
            <w:pPr>
              <w:widowControl/>
              <w:wordWrap/>
              <w:autoSpaceDE/>
              <w:autoSpaceDN/>
              <w:spacing w:before="20" w:after="20"/>
              <w:jc w:val="center"/>
              <w:rPr>
                <w:rFonts w:ascii="宋体" w:hAnsi="宋体" w:eastAsia="宋体"/>
                <w:color w:val="auto"/>
                <w:sz w:val="22"/>
                <w:szCs w:val="22"/>
              </w:rPr>
            </w:pP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7"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14.10</w:t>
            </w:r>
          </w:p>
        </w:tc>
        <w:tc>
          <w:tcPr>
            <w:tcW w:w="5103" w:type="dxa"/>
            <w:vAlign w:val="center"/>
          </w:tcPr>
          <w:p>
            <w:pPr>
              <w:widowControl/>
              <w:wordWrap/>
              <w:autoSpaceDE/>
              <w:autoSpaceDN/>
              <w:spacing w:before="20" w:after="20"/>
              <w:ind w:left="105" w:leftChars="50"/>
              <w:jc w:val="left"/>
              <w:rPr>
                <w:rFonts w:hint="default" w:ascii="宋体" w:hAnsi="宋体" w:eastAsia="宋体" w:cs="Arial"/>
                <w:color w:val="auto"/>
                <w:kern w:val="0"/>
                <w:sz w:val="22"/>
                <w:szCs w:val="22"/>
                <w:lang w:val="en-US" w:eastAsia="zh-CN"/>
              </w:rPr>
            </w:pPr>
            <w:r>
              <w:rPr>
                <w:rFonts w:hint="eastAsia" w:ascii="宋体" w:hAnsi="宋体" w:eastAsia="宋体" w:cs="Arial"/>
                <w:b w:val="0"/>
                <w:bCs w:val="0"/>
                <w:color w:val="auto"/>
                <w:kern w:val="0"/>
                <w:sz w:val="22"/>
                <w:szCs w:val="22"/>
                <w:lang w:val="en-US" w:eastAsia="zh-CN"/>
              </w:rPr>
              <w:t>其他</w:t>
            </w:r>
          </w:p>
        </w:tc>
        <w:tc>
          <w:tcPr>
            <w:tcW w:w="935"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kern w:val="2"/>
                <w:sz w:val="22"/>
                <w:szCs w:val="22"/>
                <w:lang w:val="en-US" w:eastAsia="ko-KR" w:bidi="ar-SA"/>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50" w:hRule="atLeast"/>
          <w:tblHeader/>
        </w:trPr>
        <w:tc>
          <w:tcPr>
            <w:tcW w:w="1046" w:type="dxa"/>
            <w:vAlign w:val="center"/>
          </w:tcPr>
          <w:p>
            <w:pPr>
              <w:widowControl/>
              <w:wordWrap/>
              <w:autoSpaceDE/>
              <w:autoSpaceDN/>
              <w:spacing w:before="20" w:after="20"/>
              <w:ind w:firstLine="221" w:firstLineChars="100"/>
              <w:jc w:val="both"/>
              <w:rPr>
                <w:rFonts w:hint="default" w:ascii="宋体" w:hAnsi="宋体" w:eastAsia="宋体" w:cs="Arial"/>
                <w:color w:val="auto"/>
                <w:kern w:val="0"/>
                <w:sz w:val="22"/>
                <w:szCs w:val="22"/>
                <w:lang w:val="en-US" w:eastAsia="zh-CN"/>
              </w:rPr>
            </w:pPr>
            <w:r>
              <w:rPr>
                <w:rFonts w:hint="eastAsia" w:ascii="宋体" w:hAnsi="宋体" w:eastAsia="宋体" w:cs="Arial"/>
                <w:b/>
                <w:bCs/>
                <w:color w:val="auto"/>
                <w:kern w:val="0"/>
                <w:sz w:val="22"/>
                <w:szCs w:val="22"/>
                <w:lang w:val="en-US" w:eastAsia="zh-CN"/>
              </w:rPr>
              <w:t>15</w:t>
            </w:r>
          </w:p>
        </w:tc>
        <w:tc>
          <w:tcPr>
            <w:tcW w:w="9343" w:type="dxa"/>
            <w:gridSpan w:val="5"/>
            <w:vAlign w:val="center"/>
          </w:tcPr>
          <w:p>
            <w:pPr>
              <w:widowControl/>
              <w:wordWrap/>
              <w:autoSpaceDE/>
              <w:autoSpaceDN/>
              <w:spacing w:before="20" w:after="20"/>
              <w:jc w:val="both"/>
              <w:rPr>
                <w:rFonts w:ascii="宋体" w:hAnsi="宋体" w:eastAsia="宋体"/>
                <w:color w:val="auto"/>
                <w:sz w:val="22"/>
                <w:szCs w:val="22"/>
              </w:rPr>
            </w:pPr>
            <w:r>
              <w:rPr>
                <w:rFonts w:hint="eastAsia" w:ascii="宋体"/>
                <w:b/>
                <w:bCs/>
                <w:color w:val="auto"/>
                <w:sz w:val="21"/>
                <w:szCs w:val="21"/>
                <w:lang w:val="en-US" w:eastAsia="zh-CN"/>
              </w:rPr>
              <w:t>立项审查评估审批文件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7"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15.1</w:t>
            </w:r>
          </w:p>
        </w:tc>
        <w:tc>
          <w:tcPr>
            <w:tcW w:w="5103" w:type="dxa"/>
            <w:vAlign w:val="center"/>
          </w:tcPr>
          <w:p>
            <w:pPr>
              <w:widowControl/>
              <w:wordWrap/>
              <w:autoSpaceDE/>
              <w:autoSpaceDN/>
              <w:spacing w:before="20" w:after="20"/>
              <w:ind w:left="105" w:leftChars="50"/>
              <w:jc w:val="left"/>
              <w:rPr>
                <w:rFonts w:hint="default" w:ascii="宋体" w:hAnsi="宋体" w:eastAsia="宋体" w:cs="Arial"/>
                <w:b w:val="0"/>
                <w:bCs w:val="0"/>
                <w:color w:val="auto"/>
                <w:kern w:val="0"/>
                <w:sz w:val="22"/>
                <w:szCs w:val="22"/>
                <w:lang w:val="en-US" w:eastAsia="zh-CN"/>
              </w:rPr>
            </w:pPr>
            <w:r>
              <w:rPr>
                <w:rFonts w:hint="eastAsia" w:ascii="宋体" w:hAnsi="宋体" w:eastAsia="宋体" w:cs="Arial"/>
                <w:b w:val="0"/>
                <w:bCs w:val="0"/>
                <w:color w:val="auto"/>
                <w:kern w:val="0"/>
                <w:sz w:val="22"/>
                <w:szCs w:val="22"/>
                <w:lang w:val="en-US" w:eastAsia="zh-CN"/>
              </w:rPr>
              <w:t>医疗器械临床试验申请表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3"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15.2</w:t>
            </w:r>
          </w:p>
        </w:tc>
        <w:tc>
          <w:tcPr>
            <w:tcW w:w="5103" w:type="dxa"/>
            <w:vAlign w:val="center"/>
          </w:tcPr>
          <w:p>
            <w:pPr>
              <w:widowControl/>
              <w:wordWrap/>
              <w:autoSpaceDE/>
              <w:autoSpaceDN/>
              <w:spacing w:before="20" w:after="20"/>
              <w:ind w:left="105" w:leftChars="50"/>
              <w:jc w:val="left"/>
              <w:rPr>
                <w:rFonts w:hint="default" w:ascii="宋体" w:hAnsi="宋体" w:eastAsia="宋体" w:cs="Arial"/>
                <w:b w:val="0"/>
                <w:bCs w:val="0"/>
                <w:color w:val="auto"/>
                <w:kern w:val="0"/>
                <w:sz w:val="22"/>
                <w:szCs w:val="22"/>
                <w:lang w:val="en-US" w:eastAsia="zh-CN"/>
              </w:rPr>
            </w:pPr>
            <w:r>
              <w:rPr>
                <w:rFonts w:hint="eastAsia" w:ascii="宋体" w:hAnsi="宋体" w:eastAsia="宋体" w:cs="Arial"/>
                <w:b w:val="0"/>
                <w:bCs w:val="0"/>
                <w:color w:val="auto"/>
                <w:kern w:val="0"/>
                <w:sz w:val="22"/>
                <w:szCs w:val="22"/>
                <w:lang w:val="en-US" w:eastAsia="zh-CN"/>
              </w:rPr>
              <w:t>临床试验立项评估表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7" w:hRule="atLeast"/>
          <w:tblHeader/>
        </w:trPr>
        <w:tc>
          <w:tcPr>
            <w:tcW w:w="1046" w:type="dxa"/>
            <w:vAlign w:val="center"/>
          </w:tcPr>
          <w:p>
            <w:pPr>
              <w:widowControl/>
              <w:wordWrap/>
              <w:autoSpaceDE/>
              <w:autoSpaceDN/>
              <w:spacing w:before="20" w:after="20"/>
              <w:jc w:val="right"/>
              <w:rPr>
                <w:rFonts w:hint="default" w:ascii="宋体" w:hAnsi="宋体" w:eastAsia="宋体" w:cs="Arial"/>
                <w:color w:val="auto"/>
                <w:kern w:val="0"/>
                <w:sz w:val="22"/>
                <w:szCs w:val="22"/>
                <w:lang w:val="en-US" w:eastAsia="zh-CN"/>
              </w:rPr>
            </w:pPr>
            <w:r>
              <w:rPr>
                <w:rFonts w:hint="eastAsia" w:ascii="宋体" w:hAnsi="宋体" w:eastAsia="宋体" w:cs="Arial"/>
                <w:color w:val="auto"/>
                <w:kern w:val="0"/>
                <w:sz w:val="22"/>
                <w:szCs w:val="22"/>
                <w:lang w:val="en-US" w:eastAsia="zh-CN"/>
              </w:rPr>
              <w:t>15.3</w:t>
            </w:r>
          </w:p>
        </w:tc>
        <w:tc>
          <w:tcPr>
            <w:tcW w:w="5103" w:type="dxa"/>
            <w:vAlign w:val="center"/>
          </w:tcPr>
          <w:p>
            <w:pPr>
              <w:widowControl/>
              <w:wordWrap/>
              <w:autoSpaceDE/>
              <w:autoSpaceDN/>
              <w:spacing w:before="20" w:after="20"/>
              <w:ind w:left="105" w:leftChars="50"/>
              <w:jc w:val="left"/>
              <w:rPr>
                <w:rFonts w:hint="default" w:ascii="宋体" w:hAnsi="宋体" w:eastAsia="宋体" w:cs="Arial"/>
                <w:b w:val="0"/>
                <w:bCs w:val="0"/>
                <w:color w:val="auto"/>
                <w:kern w:val="0"/>
                <w:sz w:val="22"/>
                <w:szCs w:val="22"/>
                <w:lang w:val="en-US" w:eastAsia="zh-CN"/>
              </w:rPr>
            </w:pPr>
            <w:r>
              <w:rPr>
                <w:rFonts w:hint="eastAsia" w:ascii="宋体" w:hAnsi="宋体" w:eastAsia="宋体" w:cs="Arial"/>
                <w:b w:val="0"/>
                <w:bCs w:val="0"/>
                <w:color w:val="auto"/>
                <w:kern w:val="0"/>
                <w:sz w:val="22"/>
                <w:szCs w:val="22"/>
                <w:lang w:val="en-US" w:eastAsia="zh-CN"/>
              </w:rPr>
              <w:t>医疗器械临床试验审批表</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1" w:firstLineChars="100"/>
              <w:jc w:val="left"/>
              <w:rPr>
                <w:rFonts w:hint="eastAsia" w:ascii="宋体" w:hAnsi="宋体" w:eastAsia="宋体" w:cs="Arial"/>
                <w:b w:val="0"/>
                <w:bCs w:val="0"/>
                <w:color w:val="auto"/>
                <w:kern w:val="0"/>
                <w:sz w:val="22"/>
                <w:szCs w:val="22"/>
                <w:lang w:val="en-US" w:eastAsia="zh-CN"/>
              </w:rPr>
            </w:pPr>
            <w:r>
              <w:rPr>
                <w:rFonts w:hint="eastAsia" w:ascii="宋体" w:hAnsi="宋体" w:eastAsia="宋体" w:cs="Arial"/>
                <w:b/>
                <w:bCs/>
                <w:color w:val="auto"/>
                <w:kern w:val="0"/>
                <w:sz w:val="22"/>
                <w:szCs w:val="22"/>
              </w:rPr>
              <w:t>1</w:t>
            </w:r>
            <w:r>
              <w:rPr>
                <w:rFonts w:hint="eastAsia" w:ascii="宋体" w:hAnsi="宋体" w:eastAsia="宋体" w:cs="Arial"/>
                <w:b/>
                <w:bCs/>
                <w:color w:val="auto"/>
                <w:kern w:val="0"/>
                <w:sz w:val="22"/>
                <w:szCs w:val="22"/>
                <w:lang w:val="en-US" w:eastAsia="zh-CN"/>
              </w:rPr>
              <w:t>6</w:t>
            </w:r>
          </w:p>
        </w:tc>
        <w:tc>
          <w:tcPr>
            <w:tcW w:w="9343"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val="en-US" w:eastAsia="zh-CN"/>
              </w:rPr>
            </w:pPr>
            <w:r>
              <w:rPr>
                <w:rFonts w:hint="eastAsia" w:ascii="宋体" w:hAnsi="宋体" w:eastAsia="宋体" w:cs="Arial"/>
                <w:b/>
                <w:bCs/>
                <w:color w:val="auto"/>
                <w:kern w:val="0"/>
                <w:sz w:val="22"/>
                <w:szCs w:val="22"/>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046" w:type="dxa"/>
            <w:vAlign w:val="bottom"/>
          </w:tcPr>
          <w:p>
            <w:pPr>
              <w:widowControl/>
              <w:wordWrap/>
              <w:autoSpaceDE/>
              <w:autoSpaceDN/>
              <w:spacing w:before="20" w:after="20"/>
              <w:ind w:firstLine="220" w:firstLineChars="100"/>
              <w:jc w:val="right"/>
              <w:rPr>
                <w:rFonts w:hint="default" w:ascii="宋体" w:hAnsi="宋体" w:eastAsia="宋体" w:cs="Arial"/>
                <w:b/>
                <w:bCs/>
                <w:color w:val="auto"/>
                <w:kern w:val="0"/>
                <w:sz w:val="22"/>
                <w:szCs w:val="22"/>
                <w:lang w:val="en-US" w:eastAsia="zh-CN"/>
              </w:rPr>
            </w:pPr>
            <w:r>
              <w:rPr>
                <w:rFonts w:hint="eastAsia" w:ascii="宋体" w:hAnsi="宋体" w:eastAsia="宋体" w:cs="Arial"/>
                <w:b w:val="0"/>
                <w:bCs w:val="0"/>
                <w:color w:val="auto"/>
                <w:kern w:val="0"/>
                <w:sz w:val="22"/>
                <w:szCs w:val="22"/>
                <w:lang w:val="en-US" w:eastAsia="zh-CN"/>
              </w:rPr>
              <w:t>16.1</w:t>
            </w:r>
          </w:p>
        </w:tc>
        <w:tc>
          <w:tcPr>
            <w:tcW w:w="5103"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2"/>
                <w:szCs w:val="22"/>
                <w:lang w:val="en-US" w:eastAsia="zh-CN"/>
              </w:rPr>
            </w:pPr>
            <w:r>
              <w:rPr>
                <w:rFonts w:hint="eastAsia" w:ascii="宋体" w:hAnsi="宋体" w:eastAsia="宋体"/>
                <w:b w:val="0"/>
                <w:bCs w:val="0"/>
                <w:color w:val="auto"/>
              </w:rPr>
              <w:t>视项目需要，添加相关文件</w:t>
            </w:r>
          </w:p>
        </w:tc>
        <w:tc>
          <w:tcPr>
            <w:tcW w:w="935"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063"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26" w:type="dxa"/>
            <w:vAlign w:val="center"/>
          </w:tcPr>
          <w:p>
            <w:pPr>
              <w:widowControl/>
              <w:wordWrap/>
              <w:autoSpaceDE/>
              <w:autoSpaceDN/>
              <w:spacing w:before="20" w:after="20"/>
              <w:jc w:val="center"/>
              <w:rPr>
                <w:rFonts w:ascii="宋体" w:hAnsi="宋体" w:eastAsia="宋体"/>
                <w:color w:val="auto"/>
                <w:sz w:val="22"/>
                <w:szCs w:val="22"/>
              </w:rPr>
            </w:pPr>
            <w:r>
              <w:rPr>
                <w:rFonts w:ascii="宋体" w:hAnsi="宋体" w:eastAsia="宋体"/>
                <w:color w:val="auto"/>
                <w:sz w:val="22"/>
                <w:szCs w:val="22"/>
              </w:rPr>
              <w:fldChar w:fldCharType="begin">
                <w:ffData>
                  <w:name w:val="Check3"/>
                  <w:enabled/>
                  <w:calcOnExit w:val="0"/>
                  <w:checkBox>
                    <w:sizeAuto/>
                    <w:default w:val="0"/>
                    <w:checked w:val="0"/>
                  </w:checkBox>
                </w:ffData>
              </w:fldChar>
            </w:r>
            <w:r>
              <w:rPr>
                <w:rFonts w:ascii="宋体" w:hAnsi="宋体" w:eastAsia="宋体"/>
                <w:color w:val="auto"/>
                <w:sz w:val="22"/>
                <w:szCs w:val="22"/>
              </w:rPr>
              <w:instrText xml:space="preserve"> FORMCHECKBOX </w:instrText>
            </w:r>
            <w:r>
              <w:rPr>
                <w:rFonts w:ascii="宋体" w:hAnsi="宋体" w:eastAsia="宋体"/>
                <w:color w:val="auto"/>
                <w:sz w:val="22"/>
                <w:szCs w:val="22"/>
              </w:rPr>
              <w:fldChar w:fldCharType="separate"/>
            </w:r>
            <w:r>
              <w:rPr>
                <w:rFonts w:ascii="宋体" w:hAnsi="宋体" w:eastAsia="宋体"/>
                <w:color w:val="auto"/>
                <w:sz w:val="22"/>
                <w:szCs w:val="22"/>
              </w:rPr>
              <w:fldChar w:fldCharType="end"/>
            </w:r>
          </w:p>
        </w:tc>
        <w:tc>
          <w:tcPr>
            <w:tcW w:w="1116" w:type="dxa"/>
            <w:vAlign w:val="center"/>
          </w:tcPr>
          <w:p>
            <w:pPr>
              <w:widowControl/>
              <w:wordWrap/>
              <w:autoSpaceDE/>
              <w:autoSpaceDN/>
              <w:spacing w:before="20" w:after="20"/>
              <w:jc w:val="center"/>
              <w:rPr>
                <w:rFonts w:ascii="宋体" w:hAnsi="宋体" w:eastAsia="宋体"/>
                <w:color w:val="auto"/>
                <w:sz w:val="22"/>
                <w:szCs w:val="22"/>
              </w:rPr>
            </w:pPr>
          </w:p>
        </w:tc>
      </w:tr>
    </w:tbl>
    <w:p>
      <w:pPr>
        <w:rPr>
          <w:color w:val="auto"/>
        </w:rPr>
      </w:pPr>
      <w:r>
        <w:rPr>
          <w:rFonts w:hint="eastAsia"/>
          <w:color w:val="auto"/>
        </w:rPr>
        <w:t>本表由机构资料管理员填写（入档）</w:t>
      </w: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黑体" w:hAnsi="黑体" w:eastAsia="黑体" w:cs="黑体"/>
          <w:bCs/>
          <w:color w:val="auto"/>
          <w:sz w:val="24"/>
          <w:szCs w:val="24"/>
        </w:rPr>
      </w:pPr>
    </w:p>
    <w:p>
      <w:pPr>
        <w:rPr>
          <w:rFonts w:asciiTheme="minorEastAsia" w:hAnsiTheme="minorEastAsia" w:cstheme="minorEastAsia"/>
          <w:bCs/>
          <w:color w:val="auto"/>
          <w:szCs w:val="21"/>
        </w:rPr>
      </w:pPr>
      <w:r>
        <w:rPr>
          <w:rFonts w:hint="eastAsia" w:ascii="黑体" w:hAnsi="黑体" w:eastAsia="黑体" w:cs="黑体"/>
          <w:bCs/>
          <w:color w:val="auto"/>
          <w:sz w:val="24"/>
          <w:szCs w:val="24"/>
        </w:rPr>
        <w:t>附件</w:t>
      </w:r>
      <w:r>
        <w:rPr>
          <w:rFonts w:hint="eastAsia" w:ascii="黑体" w:hAnsi="黑体" w:eastAsia="黑体" w:cs="黑体"/>
          <w:bCs/>
          <w:color w:val="auto"/>
          <w:sz w:val="24"/>
          <w:szCs w:val="24"/>
          <w:lang w:val="en-US" w:eastAsia="zh-CN"/>
        </w:rPr>
        <w:t>5</w:t>
      </w:r>
      <w:r>
        <w:rPr>
          <w:rFonts w:hint="eastAsia" w:ascii="黑体" w:hAnsi="黑体" w:eastAsia="黑体" w:cs="黑体"/>
          <w:bCs/>
          <w:color w:val="auto"/>
          <w:sz w:val="24"/>
          <w:szCs w:val="24"/>
        </w:rPr>
        <w:t>：（YYH-SOP-CTC-022-3.</w:t>
      </w:r>
      <w:r>
        <w:rPr>
          <w:rFonts w:hint="eastAsia" w:ascii="黑体" w:hAnsi="黑体" w:eastAsia="黑体" w:cs="黑体"/>
          <w:bCs/>
          <w:color w:val="auto"/>
          <w:sz w:val="24"/>
          <w:szCs w:val="24"/>
          <w:lang w:val="en-US" w:eastAsia="zh-CN"/>
        </w:rPr>
        <w:t>2</w:t>
      </w:r>
      <w:r>
        <w:rPr>
          <w:rFonts w:hint="eastAsia" w:ascii="黑体" w:hAnsi="黑体" w:eastAsia="黑体" w:cs="黑体"/>
          <w:bCs/>
          <w:color w:val="auto"/>
          <w:sz w:val="24"/>
          <w:szCs w:val="24"/>
        </w:rPr>
        <w:t>-A0</w:t>
      </w:r>
      <w:r>
        <w:rPr>
          <w:rFonts w:hint="eastAsia" w:ascii="黑体" w:hAnsi="黑体" w:eastAsia="黑体" w:cs="黑体"/>
          <w:bCs/>
          <w:color w:val="auto"/>
          <w:sz w:val="24"/>
          <w:szCs w:val="24"/>
          <w:lang w:val="en-US" w:eastAsia="zh-CN"/>
        </w:rPr>
        <w:t>5</w:t>
      </w:r>
      <w:r>
        <w:rPr>
          <w:rFonts w:hint="eastAsia" w:ascii="黑体" w:hAnsi="黑体" w:eastAsia="黑体" w:cs="黑体"/>
          <w:bCs/>
          <w:color w:val="auto"/>
          <w:sz w:val="24"/>
          <w:szCs w:val="24"/>
        </w:rPr>
        <w:t>）：药物临床试验项目归档资料签收表</w:t>
      </w:r>
    </w:p>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（此表放入归档档案登记汇总文件盒，不和项目资料放在一起）</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975"/>
        <w:gridCol w:w="1740"/>
        <w:gridCol w:w="210"/>
        <w:gridCol w:w="195"/>
        <w:gridCol w:w="1230"/>
        <w:gridCol w:w="45"/>
        <w:gridCol w:w="75"/>
        <w:gridCol w:w="2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22" w:type="dxa"/>
            <w:gridSpan w:val="9"/>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完结项目编码（机构资料管理员填写）：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531" w:type="dxa"/>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伦理受理号</w:t>
            </w:r>
          </w:p>
        </w:tc>
        <w:tc>
          <w:tcPr>
            <w:tcW w:w="3120" w:type="dxa"/>
            <w:gridSpan w:val="4"/>
          </w:tcPr>
          <w:p>
            <w:pPr>
              <w:rPr>
                <w:rFonts w:asciiTheme="minorEastAsia" w:hAnsiTheme="minorEastAsia" w:cstheme="minorEastAsia"/>
                <w:bCs/>
                <w:color w:val="auto"/>
                <w:szCs w:val="21"/>
              </w:rPr>
            </w:pPr>
          </w:p>
        </w:tc>
        <w:tc>
          <w:tcPr>
            <w:tcW w:w="1350" w:type="dxa"/>
            <w:gridSpan w:val="3"/>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立项年份</w:t>
            </w:r>
          </w:p>
        </w:tc>
        <w:tc>
          <w:tcPr>
            <w:tcW w:w="2521" w:type="dxa"/>
          </w:tcPr>
          <w:p>
            <w:pP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531" w:type="dxa"/>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启动日期</w:t>
            </w:r>
          </w:p>
        </w:tc>
        <w:tc>
          <w:tcPr>
            <w:tcW w:w="3120" w:type="dxa"/>
            <w:gridSpan w:val="4"/>
          </w:tcPr>
          <w:p>
            <w:pPr>
              <w:jc w:val="center"/>
              <w:rPr>
                <w:rFonts w:asciiTheme="minorEastAsia" w:hAnsiTheme="minorEastAsia" w:cstheme="minorEastAsia"/>
                <w:bCs/>
                <w:color w:val="auto"/>
                <w:szCs w:val="21"/>
              </w:rPr>
            </w:pPr>
          </w:p>
        </w:tc>
        <w:tc>
          <w:tcPr>
            <w:tcW w:w="1350" w:type="dxa"/>
            <w:gridSpan w:val="3"/>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结束日期</w:t>
            </w:r>
          </w:p>
        </w:tc>
        <w:tc>
          <w:tcPr>
            <w:tcW w:w="2521" w:type="dxa"/>
          </w:tcPr>
          <w:p>
            <w:pPr>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trPr>
        <w:tc>
          <w:tcPr>
            <w:tcW w:w="1531" w:type="dxa"/>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新药名称</w:t>
            </w:r>
          </w:p>
        </w:tc>
        <w:tc>
          <w:tcPr>
            <w:tcW w:w="3120" w:type="dxa"/>
            <w:gridSpan w:val="4"/>
          </w:tcPr>
          <w:p>
            <w:pPr>
              <w:jc w:val="center"/>
              <w:rPr>
                <w:rFonts w:asciiTheme="minorEastAsia" w:hAnsiTheme="minorEastAsia" w:cstheme="minorEastAsia"/>
                <w:bCs/>
                <w:color w:val="auto"/>
                <w:szCs w:val="21"/>
              </w:rPr>
            </w:pPr>
          </w:p>
        </w:tc>
        <w:tc>
          <w:tcPr>
            <w:tcW w:w="1350" w:type="dxa"/>
            <w:gridSpan w:val="3"/>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新药类别</w:t>
            </w:r>
          </w:p>
        </w:tc>
        <w:tc>
          <w:tcPr>
            <w:tcW w:w="2521" w:type="dxa"/>
          </w:tcPr>
          <w:p>
            <w:pPr>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531" w:type="dxa"/>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项目类型</w:t>
            </w:r>
          </w:p>
        </w:tc>
        <w:tc>
          <w:tcPr>
            <w:tcW w:w="6991" w:type="dxa"/>
            <w:gridSpan w:val="8"/>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sym w:font="Wingdings 2" w:char="00A3"/>
            </w:r>
            <w:r>
              <w:rPr>
                <w:rFonts w:hint="eastAsia" w:asciiTheme="minorEastAsia" w:hAnsiTheme="minorEastAsia" w:cstheme="minorEastAsia"/>
                <w:bCs/>
                <w:color w:val="auto"/>
                <w:szCs w:val="21"/>
              </w:rPr>
              <w:t xml:space="preserve">I期    </w:t>
            </w:r>
            <w:r>
              <w:rPr>
                <w:rFonts w:hint="eastAsia" w:asciiTheme="minorEastAsia" w:hAnsiTheme="minorEastAsia" w:cstheme="minorEastAsia"/>
                <w:bCs/>
                <w:color w:val="auto"/>
                <w:szCs w:val="21"/>
              </w:rPr>
              <w:sym w:font="Wingdings 2" w:char="00A3"/>
            </w:r>
            <w:r>
              <w:rPr>
                <w:rFonts w:hint="eastAsia" w:asciiTheme="minorEastAsia" w:hAnsiTheme="minorEastAsia" w:cstheme="minorEastAsia"/>
                <w:bCs/>
                <w:color w:val="auto"/>
                <w:szCs w:val="21"/>
              </w:rPr>
              <w:t xml:space="preserve">Ⅱ    </w:t>
            </w:r>
            <w:r>
              <w:rPr>
                <w:rFonts w:hint="eastAsia" w:asciiTheme="minorEastAsia" w:hAnsiTheme="minorEastAsia" w:cstheme="minorEastAsia"/>
                <w:bCs/>
                <w:color w:val="auto"/>
                <w:szCs w:val="21"/>
              </w:rPr>
              <w:sym w:font="Wingdings 2" w:char="00A3"/>
            </w:r>
            <w:r>
              <w:rPr>
                <w:rFonts w:hint="eastAsia" w:asciiTheme="minorEastAsia" w:hAnsiTheme="minorEastAsia" w:cstheme="minorEastAsia"/>
                <w:bCs/>
                <w:color w:val="auto"/>
                <w:szCs w:val="21"/>
              </w:rPr>
              <w:t xml:space="preserve">Ⅲ    </w:t>
            </w:r>
            <w:r>
              <w:rPr>
                <w:rFonts w:hint="eastAsia" w:asciiTheme="minorEastAsia" w:hAnsiTheme="minorEastAsia" w:cstheme="minorEastAsia"/>
                <w:bCs/>
                <w:color w:val="auto"/>
                <w:szCs w:val="21"/>
              </w:rPr>
              <w:sym w:font="Wingdings 2" w:char="00A3"/>
            </w:r>
            <w:r>
              <w:rPr>
                <w:rFonts w:hint="eastAsia" w:asciiTheme="minorEastAsia" w:hAnsiTheme="minorEastAsia" w:cstheme="minorEastAsia"/>
                <w:bCs/>
                <w:color w:val="auto"/>
                <w:szCs w:val="21"/>
              </w:rPr>
              <w:t xml:space="preserve">Ⅳ    </w:t>
            </w:r>
            <w:r>
              <w:rPr>
                <w:rFonts w:hint="eastAsia" w:asciiTheme="minorEastAsia" w:hAnsiTheme="minorEastAsia" w:cstheme="minorEastAsia"/>
                <w:bCs/>
                <w:color w:val="auto"/>
                <w:szCs w:val="21"/>
              </w:rPr>
              <w:sym w:font="Wingdings 2" w:char="00A3"/>
            </w:r>
            <w:r>
              <w:rPr>
                <w:rFonts w:hint="eastAsia" w:asciiTheme="minorEastAsia" w:hAnsiTheme="minorEastAsia" w:cstheme="minorEastAsia"/>
                <w:bCs/>
                <w:color w:val="auto"/>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31" w:type="dxa"/>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归档日期</w:t>
            </w:r>
          </w:p>
        </w:tc>
        <w:tc>
          <w:tcPr>
            <w:tcW w:w="2925" w:type="dxa"/>
            <w:gridSpan w:val="3"/>
          </w:tcPr>
          <w:p>
            <w:pPr>
              <w:jc w:val="center"/>
              <w:rPr>
                <w:rFonts w:asciiTheme="minorEastAsia" w:hAnsiTheme="minorEastAsia" w:cstheme="minorEastAsia"/>
                <w:bCs/>
                <w:color w:val="auto"/>
                <w:szCs w:val="21"/>
              </w:rPr>
            </w:pPr>
          </w:p>
        </w:tc>
        <w:tc>
          <w:tcPr>
            <w:tcW w:w="1425" w:type="dxa"/>
            <w:gridSpan w:val="2"/>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存放地点</w:t>
            </w:r>
          </w:p>
        </w:tc>
        <w:tc>
          <w:tcPr>
            <w:tcW w:w="2641" w:type="dxa"/>
            <w:gridSpan w:val="3"/>
          </w:tcPr>
          <w:p>
            <w:pPr>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试验名称</w:t>
            </w:r>
          </w:p>
        </w:tc>
        <w:tc>
          <w:tcPr>
            <w:tcW w:w="6991" w:type="dxa"/>
            <w:gridSpan w:val="8"/>
          </w:tcPr>
          <w:p>
            <w:pPr>
              <w:jc w:val="center"/>
              <w:rPr>
                <w:rFonts w:asciiTheme="minorEastAsia" w:hAnsiTheme="minorEastAsia" w:cstheme="minorEastAsia"/>
                <w:bCs/>
                <w:color w:val="auto"/>
                <w:szCs w:val="21"/>
              </w:rPr>
            </w:pPr>
          </w:p>
          <w:p>
            <w:pPr>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31" w:type="dxa"/>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申办方</w:t>
            </w:r>
          </w:p>
        </w:tc>
        <w:tc>
          <w:tcPr>
            <w:tcW w:w="6991" w:type="dxa"/>
            <w:gridSpan w:val="8"/>
          </w:tcPr>
          <w:p>
            <w:pPr>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531" w:type="dxa"/>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承担专业</w:t>
            </w:r>
          </w:p>
        </w:tc>
        <w:tc>
          <w:tcPr>
            <w:tcW w:w="2925" w:type="dxa"/>
            <w:gridSpan w:val="3"/>
          </w:tcPr>
          <w:p>
            <w:pPr>
              <w:jc w:val="center"/>
              <w:rPr>
                <w:rFonts w:asciiTheme="minorEastAsia" w:hAnsiTheme="minorEastAsia" w:cstheme="minorEastAsia"/>
                <w:bCs/>
                <w:color w:val="auto"/>
                <w:szCs w:val="21"/>
              </w:rPr>
            </w:pPr>
          </w:p>
        </w:tc>
        <w:tc>
          <w:tcPr>
            <w:tcW w:w="1470" w:type="dxa"/>
            <w:gridSpan w:val="3"/>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主要研究者</w:t>
            </w:r>
          </w:p>
        </w:tc>
        <w:tc>
          <w:tcPr>
            <w:tcW w:w="2596" w:type="dxa"/>
            <w:gridSpan w:val="2"/>
          </w:tcPr>
          <w:p>
            <w:pPr>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531" w:type="dxa"/>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入组情况</w:t>
            </w:r>
          </w:p>
        </w:tc>
        <w:tc>
          <w:tcPr>
            <w:tcW w:w="6991" w:type="dxa"/>
            <w:gridSpan w:val="8"/>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有效病例</w:t>
            </w:r>
            <w:r>
              <w:rPr>
                <w:rFonts w:hint="eastAsia" w:asciiTheme="minorEastAsia" w:hAnsiTheme="minorEastAsia" w:cstheme="minorEastAsia"/>
                <w:bCs/>
                <w:color w:val="auto"/>
                <w:szCs w:val="21"/>
                <w:u w:val="single"/>
              </w:rPr>
              <w:t xml:space="preserve">      </w:t>
            </w:r>
            <w:r>
              <w:rPr>
                <w:rFonts w:hint="eastAsia" w:asciiTheme="minorEastAsia" w:hAnsiTheme="minorEastAsia" w:cstheme="minorEastAsia"/>
                <w:bCs/>
                <w:color w:val="auto"/>
                <w:szCs w:val="21"/>
              </w:rPr>
              <w:t>例，脱落病例</w:t>
            </w:r>
            <w:r>
              <w:rPr>
                <w:rFonts w:hint="eastAsia" w:asciiTheme="minorEastAsia" w:hAnsiTheme="minorEastAsia" w:cstheme="minorEastAsia"/>
                <w:bCs/>
                <w:color w:val="auto"/>
                <w:szCs w:val="21"/>
                <w:u w:val="single"/>
              </w:rPr>
              <w:t xml:space="preserve">       </w:t>
            </w:r>
            <w:r>
              <w:rPr>
                <w:rFonts w:hint="eastAsia" w:asciiTheme="minorEastAsia" w:hAnsiTheme="minorEastAsia" w:cstheme="minorEastAsia"/>
                <w:bCs/>
                <w:color w:val="auto"/>
                <w:szCs w:val="21"/>
              </w:rPr>
              <w:t>例，筛选失败</w:t>
            </w:r>
            <w:r>
              <w:rPr>
                <w:rFonts w:hint="eastAsia" w:asciiTheme="minorEastAsia" w:hAnsiTheme="minorEastAsia" w:cstheme="minorEastAsia"/>
                <w:bCs/>
                <w:color w:val="auto"/>
                <w:szCs w:val="21"/>
                <w:u w:val="single"/>
              </w:rPr>
              <w:t xml:space="preserve">     </w:t>
            </w:r>
            <w:r>
              <w:rPr>
                <w:rFonts w:hint="eastAsia" w:asciiTheme="minorEastAsia" w:hAnsiTheme="minorEastAsia" w:cstheme="minorEastAsia"/>
                <w:bCs/>
                <w:color w:val="auto"/>
                <w:szCs w:val="21"/>
              </w:rPr>
              <w:t>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531" w:type="dxa"/>
            <w:vMerge w:val="restart"/>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递交信息</w:t>
            </w:r>
          </w:p>
        </w:tc>
        <w:tc>
          <w:tcPr>
            <w:tcW w:w="2715" w:type="dxa"/>
            <w:gridSpan w:val="2"/>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姓名：</w:t>
            </w:r>
          </w:p>
        </w:tc>
        <w:tc>
          <w:tcPr>
            <w:tcW w:w="4276" w:type="dxa"/>
            <w:gridSpan w:val="6"/>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531" w:type="dxa"/>
            <w:vMerge w:val="continue"/>
          </w:tcPr>
          <w:p>
            <w:pPr>
              <w:jc w:val="center"/>
              <w:rPr>
                <w:rFonts w:asciiTheme="minorEastAsia" w:hAnsiTheme="minorEastAsia" w:cstheme="minorEastAsia"/>
                <w:bCs/>
                <w:color w:val="auto"/>
                <w:szCs w:val="21"/>
              </w:rPr>
            </w:pPr>
          </w:p>
        </w:tc>
        <w:tc>
          <w:tcPr>
            <w:tcW w:w="2715" w:type="dxa"/>
            <w:gridSpan w:val="2"/>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手机：</w:t>
            </w:r>
          </w:p>
        </w:tc>
        <w:tc>
          <w:tcPr>
            <w:tcW w:w="4276" w:type="dxa"/>
            <w:gridSpan w:val="6"/>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2506" w:type="dxa"/>
            <w:gridSpan w:val="2"/>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归档资料是否齐全</w:t>
            </w:r>
          </w:p>
        </w:tc>
        <w:tc>
          <w:tcPr>
            <w:tcW w:w="6016" w:type="dxa"/>
            <w:gridSpan w:val="7"/>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是</w:t>
            </w:r>
            <w:r>
              <w:rPr>
                <w:rFonts w:hint="eastAsia" w:asciiTheme="minorEastAsia" w:hAnsiTheme="minorEastAsia" w:cstheme="minorEastAsia"/>
                <w:bCs/>
                <w:color w:val="auto"/>
                <w:szCs w:val="21"/>
              </w:rPr>
              <w:sym w:font="Wingdings 2" w:char="00A3"/>
            </w:r>
            <w:r>
              <w:rPr>
                <w:rFonts w:hint="eastAsia" w:asciiTheme="minorEastAsia" w:hAnsiTheme="minorEastAsia" w:cstheme="minorEastAsia"/>
                <w:bCs/>
                <w:color w:val="auto"/>
                <w:szCs w:val="21"/>
              </w:rPr>
              <w:t xml:space="preserve">      否</w:t>
            </w:r>
            <w:r>
              <w:rPr>
                <w:rFonts w:hint="eastAsia" w:asciiTheme="minorEastAsia" w:hAnsiTheme="minorEastAsia" w:cstheme="minorEastAsia"/>
                <w:bCs/>
                <w:color w:val="auto"/>
                <w:szCs w:val="21"/>
              </w:rPr>
              <w:sym w:font="Wingdings 2" w:char="00A3"/>
            </w:r>
            <w:r>
              <w:rPr>
                <w:rFonts w:hint="eastAsia" w:asciiTheme="minorEastAsia" w:hAnsiTheme="minorEastAsia" w:cstheme="minorEastAsia"/>
                <w:bCs/>
                <w:color w:val="auto"/>
                <w:szCs w:val="21"/>
              </w:rPr>
              <w:t xml:space="preserve"> （如为否，请填写下列内容）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tcBorders>
              <w:bottom w:val="nil"/>
            </w:tcBorders>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缺项清单：                   分中心小结</w:t>
            </w:r>
            <w:r>
              <w:rPr>
                <w:rFonts w:hint="eastAsia" w:asciiTheme="minorEastAsia" w:hAnsiTheme="minorEastAsia" w:cstheme="minorEastAsia"/>
                <w:bCs/>
                <w:color w:val="auto"/>
                <w:szCs w:val="21"/>
              </w:rPr>
              <w:sym w:font="Wingdings 2" w:char="00A3"/>
            </w:r>
            <w:r>
              <w:rPr>
                <w:rFonts w:hint="eastAsia" w:asciiTheme="minorEastAsia" w:hAnsiTheme="minorEastAsia" w:cstheme="minorEastAsia"/>
                <w:bCs/>
                <w:color w:val="auto"/>
                <w:szCs w:val="21"/>
              </w:rPr>
              <w:t xml:space="preserve">                   总结报告</w:t>
            </w:r>
            <w:r>
              <w:rPr>
                <w:rFonts w:hint="eastAsia" w:asciiTheme="minorEastAsia" w:hAnsiTheme="minorEastAsia" w:cstheme="minorEastAsia"/>
                <w:bCs/>
                <w:color w:val="auto"/>
                <w:szCs w:val="21"/>
              </w:rPr>
              <w:sym w:font="Wingdings 2" w:char="00A3"/>
            </w:r>
          </w:p>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其他项目：</w:t>
            </w:r>
          </w:p>
          <w:tbl>
            <w:tblPr>
              <w:tblStyle w:val="28"/>
              <w:tblpPr w:leftFromText="180" w:rightFromText="180" w:vertAnchor="text" w:horzAnchor="page" w:tblpX="-1" w:tblpY="296"/>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6"/>
              <w:gridCol w:w="1530"/>
              <w:gridCol w:w="870"/>
              <w:gridCol w:w="405"/>
              <w:gridCol w:w="2175"/>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522" w:type="dxa"/>
                  <w:gridSpan w:val="6"/>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预计补缴日期：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246" w:type="dxa"/>
                  <w:gridSpan w:val="3"/>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文档递交人签字：</w:t>
                  </w:r>
                </w:p>
              </w:tc>
              <w:tc>
                <w:tcPr>
                  <w:tcW w:w="4276" w:type="dxa"/>
                  <w:gridSpan w:val="3"/>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246" w:type="dxa"/>
                  <w:gridSpan w:val="3"/>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资料管理员签字：</w:t>
                  </w:r>
                </w:p>
              </w:tc>
              <w:tc>
                <w:tcPr>
                  <w:tcW w:w="4276" w:type="dxa"/>
                  <w:gridSpan w:val="3"/>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522" w:type="dxa"/>
                  <w:gridSpan w:val="6"/>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补交资料时请填写下表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846" w:type="dxa"/>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1.是否补上缺项清单中所列项目</w:t>
                  </w:r>
                </w:p>
              </w:tc>
              <w:tc>
                <w:tcPr>
                  <w:tcW w:w="6676" w:type="dxa"/>
                  <w:gridSpan w:val="5"/>
                </w:tcPr>
                <w:p>
                  <w:pPr>
                    <w:rPr>
                      <w:rFonts w:asciiTheme="minorEastAsia" w:hAnsiTheme="minorEastAsia" w:cstheme="minorEastAsia"/>
                      <w:bCs/>
                      <w:color w:val="auto"/>
                      <w:szCs w:val="21"/>
                    </w:rPr>
                  </w:pPr>
                </w:p>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是</w:t>
                  </w:r>
                  <w:r>
                    <w:rPr>
                      <w:rFonts w:hint="eastAsia" w:asciiTheme="minorEastAsia" w:hAnsiTheme="minorEastAsia" w:cstheme="minorEastAsia"/>
                      <w:bCs/>
                      <w:color w:val="auto"/>
                      <w:szCs w:val="21"/>
                    </w:rPr>
                    <w:sym w:font="Wingdings 2" w:char="00A3"/>
                  </w:r>
                  <w:r>
                    <w:rPr>
                      <w:rFonts w:hint="eastAsia" w:asciiTheme="minorEastAsia" w:hAnsiTheme="minorEastAsia" w:cstheme="minorEastAsia"/>
                      <w:bCs/>
                      <w:color w:val="auto"/>
                      <w:szCs w:val="21"/>
                    </w:rPr>
                    <w:t xml:space="preserve">    否</w:t>
                  </w:r>
                  <w:r>
                    <w:rPr>
                      <w:rFonts w:hint="eastAsia" w:asciiTheme="minorEastAsia" w:hAnsiTheme="minorEastAsia" w:cstheme="minorEastAsia"/>
                      <w:bCs/>
                      <w:color w:val="auto"/>
                      <w:szCs w:val="21"/>
                    </w:rPr>
                    <w:sym w:font="Wingdings 2" w:char="00A3"/>
                  </w:r>
                  <w:r>
                    <w:rPr>
                      <w:rFonts w:hint="eastAsia" w:asciiTheme="minorEastAsia" w:hAnsiTheme="minorEastAsia" w:cstheme="minorEastAsia"/>
                      <w:bCs/>
                      <w:color w:val="auto"/>
                      <w:szCs w:val="21"/>
                    </w:rPr>
                    <w:t xml:space="preserve">     缺项：</w:t>
                  </w:r>
                  <w:r>
                    <w:rPr>
                      <w:rFonts w:hint="eastAsia" w:asciiTheme="minorEastAsia" w:hAnsiTheme="minorEastAsia" w:cstheme="minorEastAsia"/>
                      <w:bCs/>
                      <w:color w:val="auto"/>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846" w:type="dxa"/>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2.此次补交时间</w:t>
                  </w:r>
                </w:p>
              </w:tc>
              <w:tc>
                <w:tcPr>
                  <w:tcW w:w="6676" w:type="dxa"/>
                  <w:gridSpan w:val="5"/>
                </w:tcPr>
                <w:p>
                  <w:pP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846" w:type="dxa"/>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文档递交人签字</w:t>
                  </w:r>
                </w:p>
              </w:tc>
              <w:tc>
                <w:tcPr>
                  <w:tcW w:w="1530" w:type="dxa"/>
                </w:tcPr>
                <w:p>
                  <w:pPr>
                    <w:rPr>
                      <w:rFonts w:asciiTheme="minorEastAsia" w:hAnsiTheme="minorEastAsia" w:cstheme="minorEastAsia"/>
                      <w:bCs/>
                      <w:color w:val="auto"/>
                      <w:szCs w:val="21"/>
                    </w:rPr>
                  </w:pPr>
                </w:p>
              </w:tc>
              <w:tc>
                <w:tcPr>
                  <w:tcW w:w="1275" w:type="dxa"/>
                  <w:gridSpan w:val="2"/>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日期</w:t>
                  </w:r>
                </w:p>
              </w:tc>
              <w:tc>
                <w:tcPr>
                  <w:tcW w:w="2175" w:type="dxa"/>
                </w:tcPr>
                <w:p>
                  <w:pPr>
                    <w:rPr>
                      <w:rFonts w:asciiTheme="minorEastAsia" w:hAnsiTheme="minorEastAsia" w:cstheme="minorEastAsia"/>
                      <w:bCs/>
                      <w:color w:val="auto"/>
                      <w:szCs w:val="21"/>
                    </w:rPr>
                  </w:pPr>
                </w:p>
              </w:tc>
              <w:tc>
                <w:tcPr>
                  <w:tcW w:w="1696" w:type="dxa"/>
                </w:tcPr>
                <w:p>
                  <w:pP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846" w:type="dxa"/>
                  <w:tcBorders>
                    <w:bottom w:val="single" w:color="auto" w:sz="4" w:space="0"/>
                  </w:tcBorders>
                </w:tcPr>
                <w:p>
                  <w:pPr>
                    <w:rPr>
                      <w:rFonts w:asciiTheme="minorEastAsia" w:hAnsiTheme="minorEastAsia" w:cstheme="minorEastAsia"/>
                      <w:bCs/>
                      <w:color w:val="auto"/>
                      <w:szCs w:val="21"/>
                      <w:u w:val="none"/>
                    </w:rPr>
                  </w:pPr>
                  <w:r>
                    <w:rPr>
                      <w:rFonts w:hint="eastAsia" w:asciiTheme="minorEastAsia" w:hAnsiTheme="minorEastAsia" w:cstheme="minorEastAsia"/>
                      <w:bCs/>
                      <w:color w:val="auto"/>
                      <w:szCs w:val="21"/>
                      <w:u w:val="none"/>
                    </w:rPr>
                    <w:t>资料管理员签字</w:t>
                  </w:r>
                </w:p>
              </w:tc>
              <w:tc>
                <w:tcPr>
                  <w:tcW w:w="1530" w:type="dxa"/>
                  <w:tcBorders>
                    <w:bottom w:val="single" w:color="auto" w:sz="4" w:space="0"/>
                  </w:tcBorders>
                </w:tcPr>
                <w:p>
                  <w:pPr>
                    <w:rPr>
                      <w:rFonts w:asciiTheme="minorEastAsia" w:hAnsiTheme="minorEastAsia" w:cstheme="minorEastAsia"/>
                      <w:bCs/>
                      <w:color w:val="auto"/>
                      <w:szCs w:val="21"/>
                      <w:u w:val="none"/>
                    </w:rPr>
                  </w:pPr>
                </w:p>
              </w:tc>
              <w:tc>
                <w:tcPr>
                  <w:tcW w:w="1275" w:type="dxa"/>
                  <w:gridSpan w:val="2"/>
                  <w:tcBorders>
                    <w:bottom w:val="single" w:color="auto" w:sz="4" w:space="0"/>
                  </w:tcBorders>
                </w:tcPr>
                <w:p>
                  <w:pPr>
                    <w:rPr>
                      <w:rFonts w:asciiTheme="minorEastAsia" w:hAnsiTheme="minorEastAsia" w:cstheme="minorEastAsia"/>
                      <w:bCs/>
                      <w:color w:val="auto"/>
                      <w:szCs w:val="21"/>
                      <w:u w:val="none"/>
                    </w:rPr>
                  </w:pPr>
                  <w:r>
                    <w:rPr>
                      <w:rFonts w:hint="eastAsia" w:asciiTheme="minorEastAsia" w:hAnsiTheme="minorEastAsia" w:cstheme="minorEastAsia"/>
                      <w:bCs/>
                      <w:color w:val="auto"/>
                      <w:szCs w:val="21"/>
                      <w:u w:val="none"/>
                    </w:rPr>
                    <w:t>日期</w:t>
                  </w:r>
                </w:p>
              </w:tc>
              <w:tc>
                <w:tcPr>
                  <w:tcW w:w="2175" w:type="dxa"/>
                  <w:tcBorders>
                    <w:bottom w:val="single" w:color="auto" w:sz="4" w:space="0"/>
                  </w:tcBorders>
                </w:tcPr>
                <w:p>
                  <w:pPr>
                    <w:rPr>
                      <w:rFonts w:asciiTheme="minorEastAsia" w:hAnsiTheme="minorEastAsia" w:cstheme="minorEastAsia"/>
                      <w:bCs/>
                      <w:color w:val="auto"/>
                      <w:szCs w:val="21"/>
                      <w:u w:val="none"/>
                    </w:rPr>
                  </w:pPr>
                </w:p>
              </w:tc>
              <w:tc>
                <w:tcPr>
                  <w:tcW w:w="1696" w:type="dxa"/>
                  <w:tcBorders>
                    <w:bottom w:val="single" w:color="auto" w:sz="4" w:space="0"/>
                  </w:tcBorders>
                </w:tcPr>
                <w:p>
                  <w:pPr>
                    <w:rPr>
                      <w:rFonts w:asciiTheme="minorEastAsia" w:hAnsiTheme="minorEastAsia" w:cstheme="minorEastAsia"/>
                      <w:bCs/>
                      <w:color w:val="auto"/>
                      <w:szCs w:val="21"/>
                      <w:u w:val="none"/>
                    </w:rPr>
                  </w:pPr>
                </w:p>
              </w:tc>
            </w:tr>
          </w:tbl>
          <w:p>
            <w:pPr>
              <w:rPr>
                <w:rFonts w:asciiTheme="minorEastAsia" w:hAnsiTheme="minorEastAsia" w:cstheme="minorEastAsia"/>
                <w:bCs/>
                <w:color w:val="auto"/>
                <w:szCs w:val="21"/>
              </w:rPr>
            </w:pPr>
          </w:p>
        </w:tc>
      </w:tr>
    </w:tbl>
    <w:p>
      <w:pPr>
        <w:rPr>
          <w:rFonts w:asciiTheme="minorEastAsia" w:hAnsiTheme="minorEastAsia" w:cstheme="minorEastAsia"/>
          <w:bCs/>
          <w:color w:val="auto"/>
          <w:szCs w:val="21"/>
        </w:rPr>
      </w:pPr>
    </w:p>
    <w:p>
      <w:pPr>
        <w:rPr>
          <w:rFonts w:asciiTheme="minorEastAsia" w:hAnsiTheme="minorEastAsia" w:cstheme="minorEastAsia"/>
          <w:bCs/>
          <w:color w:val="auto"/>
          <w:szCs w:val="21"/>
        </w:rPr>
      </w:pPr>
    </w:p>
    <w:p>
      <w:pPr>
        <w:rPr>
          <w:rFonts w:asciiTheme="minorEastAsia" w:hAnsiTheme="minorEastAsia" w:cstheme="minorEastAsia"/>
          <w:bCs/>
          <w:color w:val="auto"/>
          <w:szCs w:val="21"/>
        </w:rPr>
      </w:pPr>
    </w:p>
    <w:p>
      <w:pPr>
        <w:rPr>
          <w:rFonts w:asciiTheme="minorEastAsia" w:hAnsiTheme="minorEastAsia" w:cstheme="minorEastAsia"/>
          <w:bCs/>
          <w:color w:val="auto"/>
          <w:szCs w:val="21"/>
        </w:rPr>
      </w:pPr>
    </w:p>
    <w:p>
      <w:pPr>
        <w:rPr>
          <w:rFonts w:hint="eastAsia" w:ascii="黑体" w:hAnsi="黑体" w:eastAsia="黑体" w:cs="黑体"/>
          <w:bCs/>
          <w:color w:val="auto"/>
          <w:sz w:val="24"/>
          <w:szCs w:val="24"/>
        </w:rPr>
      </w:pPr>
    </w:p>
    <w:p>
      <w:pPr>
        <w:rPr>
          <w:rFonts w:asciiTheme="minorEastAsia" w:hAnsiTheme="minorEastAsia" w:cstheme="minorEastAsia"/>
          <w:bCs/>
          <w:color w:val="auto"/>
          <w:szCs w:val="21"/>
        </w:rPr>
      </w:pPr>
      <w:r>
        <w:rPr>
          <w:rFonts w:hint="eastAsia" w:ascii="黑体" w:hAnsi="黑体" w:eastAsia="黑体" w:cs="黑体"/>
          <w:bCs/>
          <w:color w:val="auto"/>
          <w:sz w:val="24"/>
          <w:szCs w:val="24"/>
        </w:rPr>
        <w:t>附件</w:t>
      </w:r>
      <w:r>
        <w:rPr>
          <w:rFonts w:hint="eastAsia" w:ascii="黑体" w:hAnsi="黑体" w:eastAsia="黑体" w:cs="黑体"/>
          <w:bCs/>
          <w:color w:val="auto"/>
          <w:sz w:val="24"/>
          <w:szCs w:val="24"/>
          <w:lang w:val="en-US" w:eastAsia="zh-CN"/>
        </w:rPr>
        <w:t>6</w:t>
      </w:r>
      <w:r>
        <w:rPr>
          <w:rFonts w:hint="eastAsia" w:ascii="黑体" w:hAnsi="黑体" w:eastAsia="黑体" w:cs="黑体"/>
          <w:bCs/>
          <w:color w:val="auto"/>
          <w:sz w:val="24"/>
          <w:szCs w:val="24"/>
        </w:rPr>
        <w:t>：（YYH-SOP-CTC-022-3.</w:t>
      </w:r>
      <w:r>
        <w:rPr>
          <w:rFonts w:hint="eastAsia" w:ascii="黑体" w:hAnsi="黑体" w:eastAsia="黑体" w:cs="黑体"/>
          <w:bCs/>
          <w:color w:val="auto"/>
          <w:sz w:val="24"/>
          <w:szCs w:val="24"/>
          <w:lang w:val="en-US" w:eastAsia="zh-CN"/>
        </w:rPr>
        <w:t>2</w:t>
      </w:r>
      <w:r>
        <w:rPr>
          <w:rFonts w:hint="eastAsia" w:ascii="黑体" w:hAnsi="黑体" w:eastAsia="黑体" w:cs="黑体"/>
          <w:bCs/>
          <w:color w:val="auto"/>
          <w:sz w:val="24"/>
          <w:szCs w:val="24"/>
        </w:rPr>
        <w:t>-A0</w:t>
      </w:r>
      <w:r>
        <w:rPr>
          <w:rFonts w:hint="eastAsia" w:ascii="黑体" w:hAnsi="黑体" w:eastAsia="黑体" w:cs="黑体"/>
          <w:bCs/>
          <w:color w:val="auto"/>
          <w:sz w:val="24"/>
          <w:szCs w:val="24"/>
          <w:lang w:val="en-US" w:eastAsia="zh-CN"/>
        </w:rPr>
        <w:t>6</w:t>
      </w:r>
      <w:r>
        <w:rPr>
          <w:rFonts w:hint="eastAsia" w:ascii="黑体" w:hAnsi="黑体" w:eastAsia="黑体" w:cs="黑体"/>
          <w:bCs/>
          <w:color w:val="auto"/>
          <w:sz w:val="24"/>
          <w:szCs w:val="24"/>
        </w:rPr>
        <w:t>）：</w:t>
      </w:r>
      <w:r>
        <w:rPr>
          <w:rFonts w:hint="eastAsia" w:ascii="黑体" w:hAnsi="黑体" w:eastAsia="黑体" w:cs="黑体"/>
          <w:bCs/>
          <w:color w:val="auto"/>
          <w:sz w:val="24"/>
          <w:szCs w:val="24"/>
          <w:lang w:val="en-US" w:eastAsia="zh-CN"/>
        </w:rPr>
        <w:t>医疗器械</w:t>
      </w:r>
      <w:r>
        <w:rPr>
          <w:rFonts w:hint="eastAsia" w:ascii="黑体" w:hAnsi="黑体" w:eastAsia="黑体" w:cs="黑体"/>
          <w:bCs/>
          <w:color w:val="auto"/>
          <w:sz w:val="24"/>
          <w:szCs w:val="24"/>
        </w:rPr>
        <w:t>临床试验项目归档资料签收表</w:t>
      </w:r>
    </w:p>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（此表放入归档档案登记汇总文件盒，不和项目资料放在一起）</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975"/>
        <w:gridCol w:w="1740"/>
        <w:gridCol w:w="210"/>
        <w:gridCol w:w="1425"/>
        <w:gridCol w:w="45"/>
        <w:gridCol w:w="2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22" w:type="dxa"/>
            <w:gridSpan w:val="7"/>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完结项目编码（机构资料管理员填写）：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531"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伦理受理号</w:t>
            </w:r>
          </w:p>
        </w:tc>
        <w:tc>
          <w:tcPr>
            <w:tcW w:w="2925" w:type="dxa"/>
            <w:gridSpan w:val="3"/>
            <w:vAlign w:val="center"/>
          </w:tcPr>
          <w:p>
            <w:pPr>
              <w:jc w:val="center"/>
              <w:rPr>
                <w:rFonts w:asciiTheme="minorEastAsia" w:hAnsiTheme="minorEastAsia" w:cstheme="minorEastAsia"/>
                <w:bCs/>
                <w:color w:val="auto"/>
                <w:szCs w:val="21"/>
              </w:rPr>
            </w:pPr>
          </w:p>
        </w:tc>
        <w:tc>
          <w:tcPr>
            <w:tcW w:w="1425"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立项年份</w:t>
            </w:r>
          </w:p>
        </w:tc>
        <w:tc>
          <w:tcPr>
            <w:tcW w:w="2641" w:type="dxa"/>
            <w:gridSpan w:val="2"/>
          </w:tcPr>
          <w:p>
            <w:pP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531"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启动日期</w:t>
            </w:r>
          </w:p>
        </w:tc>
        <w:tc>
          <w:tcPr>
            <w:tcW w:w="2925" w:type="dxa"/>
            <w:gridSpan w:val="3"/>
            <w:vAlign w:val="center"/>
          </w:tcPr>
          <w:p>
            <w:pPr>
              <w:jc w:val="center"/>
              <w:rPr>
                <w:rFonts w:asciiTheme="minorEastAsia" w:hAnsiTheme="minorEastAsia" w:cstheme="minorEastAsia"/>
                <w:bCs/>
                <w:color w:val="auto"/>
                <w:szCs w:val="21"/>
              </w:rPr>
            </w:pPr>
          </w:p>
        </w:tc>
        <w:tc>
          <w:tcPr>
            <w:tcW w:w="1425"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结束日期</w:t>
            </w:r>
          </w:p>
        </w:tc>
        <w:tc>
          <w:tcPr>
            <w:tcW w:w="2641" w:type="dxa"/>
            <w:gridSpan w:val="2"/>
          </w:tcPr>
          <w:p>
            <w:pPr>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31"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lang w:val="en-US" w:eastAsia="zh-CN"/>
              </w:rPr>
              <w:t>医疗器械</w:t>
            </w:r>
            <w:r>
              <w:rPr>
                <w:rFonts w:hint="eastAsia" w:asciiTheme="minorEastAsia" w:hAnsiTheme="minorEastAsia" w:cstheme="minorEastAsia"/>
                <w:bCs/>
                <w:color w:val="auto"/>
                <w:szCs w:val="21"/>
              </w:rPr>
              <w:t>名称</w:t>
            </w:r>
          </w:p>
        </w:tc>
        <w:tc>
          <w:tcPr>
            <w:tcW w:w="2925" w:type="dxa"/>
            <w:gridSpan w:val="3"/>
            <w:vAlign w:val="center"/>
          </w:tcPr>
          <w:p>
            <w:pPr>
              <w:jc w:val="center"/>
              <w:rPr>
                <w:rFonts w:asciiTheme="minorEastAsia" w:hAnsiTheme="minorEastAsia" w:cstheme="minorEastAsia"/>
                <w:bCs/>
                <w:color w:val="auto"/>
                <w:szCs w:val="21"/>
              </w:rPr>
            </w:pPr>
          </w:p>
        </w:tc>
        <w:tc>
          <w:tcPr>
            <w:tcW w:w="1425" w:type="dxa"/>
            <w:vAlign w:val="center"/>
          </w:tcPr>
          <w:p>
            <w:pPr>
              <w:jc w:val="center"/>
              <w:rPr>
                <w:rFonts w:hint="eastAsia" w:asciiTheme="minorEastAsia" w:hAnsiTheme="minorEastAsia" w:cstheme="minorEastAsia"/>
                <w:bCs/>
                <w:color w:val="auto"/>
                <w:szCs w:val="21"/>
                <w:lang w:val="en-US" w:eastAsia="zh-CN"/>
              </w:rPr>
            </w:pPr>
            <w:r>
              <w:rPr>
                <w:rFonts w:hint="eastAsia" w:asciiTheme="minorEastAsia" w:hAnsiTheme="minorEastAsia" w:cstheme="minorEastAsia"/>
                <w:bCs/>
                <w:color w:val="auto"/>
                <w:szCs w:val="21"/>
                <w:lang w:val="en-US" w:eastAsia="zh-CN"/>
              </w:rPr>
              <w:t>医疗器械</w:t>
            </w:r>
          </w:p>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类别</w:t>
            </w:r>
          </w:p>
        </w:tc>
        <w:tc>
          <w:tcPr>
            <w:tcW w:w="2641" w:type="dxa"/>
            <w:gridSpan w:val="2"/>
          </w:tcPr>
          <w:p>
            <w:pPr>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31"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归档日期</w:t>
            </w:r>
          </w:p>
        </w:tc>
        <w:tc>
          <w:tcPr>
            <w:tcW w:w="2925" w:type="dxa"/>
            <w:gridSpan w:val="3"/>
            <w:vAlign w:val="center"/>
          </w:tcPr>
          <w:p>
            <w:pPr>
              <w:jc w:val="center"/>
              <w:rPr>
                <w:rFonts w:asciiTheme="minorEastAsia" w:hAnsiTheme="minorEastAsia" w:cstheme="minorEastAsia"/>
                <w:bCs/>
                <w:color w:val="auto"/>
                <w:szCs w:val="21"/>
              </w:rPr>
            </w:pPr>
          </w:p>
        </w:tc>
        <w:tc>
          <w:tcPr>
            <w:tcW w:w="1425"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存放地点</w:t>
            </w:r>
          </w:p>
        </w:tc>
        <w:tc>
          <w:tcPr>
            <w:tcW w:w="2641" w:type="dxa"/>
            <w:gridSpan w:val="2"/>
          </w:tcPr>
          <w:p>
            <w:pPr>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1"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试验名称</w:t>
            </w:r>
          </w:p>
        </w:tc>
        <w:tc>
          <w:tcPr>
            <w:tcW w:w="6991" w:type="dxa"/>
            <w:gridSpan w:val="6"/>
          </w:tcPr>
          <w:p>
            <w:pPr>
              <w:jc w:val="center"/>
              <w:rPr>
                <w:rFonts w:asciiTheme="minorEastAsia" w:hAnsiTheme="minorEastAsia" w:cstheme="minorEastAsia"/>
                <w:bCs/>
                <w:color w:val="auto"/>
                <w:szCs w:val="21"/>
              </w:rPr>
            </w:pPr>
          </w:p>
          <w:p>
            <w:pPr>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31"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申办方</w:t>
            </w:r>
          </w:p>
        </w:tc>
        <w:tc>
          <w:tcPr>
            <w:tcW w:w="6991" w:type="dxa"/>
            <w:gridSpan w:val="6"/>
          </w:tcPr>
          <w:p>
            <w:pPr>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531"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承担专业</w:t>
            </w:r>
          </w:p>
        </w:tc>
        <w:tc>
          <w:tcPr>
            <w:tcW w:w="2925" w:type="dxa"/>
            <w:gridSpan w:val="3"/>
          </w:tcPr>
          <w:p>
            <w:pPr>
              <w:jc w:val="center"/>
              <w:rPr>
                <w:rFonts w:asciiTheme="minorEastAsia" w:hAnsiTheme="minorEastAsia" w:cstheme="minorEastAsia"/>
                <w:bCs/>
                <w:color w:val="auto"/>
                <w:szCs w:val="21"/>
              </w:rPr>
            </w:pPr>
          </w:p>
        </w:tc>
        <w:tc>
          <w:tcPr>
            <w:tcW w:w="1470" w:type="dxa"/>
            <w:gridSpan w:val="2"/>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主要研究者</w:t>
            </w:r>
          </w:p>
        </w:tc>
        <w:tc>
          <w:tcPr>
            <w:tcW w:w="2596" w:type="dxa"/>
          </w:tcPr>
          <w:p>
            <w:pPr>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trPr>
        <w:tc>
          <w:tcPr>
            <w:tcW w:w="1531"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入组情况</w:t>
            </w:r>
          </w:p>
        </w:tc>
        <w:tc>
          <w:tcPr>
            <w:tcW w:w="6991" w:type="dxa"/>
            <w:gridSpan w:val="6"/>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有效病例</w:t>
            </w:r>
            <w:r>
              <w:rPr>
                <w:rFonts w:hint="eastAsia" w:asciiTheme="minorEastAsia" w:hAnsiTheme="minorEastAsia" w:cstheme="minorEastAsia"/>
                <w:bCs/>
                <w:color w:val="auto"/>
                <w:szCs w:val="21"/>
                <w:u w:val="single"/>
              </w:rPr>
              <w:t xml:space="preserve">      </w:t>
            </w:r>
            <w:r>
              <w:rPr>
                <w:rFonts w:hint="eastAsia" w:asciiTheme="minorEastAsia" w:hAnsiTheme="minorEastAsia" w:cstheme="minorEastAsia"/>
                <w:bCs/>
                <w:color w:val="auto"/>
                <w:szCs w:val="21"/>
              </w:rPr>
              <w:t>例，脱落病例</w:t>
            </w:r>
            <w:r>
              <w:rPr>
                <w:rFonts w:hint="eastAsia" w:asciiTheme="minorEastAsia" w:hAnsiTheme="minorEastAsia" w:cstheme="minorEastAsia"/>
                <w:bCs/>
                <w:color w:val="auto"/>
                <w:szCs w:val="21"/>
                <w:u w:val="single"/>
              </w:rPr>
              <w:t xml:space="preserve">       </w:t>
            </w:r>
            <w:r>
              <w:rPr>
                <w:rFonts w:hint="eastAsia" w:asciiTheme="minorEastAsia" w:hAnsiTheme="minorEastAsia" w:cstheme="minorEastAsia"/>
                <w:bCs/>
                <w:color w:val="auto"/>
                <w:szCs w:val="21"/>
              </w:rPr>
              <w:t>例，筛选失败</w:t>
            </w:r>
            <w:r>
              <w:rPr>
                <w:rFonts w:hint="eastAsia" w:asciiTheme="minorEastAsia" w:hAnsiTheme="minorEastAsia" w:cstheme="minorEastAsia"/>
                <w:bCs/>
                <w:color w:val="auto"/>
                <w:szCs w:val="21"/>
                <w:u w:val="single"/>
              </w:rPr>
              <w:t xml:space="preserve">     </w:t>
            </w:r>
            <w:r>
              <w:rPr>
                <w:rFonts w:hint="eastAsia" w:asciiTheme="minorEastAsia" w:hAnsiTheme="minorEastAsia" w:cstheme="minorEastAsia"/>
                <w:bCs/>
                <w:color w:val="auto"/>
                <w:szCs w:val="21"/>
              </w:rPr>
              <w:t>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531" w:type="dxa"/>
            <w:vMerge w:val="restart"/>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递交信息</w:t>
            </w:r>
          </w:p>
        </w:tc>
        <w:tc>
          <w:tcPr>
            <w:tcW w:w="2715" w:type="dxa"/>
            <w:gridSpan w:val="2"/>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姓名：</w:t>
            </w:r>
          </w:p>
        </w:tc>
        <w:tc>
          <w:tcPr>
            <w:tcW w:w="4276" w:type="dxa"/>
            <w:gridSpan w:val="4"/>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531" w:type="dxa"/>
            <w:vMerge w:val="continue"/>
          </w:tcPr>
          <w:p>
            <w:pPr>
              <w:jc w:val="center"/>
              <w:rPr>
                <w:rFonts w:asciiTheme="minorEastAsia" w:hAnsiTheme="minorEastAsia" w:cstheme="minorEastAsia"/>
                <w:bCs/>
                <w:color w:val="auto"/>
                <w:szCs w:val="21"/>
              </w:rPr>
            </w:pPr>
          </w:p>
        </w:tc>
        <w:tc>
          <w:tcPr>
            <w:tcW w:w="2715" w:type="dxa"/>
            <w:gridSpan w:val="2"/>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手机：</w:t>
            </w:r>
          </w:p>
        </w:tc>
        <w:tc>
          <w:tcPr>
            <w:tcW w:w="4276" w:type="dxa"/>
            <w:gridSpan w:val="4"/>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3" w:hRule="atLeast"/>
        </w:trPr>
        <w:tc>
          <w:tcPr>
            <w:tcW w:w="2506" w:type="dxa"/>
            <w:gridSpan w:val="2"/>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归档资料是否齐全</w:t>
            </w:r>
          </w:p>
        </w:tc>
        <w:tc>
          <w:tcPr>
            <w:tcW w:w="6016" w:type="dxa"/>
            <w:gridSpan w:val="5"/>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是</w:t>
            </w:r>
            <w:r>
              <w:rPr>
                <w:rFonts w:hint="eastAsia" w:asciiTheme="minorEastAsia" w:hAnsiTheme="minorEastAsia" w:cstheme="minorEastAsia"/>
                <w:bCs/>
                <w:color w:val="auto"/>
                <w:szCs w:val="21"/>
              </w:rPr>
              <w:sym w:font="Wingdings 2" w:char="00A3"/>
            </w:r>
            <w:r>
              <w:rPr>
                <w:rFonts w:hint="eastAsia" w:asciiTheme="minorEastAsia" w:hAnsiTheme="minorEastAsia" w:cstheme="minorEastAsia"/>
                <w:bCs/>
                <w:color w:val="auto"/>
                <w:szCs w:val="21"/>
              </w:rPr>
              <w:t xml:space="preserve">      否</w:t>
            </w:r>
            <w:r>
              <w:rPr>
                <w:rFonts w:hint="eastAsia" w:asciiTheme="minorEastAsia" w:hAnsiTheme="minorEastAsia" w:cstheme="minorEastAsia"/>
                <w:bCs/>
                <w:color w:val="auto"/>
                <w:szCs w:val="21"/>
              </w:rPr>
              <w:sym w:font="Wingdings 2" w:char="00A3"/>
            </w:r>
            <w:r>
              <w:rPr>
                <w:rFonts w:hint="eastAsia" w:asciiTheme="minorEastAsia" w:hAnsiTheme="minorEastAsia" w:cstheme="minorEastAsia"/>
                <w:bCs/>
                <w:color w:val="auto"/>
                <w:szCs w:val="21"/>
              </w:rPr>
              <w:t xml:space="preserve"> （如为否，请填写下列内容）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tcBorders>
              <w:bottom w:val="nil"/>
            </w:tcBorders>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缺项清单：                   分中心小结</w:t>
            </w:r>
            <w:r>
              <w:rPr>
                <w:rFonts w:hint="eastAsia" w:asciiTheme="minorEastAsia" w:hAnsiTheme="minorEastAsia" w:cstheme="minorEastAsia"/>
                <w:bCs/>
                <w:color w:val="auto"/>
                <w:szCs w:val="21"/>
              </w:rPr>
              <w:sym w:font="Wingdings 2" w:char="00A3"/>
            </w:r>
            <w:r>
              <w:rPr>
                <w:rFonts w:hint="eastAsia" w:asciiTheme="minorEastAsia" w:hAnsiTheme="minorEastAsia" w:cstheme="minorEastAsia"/>
                <w:bCs/>
                <w:color w:val="auto"/>
                <w:szCs w:val="21"/>
              </w:rPr>
              <w:t xml:space="preserve">                   总结报告</w:t>
            </w:r>
            <w:r>
              <w:rPr>
                <w:rFonts w:hint="eastAsia" w:asciiTheme="minorEastAsia" w:hAnsiTheme="minorEastAsia" w:cstheme="minorEastAsia"/>
                <w:bCs/>
                <w:color w:val="auto"/>
                <w:szCs w:val="21"/>
              </w:rPr>
              <w:sym w:font="Wingdings 2" w:char="00A3"/>
            </w:r>
          </w:p>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其他项目：</w:t>
            </w:r>
          </w:p>
          <w:tbl>
            <w:tblPr>
              <w:tblStyle w:val="28"/>
              <w:tblpPr w:leftFromText="180" w:rightFromText="180" w:vertAnchor="text" w:horzAnchor="page" w:tblpX="-1" w:tblpY="296"/>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6"/>
              <w:gridCol w:w="1530"/>
              <w:gridCol w:w="870"/>
              <w:gridCol w:w="405"/>
              <w:gridCol w:w="2175"/>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522" w:type="dxa"/>
                  <w:gridSpan w:val="6"/>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预计补缴日期：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246" w:type="dxa"/>
                  <w:gridSpan w:val="3"/>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文档递交人签字：</w:t>
                  </w:r>
                </w:p>
              </w:tc>
              <w:tc>
                <w:tcPr>
                  <w:tcW w:w="4276" w:type="dxa"/>
                  <w:gridSpan w:val="3"/>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246" w:type="dxa"/>
                  <w:gridSpan w:val="3"/>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资料管理员签字：</w:t>
                  </w:r>
                </w:p>
              </w:tc>
              <w:tc>
                <w:tcPr>
                  <w:tcW w:w="4276" w:type="dxa"/>
                  <w:gridSpan w:val="3"/>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522" w:type="dxa"/>
                  <w:gridSpan w:val="6"/>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补交资料时请填写下表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846" w:type="dxa"/>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1.是否补上缺项清单中所列项目</w:t>
                  </w:r>
                </w:p>
              </w:tc>
              <w:tc>
                <w:tcPr>
                  <w:tcW w:w="6676" w:type="dxa"/>
                  <w:gridSpan w:val="5"/>
                </w:tcPr>
                <w:p>
                  <w:pPr>
                    <w:rPr>
                      <w:rFonts w:asciiTheme="minorEastAsia" w:hAnsiTheme="minorEastAsia" w:cstheme="minorEastAsia"/>
                      <w:bCs/>
                      <w:color w:val="auto"/>
                      <w:szCs w:val="21"/>
                    </w:rPr>
                  </w:pPr>
                </w:p>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是</w:t>
                  </w:r>
                  <w:r>
                    <w:rPr>
                      <w:rFonts w:hint="eastAsia" w:asciiTheme="minorEastAsia" w:hAnsiTheme="minorEastAsia" w:cstheme="minorEastAsia"/>
                      <w:bCs/>
                      <w:color w:val="auto"/>
                      <w:szCs w:val="21"/>
                    </w:rPr>
                    <w:sym w:font="Wingdings 2" w:char="00A3"/>
                  </w:r>
                  <w:r>
                    <w:rPr>
                      <w:rFonts w:hint="eastAsia" w:asciiTheme="minorEastAsia" w:hAnsiTheme="minorEastAsia" w:cstheme="minorEastAsia"/>
                      <w:bCs/>
                      <w:color w:val="auto"/>
                      <w:szCs w:val="21"/>
                    </w:rPr>
                    <w:t xml:space="preserve">    否</w:t>
                  </w:r>
                  <w:r>
                    <w:rPr>
                      <w:rFonts w:hint="eastAsia" w:asciiTheme="minorEastAsia" w:hAnsiTheme="minorEastAsia" w:cstheme="minorEastAsia"/>
                      <w:bCs/>
                      <w:color w:val="auto"/>
                      <w:szCs w:val="21"/>
                    </w:rPr>
                    <w:sym w:font="Wingdings 2" w:char="00A3"/>
                  </w:r>
                  <w:r>
                    <w:rPr>
                      <w:rFonts w:hint="eastAsia" w:asciiTheme="minorEastAsia" w:hAnsiTheme="minorEastAsia" w:cstheme="minorEastAsia"/>
                      <w:bCs/>
                      <w:color w:val="auto"/>
                      <w:szCs w:val="21"/>
                    </w:rPr>
                    <w:t xml:space="preserve">     缺项：</w:t>
                  </w:r>
                  <w:r>
                    <w:rPr>
                      <w:rFonts w:hint="eastAsia" w:asciiTheme="minorEastAsia" w:hAnsiTheme="minorEastAsia" w:cstheme="minorEastAsia"/>
                      <w:bCs/>
                      <w:color w:val="auto"/>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846" w:type="dxa"/>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2.此次补交时间</w:t>
                  </w:r>
                </w:p>
              </w:tc>
              <w:tc>
                <w:tcPr>
                  <w:tcW w:w="6676" w:type="dxa"/>
                  <w:gridSpan w:val="5"/>
                </w:tcPr>
                <w:p>
                  <w:pP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846" w:type="dxa"/>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文档递交人签字</w:t>
                  </w:r>
                </w:p>
              </w:tc>
              <w:tc>
                <w:tcPr>
                  <w:tcW w:w="1530" w:type="dxa"/>
                </w:tcPr>
                <w:p>
                  <w:pPr>
                    <w:rPr>
                      <w:rFonts w:asciiTheme="minorEastAsia" w:hAnsiTheme="minorEastAsia" w:cstheme="minorEastAsia"/>
                      <w:bCs/>
                      <w:color w:val="auto"/>
                      <w:szCs w:val="21"/>
                    </w:rPr>
                  </w:pPr>
                </w:p>
              </w:tc>
              <w:tc>
                <w:tcPr>
                  <w:tcW w:w="1275" w:type="dxa"/>
                  <w:gridSpan w:val="2"/>
                </w:tcPr>
                <w:p>
                  <w:pPr>
                    <w:rPr>
                      <w:rFonts w:asciiTheme="minorEastAsia" w:hAnsiTheme="minorEastAsia" w:cstheme="minorEastAsia"/>
                      <w:bCs/>
                      <w:color w:val="auto"/>
                      <w:szCs w:val="21"/>
                    </w:rPr>
                  </w:pPr>
                  <w:r>
                    <w:rPr>
                      <w:rFonts w:hint="eastAsia" w:asciiTheme="minorEastAsia" w:hAnsiTheme="minorEastAsia" w:cstheme="minorEastAsia"/>
                      <w:bCs/>
                      <w:color w:val="auto"/>
                      <w:szCs w:val="21"/>
                    </w:rPr>
                    <w:t>日期</w:t>
                  </w:r>
                </w:p>
              </w:tc>
              <w:tc>
                <w:tcPr>
                  <w:tcW w:w="2175" w:type="dxa"/>
                </w:tcPr>
                <w:p>
                  <w:pPr>
                    <w:rPr>
                      <w:rFonts w:asciiTheme="minorEastAsia" w:hAnsiTheme="minorEastAsia" w:cstheme="minorEastAsia"/>
                      <w:bCs/>
                      <w:color w:val="auto"/>
                      <w:szCs w:val="21"/>
                    </w:rPr>
                  </w:pPr>
                </w:p>
              </w:tc>
              <w:tc>
                <w:tcPr>
                  <w:tcW w:w="1696" w:type="dxa"/>
                </w:tcPr>
                <w:p>
                  <w:pP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846" w:type="dxa"/>
                  <w:tcBorders>
                    <w:bottom w:val="single" w:color="auto" w:sz="4" w:space="0"/>
                  </w:tcBorders>
                </w:tcPr>
                <w:p>
                  <w:pPr>
                    <w:rPr>
                      <w:rFonts w:asciiTheme="minorEastAsia" w:hAnsiTheme="minorEastAsia" w:cstheme="minorEastAsia"/>
                      <w:bCs/>
                      <w:color w:val="auto"/>
                      <w:szCs w:val="21"/>
                      <w:u w:val="none"/>
                    </w:rPr>
                  </w:pPr>
                  <w:r>
                    <w:rPr>
                      <w:rFonts w:hint="eastAsia" w:asciiTheme="minorEastAsia" w:hAnsiTheme="minorEastAsia" w:cstheme="minorEastAsia"/>
                      <w:bCs/>
                      <w:color w:val="auto"/>
                      <w:szCs w:val="21"/>
                      <w:u w:val="none"/>
                    </w:rPr>
                    <w:t>资料管理员签字</w:t>
                  </w:r>
                </w:p>
              </w:tc>
              <w:tc>
                <w:tcPr>
                  <w:tcW w:w="1530" w:type="dxa"/>
                  <w:tcBorders>
                    <w:bottom w:val="single" w:color="auto" w:sz="4" w:space="0"/>
                  </w:tcBorders>
                </w:tcPr>
                <w:p>
                  <w:pPr>
                    <w:rPr>
                      <w:rFonts w:asciiTheme="minorEastAsia" w:hAnsiTheme="minorEastAsia" w:cstheme="minorEastAsia"/>
                      <w:bCs/>
                      <w:color w:val="auto"/>
                      <w:szCs w:val="21"/>
                      <w:u w:val="none"/>
                    </w:rPr>
                  </w:pPr>
                </w:p>
              </w:tc>
              <w:tc>
                <w:tcPr>
                  <w:tcW w:w="1275" w:type="dxa"/>
                  <w:gridSpan w:val="2"/>
                  <w:tcBorders>
                    <w:bottom w:val="single" w:color="auto" w:sz="4" w:space="0"/>
                  </w:tcBorders>
                </w:tcPr>
                <w:p>
                  <w:pPr>
                    <w:rPr>
                      <w:rFonts w:asciiTheme="minorEastAsia" w:hAnsiTheme="minorEastAsia" w:cstheme="minorEastAsia"/>
                      <w:bCs/>
                      <w:color w:val="auto"/>
                      <w:szCs w:val="21"/>
                      <w:u w:val="none"/>
                    </w:rPr>
                  </w:pPr>
                  <w:r>
                    <w:rPr>
                      <w:rFonts w:hint="eastAsia" w:asciiTheme="minorEastAsia" w:hAnsiTheme="minorEastAsia" w:cstheme="minorEastAsia"/>
                      <w:bCs/>
                      <w:color w:val="auto"/>
                      <w:szCs w:val="21"/>
                      <w:u w:val="none"/>
                    </w:rPr>
                    <w:t>日期</w:t>
                  </w:r>
                </w:p>
              </w:tc>
              <w:tc>
                <w:tcPr>
                  <w:tcW w:w="2175" w:type="dxa"/>
                  <w:tcBorders>
                    <w:bottom w:val="single" w:color="auto" w:sz="4" w:space="0"/>
                  </w:tcBorders>
                </w:tcPr>
                <w:p>
                  <w:pPr>
                    <w:rPr>
                      <w:rFonts w:asciiTheme="minorEastAsia" w:hAnsiTheme="minorEastAsia" w:cstheme="minorEastAsia"/>
                      <w:bCs/>
                      <w:color w:val="auto"/>
                      <w:szCs w:val="21"/>
                      <w:u w:val="none"/>
                    </w:rPr>
                  </w:pPr>
                </w:p>
              </w:tc>
              <w:tc>
                <w:tcPr>
                  <w:tcW w:w="1696" w:type="dxa"/>
                  <w:tcBorders>
                    <w:bottom w:val="single" w:color="auto" w:sz="4" w:space="0"/>
                  </w:tcBorders>
                </w:tcPr>
                <w:p>
                  <w:pPr>
                    <w:rPr>
                      <w:rFonts w:asciiTheme="minorEastAsia" w:hAnsiTheme="minorEastAsia" w:cstheme="minorEastAsia"/>
                      <w:bCs/>
                      <w:color w:val="auto"/>
                      <w:szCs w:val="21"/>
                      <w:u w:val="none"/>
                    </w:rPr>
                  </w:pPr>
                </w:p>
              </w:tc>
            </w:tr>
          </w:tbl>
          <w:p>
            <w:pPr>
              <w:rPr>
                <w:rFonts w:asciiTheme="minorEastAsia" w:hAnsiTheme="minorEastAsia" w:cstheme="minorEastAsia"/>
                <w:bCs/>
                <w:color w:val="auto"/>
                <w:szCs w:val="21"/>
              </w:rPr>
            </w:pPr>
          </w:p>
        </w:tc>
      </w:tr>
    </w:tbl>
    <w:p>
      <w:pPr>
        <w:rPr>
          <w:rFonts w:asciiTheme="minorEastAsia" w:hAnsiTheme="minorEastAsia" w:cstheme="minorEastAsia"/>
          <w:bCs/>
          <w:color w:val="auto"/>
          <w:szCs w:val="21"/>
        </w:rPr>
      </w:pPr>
    </w:p>
    <w:p>
      <w:pPr>
        <w:rPr>
          <w:rFonts w:asciiTheme="minorEastAsia" w:hAnsiTheme="minorEastAsia" w:cstheme="minorEastAsia"/>
          <w:bCs/>
          <w:color w:val="auto"/>
          <w:szCs w:val="21"/>
        </w:rPr>
      </w:pPr>
    </w:p>
    <w:p>
      <w:pPr>
        <w:rPr>
          <w:rFonts w:asciiTheme="minorEastAsia" w:hAnsiTheme="minorEastAsia" w:cstheme="minorEastAsia"/>
          <w:bCs/>
          <w:color w:val="auto"/>
          <w:szCs w:val="21"/>
        </w:rPr>
      </w:pPr>
    </w:p>
    <w:p>
      <w:pPr>
        <w:rPr>
          <w:rFonts w:asciiTheme="minorEastAsia" w:hAnsiTheme="minorEastAsia" w:cstheme="minorEastAsia"/>
          <w:bCs/>
          <w:color w:val="auto"/>
          <w:szCs w:val="21"/>
        </w:rPr>
      </w:pPr>
    </w:p>
    <w:p>
      <w:pPr>
        <w:rPr>
          <w:rFonts w:asciiTheme="minorEastAsia" w:hAnsiTheme="minorEastAsia" w:cstheme="minorEastAsia"/>
          <w:bCs/>
          <w:color w:val="auto"/>
          <w:szCs w:val="21"/>
        </w:rPr>
        <w:sectPr>
          <w:pgSz w:w="11906" w:h="16838"/>
          <w:pgMar w:top="1417" w:right="1191" w:bottom="1474" w:left="1474" w:header="0" w:footer="992" w:gutter="0"/>
          <w:pgBorders>
            <w:top w:val="none" w:sz="0" w:space="0"/>
            <w:left w:val="none" w:sz="0" w:space="0"/>
            <w:bottom w:val="none" w:sz="0" w:space="0"/>
            <w:right w:val="none" w:sz="0" w:space="0"/>
          </w:pgBorders>
          <w:pgNumType w:fmt="decimal"/>
          <w:cols w:space="0" w:num="1"/>
          <w:docGrid w:type="lines" w:linePitch="312" w:charSpace="0"/>
        </w:sectPr>
      </w:pPr>
    </w:p>
    <w:p>
      <w:pPr>
        <w:rPr>
          <w:rFonts w:ascii="黑体" w:hAnsi="黑体" w:eastAsia="黑体" w:cs="黑体"/>
          <w:bCs/>
          <w:color w:val="auto"/>
          <w:sz w:val="24"/>
          <w:szCs w:val="24"/>
        </w:rPr>
      </w:pPr>
      <w:r>
        <w:rPr>
          <w:rFonts w:hint="eastAsia" w:ascii="黑体" w:hAnsi="黑体" w:eastAsia="黑体" w:cs="黑体"/>
          <w:bCs/>
          <w:color w:val="auto"/>
          <w:sz w:val="24"/>
          <w:szCs w:val="24"/>
        </w:rPr>
        <w:t>附件</w:t>
      </w:r>
      <w:r>
        <w:rPr>
          <w:rFonts w:hint="eastAsia" w:ascii="黑体" w:hAnsi="黑体" w:eastAsia="黑体" w:cs="黑体"/>
          <w:bCs/>
          <w:color w:val="auto"/>
          <w:sz w:val="24"/>
          <w:szCs w:val="24"/>
          <w:lang w:val="en-US" w:eastAsia="zh-CN"/>
        </w:rPr>
        <w:t>7</w:t>
      </w:r>
      <w:r>
        <w:rPr>
          <w:rFonts w:hint="eastAsia" w:ascii="黑体" w:hAnsi="黑体" w:eastAsia="黑体" w:cs="黑体"/>
          <w:bCs/>
          <w:color w:val="auto"/>
          <w:sz w:val="24"/>
          <w:szCs w:val="24"/>
        </w:rPr>
        <w:t>：（YYH-SOP-CTC-022-3.</w:t>
      </w:r>
      <w:r>
        <w:rPr>
          <w:rFonts w:hint="eastAsia" w:ascii="黑体" w:hAnsi="黑体" w:eastAsia="黑体" w:cs="黑体"/>
          <w:bCs/>
          <w:color w:val="auto"/>
          <w:sz w:val="24"/>
          <w:szCs w:val="24"/>
          <w:lang w:val="en-US" w:eastAsia="zh-CN"/>
        </w:rPr>
        <w:t>2</w:t>
      </w:r>
      <w:r>
        <w:rPr>
          <w:rFonts w:hint="eastAsia" w:ascii="黑体" w:hAnsi="黑体" w:eastAsia="黑体" w:cs="黑体"/>
          <w:bCs/>
          <w:color w:val="auto"/>
          <w:sz w:val="24"/>
          <w:szCs w:val="24"/>
        </w:rPr>
        <w:t>-A0</w:t>
      </w:r>
      <w:r>
        <w:rPr>
          <w:rFonts w:hint="eastAsia" w:ascii="黑体" w:hAnsi="黑体" w:eastAsia="黑体" w:cs="黑体"/>
          <w:bCs/>
          <w:color w:val="auto"/>
          <w:sz w:val="24"/>
          <w:szCs w:val="24"/>
          <w:lang w:val="en-US" w:eastAsia="zh-CN"/>
        </w:rPr>
        <w:t>7</w:t>
      </w:r>
      <w:r>
        <w:rPr>
          <w:rFonts w:hint="eastAsia" w:ascii="黑体" w:hAnsi="黑体" w:eastAsia="黑体" w:cs="黑体"/>
          <w:bCs/>
          <w:color w:val="auto"/>
          <w:sz w:val="24"/>
          <w:szCs w:val="24"/>
        </w:rPr>
        <w:t>）：药物临床试验项目资料归档登记表</w:t>
      </w:r>
    </w:p>
    <w:tbl>
      <w:tblPr>
        <w:tblStyle w:val="28"/>
        <w:tblpPr w:leftFromText="180" w:rightFromText="180" w:vertAnchor="text" w:horzAnchor="page" w:tblpXSpec="center" w:tblpY="198"/>
        <w:tblOverlap w:val="never"/>
        <w:tblW w:w="14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000"/>
        <w:gridCol w:w="1076"/>
        <w:gridCol w:w="1137"/>
        <w:gridCol w:w="1136"/>
        <w:gridCol w:w="682"/>
        <w:gridCol w:w="667"/>
        <w:gridCol w:w="1121"/>
        <w:gridCol w:w="1531"/>
        <w:gridCol w:w="1137"/>
        <w:gridCol w:w="985"/>
        <w:gridCol w:w="576"/>
        <w:gridCol w:w="530"/>
        <w:gridCol w:w="474"/>
        <w:gridCol w:w="572"/>
        <w:gridCol w:w="1218"/>
      </w:tblGrid>
      <w:tr>
        <w:tblPrEx>
          <w:tblCellMar>
            <w:top w:w="0" w:type="dxa"/>
            <w:left w:w="108" w:type="dxa"/>
            <w:bottom w:w="0" w:type="dxa"/>
            <w:right w:w="108" w:type="dxa"/>
          </w:tblCellMar>
        </w:tblPrEx>
        <w:trPr>
          <w:trHeight w:val="1322" w:hRule="atLeast"/>
          <w:jc w:val="center"/>
        </w:trPr>
        <w:tc>
          <w:tcPr>
            <w:tcW w:w="643"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序号</w:t>
            </w:r>
          </w:p>
        </w:tc>
        <w:tc>
          <w:tcPr>
            <w:tcW w:w="1000"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归档时间</w:t>
            </w:r>
          </w:p>
        </w:tc>
        <w:tc>
          <w:tcPr>
            <w:tcW w:w="1076"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归档编号</w:t>
            </w:r>
          </w:p>
        </w:tc>
        <w:tc>
          <w:tcPr>
            <w:tcW w:w="1137"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药物名称</w:t>
            </w:r>
          </w:p>
        </w:tc>
        <w:tc>
          <w:tcPr>
            <w:tcW w:w="1136" w:type="dxa"/>
            <w:vAlign w:val="center"/>
          </w:tcPr>
          <w:p>
            <w:pPr>
              <w:jc w:val="center"/>
              <w:rPr>
                <w:rFonts w:hint="default" w:asciiTheme="minorEastAsia" w:hAnsiTheme="minorEastAsia" w:eastAsiaTheme="minorEastAsia" w:cstheme="minorEastAsia"/>
                <w:bCs/>
                <w:color w:val="auto"/>
                <w:sz w:val="18"/>
                <w:szCs w:val="18"/>
                <w:lang w:val="en-US" w:eastAsia="zh-CN"/>
              </w:rPr>
            </w:pPr>
            <w:r>
              <w:rPr>
                <w:rFonts w:hint="eastAsia" w:asciiTheme="minorEastAsia" w:hAnsiTheme="minorEastAsia" w:cstheme="minorEastAsia"/>
                <w:bCs/>
                <w:color w:val="auto"/>
                <w:sz w:val="18"/>
                <w:szCs w:val="18"/>
              </w:rPr>
              <w:t>国家局批件号</w:t>
            </w:r>
            <w:r>
              <w:rPr>
                <w:rFonts w:hint="eastAsia" w:asciiTheme="minorEastAsia" w:hAnsiTheme="minorEastAsia" w:cstheme="minorEastAsia"/>
                <w:bCs/>
                <w:color w:val="auto"/>
                <w:sz w:val="18"/>
                <w:szCs w:val="18"/>
                <w:lang w:val="en-US" w:eastAsia="zh-CN"/>
              </w:rPr>
              <w:t>/临床试验备案号</w:t>
            </w:r>
          </w:p>
        </w:tc>
        <w:tc>
          <w:tcPr>
            <w:tcW w:w="682"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注册分类</w:t>
            </w:r>
          </w:p>
        </w:tc>
        <w:tc>
          <w:tcPr>
            <w:tcW w:w="667"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试验分期</w:t>
            </w:r>
          </w:p>
        </w:tc>
        <w:tc>
          <w:tcPr>
            <w:tcW w:w="1121"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注册申请人</w:t>
            </w:r>
          </w:p>
        </w:tc>
        <w:tc>
          <w:tcPr>
            <w:tcW w:w="1531"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组长单位</w:t>
            </w:r>
          </w:p>
        </w:tc>
        <w:tc>
          <w:tcPr>
            <w:tcW w:w="1137"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参加科室</w:t>
            </w:r>
          </w:p>
        </w:tc>
        <w:tc>
          <w:tcPr>
            <w:tcW w:w="985"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主要研究者</w:t>
            </w:r>
          </w:p>
        </w:tc>
        <w:tc>
          <w:tcPr>
            <w:tcW w:w="576"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筛选病例</w:t>
            </w:r>
          </w:p>
        </w:tc>
        <w:tc>
          <w:tcPr>
            <w:tcW w:w="530"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脱落病例</w:t>
            </w:r>
          </w:p>
        </w:tc>
        <w:tc>
          <w:tcPr>
            <w:tcW w:w="474"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有效病例</w:t>
            </w:r>
          </w:p>
        </w:tc>
        <w:tc>
          <w:tcPr>
            <w:tcW w:w="572"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SAE例数</w:t>
            </w:r>
          </w:p>
        </w:tc>
        <w:tc>
          <w:tcPr>
            <w:tcW w:w="1218"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存放位置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43"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1136" w:type="dxa"/>
          </w:tcPr>
          <w:p>
            <w:pPr>
              <w:jc w:val="center"/>
              <w:rPr>
                <w:rFonts w:asciiTheme="minorEastAsia" w:hAnsiTheme="minorEastAsia" w:cstheme="minorEastAsia"/>
                <w:bCs/>
                <w:color w:val="auto"/>
                <w:sz w:val="18"/>
                <w:szCs w:val="18"/>
              </w:rPr>
            </w:pPr>
          </w:p>
        </w:tc>
        <w:tc>
          <w:tcPr>
            <w:tcW w:w="682" w:type="dxa"/>
          </w:tcPr>
          <w:p>
            <w:pPr>
              <w:jc w:val="center"/>
              <w:rPr>
                <w:rFonts w:asciiTheme="minorEastAsia" w:hAnsiTheme="minorEastAsia" w:cstheme="minorEastAsia"/>
                <w:bCs/>
                <w:color w:val="auto"/>
                <w:sz w:val="18"/>
                <w:szCs w:val="18"/>
              </w:rPr>
            </w:pPr>
          </w:p>
        </w:tc>
        <w:tc>
          <w:tcPr>
            <w:tcW w:w="667" w:type="dxa"/>
          </w:tcPr>
          <w:p>
            <w:pPr>
              <w:jc w:val="center"/>
              <w:rPr>
                <w:rFonts w:asciiTheme="minorEastAsia" w:hAnsiTheme="minorEastAsia" w:cstheme="minorEastAsia"/>
                <w:bCs/>
                <w:color w:val="auto"/>
                <w:sz w:val="18"/>
                <w:szCs w:val="18"/>
              </w:rPr>
            </w:pPr>
          </w:p>
        </w:tc>
        <w:tc>
          <w:tcPr>
            <w:tcW w:w="1121"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bl>
    <w:p>
      <w:pPr>
        <w:spacing w:line="480" w:lineRule="auto"/>
        <w:rPr>
          <w:rFonts w:ascii="黑体" w:hAnsi="黑体" w:eastAsia="黑体" w:cs="黑体"/>
          <w:b/>
          <w:color w:val="auto"/>
          <w:sz w:val="28"/>
          <w:szCs w:val="28"/>
        </w:rPr>
      </w:pPr>
    </w:p>
    <w:p>
      <w:pPr>
        <w:rPr>
          <w:rFonts w:hint="eastAsia" w:ascii="黑体" w:hAnsi="黑体" w:eastAsia="黑体" w:cs="黑体"/>
          <w:bCs/>
          <w:color w:val="auto"/>
          <w:sz w:val="24"/>
          <w:szCs w:val="24"/>
        </w:rPr>
      </w:pPr>
    </w:p>
    <w:p>
      <w:pPr>
        <w:rPr>
          <w:rFonts w:ascii="黑体" w:hAnsi="黑体" w:eastAsia="黑体" w:cs="黑体"/>
          <w:bCs/>
          <w:color w:val="auto"/>
          <w:sz w:val="24"/>
          <w:szCs w:val="24"/>
        </w:rPr>
      </w:pPr>
      <w:r>
        <w:rPr>
          <w:rFonts w:hint="eastAsia" w:ascii="黑体" w:hAnsi="黑体" w:eastAsia="黑体" w:cs="黑体"/>
          <w:bCs/>
          <w:color w:val="auto"/>
          <w:sz w:val="24"/>
          <w:szCs w:val="24"/>
        </w:rPr>
        <w:t>附件</w:t>
      </w:r>
      <w:r>
        <w:rPr>
          <w:rFonts w:hint="eastAsia" w:ascii="黑体" w:hAnsi="黑体" w:eastAsia="黑体" w:cs="黑体"/>
          <w:bCs/>
          <w:color w:val="auto"/>
          <w:sz w:val="24"/>
          <w:szCs w:val="24"/>
          <w:lang w:val="en-US" w:eastAsia="zh-CN"/>
        </w:rPr>
        <w:t>8</w:t>
      </w:r>
      <w:r>
        <w:rPr>
          <w:rFonts w:hint="eastAsia" w:ascii="黑体" w:hAnsi="黑体" w:eastAsia="黑体" w:cs="黑体"/>
          <w:bCs/>
          <w:color w:val="auto"/>
          <w:sz w:val="24"/>
          <w:szCs w:val="24"/>
        </w:rPr>
        <w:t>：（YYH-SOP-CTC-022-3.</w:t>
      </w:r>
      <w:r>
        <w:rPr>
          <w:rFonts w:hint="eastAsia" w:ascii="黑体" w:hAnsi="黑体" w:eastAsia="黑体" w:cs="黑体"/>
          <w:bCs/>
          <w:color w:val="auto"/>
          <w:sz w:val="24"/>
          <w:szCs w:val="24"/>
          <w:lang w:val="en-US" w:eastAsia="zh-CN"/>
        </w:rPr>
        <w:t>2</w:t>
      </w:r>
      <w:r>
        <w:rPr>
          <w:rFonts w:hint="eastAsia" w:ascii="黑体" w:hAnsi="黑体" w:eastAsia="黑体" w:cs="黑体"/>
          <w:bCs/>
          <w:color w:val="auto"/>
          <w:sz w:val="24"/>
          <w:szCs w:val="24"/>
        </w:rPr>
        <w:t>-A0</w:t>
      </w:r>
      <w:r>
        <w:rPr>
          <w:rFonts w:hint="eastAsia" w:ascii="黑体" w:hAnsi="黑体" w:eastAsia="黑体" w:cs="黑体"/>
          <w:bCs/>
          <w:color w:val="auto"/>
          <w:sz w:val="24"/>
          <w:szCs w:val="24"/>
          <w:lang w:val="en-US" w:eastAsia="zh-CN"/>
        </w:rPr>
        <w:t>8</w:t>
      </w:r>
      <w:r>
        <w:rPr>
          <w:rFonts w:hint="eastAsia" w:ascii="黑体" w:hAnsi="黑体" w:eastAsia="黑体" w:cs="黑体"/>
          <w:bCs/>
          <w:color w:val="auto"/>
          <w:sz w:val="24"/>
          <w:szCs w:val="24"/>
        </w:rPr>
        <w:t>）：</w:t>
      </w:r>
      <w:r>
        <w:rPr>
          <w:rFonts w:hint="eastAsia" w:ascii="黑体" w:hAnsi="黑体" w:eastAsia="黑体" w:cs="黑体"/>
          <w:bCs/>
          <w:color w:val="auto"/>
          <w:sz w:val="24"/>
          <w:szCs w:val="24"/>
          <w:lang w:val="en-US" w:eastAsia="zh-CN"/>
        </w:rPr>
        <w:t>医疗器械</w:t>
      </w:r>
      <w:r>
        <w:rPr>
          <w:rFonts w:hint="eastAsia" w:ascii="黑体" w:hAnsi="黑体" w:eastAsia="黑体" w:cs="黑体"/>
          <w:bCs/>
          <w:color w:val="auto"/>
          <w:sz w:val="24"/>
          <w:szCs w:val="24"/>
        </w:rPr>
        <w:t>临床试验项目资料归档登记表</w:t>
      </w:r>
    </w:p>
    <w:tbl>
      <w:tblPr>
        <w:tblStyle w:val="28"/>
        <w:tblpPr w:leftFromText="180" w:rightFromText="180" w:vertAnchor="text" w:horzAnchor="page" w:tblpXSpec="center" w:tblpY="198"/>
        <w:tblOverlap w:val="never"/>
        <w:tblW w:w="13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000"/>
        <w:gridCol w:w="1076"/>
        <w:gridCol w:w="1137"/>
        <w:gridCol w:w="712"/>
        <w:gridCol w:w="1249"/>
        <w:gridCol w:w="978"/>
        <w:gridCol w:w="1531"/>
        <w:gridCol w:w="1137"/>
        <w:gridCol w:w="985"/>
        <w:gridCol w:w="576"/>
        <w:gridCol w:w="530"/>
        <w:gridCol w:w="474"/>
        <w:gridCol w:w="572"/>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712"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序号</w:t>
            </w:r>
          </w:p>
        </w:tc>
        <w:tc>
          <w:tcPr>
            <w:tcW w:w="1000"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归档时间</w:t>
            </w:r>
          </w:p>
        </w:tc>
        <w:tc>
          <w:tcPr>
            <w:tcW w:w="1076"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归档编号</w:t>
            </w:r>
          </w:p>
        </w:tc>
        <w:tc>
          <w:tcPr>
            <w:tcW w:w="1137"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医疗器械名称</w:t>
            </w:r>
          </w:p>
        </w:tc>
        <w:tc>
          <w:tcPr>
            <w:tcW w:w="712" w:type="dxa"/>
            <w:vAlign w:val="center"/>
          </w:tcPr>
          <w:p>
            <w:pPr>
              <w:jc w:val="center"/>
              <w:rPr>
                <w:rFonts w:hint="default" w:asciiTheme="minorEastAsia" w:hAnsiTheme="minorEastAsia" w:eastAsiaTheme="minorEastAsia" w:cstheme="minorEastAsia"/>
                <w:bCs/>
                <w:color w:val="auto"/>
                <w:sz w:val="18"/>
                <w:szCs w:val="18"/>
                <w:lang w:val="en-US" w:eastAsia="zh-CN"/>
              </w:rPr>
            </w:pPr>
            <w:r>
              <w:rPr>
                <w:rFonts w:hint="eastAsia" w:asciiTheme="minorEastAsia" w:hAnsiTheme="minorEastAsia" w:cstheme="minorEastAsia"/>
                <w:bCs/>
                <w:color w:val="auto"/>
                <w:sz w:val="18"/>
                <w:szCs w:val="18"/>
              </w:rPr>
              <w:t>注册分类</w:t>
            </w:r>
          </w:p>
        </w:tc>
        <w:tc>
          <w:tcPr>
            <w:tcW w:w="1249"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国家局批件号</w:t>
            </w:r>
            <w:r>
              <w:rPr>
                <w:rFonts w:hint="eastAsia" w:asciiTheme="minorEastAsia" w:hAnsiTheme="minorEastAsia" w:cstheme="minorEastAsia"/>
                <w:bCs/>
                <w:color w:val="auto"/>
                <w:sz w:val="18"/>
                <w:szCs w:val="18"/>
                <w:lang w:val="en-US" w:eastAsia="zh-CN"/>
              </w:rPr>
              <w:t>/临床试验备案号</w:t>
            </w:r>
          </w:p>
        </w:tc>
        <w:tc>
          <w:tcPr>
            <w:tcW w:w="978"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注册申请人</w:t>
            </w:r>
          </w:p>
        </w:tc>
        <w:tc>
          <w:tcPr>
            <w:tcW w:w="1531"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组长单位</w:t>
            </w:r>
          </w:p>
        </w:tc>
        <w:tc>
          <w:tcPr>
            <w:tcW w:w="1137"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参加科室</w:t>
            </w:r>
          </w:p>
        </w:tc>
        <w:tc>
          <w:tcPr>
            <w:tcW w:w="985"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主要研究者</w:t>
            </w:r>
          </w:p>
        </w:tc>
        <w:tc>
          <w:tcPr>
            <w:tcW w:w="576"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筛选病例</w:t>
            </w:r>
          </w:p>
        </w:tc>
        <w:tc>
          <w:tcPr>
            <w:tcW w:w="530"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脱落病例</w:t>
            </w:r>
          </w:p>
        </w:tc>
        <w:tc>
          <w:tcPr>
            <w:tcW w:w="474"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有效病例</w:t>
            </w:r>
          </w:p>
        </w:tc>
        <w:tc>
          <w:tcPr>
            <w:tcW w:w="572"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SAE例数</w:t>
            </w:r>
          </w:p>
        </w:tc>
        <w:tc>
          <w:tcPr>
            <w:tcW w:w="1218" w:type="dxa"/>
            <w:vAlign w:val="center"/>
          </w:tcPr>
          <w:p>
            <w:pPr>
              <w:jc w:val="center"/>
              <w:rPr>
                <w:rFonts w:asciiTheme="minorEastAsia" w:hAnsiTheme="minorEastAsia" w:cstheme="minorEastAsia"/>
                <w:bCs/>
                <w:color w:val="auto"/>
                <w:sz w:val="18"/>
                <w:szCs w:val="18"/>
              </w:rPr>
            </w:pPr>
            <w:r>
              <w:rPr>
                <w:rFonts w:hint="eastAsia" w:asciiTheme="minorEastAsia" w:hAnsiTheme="minorEastAsia" w:cstheme="minorEastAsia"/>
                <w:bCs/>
                <w:color w:val="auto"/>
                <w:sz w:val="18"/>
                <w:szCs w:val="18"/>
              </w:rPr>
              <w:t>存放位置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12" w:type="dxa"/>
          </w:tcPr>
          <w:p>
            <w:pPr>
              <w:jc w:val="center"/>
              <w:rPr>
                <w:rFonts w:asciiTheme="minorEastAsia" w:hAnsiTheme="minorEastAsia" w:cstheme="minorEastAsia"/>
                <w:bCs/>
                <w:color w:val="auto"/>
                <w:sz w:val="18"/>
                <w:szCs w:val="18"/>
              </w:rPr>
            </w:pPr>
          </w:p>
        </w:tc>
        <w:tc>
          <w:tcPr>
            <w:tcW w:w="1000" w:type="dxa"/>
          </w:tcPr>
          <w:p>
            <w:pPr>
              <w:jc w:val="center"/>
              <w:rPr>
                <w:rFonts w:asciiTheme="minorEastAsia" w:hAnsiTheme="minorEastAsia" w:cstheme="minorEastAsia"/>
                <w:bCs/>
                <w:color w:val="auto"/>
                <w:sz w:val="18"/>
                <w:szCs w:val="18"/>
              </w:rPr>
            </w:pPr>
          </w:p>
        </w:tc>
        <w:tc>
          <w:tcPr>
            <w:tcW w:w="1076"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712" w:type="dxa"/>
          </w:tcPr>
          <w:p>
            <w:pPr>
              <w:jc w:val="center"/>
              <w:rPr>
                <w:rFonts w:asciiTheme="minorEastAsia" w:hAnsiTheme="minorEastAsia" w:cstheme="minorEastAsia"/>
                <w:bCs/>
                <w:color w:val="auto"/>
                <w:sz w:val="18"/>
                <w:szCs w:val="18"/>
              </w:rPr>
            </w:pPr>
          </w:p>
        </w:tc>
        <w:tc>
          <w:tcPr>
            <w:tcW w:w="1249" w:type="dxa"/>
          </w:tcPr>
          <w:p>
            <w:pPr>
              <w:jc w:val="center"/>
              <w:rPr>
                <w:rFonts w:asciiTheme="minorEastAsia" w:hAnsiTheme="minorEastAsia" w:cstheme="minorEastAsia"/>
                <w:bCs/>
                <w:color w:val="auto"/>
                <w:sz w:val="18"/>
                <w:szCs w:val="18"/>
              </w:rPr>
            </w:pPr>
          </w:p>
        </w:tc>
        <w:tc>
          <w:tcPr>
            <w:tcW w:w="978" w:type="dxa"/>
          </w:tcPr>
          <w:p>
            <w:pPr>
              <w:jc w:val="center"/>
              <w:rPr>
                <w:rFonts w:asciiTheme="minorEastAsia" w:hAnsiTheme="minorEastAsia" w:cstheme="minorEastAsia"/>
                <w:bCs/>
                <w:color w:val="auto"/>
                <w:sz w:val="18"/>
                <w:szCs w:val="18"/>
              </w:rPr>
            </w:pPr>
          </w:p>
        </w:tc>
        <w:tc>
          <w:tcPr>
            <w:tcW w:w="1531" w:type="dxa"/>
          </w:tcPr>
          <w:p>
            <w:pPr>
              <w:jc w:val="center"/>
              <w:rPr>
                <w:rFonts w:asciiTheme="minorEastAsia" w:hAnsiTheme="minorEastAsia" w:cstheme="minorEastAsia"/>
                <w:bCs/>
                <w:color w:val="auto"/>
                <w:sz w:val="18"/>
                <w:szCs w:val="18"/>
              </w:rPr>
            </w:pPr>
          </w:p>
        </w:tc>
        <w:tc>
          <w:tcPr>
            <w:tcW w:w="1137" w:type="dxa"/>
          </w:tcPr>
          <w:p>
            <w:pPr>
              <w:jc w:val="center"/>
              <w:rPr>
                <w:rFonts w:asciiTheme="minorEastAsia" w:hAnsiTheme="minorEastAsia" w:cstheme="minorEastAsia"/>
                <w:bCs/>
                <w:color w:val="auto"/>
                <w:sz w:val="18"/>
                <w:szCs w:val="18"/>
              </w:rPr>
            </w:pPr>
          </w:p>
        </w:tc>
        <w:tc>
          <w:tcPr>
            <w:tcW w:w="985" w:type="dxa"/>
          </w:tcPr>
          <w:p>
            <w:pPr>
              <w:jc w:val="center"/>
              <w:rPr>
                <w:rFonts w:asciiTheme="minorEastAsia" w:hAnsiTheme="minorEastAsia" w:cstheme="minorEastAsia"/>
                <w:bCs/>
                <w:color w:val="auto"/>
                <w:sz w:val="18"/>
                <w:szCs w:val="18"/>
              </w:rPr>
            </w:pPr>
          </w:p>
        </w:tc>
        <w:tc>
          <w:tcPr>
            <w:tcW w:w="576" w:type="dxa"/>
          </w:tcPr>
          <w:p>
            <w:pPr>
              <w:jc w:val="center"/>
              <w:rPr>
                <w:rFonts w:asciiTheme="minorEastAsia" w:hAnsiTheme="minorEastAsia" w:cstheme="minorEastAsia"/>
                <w:bCs/>
                <w:color w:val="auto"/>
                <w:sz w:val="18"/>
                <w:szCs w:val="18"/>
              </w:rPr>
            </w:pPr>
          </w:p>
        </w:tc>
        <w:tc>
          <w:tcPr>
            <w:tcW w:w="530" w:type="dxa"/>
          </w:tcPr>
          <w:p>
            <w:pPr>
              <w:jc w:val="center"/>
              <w:rPr>
                <w:rFonts w:asciiTheme="minorEastAsia" w:hAnsiTheme="minorEastAsia" w:cstheme="minorEastAsia"/>
                <w:bCs/>
                <w:color w:val="auto"/>
                <w:sz w:val="18"/>
                <w:szCs w:val="18"/>
              </w:rPr>
            </w:pPr>
          </w:p>
        </w:tc>
        <w:tc>
          <w:tcPr>
            <w:tcW w:w="474" w:type="dxa"/>
          </w:tcPr>
          <w:p>
            <w:pPr>
              <w:jc w:val="center"/>
              <w:rPr>
                <w:rFonts w:asciiTheme="minorEastAsia" w:hAnsiTheme="minorEastAsia" w:cstheme="minorEastAsia"/>
                <w:bCs/>
                <w:color w:val="auto"/>
                <w:sz w:val="18"/>
                <w:szCs w:val="18"/>
              </w:rPr>
            </w:pPr>
          </w:p>
        </w:tc>
        <w:tc>
          <w:tcPr>
            <w:tcW w:w="572" w:type="dxa"/>
          </w:tcPr>
          <w:p>
            <w:pPr>
              <w:jc w:val="center"/>
              <w:rPr>
                <w:rFonts w:asciiTheme="minorEastAsia" w:hAnsiTheme="minorEastAsia" w:cstheme="minorEastAsia"/>
                <w:bCs/>
                <w:color w:val="auto"/>
                <w:sz w:val="18"/>
                <w:szCs w:val="18"/>
              </w:rPr>
            </w:pPr>
          </w:p>
        </w:tc>
        <w:tc>
          <w:tcPr>
            <w:tcW w:w="1218" w:type="dxa"/>
          </w:tcPr>
          <w:p>
            <w:pPr>
              <w:jc w:val="center"/>
              <w:rPr>
                <w:rFonts w:asciiTheme="minorEastAsia" w:hAnsiTheme="minorEastAsia" w:cstheme="minorEastAsia"/>
                <w:bCs/>
                <w:color w:val="auto"/>
                <w:sz w:val="18"/>
                <w:szCs w:val="18"/>
              </w:rPr>
            </w:pPr>
          </w:p>
        </w:tc>
      </w:tr>
    </w:tbl>
    <w:p>
      <w:pPr>
        <w:spacing w:line="480" w:lineRule="auto"/>
        <w:rPr>
          <w:rFonts w:ascii="黑体" w:hAnsi="黑体" w:eastAsia="黑体" w:cs="黑体"/>
          <w:b/>
          <w:color w:val="auto"/>
          <w:sz w:val="28"/>
          <w:szCs w:val="28"/>
        </w:rPr>
      </w:pPr>
    </w:p>
    <w:p>
      <w:pPr>
        <w:rPr>
          <w:rFonts w:hint="eastAsia" w:ascii="黑体" w:hAnsi="黑体" w:eastAsia="黑体" w:cs="黑体"/>
          <w:bCs/>
          <w:color w:val="auto"/>
          <w:sz w:val="24"/>
          <w:szCs w:val="24"/>
        </w:rPr>
      </w:pPr>
    </w:p>
    <w:p>
      <w:pPr>
        <w:rPr>
          <w:rFonts w:ascii="黑体" w:hAnsi="黑体" w:eastAsia="黑体" w:cs="黑体"/>
          <w:bCs/>
          <w:color w:val="auto"/>
          <w:sz w:val="24"/>
          <w:szCs w:val="24"/>
        </w:rPr>
      </w:pPr>
      <w:r>
        <w:rPr>
          <w:rFonts w:hint="eastAsia" w:ascii="黑体" w:hAnsi="黑体" w:eastAsia="黑体" w:cs="黑体"/>
          <w:bCs/>
          <w:color w:val="auto"/>
          <w:sz w:val="24"/>
          <w:szCs w:val="24"/>
        </w:rPr>
        <w:t>附件</w:t>
      </w:r>
      <w:r>
        <w:rPr>
          <w:rFonts w:hint="eastAsia" w:ascii="黑体" w:hAnsi="黑体" w:eastAsia="黑体" w:cs="黑体"/>
          <w:bCs/>
          <w:color w:val="auto"/>
          <w:sz w:val="24"/>
          <w:szCs w:val="24"/>
          <w:lang w:val="en-US" w:eastAsia="zh-CN"/>
        </w:rPr>
        <w:t>9</w:t>
      </w:r>
      <w:r>
        <w:rPr>
          <w:rFonts w:hint="eastAsia" w:ascii="黑体" w:hAnsi="黑体" w:eastAsia="黑体" w:cs="黑体"/>
          <w:bCs/>
          <w:color w:val="auto"/>
          <w:sz w:val="24"/>
          <w:szCs w:val="24"/>
        </w:rPr>
        <w:t>：（YYH-SOP-CTC-022-3.</w:t>
      </w:r>
      <w:r>
        <w:rPr>
          <w:rFonts w:hint="eastAsia" w:ascii="黑体" w:hAnsi="黑体" w:eastAsia="黑体" w:cs="黑体"/>
          <w:bCs/>
          <w:color w:val="auto"/>
          <w:sz w:val="24"/>
          <w:szCs w:val="24"/>
          <w:lang w:val="en-US" w:eastAsia="zh-CN"/>
        </w:rPr>
        <w:t>2</w:t>
      </w:r>
      <w:r>
        <w:rPr>
          <w:rFonts w:hint="eastAsia" w:ascii="黑体" w:hAnsi="黑体" w:eastAsia="黑体" w:cs="黑体"/>
          <w:bCs/>
          <w:color w:val="auto"/>
          <w:sz w:val="24"/>
          <w:szCs w:val="24"/>
        </w:rPr>
        <w:t>-A0</w:t>
      </w:r>
      <w:r>
        <w:rPr>
          <w:rFonts w:hint="eastAsia" w:ascii="黑体" w:hAnsi="黑体" w:eastAsia="黑体" w:cs="黑体"/>
          <w:bCs/>
          <w:color w:val="auto"/>
          <w:sz w:val="24"/>
          <w:szCs w:val="24"/>
          <w:lang w:val="en-US" w:eastAsia="zh-CN"/>
        </w:rPr>
        <w:t>9</w:t>
      </w:r>
      <w:r>
        <w:rPr>
          <w:rFonts w:hint="eastAsia" w:ascii="黑体" w:hAnsi="黑体" w:eastAsia="黑体" w:cs="黑体"/>
          <w:bCs/>
          <w:color w:val="auto"/>
          <w:sz w:val="24"/>
          <w:szCs w:val="24"/>
        </w:rPr>
        <w:t>）：档案室资料查阅登记表</w:t>
      </w:r>
    </w:p>
    <w:tbl>
      <w:tblPr>
        <w:tblStyle w:val="28"/>
        <w:tblpPr w:leftFromText="180" w:rightFromText="180" w:vertAnchor="text" w:horzAnchor="page" w:tblpX="981" w:tblpY="582"/>
        <w:tblOverlap w:val="never"/>
        <w:tblW w:w="14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367"/>
        <w:gridCol w:w="3298"/>
        <w:gridCol w:w="2115"/>
        <w:gridCol w:w="1380"/>
        <w:gridCol w:w="1500"/>
        <w:gridCol w:w="2342"/>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86" w:type="dxa"/>
            <w:vAlign w:val="center"/>
          </w:tcPr>
          <w:p>
            <w:pPr>
              <w:jc w:val="center"/>
              <w:rPr>
                <w:rFonts w:asciiTheme="minorEastAsia" w:hAnsiTheme="minorEastAsia" w:cstheme="minorEastAsia"/>
                <w:b/>
                <w:color w:val="auto"/>
                <w:szCs w:val="21"/>
              </w:rPr>
            </w:pPr>
            <w:r>
              <w:rPr>
                <w:rFonts w:hint="eastAsia" w:asciiTheme="minorEastAsia" w:hAnsiTheme="minorEastAsia" w:cstheme="minorEastAsia"/>
                <w:bCs/>
                <w:color w:val="auto"/>
                <w:szCs w:val="21"/>
              </w:rPr>
              <w:t>序号</w:t>
            </w:r>
          </w:p>
        </w:tc>
        <w:tc>
          <w:tcPr>
            <w:tcW w:w="1367"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档案号</w:t>
            </w:r>
          </w:p>
        </w:tc>
        <w:tc>
          <w:tcPr>
            <w:tcW w:w="3298"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档案内容</w:t>
            </w:r>
          </w:p>
        </w:tc>
        <w:tc>
          <w:tcPr>
            <w:tcW w:w="2115"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查阅人</w:t>
            </w:r>
          </w:p>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单位及部门</w:t>
            </w:r>
          </w:p>
        </w:tc>
        <w:tc>
          <w:tcPr>
            <w:tcW w:w="1380"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查阅人</w:t>
            </w:r>
          </w:p>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签名</w:t>
            </w:r>
          </w:p>
        </w:tc>
        <w:tc>
          <w:tcPr>
            <w:tcW w:w="1500"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查阅人</w:t>
            </w:r>
          </w:p>
          <w:p>
            <w:pPr>
              <w:jc w:val="center"/>
              <w:rPr>
                <w:rFonts w:asciiTheme="minorEastAsia" w:hAnsiTheme="minorEastAsia" w:cstheme="minorEastAsia"/>
                <w:b/>
                <w:color w:val="auto"/>
                <w:szCs w:val="21"/>
              </w:rPr>
            </w:pPr>
            <w:r>
              <w:rPr>
                <w:rFonts w:hint="eastAsia" w:asciiTheme="minorEastAsia" w:hAnsiTheme="minorEastAsia" w:cstheme="minorEastAsia"/>
                <w:bCs/>
                <w:color w:val="auto"/>
                <w:szCs w:val="21"/>
              </w:rPr>
              <w:t>手机</w:t>
            </w:r>
          </w:p>
        </w:tc>
        <w:tc>
          <w:tcPr>
            <w:tcW w:w="2342" w:type="dxa"/>
            <w:vAlign w:val="center"/>
          </w:tcPr>
          <w:p>
            <w:pPr>
              <w:ind w:firstLine="420" w:firstLineChars="200"/>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查阅起止时间</w:t>
            </w:r>
          </w:p>
          <w:p>
            <w:pPr>
              <w:ind w:firstLine="420" w:firstLineChars="200"/>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（精确到分钟）</w:t>
            </w:r>
          </w:p>
        </w:tc>
        <w:tc>
          <w:tcPr>
            <w:tcW w:w="1372" w:type="dxa"/>
            <w:vAlign w:val="center"/>
          </w:tcPr>
          <w:p>
            <w:pPr>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档案管理员确认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86" w:type="dxa"/>
          </w:tcPr>
          <w:p>
            <w:pPr>
              <w:jc w:val="center"/>
              <w:rPr>
                <w:rFonts w:asciiTheme="minorEastAsia" w:hAnsiTheme="minorEastAsia" w:cstheme="minorEastAsia"/>
                <w:b/>
                <w:color w:val="auto"/>
                <w:szCs w:val="21"/>
              </w:rPr>
            </w:pPr>
          </w:p>
        </w:tc>
        <w:tc>
          <w:tcPr>
            <w:tcW w:w="1367" w:type="dxa"/>
          </w:tcPr>
          <w:p>
            <w:pPr>
              <w:jc w:val="center"/>
              <w:rPr>
                <w:rFonts w:asciiTheme="minorEastAsia" w:hAnsiTheme="minorEastAsia" w:cstheme="minorEastAsia"/>
                <w:b/>
                <w:color w:val="auto"/>
                <w:szCs w:val="21"/>
              </w:rPr>
            </w:pPr>
          </w:p>
        </w:tc>
        <w:tc>
          <w:tcPr>
            <w:tcW w:w="3298" w:type="dxa"/>
          </w:tcPr>
          <w:p>
            <w:pPr>
              <w:jc w:val="center"/>
              <w:rPr>
                <w:rFonts w:asciiTheme="minorEastAsia" w:hAnsiTheme="minorEastAsia" w:cstheme="minorEastAsia"/>
                <w:b/>
                <w:color w:val="auto"/>
                <w:szCs w:val="21"/>
              </w:rPr>
            </w:pPr>
          </w:p>
        </w:tc>
        <w:tc>
          <w:tcPr>
            <w:tcW w:w="2115" w:type="dxa"/>
          </w:tcPr>
          <w:p>
            <w:pPr>
              <w:jc w:val="center"/>
              <w:rPr>
                <w:rFonts w:asciiTheme="minorEastAsia" w:hAnsiTheme="minorEastAsia" w:cstheme="minorEastAsia"/>
                <w:b/>
                <w:color w:val="auto"/>
                <w:szCs w:val="21"/>
              </w:rPr>
            </w:pPr>
          </w:p>
        </w:tc>
        <w:tc>
          <w:tcPr>
            <w:tcW w:w="1380" w:type="dxa"/>
          </w:tcPr>
          <w:p>
            <w:pPr>
              <w:jc w:val="center"/>
              <w:rPr>
                <w:rFonts w:asciiTheme="minorEastAsia" w:hAnsiTheme="minorEastAsia" w:cstheme="minorEastAsia"/>
                <w:b/>
                <w:color w:val="auto"/>
                <w:szCs w:val="21"/>
              </w:rPr>
            </w:pPr>
          </w:p>
        </w:tc>
        <w:tc>
          <w:tcPr>
            <w:tcW w:w="1500" w:type="dxa"/>
          </w:tcPr>
          <w:p>
            <w:pPr>
              <w:jc w:val="center"/>
              <w:rPr>
                <w:rFonts w:asciiTheme="minorEastAsia" w:hAnsiTheme="minorEastAsia" w:cstheme="minorEastAsia"/>
                <w:b/>
                <w:color w:val="auto"/>
                <w:szCs w:val="21"/>
              </w:rPr>
            </w:pPr>
          </w:p>
        </w:tc>
        <w:tc>
          <w:tcPr>
            <w:tcW w:w="2342" w:type="dxa"/>
          </w:tcPr>
          <w:p>
            <w:pPr>
              <w:jc w:val="center"/>
              <w:rPr>
                <w:rFonts w:asciiTheme="minorEastAsia" w:hAnsiTheme="minorEastAsia" w:cstheme="minorEastAsia"/>
                <w:b/>
                <w:color w:val="auto"/>
                <w:szCs w:val="21"/>
              </w:rPr>
            </w:pPr>
          </w:p>
        </w:tc>
        <w:tc>
          <w:tcPr>
            <w:tcW w:w="1372" w:type="dxa"/>
          </w:tcPr>
          <w:p>
            <w:pPr>
              <w:jc w:val="center"/>
              <w:rPr>
                <w:rFonts w:asciiTheme="minorEastAsia" w:hAnsiTheme="minorEastAsia" w:cstheme="minorEastAsia"/>
                <w:b/>
                <w:color w:val="auto"/>
                <w:szCs w:val="21"/>
              </w:rPr>
            </w:pPr>
          </w:p>
        </w:tc>
      </w:tr>
    </w:tbl>
    <w:p>
      <w:pPr>
        <w:spacing w:line="480" w:lineRule="auto"/>
        <w:rPr>
          <w:rFonts w:ascii="黑体" w:hAnsi="黑体" w:eastAsia="黑体" w:cs="黑体"/>
          <w:b/>
          <w:color w:val="auto"/>
          <w:sz w:val="28"/>
          <w:szCs w:val="28"/>
        </w:rPr>
        <w:sectPr>
          <w:headerReference r:id="rId148" w:type="default"/>
          <w:footerReference r:id="rId149" w:type="default"/>
          <w:pgSz w:w="16838" w:h="11906" w:orient="landscape"/>
          <w:pgMar w:top="1474" w:right="1417" w:bottom="1191" w:left="1474" w:header="0" w:footer="992" w:gutter="0"/>
          <w:pgBorders>
            <w:top w:val="none" w:sz="0" w:space="0"/>
            <w:left w:val="none" w:sz="0" w:space="0"/>
            <w:bottom w:val="none" w:sz="0" w:space="0"/>
            <w:right w:val="none" w:sz="0" w:space="0"/>
          </w:pgBorders>
          <w:pgNumType w:fmt="decimal"/>
          <w:cols w:space="0" w:num="1"/>
          <w:docGrid w:type="lines" w:linePitch="312" w:charSpace="0"/>
        </w:sectPr>
      </w:pPr>
    </w:p>
    <w:p>
      <w:pPr>
        <w:rPr>
          <w:rFonts w:ascii="黑体" w:hAnsi="黑体" w:eastAsia="黑体" w:cs="黑体"/>
          <w:bCs/>
          <w:color w:val="auto"/>
          <w:sz w:val="24"/>
          <w:szCs w:val="24"/>
        </w:rPr>
      </w:pPr>
      <w:r>
        <w:rPr>
          <w:rFonts w:hint="eastAsia" w:ascii="黑体" w:hAnsi="黑体" w:eastAsia="黑体" w:cs="黑体"/>
          <w:bCs/>
          <w:color w:val="auto"/>
          <w:sz w:val="24"/>
          <w:szCs w:val="24"/>
        </w:rPr>
        <w:t>附件</w:t>
      </w:r>
      <w:r>
        <w:rPr>
          <w:rFonts w:hint="eastAsia" w:ascii="黑体" w:hAnsi="黑体" w:eastAsia="黑体" w:cs="黑体"/>
          <w:bCs/>
          <w:color w:val="auto"/>
          <w:sz w:val="24"/>
          <w:szCs w:val="24"/>
          <w:lang w:val="en-US" w:eastAsia="zh-CN"/>
        </w:rPr>
        <w:t>10</w:t>
      </w:r>
      <w:r>
        <w:rPr>
          <w:rFonts w:hint="eastAsia" w:ascii="黑体" w:hAnsi="黑体" w:eastAsia="黑体" w:cs="黑体"/>
          <w:bCs/>
          <w:color w:val="auto"/>
          <w:sz w:val="24"/>
          <w:szCs w:val="24"/>
        </w:rPr>
        <w:t>：（YYH-SOP-CTC-022-3.</w:t>
      </w:r>
      <w:r>
        <w:rPr>
          <w:rFonts w:hint="eastAsia" w:ascii="黑体" w:hAnsi="黑体" w:eastAsia="黑体" w:cs="黑体"/>
          <w:bCs/>
          <w:color w:val="auto"/>
          <w:sz w:val="24"/>
          <w:szCs w:val="24"/>
          <w:lang w:val="en-US" w:eastAsia="zh-CN"/>
        </w:rPr>
        <w:t>2</w:t>
      </w:r>
      <w:r>
        <w:rPr>
          <w:rFonts w:hint="eastAsia" w:ascii="黑体" w:hAnsi="黑体" w:eastAsia="黑体" w:cs="黑体"/>
          <w:bCs/>
          <w:color w:val="auto"/>
          <w:sz w:val="24"/>
          <w:szCs w:val="24"/>
        </w:rPr>
        <w:t>-A</w:t>
      </w:r>
      <w:r>
        <w:rPr>
          <w:rFonts w:hint="eastAsia" w:ascii="黑体" w:hAnsi="黑体" w:eastAsia="黑体" w:cs="黑体"/>
          <w:bCs/>
          <w:color w:val="auto"/>
          <w:sz w:val="24"/>
          <w:szCs w:val="24"/>
          <w:lang w:val="en-US" w:eastAsia="zh-CN"/>
        </w:rPr>
        <w:t>10</w:t>
      </w:r>
      <w:r>
        <w:rPr>
          <w:rFonts w:hint="eastAsia" w:ascii="黑体" w:hAnsi="黑体" w:eastAsia="黑体" w:cs="黑体"/>
          <w:bCs/>
          <w:color w:val="auto"/>
          <w:sz w:val="24"/>
          <w:szCs w:val="24"/>
        </w:rPr>
        <w:t>）：档案室资料查阅申请条</w:t>
      </w:r>
    </w:p>
    <w:p>
      <w:pPr>
        <w:rPr>
          <w:rFonts w:ascii="黑体" w:hAnsi="黑体" w:eastAsia="黑体" w:cs="黑体"/>
          <w:bCs/>
          <w:color w:val="auto"/>
          <w:sz w:val="24"/>
          <w:szCs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heme="minorEastAsia" w:hAnsiTheme="minorEastAsia"/>
          <w:b/>
          <w:bCs/>
          <w:color w:val="auto"/>
          <w:sz w:val="24"/>
          <w:szCs w:val="24"/>
        </w:rPr>
      </w:pPr>
      <w:r>
        <w:rPr>
          <w:rFonts w:hint="eastAsia" w:asciiTheme="minorEastAsia" w:hAnsiTheme="minorEastAsia"/>
          <w:b/>
          <w:bCs/>
          <w:color w:val="auto"/>
          <w:sz w:val="24"/>
          <w:szCs w:val="24"/>
        </w:rPr>
        <w:t>档案室资料查阅申请条</w:t>
      </w:r>
    </w:p>
    <w:p>
      <w:pPr>
        <w:pStyle w:val="36"/>
        <w:spacing w:line="360" w:lineRule="auto"/>
        <w:ind w:firstLine="0" w:firstLineChars="0"/>
        <w:jc w:val="center"/>
        <w:rPr>
          <w:rFonts w:asciiTheme="minorEastAsia" w:hAnsiTheme="minorEastAsia"/>
          <w:color w:val="auto"/>
          <w:sz w:val="24"/>
          <w:szCs w:val="24"/>
        </w:rPr>
      </w:pP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0"/>
        <w:gridCol w:w="2676"/>
        <w:gridCol w:w="1539"/>
        <w:gridCol w:w="1388"/>
        <w:gridCol w:w="1271"/>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pct"/>
          </w:tcPr>
          <w:p>
            <w:pPr>
              <w:pStyle w:val="36"/>
              <w:spacing w:line="360" w:lineRule="auto"/>
              <w:ind w:firstLine="0" w:firstLineChars="0"/>
              <w:jc w:val="center"/>
              <w:rPr>
                <w:rFonts w:asciiTheme="minorEastAsia" w:hAnsiTheme="minorEastAsia"/>
                <w:color w:val="auto"/>
                <w:sz w:val="24"/>
                <w:szCs w:val="24"/>
              </w:rPr>
            </w:pPr>
            <w:r>
              <w:rPr>
                <w:rFonts w:hint="eastAsia" w:asciiTheme="minorEastAsia" w:hAnsiTheme="minorEastAsia" w:cstheme="minorEastAsia"/>
                <w:color w:val="auto"/>
                <w:szCs w:val="21"/>
              </w:rPr>
              <w:t>档案号</w:t>
            </w:r>
          </w:p>
        </w:tc>
        <w:tc>
          <w:tcPr>
            <w:tcW w:w="1398" w:type="pct"/>
          </w:tcPr>
          <w:p>
            <w:pPr>
              <w:pStyle w:val="36"/>
              <w:spacing w:line="360" w:lineRule="auto"/>
              <w:ind w:firstLine="0" w:firstLineChars="0"/>
              <w:jc w:val="center"/>
              <w:rPr>
                <w:rFonts w:asciiTheme="minorEastAsia" w:hAnsiTheme="minorEastAsia" w:cstheme="minorEastAsia"/>
                <w:color w:val="auto"/>
                <w:szCs w:val="21"/>
              </w:rPr>
            </w:pPr>
            <w:r>
              <w:rPr>
                <w:rFonts w:hint="eastAsia" w:asciiTheme="minorEastAsia" w:hAnsiTheme="minorEastAsia" w:cstheme="minorEastAsia"/>
                <w:color w:val="auto"/>
                <w:szCs w:val="21"/>
              </w:rPr>
              <w:t>档案内容</w:t>
            </w:r>
          </w:p>
        </w:tc>
        <w:tc>
          <w:tcPr>
            <w:tcW w:w="804" w:type="pct"/>
          </w:tcPr>
          <w:p>
            <w:pPr>
              <w:pStyle w:val="36"/>
              <w:spacing w:line="360" w:lineRule="auto"/>
              <w:ind w:firstLine="0" w:firstLineChars="0"/>
              <w:jc w:val="center"/>
              <w:rPr>
                <w:rFonts w:asciiTheme="minorEastAsia" w:hAnsiTheme="minorEastAsia"/>
                <w:color w:val="auto"/>
                <w:sz w:val="24"/>
                <w:szCs w:val="24"/>
              </w:rPr>
            </w:pPr>
            <w:r>
              <w:rPr>
                <w:rFonts w:hint="eastAsia" w:asciiTheme="minorEastAsia" w:hAnsiTheme="minorEastAsia" w:cstheme="minorEastAsia"/>
                <w:color w:val="auto"/>
                <w:szCs w:val="21"/>
              </w:rPr>
              <w:t>查阅人</w:t>
            </w:r>
          </w:p>
        </w:tc>
        <w:tc>
          <w:tcPr>
            <w:tcW w:w="725" w:type="pct"/>
          </w:tcPr>
          <w:p>
            <w:pPr>
              <w:pStyle w:val="36"/>
              <w:spacing w:line="360" w:lineRule="auto"/>
              <w:ind w:firstLine="0" w:firstLineChars="0"/>
              <w:jc w:val="center"/>
              <w:rPr>
                <w:rFonts w:asciiTheme="minorEastAsia" w:hAnsiTheme="minorEastAsia"/>
                <w:color w:val="auto"/>
                <w:sz w:val="24"/>
                <w:szCs w:val="24"/>
              </w:rPr>
            </w:pPr>
            <w:r>
              <w:rPr>
                <w:rFonts w:hint="eastAsia" w:asciiTheme="minorEastAsia" w:hAnsiTheme="minorEastAsia"/>
                <w:color w:val="auto"/>
                <w:sz w:val="24"/>
                <w:szCs w:val="24"/>
              </w:rPr>
              <w:t>是否复印</w:t>
            </w:r>
          </w:p>
        </w:tc>
        <w:tc>
          <w:tcPr>
            <w:tcW w:w="664" w:type="pct"/>
          </w:tcPr>
          <w:p>
            <w:pPr>
              <w:spacing w:line="360" w:lineRule="auto"/>
              <w:jc w:val="center"/>
              <w:rPr>
                <w:rFonts w:asciiTheme="minorEastAsia" w:hAnsiTheme="minorEastAsia"/>
                <w:color w:val="auto"/>
                <w:sz w:val="24"/>
                <w:szCs w:val="24"/>
              </w:rPr>
            </w:pPr>
            <w:r>
              <w:rPr>
                <w:rFonts w:hint="eastAsia" w:asciiTheme="minorEastAsia" w:hAnsiTheme="minorEastAsia" w:cstheme="minorEastAsia"/>
                <w:color w:val="auto"/>
                <w:szCs w:val="21"/>
              </w:rPr>
              <w:t>查阅时间</w:t>
            </w:r>
          </w:p>
        </w:tc>
        <w:tc>
          <w:tcPr>
            <w:tcW w:w="691" w:type="pct"/>
          </w:tcPr>
          <w:p>
            <w:pPr>
              <w:spacing w:line="360" w:lineRule="auto"/>
              <w:jc w:val="center"/>
              <w:rPr>
                <w:rFonts w:asciiTheme="minorEastAsia" w:hAnsiTheme="minorEastAsia"/>
                <w:color w:val="auto"/>
                <w:sz w:val="24"/>
                <w:szCs w:val="24"/>
              </w:rPr>
            </w:pPr>
            <w:r>
              <w:rPr>
                <w:rFonts w:hint="eastAsia" w:asciiTheme="minorEastAsia" w:hAnsiTheme="minorEastAsia" w:cstheme="minorEastAsia"/>
                <w:color w:val="auto"/>
                <w:szCs w:val="21"/>
              </w:rPr>
              <w:t>批准人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716" w:type="pct"/>
          </w:tcPr>
          <w:p>
            <w:pPr>
              <w:pStyle w:val="36"/>
              <w:spacing w:line="360" w:lineRule="auto"/>
              <w:ind w:firstLine="0" w:firstLineChars="0"/>
              <w:rPr>
                <w:rFonts w:asciiTheme="minorEastAsia" w:hAnsiTheme="minorEastAsia"/>
                <w:color w:val="auto"/>
                <w:sz w:val="24"/>
                <w:szCs w:val="24"/>
              </w:rPr>
            </w:pPr>
          </w:p>
        </w:tc>
        <w:tc>
          <w:tcPr>
            <w:tcW w:w="1398" w:type="pct"/>
          </w:tcPr>
          <w:p>
            <w:pPr>
              <w:pStyle w:val="36"/>
              <w:spacing w:line="360" w:lineRule="auto"/>
              <w:ind w:firstLine="0" w:firstLineChars="0"/>
              <w:rPr>
                <w:rFonts w:asciiTheme="minorEastAsia" w:hAnsiTheme="minorEastAsia"/>
                <w:color w:val="auto"/>
                <w:sz w:val="24"/>
                <w:szCs w:val="24"/>
              </w:rPr>
            </w:pPr>
          </w:p>
        </w:tc>
        <w:tc>
          <w:tcPr>
            <w:tcW w:w="804" w:type="pct"/>
          </w:tcPr>
          <w:p>
            <w:pPr>
              <w:pStyle w:val="36"/>
              <w:spacing w:line="360" w:lineRule="auto"/>
              <w:ind w:firstLine="0" w:firstLineChars="0"/>
              <w:rPr>
                <w:rFonts w:asciiTheme="minorEastAsia" w:hAnsiTheme="minorEastAsia"/>
                <w:color w:val="auto"/>
                <w:sz w:val="24"/>
                <w:szCs w:val="24"/>
              </w:rPr>
            </w:pPr>
          </w:p>
        </w:tc>
        <w:tc>
          <w:tcPr>
            <w:tcW w:w="725" w:type="pct"/>
          </w:tcPr>
          <w:p>
            <w:pPr>
              <w:pStyle w:val="36"/>
              <w:spacing w:line="360" w:lineRule="auto"/>
              <w:ind w:firstLine="0" w:firstLineChars="0"/>
              <w:rPr>
                <w:rFonts w:asciiTheme="minorEastAsia" w:hAnsiTheme="minorEastAsia"/>
                <w:color w:val="auto"/>
                <w:sz w:val="24"/>
                <w:szCs w:val="24"/>
              </w:rPr>
            </w:pPr>
          </w:p>
        </w:tc>
        <w:tc>
          <w:tcPr>
            <w:tcW w:w="664" w:type="pct"/>
          </w:tcPr>
          <w:p>
            <w:pPr>
              <w:pStyle w:val="36"/>
              <w:spacing w:line="360" w:lineRule="auto"/>
              <w:ind w:firstLine="0" w:firstLineChars="0"/>
              <w:rPr>
                <w:rFonts w:asciiTheme="minorEastAsia" w:hAnsiTheme="minorEastAsia"/>
                <w:color w:val="auto"/>
                <w:sz w:val="24"/>
                <w:szCs w:val="24"/>
              </w:rPr>
            </w:pPr>
          </w:p>
        </w:tc>
        <w:tc>
          <w:tcPr>
            <w:tcW w:w="691" w:type="pct"/>
          </w:tcPr>
          <w:p>
            <w:pPr>
              <w:pStyle w:val="36"/>
              <w:spacing w:line="360" w:lineRule="auto"/>
              <w:ind w:firstLine="0" w:firstLineChars="0"/>
              <w:rPr>
                <w:rFonts w:asciiTheme="minorEastAsia" w:hAnsiTheme="minorEastAsia"/>
                <w:color w:val="auto"/>
                <w:sz w:val="24"/>
                <w:szCs w:val="24"/>
              </w:rPr>
            </w:pPr>
          </w:p>
        </w:tc>
      </w:tr>
    </w:tbl>
    <w:p>
      <w:pPr>
        <w:rPr>
          <w:color w:val="auto"/>
        </w:rPr>
      </w:pPr>
    </w:p>
    <w:p>
      <w:pPr>
        <w:rPr>
          <w:rFonts w:hint="eastAsia" w:ascii="黑体" w:hAnsi="黑体" w:eastAsia="黑体" w:cs="黑体"/>
          <w:bCs/>
          <w:color w:val="auto"/>
          <w:sz w:val="24"/>
          <w:szCs w:val="24"/>
          <w:lang w:val="en-US" w:eastAsia="zh-CN"/>
        </w:rPr>
      </w:pPr>
      <w:r>
        <w:rPr>
          <w:rFonts w:hint="eastAsia" w:ascii="黑体" w:hAnsi="黑体" w:eastAsia="黑体" w:cs="黑体"/>
          <w:bCs/>
          <w:color w:val="auto"/>
          <w:sz w:val="24"/>
          <w:szCs w:val="24"/>
          <w:lang w:val="en-US" w:eastAsia="zh-CN"/>
        </w:rPr>
        <w:t>附件11：（YYH-SOP-CTC-022-3.2-A11）档案资料销毁授权书</w:t>
      </w:r>
    </w:p>
    <w:p>
      <w:pPr>
        <w:spacing w:line="360" w:lineRule="auto"/>
        <w:jc w:val="center"/>
        <w:rPr>
          <w:rFonts w:hint="eastAsia" w:asciiTheme="minorEastAsia" w:hAnsiTheme="minorEastAsia" w:cstheme="minorEastAsia"/>
          <w:b/>
          <w:bCs w:val="0"/>
          <w:color w:val="auto"/>
          <w:sz w:val="24"/>
          <w:szCs w:val="24"/>
          <w:lang w:eastAsia="zh-CN"/>
        </w:rPr>
      </w:pPr>
    </w:p>
    <w:p>
      <w:pPr>
        <w:spacing w:line="360" w:lineRule="auto"/>
        <w:jc w:val="center"/>
        <w:rPr>
          <w:rFonts w:hint="eastAsia" w:ascii="宋体" w:hAnsi="宋体" w:eastAsia="宋体" w:cs="宋体"/>
          <w:b/>
          <w:bCs w:val="0"/>
          <w:color w:val="auto"/>
          <w:sz w:val="24"/>
          <w:szCs w:val="24"/>
        </w:rPr>
      </w:pPr>
      <w:r>
        <w:rPr>
          <w:rFonts w:hint="eastAsia" w:asciiTheme="minorEastAsia" w:hAnsiTheme="minorEastAsia" w:cstheme="minorEastAsia"/>
          <w:b/>
          <w:bCs w:val="0"/>
          <w:color w:val="auto"/>
          <w:sz w:val="24"/>
          <w:szCs w:val="24"/>
          <w:lang w:eastAsia="zh-CN"/>
        </w:rPr>
        <w:t>档案资料销毁授权书</w:t>
      </w:r>
    </w:p>
    <w:p>
      <w:pPr>
        <w:spacing w:line="360" w:lineRule="auto"/>
        <w:jc w:val="both"/>
        <w:rPr>
          <w:rFonts w:hint="eastAsia" w:ascii="宋体" w:hAnsi="宋体" w:cs="宋体"/>
          <w:color w:val="auto"/>
          <w:sz w:val="24"/>
          <w:szCs w:val="24"/>
          <w:u w:val="single"/>
        </w:rPr>
      </w:pPr>
      <w:r>
        <w:rPr>
          <w:rFonts w:hint="eastAsia" w:ascii="宋体" w:hAnsi="宋体" w:cs="宋体"/>
          <w:color w:val="auto"/>
          <w:sz w:val="24"/>
          <w:szCs w:val="24"/>
        </w:rPr>
        <w:t>兹</w:t>
      </w:r>
      <w:r>
        <w:rPr>
          <w:rFonts w:hint="eastAsia" w:ascii="宋体" w:hAnsi="宋体" w:cs="宋体"/>
          <w:color w:val="auto"/>
          <w:sz w:val="24"/>
          <w:szCs w:val="24"/>
          <w:u w:val="single"/>
        </w:rPr>
        <w:t xml:space="preserve">                   </w:t>
      </w:r>
      <w:r>
        <w:rPr>
          <w:rFonts w:hint="eastAsia" w:ascii="宋体" w:hAnsi="宋体" w:cs="宋体"/>
          <w:color w:val="auto"/>
          <w:sz w:val="24"/>
          <w:szCs w:val="24"/>
        </w:rPr>
        <w:t>公司，授权沂源县人民医院药物</w:t>
      </w:r>
      <w:r>
        <w:rPr>
          <w:rFonts w:hint="eastAsia" w:ascii="宋体" w:hAnsi="宋体" w:cs="宋体"/>
          <w:color w:val="auto"/>
          <w:sz w:val="24"/>
          <w:szCs w:val="24"/>
          <w:lang w:val="en-US" w:eastAsia="zh-CN"/>
        </w:rPr>
        <w:t>/医疗器械</w:t>
      </w:r>
      <w:r>
        <w:rPr>
          <w:rFonts w:hint="eastAsia" w:ascii="宋体" w:hAnsi="宋体" w:cs="宋体"/>
          <w:color w:val="auto"/>
          <w:sz w:val="24"/>
          <w:szCs w:val="24"/>
        </w:rPr>
        <w:t>临床试验机构销毁</w:t>
      </w:r>
    </w:p>
    <w:p>
      <w:pPr>
        <w:spacing w:line="360" w:lineRule="auto"/>
        <w:rPr>
          <w:rFonts w:hint="eastAsia" w:ascii="宋体" w:cs="宋体"/>
          <w:color w:val="auto"/>
          <w:sz w:val="24"/>
          <w:szCs w:val="24"/>
        </w:rPr>
      </w:pP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临床试验项目的试验</w:t>
      </w:r>
      <w:r>
        <w:rPr>
          <w:rFonts w:hint="eastAsia" w:ascii="宋体" w:hAnsi="宋体" w:cs="宋体"/>
          <w:color w:val="auto"/>
          <w:sz w:val="24"/>
          <w:szCs w:val="24"/>
          <w:lang w:eastAsia="zh-CN"/>
        </w:rPr>
        <w:t>档案资料</w:t>
      </w:r>
      <w:r>
        <w:rPr>
          <w:rFonts w:hint="eastAsia" w:ascii="宋体" w:hAnsi="宋体" w:cs="宋体"/>
          <w:color w:val="auto"/>
          <w:sz w:val="24"/>
          <w:szCs w:val="24"/>
        </w:rPr>
        <w:t>，详细如下：</w:t>
      </w:r>
    </w:p>
    <w:tbl>
      <w:tblPr>
        <w:tblStyle w:val="2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91"/>
        <w:gridCol w:w="2391"/>
        <w:gridCol w:w="2391"/>
        <w:gridCol w:w="2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trPr>
        <w:tc>
          <w:tcPr>
            <w:tcW w:w="1249" w:type="pct"/>
            <w:vAlign w:val="top"/>
          </w:tcPr>
          <w:p>
            <w:pPr>
              <w:keepNext w:val="0"/>
              <w:keepLines w:val="0"/>
              <w:pageBreakBefore w:val="0"/>
              <w:widowControl w:val="0"/>
              <w:kinsoku/>
              <w:wordWrap/>
              <w:overflowPunct/>
              <w:topLinePunct w:val="0"/>
              <w:autoSpaceDE/>
              <w:autoSpaceDN/>
              <w:bidi w:val="0"/>
              <w:adjustRightInd/>
              <w:snapToGrid w:val="0"/>
              <w:spacing w:before="219" w:beforeLines="70" w:line="240" w:lineRule="auto"/>
              <w:jc w:val="center"/>
              <w:textAlignment w:val="auto"/>
              <w:rPr>
                <w:color w:val="auto"/>
                <w:sz w:val="24"/>
                <w:szCs w:val="24"/>
              </w:rPr>
            </w:pPr>
            <w:r>
              <w:rPr>
                <w:rFonts w:hint="eastAsia"/>
                <w:color w:val="auto"/>
                <w:sz w:val="24"/>
                <w:szCs w:val="24"/>
                <w:lang w:eastAsia="zh-CN"/>
              </w:rPr>
              <w:t>试验</w:t>
            </w:r>
            <w:r>
              <w:rPr>
                <w:rFonts w:hint="eastAsia"/>
                <w:color w:val="auto"/>
                <w:sz w:val="24"/>
                <w:szCs w:val="24"/>
              </w:rPr>
              <w:t>名称</w:t>
            </w:r>
          </w:p>
        </w:tc>
        <w:tc>
          <w:tcPr>
            <w:tcW w:w="1249" w:type="pct"/>
            <w:vAlign w:val="top"/>
          </w:tcPr>
          <w:p>
            <w:pPr>
              <w:keepNext w:val="0"/>
              <w:keepLines w:val="0"/>
              <w:pageBreakBefore w:val="0"/>
              <w:widowControl w:val="0"/>
              <w:kinsoku/>
              <w:wordWrap/>
              <w:overflowPunct/>
              <w:topLinePunct w:val="0"/>
              <w:autoSpaceDE/>
              <w:autoSpaceDN/>
              <w:bidi w:val="0"/>
              <w:adjustRightInd/>
              <w:snapToGrid w:val="0"/>
              <w:spacing w:before="219" w:beforeLines="70" w:line="240" w:lineRule="auto"/>
              <w:jc w:val="center"/>
              <w:textAlignment w:val="auto"/>
              <w:rPr>
                <w:color w:val="auto"/>
                <w:sz w:val="24"/>
                <w:szCs w:val="24"/>
              </w:rPr>
            </w:pPr>
            <w:r>
              <w:rPr>
                <w:rFonts w:hint="eastAsia"/>
                <w:color w:val="auto"/>
                <w:sz w:val="24"/>
                <w:szCs w:val="24"/>
                <w:lang w:eastAsia="zh-CN"/>
              </w:rPr>
              <w:t>试验</w:t>
            </w:r>
            <w:r>
              <w:rPr>
                <w:rFonts w:hint="eastAsia"/>
                <w:color w:val="auto"/>
                <w:sz w:val="24"/>
                <w:szCs w:val="24"/>
              </w:rPr>
              <w:t>编码</w:t>
            </w:r>
          </w:p>
        </w:tc>
        <w:tc>
          <w:tcPr>
            <w:tcW w:w="1249" w:type="pct"/>
            <w:vAlign w:val="top"/>
          </w:tcPr>
          <w:p>
            <w:pPr>
              <w:keepNext w:val="0"/>
              <w:keepLines w:val="0"/>
              <w:pageBreakBefore w:val="0"/>
              <w:widowControl w:val="0"/>
              <w:kinsoku/>
              <w:wordWrap/>
              <w:overflowPunct/>
              <w:topLinePunct w:val="0"/>
              <w:autoSpaceDE/>
              <w:autoSpaceDN/>
              <w:bidi w:val="0"/>
              <w:adjustRightInd/>
              <w:snapToGrid w:val="0"/>
              <w:spacing w:before="219" w:beforeLines="70" w:line="240" w:lineRule="auto"/>
              <w:jc w:val="center"/>
              <w:textAlignment w:val="auto"/>
              <w:rPr>
                <w:rFonts w:hint="eastAsia" w:eastAsiaTheme="minorEastAsia"/>
                <w:color w:val="auto"/>
                <w:sz w:val="24"/>
                <w:szCs w:val="24"/>
                <w:lang w:eastAsia="zh-CN"/>
              </w:rPr>
            </w:pPr>
            <w:r>
              <w:rPr>
                <w:rFonts w:hint="eastAsia"/>
                <w:color w:val="auto"/>
                <w:sz w:val="24"/>
                <w:szCs w:val="24"/>
                <w:lang w:eastAsia="zh-CN"/>
              </w:rPr>
              <w:t>销毁原因</w:t>
            </w:r>
          </w:p>
        </w:tc>
        <w:tc>
          <w:tcPr>
            <w:tcW w:w="1250" w:type="pct"/>
            <w:vAlign w:val="top"/>
          </w:tcPr>
          <w:p>
            <w:pPr>
              <w:keepNext w:val="0"/>
              <w:keepLines w:val="0"/>
              <w:pageBreakBefore w:val="0"/>
              <w:widowControl w:val="0"/>
              <w:kinsoku/>
              <w:wordWrap/>
              <w:overflowPunct/>
              <w:topLinePunct w:val="0"/>
              <w:autoSpaceDE/>
              <w:autoSpaceDN/>
              <w:bidi w:val="0"/>
              <w:adjustRightInd/>
              <w:snapToGrid w:val="0"/>
              <w:spacing w:before="219" w:beforeLines="70" w:line="240" w:lineRule="auto"/>
              <w:jc w:val="center"/>
              <w:textAlignment w:val="auto"/>
              <w:rPr>
                <w:color w:val="auto"/>
                <w:sz w:val="24"/>
                <w:szCs w:val="24"/>
              </w:rPr>
            </w:pPr>
            <w:r>
              <w:rPr>
                <w:rFonts w:hint="eastAsia"/>
                <w:color w:val="auto"/>
                <w:sz w:val="24"/>
                <w:szCs w:val="24"/>
                <w:lang w:eastAsia="zh-CN"/>
              </w:rPr>
              <w:t>销毁内容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249" w:type="pct"/>
            <w:vAlign w:val="top"/>
          </w:tcPr>
          <w:p>
            <w:pPr>
              <w:spacing w:line="360" w:lineRule="auto"/>
              <w:jc w:val="center"/>
              <w:rPr>
                <w:color w:val="auto"/>
                <w:sz w:val="24"/>
                <w:szCs w:val="24"/>
              </w:rPr>
            </w:pPr>
          </w:p>
        </w:tc>
        <w:tc>
          <w:tcPr>
            <w:tcW w:w="1249" w:type="pct"/>
            <w:vAlign w:val="top"/>
          </w:tcPr>
          <w:p>
            <w:pPr>
              <w:spacing w:line="360" w:lineRule="auto"/>
              <w:jc w:val="center"/>
              <w:rPr>
                <w:color w:val="auto"/>
                <w:sz w:val="24"/>
                <w:szCs w:val="24"/>
              </w:rPr>
            </w:pPr>
          </w:p>
        </w:tc>
        <w:tc>
          <w:tcPr>
            <w:tcW w:w="1249" w:type="pct"/>
            <w:vAlign w:val="top"/>
          </w:tcPr>
          <w:p>
            <w:pPr>
              <w:spacing w:line="360" w:lineRule="auto"/>
              <w:jc w:val="center"/>
              <w:rPr>
                <w:color w:val="auto"/>
                <w:sz w:val="24"/>
                <w:szCs w:val="24"/>
              </w:rPr>
            </w:pPr>
          </w:p>
        </w:tc>
        <w:tc>
          <w:tcPr>
            <w:tcW w:w="1250" w:type="pct"/>
            <w:vAlign w:val="top"/>
          </w:tcPr>
          <w:p>
            <w:pPr>
              <w:spacing w:line="360" w:lineRule="auto"/>
              <w:jc w:val="center"/>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249" w:type="pct"/>
            <w:vAlign w:val="top"/>
          </w:tcPr>
          <w:p>
            <w:pPr>
              <w:spacing w:line="360" w:lineRule="auto"/>
              <w:jc w:val="center"/>
              <w:rPr>
                <w:color w:val="auto"/>
                <w:sz w:val="24"/>
                <w:szCs w:val="24"/>
              </w:rPr>
            </w:pPr>
          </w:p>
        </w:tc>
        <w:tc>
          <w:tcPr>
            <w:tcW w:w="1249" w:type="pct"/>
            <w:vAlign w:val="top"/>
          </w:tcPr>
          <w:p>
            <w:pPr>
              <w:spacing w:line="360" w:lineRule="auto"/>
              <w:jc w:val="center"/>
              <w:rPr>
                <w:color w:val="auto"/>
                <w:sz w:val="24"/>
                <w:szCs w:val="24"/>
              </w:rPr>
            </w:pPr>
          </w:p>
        </w:tc>
        <w:tc>
          <w:tcPr>
            <w:tcW w:w="1249" w:type="pct"/>
            <w:vAlign w:val="top"/>
          </w:tcPr>
          <w:p>
            <w:pPr>
              <w:spacing w:line="360" w:lineRule="auto"/>
              <w:jc w:val="center"/>
              <w:rPr>
                <w:color w:val="auto"/>
                <w:sz w:val="24"/>
                <w:szCs w:val="24"/>
              </w:rPr>
            </w:pPr>
          </w:p>
        </w:tc>
        <w:tc>
          <w:tcPr>
            <w:tcW w:w="1250" w:type="pct"/>
            <w:vAlign w:val="top"/>
          </w:tcPr>
          <w:p>
            <w:pPr>
              <w:spacing w:line="360" w:lineRule="auto"/>
              <w:jc w:val="center"/>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249" w:type="pct"/>
            <w:vAlign w:val="top"/>
          </w:tcPr>
          <w:p>
            <w:pPr>
              <w:spacing w:line="360" w:lineRule="auto"/>
              <w:jc w:val="center"/>
              <w:rPr>
                <w:color w:val="auto"/>
                <w:sz w:val="24"/>
                <w:szCs w:val="24"/>
              </w:rPr>
            </w:pPr>
          </w:p>
        </w:tc>
        <w:tc>
          <w:tcPr>
            <w:tcW w:w="1249" w:type="pct"/>
            <w:vAlign w:val="top"/>
          </w:tcPr>
          <w:p>
            <w:pPr>
              <w:spacing w:line="360" w:lineRule="auto"/>
              <w:jc w:val="center"/>
              <w:rPr>
                <w:color w:val="auto"/>
                <w:sz w:val="24"/>
                <w:szCs w:val="24"/>
              </w:rPr>
            </w:pPr>
          </w:p>
        </w:tc>
        <w:tc>
          <w:tcPr>
            <w:tcW w:w="1249" w:type="pct"/>
            <w:vAlign w:val="top"/>
          </w:tcPr>
          <w:p>
            <w:pPr>
              <w:spacing w:line="360" w:lineRule="auto"/>
              <w:jc w:val="center"/>
              <w:rPr>
                <w:color w:val="auto"/>
                <w:sz w:val="24"/>
                <w:szCs w:val="24"/>
              </w:rPr>
            </w:pPr>
          </w:p>
        </w:tc>
        <w:tc>
          <w:tcPr>
            <w:tcW w:w="1250" w:type="pct"/>
            <w:vAlign w:val="top"/>
          </w:tcPr>
          <w:p>
            <w:pPr>
              <w:spacing w:line="360" w:lineRule="auto"/>
              <w:jc w:val="center"/>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249" w:type="pct"/>
            <w:vAlign w:val="top"/>
          </w:tcPr>
          <w:p>
            <w:pPr>
              <w:spacing w:line="360" w:lineRule="auto"/>
              <w:jc w:val="center"/>
              <w:rPr>
                <w:color w:val="auto"/>
                <w:sz w:val="24"/>
                <w:szCs w:val="24"/>
              </w:rPr>
            </w:pPr>
          </w:p>
        </w:tc>
        <w:tc>
          <w:tcPr>
            <w:tcW w:w="1249" w:type="pct"/>
            <w:vAlign w:val="top"/>
          </w:tcPr>
          <w:p>
            <w:pPr>
              <w:spacing w:line="360" w:lineRule="auto"/>
              <w:jc w:val="center"/>
              <w:rPr>
                <w:color w:val="auto"/>
                <w:sz w:val="24"/>
                <w:szCs w:val="24"/>
              </w:rPr>
            </w:pPr>
          </w:p>
        </w:tc>
        <w:tc>
          <w:tcPr>
            <w:tcW w:w="1249" w:type="pct"/>
            <w:vAlign w:val="top"/>
          </w:tcPr>
          <w:p>
            <w:pPr>
              <w:spacing w:line="360" w:lineRule="auto"/>
              <w:jc w:val="center"/>
              <w:rPr>
                <w:color w:val="auto"/>
                <w:sz w:val="24"/>
                <w:szCs w:val="24"/>
              </w:rPr>
            </w:pPr>
          </w:p>
        </w:tc>
        <w:tc>
          <w:tcPr>
            <w:tcW w:w="1250" w:type="pct"/>
            <w:vAlign w:val="top"/>
          </w:tcPr>
          <w:p>
            <w:pPr>
              <w:spacing w:line="360" w:lineRule="auto"/>
              <w:jc w:val="center"/>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249" w:type="pct"/>
            <w:vAlign w:val="top"/>
          </w:tcPr>
          <w:p>
            <w:pPr>
              <w:spacing w:line="360" w:lineRule="auto"/>
              <w:jc w:val="center"/>
              <w:rPr>
                <w:color w:val="auto"/>
                <w:sz w:val="24"/>
                <w:szCs w:val="24"/>
              </w:rPr>
            </w:pPr>
          </w:p>
        </w:tc>
        <w:tc>
          <w:tcPr>
            <w:tcW w:w="1249" w:type="pct"/>
            <w:vAlign w:val="top"/>
          </w:tcPr>
          <w:p>
            <w:pPr>
              <w:spacing w:line="360" w:lineRule="auto"/>
              <w:jc w:val="center"/>
              <w:rPr>
                <w:color w:val="auto"/>
                <w:sz w:val="24"/>
                <w:szCs w:val="24"/>
              </w:rPr>
            </w:pPr>
          </w:p>
        </w:tc>
        <w:tc>
          <w:tcPr>
            <w:tcW w:w="1249" w:type="pct"/>
            <w:vAlign w:val="top"/>
          </w:tcPr>
          <w:p>
            <w:pPr>
              <w:spacing w:line="360" w:lineRule="auto"/>
              <w:jc w:val="center"/>
              <w:rPr>
                <w:color w:val="auto"/>
                <w:sz w:val="24"/>
                <w:szCs w:val="24"/>
              </w:rPr>
            </w:pPr>
          </w:p>
        </w:tc>
        <w:tc>
          <w:tcPr>
            <w:tcW w:w="1250" w:type="pct"/>
            <w:vAlign w:val="top"/>
          </w:tcPr>
          <w:p>
            <w:pPr>
              <w:spacing w:line="360" w:lineRule="auto"/>
              <w:jc w:val="center"/>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249" w:type="pct"/>
            <w:vAlign w:val="top"/>
          </w:tcPr>
          <w:p>
            <w:pPr>
              <w:spacing w:line="360" w:lineRule="auto"/>
              <w:jc w:val="center"/>
              <w:rPr>
                <w:color w:val="auto"/>
                <w:sz w:val="24"/>
                <w:szCs w:val="24"/>
              </w:rPr>
            </w:pPr>
          </w:p>
        </w:tc>
        <w:tc>
          <w:tcPr>
            <w:tcW w:w="1249" w:type="pct"/>
            <w:vAlign w:val="top"/>
          </w:tcPr>
          <w:p>
            <w:pPr>
              <w:spacing w:line="360" w:lineRule="auto"/>
              <w:jc w:val="center"/>
              <w:rPr>
                <w:color w:val="auto"/>
                <w:sz w:val="24"/>
                <w:szCs w:val="24"/>
              </w:rPr>
            </w:pPr>
          </w:p>
        </w:tc>
        <w:tc>
          <w:tcPr>
            <w:tcW w:w="1249" w:type="pct"/>
            <w:vAlign w:val="top"/>
          </w:tcPr>
          <w:p>
            <w:pPr>
              <w:spacing w:line="360" w:lineRule="auto"/>
              <w:jc w:val="center"/>
              <w:rPr>
                <w:color w:val="auto"/>
                <w:sz w:val="24"/>
                <w:szCs w:val="24"/>
              </w:rPr>
            </w:pPr>
          </w:p>
        </w:tc>
        <w:tc>
          <w:tcPr>
            <w:tcW w:w="1250" w:type="pct"/>
            <w:vAlign w:val="top"/>
          </w:tcPr>
          <w:p>
            <w:pPr>
              <w:spacing w:line="360" w:lineRule="auto"/>
              <w:jc w:val="center"/>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249" w:type="pct"/>
            <w:vAlign w:val="top"/>
          </w:tcPr>
          <w:p>
            <w:pPr>
              <w:spacing w:line="360" w:lineRule="auto"/>
              <w:jc w:val="center"/>
              <w:rPr>
                <w:color w:val="auto"/>
                <w:sz w:val="24"/>
                <w:szCs w:val="24"/>
              </w:rPr>
            </w:pPr>
          </w:p>
        </w:tc>
        <w:tc>
          <w:tcPr>
            <w:tcW w:w="1249" w:type="pct"/>
            <w:vAlign w:val="top"/>
          </w:tcPr>
          <w:p>
            <w:pPr>
              <w:spacing w:line="360" w:lineRule="auto"/>
              <w:jc w:val="center"/>
              <w:rPr>
                <w:color w:val="auto"/>
                <w:sz w:val="24"/>
                <w:szCs w:val="24"/>
              </w:rPr>
            </w:pPr>
          </w:p>
        </w:tc>
        <w:tc>
          <w:tcPr>
            <w:tcW w:w="1249" w:type="pct"/>
            <w:vAlign w:val="top"/>
          </w:tcPr>
          <w:p>
            <w:pPr>
              <w:spacing w:line="360" w:lineRule="auto"/>
              <w:jc w:val="center"/>
              <w:rPr>
                <w:color w:val="auto"/>
                <w:sz w:val="24"/>
                <w:szCs w:val="24"/>
              </w:rPr>
            </w:pPr>
          </w:p>
        </w:tc>
        <w:tc>
          <w:tcPr>
            <w:tcW w:w="1250" w:type="pct"/>
            <w:vAlign w:val="top"/>
          </w:tcPr>
          <w:p>
            <w:pPr>
              <w:spacing w:line="360" w:lineRule="auto"/>
              <w:jc w:val="center"/>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1249" w:type="pct"/>
            <w:vAlign w:val="top"/>
          </w:tcPr>
          <w:p>
            <w:pPr>
              <w:spacing w:line="360" w:lineRule="auto"/>
              <w:jc w:val="center"/>
              <w:rPr>
                <w:color w:val="auto"/>
                <w:sz w:val="24"/>
                <w:szCs w:val="24"/>
              </w:rPr>
            </w:pPr>
          </w:p>
        </w:tc>
        <w:tc>
          <w:tcPr>
            <w:tcW w:w="1249" w:type="pct"/>
            <w:vAlign w:val="top"/>
          </w:tcPr>
          <w:p>
            <w:pPr>
              <w:spacing w:line="360" w:lineRule="auto"/>
              <w:jc w:val="center"/>
              <w:rPr>
                <w:color w:val="auto"/>
                <w:sz w:val="24"/>
                <w:szCs w:val="24"/>
              </w:rPr>
            </w:pPr>
          </w:p>
        </w:tc>
        <w:tc>
          <w:tcPr>
            <w:tcW w:w="1249" w:type="pct"/>
            <w:vAlign w:val="top"/>
          </w:tcPr>
          <w:p>
            <w:pPr>
              <w:spacing w:line="360" w:lineRule="auto"/>
              <w:jc w:val="center"/>
              <w:rPr>
                <w:color w:val="auto"/>
                <w:sz w:val="24"/>
                <w:szCs w:val="24"/>
              </w:rPr>
            </w:pPr>
          </w:p>
        </w:tc>
        <w:tc>
          <w:tcPr>
            <w:tcW w:w="1250" w:type="pct"/>
            <w:vAlign w:val="top"/>
          </w:tcPr>
          <w:p>
            <w:pPr>
              <w:spacing w:line="360" w:lineRule="auto"/>
              <w:jc w:val="center"/>
              <w:rPr>
                <w:color w:val="auto"/>
                <w:sz w:val="24"/>
                <w:szCs w:val="24"/>
              </w:rPr>
            </w:pPr>
          </w:p>
        </w:tc>
      </w:tr>
    </w:tbl>
    <w:p>
      <w:pPr>
        <w:spacing w:line="360" w:lineRule="auto"/>
        <w:jc w:val="left"/>
        <w:rPr>
          <w:color w:val="auto"/>
          <w:sz w:val="24"/>
          <w:szCs w:val="24"/>
        </w:rPr>
      </w:pPr>
      <w:r>
        <w:rPr>
          <w:rFonts w:hint="eastAsia"/>
          <w:color w:val="auto"/>
          <w:sz w:val="24"/>
          <w:szCs w:val="24"/>
        </w:rPr>
        <w:t>特此授权！</w:t>
      </w:r>
    </w:p>
    <w:p>
      <w:pPr>
        <w:spacing w:line="360" w:lineRule="auto"/>
        <w:jc w:val="left"/>
        <w:rPr>
          <w:rFonts w:hint="eastAsia"/>
          <w:color w:val="auto"/>
          <w:sz w:val="24"/>
          <w:szCs w:val="24"/>
        </w:rPr>
      </w:pPr>
    </w:p>
    <w:p>
      <w:pPr>
        <w:spacing w:line="360" w:lineRule="auto"/>
        <w:ind w:firstLine="5880" w:firstLineChars="2450"/>
        <w:jc w:val="left"/>
        <w:rPr>
          <w:rFonts w:hint="eastAsia" w:eastAsiaTheme="minorEastAsia"/>
          <w:color w:val="auto"/>
          <w:sz w:val="24"/>
          <w:szCs w:val="24"/>
          <w:lang w:val="en-US" w:eastAsia="zh-CN"/>
        </w:rPr>
      </w:pPr>
      <w:r>
        <w:rPr>
          <w:rFonts w:hint="eastAsia"/>
          <w:color w:val="auto"/>
          <w:sz w:val="24"/>
          <w:szCs w:val="24"/>
        </w:rPr>
        <w:t>授权方：</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r>
        <w:rPr>
          <w:rFonts w:hint="eastAsia"/>
          <w:color w:val="auto"/>
          <w:sz w:val="24"/>
          <w:szCs w:val="24"/>
          <w:u w:val="single"/>
          <w:lang w:val="en-US" w:eastAsia="zh-CN"/>
        </w:rPr>
        <w:t xml:space="preserve"> </w:t>
      </w:r>
    </w:p>
    <w:p>
      <w:pPr>
        <w:spacing w:line="360" w:lineRule="auto"/>
        <w:ind w:firstLine="5880" w:firstLineChars="2450"/>
        <w:jc w:val="left"/>
        <w:rPr>
          <w:color w:val="auto"/>
          <w:sz w:val="24"/>
          <w:szCs w:val="24"/>
          <w:u w:val="single"/>
        </w:rPr>
      </w:pPr>
      <w:r>
        <w:rPr>
          <w:rFonts w:hint="eastAsia"/>
          <w:color w:val="auto"/>
          <w:sz w:val="24"/>
          <w:szCs w:val="24"/>
        </w:rPr>
        <w:t>被授权方：</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p>
    <w:p>
      <w:pPr>
        <w:spacing w:line="360" w:lineRule="auto"/>
        <w:ind w:firstLine="5880" w:firstLineChars="2450"/>
        <w:jc w:val="left"/>
        <w:rPr>
          <w:rFonts w:hint="eastAsia"/>
          <w:color w:val="auto"/>
          <w:sz w:val="24"/>
          <w:szCs w:val="24"/>
        </w:rPr>
      </w:pPr>
      <w:r>
        <w:rPr>
          <w:rFonts w:hint="eastAsia"/>
          <w:color w:val="auto"/>
          <w:sz w:val="24"/>
          <w:szCs w:val="24"/>
        </w:rPr>
        <w:t>授权时间：</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p>
    <w:p>
      <w:pPr>
        <w:spacing w:line="360" w:lineRule="auto"/>
        <w:jc w:val="left"/>
        <w:rPr>
          <w:rFonts w:hint="eastAsia" w:ascii="宋体" w:cs="宋体"/>
          <w:b/>
          <w:bCs/>
          <w:color w:val="auto"/>
          <w:sz w:val="24"/>
          <w:szCs w:val="24"/>
        </w:rPr>
        <w:sectPr>
          <w:headerReference r:id="rId150" w:type="default"/>
          <w:footerReference r:id="rId151" w:type="default"/>
          <w:pgSz w:w="11907" w:h="16840"/>
          <w:pgMar w:top="1134" w:right="1134" w:bottom="1418" w:left="1418" w:header="0" w:footer="992" w:gutter="0"/>
          <w:pgNumType w:fmt="decimal"/>
          <w:cols w:space="720" w:num="1"/>
          <w:docGrid w:linePitch="312" w:charSpace="0"/>
        </w:sectPr>
      </w:pPr>
    </w:p>
    <w:p>
      <w:pPr>
        <w:rPr>
          <w:rFonts w:hint="eastAsia" w:asciiTheme="minorEastAsia" w:hAnsiTheme="minorEastAsia"/>
          <w:b/>
          <w:bCs/>
          <w:color w:val="auto"/>
          <w:sz w:val="24"/>
          <w:szCs w:val="24"/>
          <w:lang w:eastAsia="zh-CN"/>
        </w:rPr>
      </w:pPr>
      <w:r>
        <w:rPr>
          <w:rFonts w:hint="eastAsia" w:ascii="黑体" w:hAnsi="黑体" w:eastAsia="黑体" w:cs="黑体"/>
          <w:bCs/>
          <w:color w:val="auto"/>
          <w:sz w:val="24"/>
          <w:szCs w:val="24"/>
          <w:lang w:val="en-US" w:eastAsia="zh-CN"/>
        </w:rPr>
        <w:t>附件12：（YYH-SOP-CTC-022-3.2-A12）药物临床试验/医疗器械临床试验档案资料销毁登记表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b/>
          <w:bCs/>
          <w:color w:val="auto"/>
          <w:sz w:val="24"/>
          <w:szCs w:val="24"/>
        </w:rPr>
      </w:pPr>
      <w:r>
        <w:rPr>
          <w:rFonts w:hint="eastAsia" w:asciiTheme="minorEastAsia" w:hAnsiTheme="minorEastAsia"/>
          <w:b/>
          <w:bCs/>
          <w:color w:val="auto"/>
          <w:sz w:val="24"/>
          <w:szCs w:val="24"/>
          <w:lang w:eastAsia="zh-CN"/>
        </w:rPr>
        <w:t>药物临床试验</w:t>
      </w:r>
      <w:r>
        <w:rPr>
          <w:rFonts w:hint="eastAsia" w:asciiTheme="minorEastAsia" w:hAnsiTheme="minorEastAsia"/>
          <w:b/>
          <w:bCs/>
          <w:color w:val="auto"/>
          <w:sz w:val="24"/>
          <w:szCs w:val="24"/>
          <w:lang w:val="en-US" w:eastAsia="zh-CN"/>
        </w:rPr>
        <w:t>/医疗器械临床试验</w:t>
      </w:r>
      <w:r>
        <w:rPr>
          <w:rFonts w:hint="eastAsia" w:asciiTheme="minorEastAsia" w:hAnsiTheme="minorEastAsia"/>
          <w:b/>
          <w:bCs/>
          <w:color w:val="auto"/>
          <w:sz w:val="24"/>
          <w:szCs w:val="24"/>
          <w:lang w:eastAsia="zh-CN"/>
        </w:rPr>
        <w:t>档案资料销毁登记表</w:t>
      </w:r>
    </w:p>
    <w:tbl>
      <w:tblPr>
        <w:tblStyle w:val="2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49"/>
        <w:gridCol w:w="2097"/>
        <w:gridCol w:w="1195"/>
        <w:gridCol w:w="2364"/>
        <w:gridCol w:w="113"/>
        <w:gridCol w:w="772"/>
        <w:gridCol w:w="45"/>
        <w:gridCol w:w="1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color w:val="auto"/>
                <w:sz w:val="21"/>
                <w:szCs w:val="21"/>
              </w:rPr>
            </w:pPr>
            <w:r>
              <w:rPr>
                <w:rFonts w:hint="eastAsia"/>
                <w:color w:val="auto"/>
                <w:sz w:val="21"/>
                <w:szCs w:val="21"/>
              </w:rPr>
              <w:t>项目名称</w:t>
            </w:r>
          </w:p>
        </w:tc>
        <w:tc>
          <w:tcPr>
            <w:tcW w:w="4127" w:type="pct"/>
            <w:gridSpan w:val="7"/>
            <w:vAlign w:val="center"/>
          </w:tcPr>
          <w:p>
            <w:pPr>
              <w:ind w:firstLine="2310" w:firstLineChars="1100"/>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color w:val="auto"/>
                <w:sz w:val="21"/>
                <w:szCs w:val="21"/>
              </w:rPr>
            </w:pPr>
            <w:r>
              <w:rPr>
                <w:rFonts w:hint="eastAsia"/>
                <w:color w:val="auto"/>
                <w:sz w:val="21"/>
                <w:szCs w:val="21"/>
              </w:rPr>
              <w:t>申办方</w:t>
            </w:r>
          </w:p>
        </w:tc>
        <w:tc>
          <w:tcPr>
            <w:tcW w:w="4127" w:type="pct"/>
            <w:gridSpan w:val="7"/>
            <w:vAlign w:val="center"/>
          </w:tcPr>
          <w:p>
            <w:pPr>
              <w:spacing w:line="360" w:lineRule="auto"/>
              <w:jc w:val="center"/>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试验用药品名称</w:t>
            </w:r>
          </w:p>
        </w:tc>
        <w:tc>
          <w:tcPr>
            <w:tcW w:w="1109" w:type="pct"/>
            <w:vAlign w:val="center"/>
          </w:tcPr>
          <w:p>
            <w:pPr>
              <w:spacing w:line="360" w:lineRule="auto"/>
              <w:jc w:val="center"/>
              <w:rPr>
                <w:color w:val="auto"/>
                <w:sz w:val="21"/>
                <w:szCs w:val="21"/>
              </w:rPr>
            </w:pPr>
          </w:p>
        </w:tc>
        <w:tc>
          <w:tcPr>
            <w:tcW w:w="6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试验</w:t>
            </w:r>
            <w:r>
              <w:rPr>
                <w:rFonts w:hint="eastAsia"/>
                <w:color w:val="auto"/>
                <w:sz w:val="21"/>
                <w:szCs w:val="21"/>
                <w:lang w:eastAsia="zh-CN"/>
              </w:rPr>
              <w:t>项目</w:t>
            </w:r>
            <w:r>
              <w:rPr>
                <w:rFonts w:hint="eastAsia"/>
                <w:color w:val="auto"/>
                <w:sz w:val="21"/>
                <w:szCs w:val="21"/>
              </w:rPr>
              <w:t>编码</w:t>
            </w:r>
          </w:p>
        </w:tc>
        <w:tc>
          <w:tcPr>
            <w:tcW w:w="131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p>
        </w:tc>
        <w:tc>
          <w:tcPr>
            <w:tcW w:w="40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color w:val="auto"/>
                <w:sz w:val="21"/>
                <w:szCs w:val="21"/>
                <w:lang w:eastAsia="zh-CN"/>
              </w:rPr>
            </w:pPr>
            <w:r>
              <w:rPr>
                <w:rFonts w:hint="eastAsia"/>
                <w:color w:val="auto"/>
                <w:sz w:val="21"/>
                <w:szCs w:val="21"/>
                <w:lang w:eastAsia="zh-CN"/>
              </w:rPr>
              <w:t>销毁原因</w:t>
            </w:r>
          </w:p>
        </w:tc>
        <w:tc>
          <w:tcPr>
            <w:tcW w:w="665" w:type="pct"/>
            <w:gridSpan w:val="2"/>
            <w:vAlign w:val="center"/>
          </w:tcPr>
          <w:p>
            <w:pPr>
              <w:spacing w:line="360" w:lineRule="auto"/>
              <w:jc w:val="center"/>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销毁内容</w:t>
            </w:r>
          </w:p>
        </w:tc>
        <w:tc>
          <w:tcPr>
            <w:tcW w:w="4127" w:type="pct"/>
            <w:gridSpan w:val="7"/>
            <w:vAlign w:val="center"/>
          </w:tcPr>
          <w:p>
            <w:pPr>
              <w:spacing w:line="360" w:lineRule="auto"/>
              <w:jc w:val="center"/>
              <w:rPr>
                <w:color w:val="auto"/>
                <w:sz w:val="21"/>
                <w:szCs w:val="21"/>
              </w:rPr>
            </w:pPr>
            <w:r>
              <w:rPr>
                <w:rFonts w:hint="eastAsia"/>
                <w:color w:val="auto"/>
                <w:sz w:val="21"/>
                <w:szCs w:val="21"/>
                <w:lang w:eastAsia="zh-CN"/>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lang w:eastAsia="zh-CN"/>
              </w:rPr>
              <w:t>档案</w:t>
            </w:r>
            <w:r>
              <w:rPr>
                <w:rFonts w:hint="eastAsia"/>
                <w:color w:val="auto"/>
                <w:sz w:val="21"/>
                <w:szCs w:val="21"/>
              </w:rPr>
              <w:t>管理员签字</w:t>
            </w:r>
          </w:p>
        </w:tc>
        <w:tc>
          <w:tcPr>
            <w:tcW w:w="4127" w:type="pct"/>
            <w:gridSpan w:val="7"/>
            <w:vAlign w:val="bottom"/>
          </w:tcPr>
          <w:p>
            <w:pPr>
              <w:spacing w:line="360" w:lineRule="auto"/>
              <w:jc w:val="right"/>
              <w:rPr>
                <w:rFonts w:hint="eastAsia"/>
                <w:color w:val="auto"/>
                <w:sz w:val="21"/>
                <w:szCs w:val="21"/>
              </w:rPr>
            </w:pPr>
            <w:r>
              <w:rPr>
                <w:rFonts w:hint="eastAsia"/>
                <w:color w:val="auto"/>
                <w:sz w:val="21"/>
                <w:szCs w:val="21"/>
              </w:rPr>
              <w:t xml:space="preserve">                                                                签字：               年       月     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机构办公室主任意见</w:t>
            </w:r>
          </w:p>
        </w:tc>
        <w:tc>
          <w:tcPr>
            <w:tcW w:w="4127" w:type="pct"/>
            <w:gridSpan w:val="7"/>
            <w:vAlign w:val="bottom"/>
          </w:tcPr>
          <w:p>
            <w:pPr>
              <w:spacing w:line="360" w:lineRule="auto"/>
              <w:jc w:val="right"/>
              <w:rPr>
                <w:rFonts w:hint="eastAsia"/>
                <w:color w:val="auto"/>
                <w:sz w:val="21"/>
                <w:szCs w:val="21"/>
              </w:rPr>
            </w:pPr>
            <w:r>
              <w:rPr>
                <w:rFonts w:hint="eastAsia"/>
                <w:color w:val="auto"/>
                <w:sz w:val="21"/>
                <w:szCs w:val="21"/>
              </w:rPr>
              <w:t xml:space="preserve">                                                                签字：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5000" w:type="pct"/>
            <w:gridSpan w:val="8"/>
            <w:vAlign w:val="center"/>
          </w:tcPr>
          <w:p>
            <w:pPr>
              <w:spacing w:line="360" w:lineRule="auto"/>
              <w:jc w:val="center"/>
              <w:rPr>
                <w:rFonts w:hint="eastAsia"/>
                <w:color w:val="auto"/>
                <w:sz w:val="21"/>
                <w:szCs w:val="21"/>
              </w:rPr>
            </w:pPr>
            <w:r>
              <w:rPr>
                <w:rFonts w:hint="eastAsia"/>
                <w:color w:val="auto"/>
                <w:sz w:val="21"/>
                <w:szCs w:val="21"/>
              </w:rPr>
              <w:t>执行情况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销毁日期</w:t>
            </w:r>
          </w:p>
        </w:tc>
        <w:tc>
          <w:tcPr>
            <w:tcW w:w="1109" w:type="pct"/>
            <w:vAlign w:val="top"/>
          </w:tcPr>
          <w:p>
            <w:pPr>
              <w:spacing w:line="360" w:lineRule="auto"/>
              <w:jc w:val="left"/>
              <w:rPr>
                <w:color w:val="auto"/>
                <w:sz w:val="21"/>
                <w:szCs w:val="21"/>
              </w:rPr>
            </w:pPr>
          </w:p>
        </w:tc>
        <w:tc>
          <w:tcPr>
            <w:tcW w:w="63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销毁地点</w:t>
            </w:r>
          </w:p>
        </w:tc>
        <w:tc>
          <w:tcPr>
            <w:tcW w:w="1250" w:type="pct"/>
            <w:vAlign w:val="top"/>
          </w:tcPr>
          <w:p>
            <w:pPr>
              <w:spacing w:line="360" w:lineRule="auto"/>
              <w:jc w:val="left"/>
              <w:rPr>
                <w:color w:val="auto"/>
                <w:sz w:val="21"/>
                <w:szCs w:val="21"/>
              </w:rPr>
            </w:pPr>
          </w:p>
        </w:tc>
        <w:tc>
          <w:tcPr>
            <w:tcW w:w="492"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color w:val="auto"/>
                <w:sz w:val="21"/>
                <w:szCs w:val="21"/>
                <w:lang w:val="en-US" w:eastAsia="zh-CN"/>
              </w:rPr>
            </w:pPr>
            <w:r>
              <w:rPr>
                <w:rFonts w:hint="eastAsia"/>
                <w:color w:val="auto"/>
                <w:sz w:val="21"/>
                <w:szCs w:val="21"/>
                <w:lang w:val="en-US" w:eastAsia="zh-CN"/>
              </w:rPr>
              <w:t>销毁方式</w:t>
            </w:r>
          </w:p>
        </w:tc>
        <w:tc>
          <w:tcPr>
            <w:tcW w:w="642" w:type="pct"/>
            <w:vAlign w:val="top"/>
          </w:tcPr>
          <w:p>
            <w:pPr>
              <w:spacing w:line="360" w:lineRule="auto"/>
              <w:jc w:val="left"/>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销毁执行人签字</w:t>
            </w:r>
          </w:p>
        </w:tc>
        <w:tc>
          <w:tcPr>
            <w:tcW w:w="4127" w:type="pct"/>
            <w:gridSpan w:val="7"/>
            <w:vAlign w:val="top"/>
          </w:tcPr>
          <w:p>
            <w:pPr>
              <w:spacing w:line="360" w:lineRule="auto"/>
              <w:jc w:val="left"/>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 xml:space="preserve">                                                                 签字：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销毁监督人签字</w:t>
            </w:r>
          </w:p>
        </w:tc>
        <w:tc>
          <w:tcPr>
            <w:tcW w:w="4127" w:type="pct"/>
            <w:gridSpan w:val="7"/>
            <w:vAlign w:val="top"/>
          </w:tcPr>
          <w:p>
            <w:pPr>
              <w:spacing w:line="360" w:lineRule="auto"/>
              <w:jc w:val="left"/>
              <w:rPr>
                <w:rFonts w:hint="eastAsia"/>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 xml:space="preserve">                                                                 签字：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8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olor w:val="auto"/>
                <w:sz w:val="21"/>
                <w:szCs w:val="21"/>
              </w:rPr>
              <w:t>备注</w:t>
            </w:r>
          </w:p>
        </w:tc>
        <w:tc>
          <w:tcPr>
            <w:tcW w:w="4127" w:type="pct"/>
            <w:gridSpan w:val="7"/>
            <w:vAlign w:val="top"/>
          </w:tcPr>
          <w:p>
            <w:pPr>
              <w:spacing w:line="360" w:lineRule="auto"/>
              <w:jc w:val="left"/>
              <w:rPr>
                <w:rFonts w:hint="eastAsia"/>
                <w:color w:val="auto"/>
                <w:sz w:val="21"/>
                <w:szCs w:val="21"/>
              </w:rPr>
            </w:pPr>
          </w:p>
        </w:tc>
      </w:tr>
    </w:tbl>
    <w:p>
      <w:pPr>
        <w:spacing w:line="360" w:lineRule="auto"/>
        <w:jc w:val="left"/>
      </w:pPr>
      <w:r>
        <w:rPr>
          <w:rFonts w:hint="eastAsia"/>
          <w:color w:val="auto"/>
          <w:szCs w:val="21"/>
        </w:rPr>
        <w:t>备注：“销毁内容”一栏必须写明具体内容</w:t>
      </w:r>
      <w:r>
        <w:rPr>
          <w:rFonts w:hint="eastAsia"/>
          <w:color w:val="auto"/>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3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3"/>
        <w:gridCol w:w="885"/>
        <w:gridCol w:w="945"/>
        <w:gridCol w:w="3294"/>
        <w:gridCol w:w="2400"/>
        <w:gridCol w:w="1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723"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88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4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3294"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2400"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083" w:type="dxa"/>
            <w:vAlign w:val="center"/>
          </w:tcPr>
          <w:p>
            <w:pPr>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23"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88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3.0</w:t>
            </w:r>
          </w:p>
        </w:tc>
        <w:tc>
          <w:tcPr>
            <w:tcW w:w="94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3294" w:type="dxa"/>
            <w:vAlign w:val="center"/>
          </w:tcPr>
          <w:p>
            <w:pPr>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1.根据最新版 GCP的要求和实际工作需要，修订文件存档时间，新增档案资料销毁相关内容。</w:t>
            </w:r>
          </w:p>
          <w:p>
            <w:pPr>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2.为确保制度的严谨性,增加参考文献。</w:t>
            </w:r>
          </w:p>
        </w:tc>
        <w:tc>
          <w:tcPr>
            <w:tcW w:w="2400"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1.修订档案保存时间。2.新增销毁资料档案的先相关规定，新增附件11《档案资料销毁授权书》和附件 12《药物临 代园床试验/医疗器械临床加江我和试验档案资料销毁登记表》。</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3.新增参考文献。</w:t>
            </w:r>
          </w:p>
        </w:tc>
        <w:tc>
          <w:tcPr>
            <w:tcW w:w="1083" w:type="dxa"/>
            <w:vAlign w:val="center"/>
          </w:tcPr>
          <w:p>
            <w:pPr>
              <w:jc w:val="left"/>
              <w:rPr>
                <w:rFonts w:hint="default" w:ascii="宋体" w:hAnsi="宋体" w:eastAsia="宋体" w:cs="宋体"/>
                <w:color w:val="auto"/>
                <w:lang w:val="en-US" w:eastAsia="zh-CN"/>
              </w:rPr>
            </w:pPr>
            <w:r>
              <w:rPr>
                <w:rFonts w:hint="eastAsia" w:ascii="宋体" w:hAnsi="宋体" w:eastAsia="宋体" w:cs="宋体"/>
                <w:color w:val="auto"/>
                <w:lang w:val="en-US" w:eastAsia="zh-CN"/>
              </w:rPr>
              <w:t>代国莹/2022年09月30日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723" w:type="dxa"/>
            <w:vAlign w:val="center"/>
          </w:tcPr>
          <w:p>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2</w:t>
            </w:r>
          </w:p>
        </w:tc>
        <w:tc>
          <w:tcPr>
            <w:tcW w:w="885" w:type="dxa"/>
            <w:vAlign w:val="center"/>
          </w:tcPr>
          <w:p>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3.1</w:t>
            </w:r>
          </w:p>
        </w:tc>
        <w:tc>
          <w:tcPr>
            <w:tcW w:w="945" w:type="dxa"/>
            <w:vAlign w:val="center"/>
          </w:tcPr>
          <w:p>
            <w:pPr>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3.2</w:t>
            </w:r>
          </w:p>
        </w:tc>
        <w:tc>
          <w:tcPr>
            <w:tcW w:w="3294"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1.根据最新法规要求，修订立项评估相关内容。</w:t>
            </w:r>
          </w:p>
          <w:p>
            <w:pPr>
              <w:rPr>
                <w:rFonts w:hint="default" w:ascii="宋体" w:hAnsi="宋体" w:eastAsia="宋体" w:cs="宋体"/>
                <w:color w:val="auto"/>
                <w:lang w:val="en-US" w:eastAsia="zh-CN"/>
              </w:rPr>
            </w:pPr>
            <w:r>
              <w:rPr>
                <w:rFonts w:hint="eastAsia" w:ascii="宋体" w:hAnsi="宋体" w:eastAsia="宋体" w:cs="宋体"/>
                <w:color w:val="auto"/>
                <w:lang w:val="en-US" w:eastAsia="zh-CN"/>
              </w:rPr>
              <w:t>2.根据“医疗器械/体外诊断试剂临床试验基本文件目录”修订《医疗器械临床试验项目资料归档清单》</w:t>
            </w:r>
          </w:p>
          <w:p>
            <w:pPr>
              <w:rPr>
                <w:rFonts w:hint="default" w:ascii="宋体" w:hAnsi="宋体" w:eastAsia="宋体" w:cs="宋体"/>
                <w:color w:val="auto"/>
                <w:lang w:val="en-US" w:eastAsia="zh-CN"/>
              </w:rPr>
            </w:pPr>
            <w:r>
              <w:rPr>
                <w:rFonts w:hint="eastAsia" w:ascii="宋体" w:hAnsi="宋体" w:eastAsia="宋体" w:cs="宋体"/>
                <w:color w:val="auto"/>
                <w:lang w:val="en-US" w:eastAsia="zh-CN"/>
              </w:rPr>
              <w:t>3.修订参</w:t>
            </w:r>
            <w:r>
              <w:rPr>
                <w:rFonts w:hint="eastAsia" w:ascii="宋体" w:hAnsi="宋体" w:eastAsia="宋体" w:cs="宋体"/>
                <w:color w:val="auto"/>
                <w:sz w:val="21"/>
                <w:szCs w:val="21"/>
                <w:lang w:val="en-US" w:eastAsia="zh-CN"/>
              </w:rPr>
              <w:t>考文献。</w:t>
            </w:r>
          </w:p>
        </w:tc>
        <w:tc>
          <w:tcPr>
            <w:tcW w:w="2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1.修订附件1-4，附件表中均增加：“立项审查评估审批文件：医疗器械临床试验申请表/临床试验立项评估表/医疗器械临床试验审批表”内容。</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2.修订《医疗器械临床试验项目资料归档清单》。</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eastAsia" w:ascii="宋体" w:hAnsi="宋体" w:eastAsia="宋体" w:cs="宋体"/>
                <w:color w:val="auto"/>
                <w:lang w:val="en-US" w:eastAsia="zh-CN"/>
              </w:rPr>
            </w:pPr>
            <w:r>
              <w:rPr>
                <w:rFonts w:hint="eastAsia" w:ascii="宋体" w:hAnsi="宋体" w:eastAsia="宋体" w:cs="宋体"/>
                <w:color w:val="auto"/>
                <w:sz w:val="21"/>
                <w:szCs w:val="21"/>
                <w:lang w:val="en-US" w:eastAsia="zh-CN"/>
              </w:rPr>
              <w:t>3.修订参考文献。</w:t>
            </w:r>
          </w:p>
        </w:tc>
        <w:tc>
          <w:tcPr>
            <w:tcW w:w="1083" w:type="dxa"/>
            <w:vAlign w:val="center"/>
          </w:tcPr>
          <w:p>
            <w:pPr>
              <w:jc w:val="left"/>
              <w:rPr>
                <w:rFonts w:hint="eastAsia" w:ascii="宋体" w:hAnsi="宋体" w:eastAsia="宋体" w:cs="宋体"/>
                <w:color w:val="auto"/>
                <w:lang w:val="en-US" w:eastAsia="zh-CN"/>
              </w:rPr>
            </w:pPr>
          </w:p>
        </w:tc>
      </w:tr>
    </w:tbl>
    <w:p>
      <w:pPr>
        <w:spacing w:line="360" w:lineRule="auto"/>
        <w:ind w:firstLine="2530" w:firstLineChars="900"/>
        <w:rPr>
          <w:rFonts w:hint="eastAsia" w:ascii="黑体" w:hAnsi="黑体" w:eastAsia="黑体" w:cs="黑体"/>
          <w:b/>
          <w:bCs/>
          <w:color w:val="auto"/>
          <w:sz w:val="28"/>
          <w:szCs w:val="28"/>
        </w:rPr>
        <w:sectPr>
          <w:headerReference r:id="rId152" w:type="default"/>
          <w:footerReference r:id="rId153" w:type="default"/>
          <w:pgSz w:w="11906" w:h="16838"/>
          <w:pgMar w:top="1417" w:right="1191" w:bottom="1474" w:left="1474" w:header="0" w:footer="992" w:gutter="0"/>
          <w:pgBorders>
            <w:top w:val="none" w:sz="0" w:space="0"/>
            <w:left w:val="none" w:sz="0" w:space="0"/>
            <w:bottom w:val="none" w:sz="0" w:space="0"/>
            <w:right w:val="none" w:sz="0" w:space="0"/>
          </w:pgBorders>
          <w:pgNumType w:fmt="decimal"/>
          <w:cols w:space="0" w:num="1"/>
          <w:docGrid w:type="lines" w:linePitch="312" w:charSpace="0"/>
        </w:sectPr>
      </w:pPr>
    </w:p>
    <w:p>
      <w:pPr>
        <w:spacing w:line="360" w:lineRule="auto"/>
        <w:jc w:val="center"/>
        <w:rPr>
          <w:rFonts w:ascii="黑体" w:hAnsi="黑体" w:eastAsia="黑体" w:cs="黑体"/>
          <w:b/>
          <w:bCs/>
          <w:color w:val="auto"/>
          <w:sz w:val="28"/>
          <w:szCs w:val="28"/>
        </w:rPr>
      </w:pPr>
      <w:r>
        <w:rPr>
          <w:rFonts w:hint="eastAsia" w:ascii="黑体" w:hAnsi="黑体" w:eastAsia="黑体" w:cs="黑体"/>
          <w:b/>
          <w:bCs/>
          <w:color w:val="auto"/>
          <w:sz w:val="28"/>
          <w:szCs w:val="28"/>
        </w:rPr>
        <w:t>临床试验结题的SOP</w:t>
      </w:r>
    </w:p>
    <w:p>
      <w:pPr>
        <w:numPr>
          <w:ilvl w:val="0"/>
          <w:numId w:val="0"/>
        </w:numPr>
        <w:spacing w:line="360" w:lineRule="auto"/>
        <w:rPr>
          <w:rFonts w:asciiTheme="minorEastAsia" w:hAnsi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SA"/>
        </w:rPr>
        <w:t>一、</w:t>
      </w:r>
      <w:r>
        <w:rPr>
          <w:rFonts w:hint="eastAsia" w:asciiTheme="minorEastAsia" w:hAnsiTheme="minorEastAsia" w:cstheme="minorEastAsia"/>
          <w:color w:val="auto"/>
          <w:sz w:val="24"/>
          <w:szCs w:val="24"/>
        </w:rPr>
        <w:t>目的</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为规范临床试验结题管理的流程，加强机构对临床试验项目的质量管理。</w:t>
      </w:r>
    </w:p>
    <w:p>
      <w:pPr>
        <w:numPr>
          <w:ilvl w:val="0"/>
          <w:numId w:val="0"/>
        </w:numPr>
        <w:spacing w:line="360" w:lineRule="auto"/>
        <w:rPr>
          <w:rFonts w:asciiTheme="minorEastAsia" w:hAnsi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SA"/>
        </w:rPr>
        <w:t>二、</w:t>
      </w:r>
      <w:r>
        <w:rPr>
          <w:rFonts w:hint="eastAsia" w:asciiTheme="minorEastAsia" w:hAnsiTheme="minorEastAsia" w:cstheme="minorEastAsia"/>
          <w:color w:val="auto"/>
          <w:sz w:val="24"/>
          <w:szCs w:val="24"/>
        </w:rPr>
        <w:t>适用范围</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本</w:t>
      </w:r>
      <w:r>
        <w:rPr>
          <w:rFonts w:hint="eastAsia" w:asciiTheme="minorEastAsia" w:hAnsiTheme="minorEastAsia" w:cstheme="minorEastAsia"/>
          <w:color w:val="auto"/>
          <w:sz w:val="24"/>
          <w:szCs w:val="24"/>
          <w:lang w:val="en-US" w:eastAsia="zh-CN"/>
        </w:rPr>
        <w:t>机构药物和医疗器械</w:t>
      </w:r>
      <w:r>
        <w:rPr>
          <w:rFonts w:hint="eastAsia" w:asciiTheme="minorEastAsia" w:hAnsiTheme="minorEastAsia" w:cstheme="minorEastAsia"/>
          <w:color w:val="auto"/>
          <w:sz w:val="24"/>
          <w:szCs w:val="24"/>
        </w:rPr>
        <w:t>临床试验的结题管理。</w:t>
      </w:r>
    </w:p>
    <w:p>
      <w:pPr>
        <w:numPr>
          <w:ilvl w:val="0"/>
          <w:numId w:val="0"/>
        </w:numPr>
        <w:spacing w:line="360" w:lineRule="auto"/>
        <w:rPr>
          <w:rFonts w:asciiTheme="minorEastAsia" w:hAnsi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SA"/>
        </w:rPr>
        <w:t>三、</w:t>
      </w:r>
      <w:r>
        <w:rPr>
          <w:rFonts w:hint="eastAsia" w:asciiTheme="minorEastAsia" w:hAnsiTheme="minorEastAsia" w:cstheme="minorEastAsia"/>
          <w:color w:val="auto"/>
          <w:sz w:val="24"/>
          <w:szCs w:val="24"/>
        </w:rPr>
        <w:t>规程</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1.项目结束后，按照《药物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的接收、保存、分发、回收、退还的标准操作规程》清点剩余</w:t>
      </w:r>
      <w:r>
        <w:rPr>
          <w:rFonts w:hint="eastAsia" w:asciiTheme="minorEastAsia" w:hAnsiTheme="minorEastAsia" w:cstheme="minorEastAsia"/>
          <w:color w:val="auto"/>
          <w:sz w:val="24"/>
          <w:szCs w:val="24"/>
          <w:lang w:val="en-US" w:eastAsia="zh-CN"/>
        </w:rPr>
        <w:t>试验</w:t>
      </w:r>
      <w:r>
        <w:rPr>
          <w:rFonts w:hint="eastAsia" w:asciiTheme="minorEastAsia" w:hAnsiTheme="minorEastAsia" w:cstheme="minorEastAsia"/>
          <w:color w:val="auto"/>
          <w:sz w:val="24"/>
          <w:szCs w:val="24"/>
        </w:rPr>
        <w:t>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，退返申办者/CRO。</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2.CRC/CRA、药物</w:t>
      </w:r>
      <w:r>
        <w:rPr>
          <w:rFonts w:hint="eastAsia" w:asciiTheme="minorEastAsia" w:hAnsiTheme="minorEastAsia" w:cstheme="minorEastAsia"/>
          <w:color w:val="auto"/>
          <w:sz w:val="24"/>
          <w:szCs w:val="24"/>
          <w:lang w:val="en-US" w:eastAsia="zh-CN"/>
        </w:rPr>
        <w:t>/医疗器械管理员</w:t>
      </w:r>
      <w:r>
        <w:rPr>
          <w:rFonts w:hint="eastAsia" w:asciiTheme="minorEastAsia" w:hAnsiTheme="minorEastAsia" w:cstheme="minorEastAsia"/>
          <w:color w:val="auto"/>
          <w:sz w:val="24"/>
          <w:szCs w:val="24"/>
        </w:rPr>
        <w:t>管理员以及研究者整理相关文件（包括研究者文件夹和受试者文件夹等）送往临床试验机构办公室，同时提交《临床试验结题签认表》</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附件1</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、中心小结表以及</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临床试验结题经费核算表</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附件2</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3.机构质控员根据《</w:t>
      </w:r>
      <w:r>
        <w:rPr>
          <w:rFonts w:hint="eastAsia" w:asciiTheme="minorEastAsia" w:hAnsiTheme="minorEastAsia" w:cstheme="minorEastAsia"/>
          <w:color w:val="auto"/>
          <w:sz w:val="24"/>
          <w:szCs w:val="24"/>
          <w:lang w:val="en-US" w:eastAsia="zh-CN"/>
        </w:rPr>
        <w:t>药物/医疗器械</w:t>
      </w:r>
      <w:r>
        <w:rPr>
          <w:rFonts w:hint="eastAsia" w:asciiTheme="minorEastAsia" w:hAnsiTheme="minorEastAsia" w:cstheme="minorEastAsia"/>
          <w:color w:val="auto"/>
          <w:sz w:val="24"/>
          <w:szCs w:val="24"/>
        </w:rPr>
        <w:t>临床试验质控检查表（结题）》</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附件3</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和《试验用药物/医疗器械质控检查表》（机构对各专业临床试验质量控制的SOP，附件5/附件6）</w:t>
      </w:r>
      <w:r>
        <w:rPr>
          <w:rFonts w:hint="eastAsia" w:asciiTheme="minorEastAsia" w:hAnsiTheme="minorEastAsia" w:cstheme="minorEastAsia"/>
          <w:color w:val="auto"/>
          <w:sz w:val="24"/>
          <w:szCs w:val="24"/>
        </w:rPr>
        <w:t>内容进行质控检查，</w:t>
      </w:r>
      <w:r>
        <w:rPr>
          <w:rFonts w:hint="eastAsia" w:asciiTheme="minorEastAsia" w:hAnsiTheme="minorEastAsia" w:cstheme="minorEastAsia"/>
          <w:color w:val="auto"/>
          <w:sz w:val="24"/>
          <w:szCs w:val="24"/>
          <w:lang w:val="en-US" w:eastAsia="zh-CN"/>
        </w:rPr>
        <w:t>质控</w:t>
      </w:r>
      <w:r>
        <w:rPr>
          <w:rFonts w:hint="eastAsia" w:asciiTheme="minorEastAsia" w:hAnsiTheme="minorEastAsia" w:cstheme="minorEastAsia"/>
          <w:color w:val="auto"/>
          <w:sz w:val="24"/>
          <w:szCs w:val="24"/>
        </w:rPr>
        <w:t>内容包括（但不限于）；受试者知情与权益、方案执行情况、抽查CRF与数据溯源、监察稽查情况、药物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管理以及资料管理等，并填写《</w:t>
      </w:r>
      <w:r>
        <w:rPr>
          <w:rFonts w:hint="eastAsia" w:asciiTheme="minorEastAsia" w:hAnsiTheme="minorEastAsia" w:cstheme="minorEastAsia"/>
          <w:color w:val="auto"/>
          <w:sz w:val="24"/>
          <w:szCs w:val="24"/>
          <w:lang w:val="en-US" w:eastAsia="zh-CN"/>
        </w:rPr>
        <w:t>药物/医疗器械</w:t>
      </w:r>
      <w:r>
        <w:rPr>
          <w:rFonts w:hint="eastAsia" w:asciiTheme="minorEastAsia" w:hAnsiTheme="minorEastAsia" w:cstheme="minorEastAsia"/>
          <w:color w:val="auto"/>
          <w:sz w:val="24"/>
          <w:szCs w:val="24"/>
        </w:rPr>
        <w:t>临床试验质控检查表（结题）》。如发现问题，填写《</w:t>
      </w:r>
      <w:r>
        <w:rPr>
          <w:rFonts w:hint="eastAsia" w:asciiTheme="minorEastAsia" w:hAnsiTheme="minorEastAsia" w:cstheme="minorEastAsia"/>
          <w:color w:val="auto"/>
          <w:sz w:val="24"/>
          <w:szCs w:val="24"/>
          <w:lang w:val="en-US" w:eastAsia="zh-CN"/>
        </w:rPr>
        <w:t>药物/医疗器械</w:t>
      </w:r>
      <w:r>
        <w:rPr>
          <w:rFonts w:hint="eastAsia" w:asciiTheme="minorEastAsia" w:hAnsiTheme="minorEastAsia" w:cstheme="minorEastAsia"/>
          <w:color w:val="auto"/>
          <w:sz w:val="24"/>
          <w:szCs w:val="24"/>
        </w:rPr>
        <w:t>临床试验质控检查结果反馈表》</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附件4</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并交予项目负责人，要求其对质控检查中发现的问题进行反馈或改正。</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4.确认所有存在的问题得到解决后，机构质控员填写《</w:t>
      </w:r>
      <w:r>
        <w:rPr>
          <w:rFonts w:hint="eastAsia" w:asciiTheme="minorEastAsia" w:hAnsiTheme="minorEastAsia" w:cstheme="minorEastAsia"/>
          <w:color w:val="auto"/>
          <w:sz w:val="24"/>
          <w:szCs w:val="24"/>
          <w:lang w:val="en-US" w:eastAsia="zh-CN"/>
        </w:rPr>
        <w:t>药物/医疗器械</w:t>
      </w:r>
      <w:r>
        <w:rPr>
          <w:rFonts w:hint="eastAsia" w:asciiTheme="minorEastAsia" w:hAnsiTheme="minorEastAsia" w:cstheme="minorEastAsia"/>
          <w:color w:val="auto"/>
          <w:sz w:val="24"/>
          <w:szCs w:val="24"/>
        </w:rPr>
        <w:t>临床试验质控检查总结表》</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附件5</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并提交机构办公室主任审核签名，审核通过后在中心小结表和总结报告表上盖章，机构保留一份原件。</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5.机构资料管理员清点所有资料，根据《临床试验档案管理制度》要求进行归档管理。</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6.对于在质控检查中发现弄虚作假，机构将取消该项目组开展药物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临床试验的资格，并给予相关人员和项目负责人相应的处罚。</w:t>
      </w:r>
    </w:p>
    <w:p>
      <w:pPr>
        <w:spacing w:line="360" w:lineRule="auto"/>
        <w:rPr>
          <w:color w:val="auto"/>
          <w:sz w:val="24"/>
          <w:szCs w:val="24"/>
        </w:rPr>
      </w:pPr>
      <w:r>
        <w:rPr>
          <w:rFonts w:hint="eastAsia"/>
          <w:color w:val="auto"/>
          <w:sz w:val="24"/>
          <w:szCs w:val="24"/>
        </w:rPr>
        <w:t xml:space="preserve">四、附件：   </w:t>
      </w:r>
    </w:p>
    <w:p>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附件1 临床试验项目结题签认表</w:t>
      </w:r>
    </w:p>
    <w:p>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附件2 临床试验结题经费核算表</w:t>
      </w:r>
    </w:p>
    <w:p>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附件3 药物</w:t>
      </w:r>
      <w:r>
        <w:rPr>
          <w:rFonts w:hint="eastAsia" w:ascii="宋体" w:hAnsi="宋体" w:eastAsia="宋体" w:cs="宋体"/>
          <w:color w:val="auto"/>
          <w:sz w:val="24"/>
          <w:szCs w:val="24"/>
          <w:lang w:val="en-US" w:eastAsia="zh-CN"/>
        </w:rPr>
        <w:t>/医疗器械</w:t>
      </w:r>
      <w:r>
        <w:rPr>
          <w:rFonts w:hint="eastAsia" w:ascii="宋体" w:hAnsi="宋体" w:eastAsia="宋体" w:cs="宋体"/>
          <w:color w:val="auto"/>
          <w:sz w:val="24"/>
          <w:szCs w:val="24"/>
        </w:rPr>
        <w:t>临床试验质控检查表（结题）</w:t>
      </w:r>
    </w:p>
    <w:p>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附件4 药物</w:t>
      </w:r>
      <w:r>
        <w:rPr>
          <w:rFonts w:hint="eastAsia" w:ascii="宋体" w:hAnsi="宋体" w:eastAsia="宋体" w:cs="宋体"/>
          <w:color w:val="auto"/>
          <w:sz w:val="24"/>
          <w:szCs w:val="24"/>
          <w:lang w:val="en-US" w:eastAsia="zh-CN"/>
        </w:rPr>
        <w:t>/医疗器械</w:t>
      </w:r>
      <w:r>
        <w:rPr>
          <w:rFonts w:hint="eastAsia" w:ascii="宋体" w:hAnsi="宋体" w:eastAsia="宋体" w:cs="宋体"/>
          <w:color w:val="auto"/>
          <w:sz w:val="24"/>
          <w:szCs w:val="24"/>
        </w:rPr>
        <w:t>临床试验质控检查结果反馈表（结题）</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附件5 药物</w:t>
      </w:r>
      <w:r>
        <w:rPr>
          <w:rFonts w:hint="eastAsia" w:ascii="宋体" w:hAnsi="宋体" w:eastAsia="宋体" w:cs="宋体"/>
          <w:color w:val="auto"/>
          <w:sz w:val="24"/>
          <w:szCs w:val="24"/>
          <w:lang w:val="en-US" w:eastAsia="zh-CN"/>
        </w:rPr>
        <w:t>/医疗器械</w:t>
      </w:r>
      <w:r>
        <w:rPr>
          <w:rFonts w:hint="eastAsia" w:ascii="宋体" w:hAnsi="宋体" w:eastAsia="宋体" w:cs="宋体"/>
          <w:color w:val="auto"/>
          <w:sz w:val="24"/>
          <w:szCs w:val="24"/>
        </w:rPr>
        <w:t>临床试验质控检查总结表</w:t>
      </w:r>
    </w:p>
    <w:p>
      <w:pPr>
        <w:spacing w:line="360" w:lineRule="auto"/>
        <w:rPr>
          <w:rFonts w:hint="eastAsia"/>
          <w:b/>
          <w:bCs/>
          <w:color w:val="auto"/>
          <w:sz w:val="24"/>
          <w:szCs w:val="24"/>
        </w:rPr>
      </w:pPr>
    </w:p>
    <w:p>
      <w:pPr>
        <w:spacing w:line="360" w:lineRule="auto"/>
        <w:rPr>
          <w:b/>
          <w:bCs/>
          <w:color w:val="auto"/>
          <w:sz w:val="24"/>
          <w:szCs w:val="24"/>
        </w:rPr>
      </w:pPr>
      <w:r>
        <w:rPr>
          <w:rFonts w:hint="eastAsia"/>
          <w:b/>
          <w:bCs/>
          <w:color w:val="auto"/>
          <w:sz w:val="24"/>
          <w:szCs w:val="24"/>
        </w:rPr>
        <w:t>附件1：临床试验项目结题签认表</w:t>
      </w:r>
    </w:p>
    <w:tbl>
      <w:tblPr>
        <w:tblStyle w:val="27"/>
        <w:tblW w:w="8670"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010"/>
        <w:gridCol w:w="114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440" w:type="dxa"/>
          </w:tcPr>
          <w:p>
            <w:pPr>
              <w:spacing w:line="360" w:lineRule="auto"/>
              <w:jc w:val="center"/>
              <w:rPr>
                <w:color w:val="auto"/>
              </w:rPr>
            </w:pPr>
            <w:r>
              <w:rPr>
                <w:rFonts w:hint="eastAsia"/>
                <w:color w:val="auto"/>
              </w:rPr>
              <w:t>项目名称</w:t>
            </w:r>
          </w:p>
        </w:tc>
        <w:tc>
          <w:tcPr>
            <w:tcW w:w="7230" w:type="dxa"/>
            <w:gridSpan w:val="3"/>
          </w:tcPr>
          <w:p>
            <w:pPr>
              <w:spacing w:line="360" w:lineRule="auto"/>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40" w:type="dxa"/>
          </w:tcPr>
          <w:p>
            <w:pPr>
              <w:spacing w:line="360" w:lineRule="auto"/>
              <w:jc w:val="center"/>
              <w:rPr>
                <w:color w:val="auto"/>
              </w:rPr>
            </w:pPr>
            <w:r>
              <w:rPr>
                <w:rFonts w:hint="eastAsia"/>
                <w:color w:val="auto"/>
              </w:rPr>
              <w:t>主要研究者</w:t>
            </w:r>
          </w:p>
        </w:tc>
        <w:tc>
          <w:tcPr>
            <w:tcW w:w="7230" w:type="dxa"/>
            <w:gridSpan w:val="3"/>
          </w:tcPr>
          <w:p>
            <w:pPr>
              <w:spacing w:line="360" w:lineRule="auto"/>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440" w:type="dxa"/>
          </w:tcPr>
          <w:p>
            <w:pPr>
              <w:spacing w:line="360" w:lineRule="auto"/>
              <w:jc w:val="center"/>
              <w:rPr>
                <w:color w:val="auto"/>
              </w:rPr>
            </w:pPr>
            <w:r>
              <w:rPr>
                <w:rFonts w:hint="eastAsia"/>
                <w:color w:val="auto"/>
              </w:rPr>
              <w:t>指定人员</w:t>
            </w:r>
          </w:p>
        </w:tc>
        <w:tc>
          <w:tcPr>
            <w:tcW w:w="5010" w:type="dxa"/>
          </w:tcPr>
          <w:p>
            <w:pPr>
              <w:spacing w:line="360" w:lineRule="auto"/>
              <w:ind w:firstLine="1575" w:firstLineChars="750"/>
              <w:jc w:val="left"/>
              <w:rPr>
                <w:color w:val="auto"/>
              </w:rPr>
            </w:pPr>
            <w:r>
              <w:rPr>
                <w:rFonts w:hint="eastAsia"/>
                <w:color w:val="auto"/>
              </w:rPr>
              <w:t>确认内容</w:t>
            </w:r>
          </w:p>
        </w:tc>
        <w:tc>
          <w:tcPr>
            <w:tcW w:w="1140" w:type="dxa"/>
          </w:tcPr>
          <w:p>
            <w:pPr>
              <w:spacing w:line="360" w:lineRule="auto"/>
              <w:ind w:firstLine="210" w:firstLineChars="100"/>
              <w:jc w:val="left"/>
              <w:rPr>
                <w:color w:val="auto"/>
              </w:rPr>
            </w:pPr>
            <w:r>
              <w:rPr>
                <w:rFonts w:hint="eastAsia"/>
                <w:color w:val="auto"/>
              </w:rPr>
              <w:t>签名</w:t>
            </w:r>
          </w:p>
        </w:tc>
        <w:tc>
          <w:tcPr>
            <w:tcW w:w="1080" w:type="dxa"/>
          </w:tcPr>
          <w:p>
            <w:pPr>
              <w:spacing w:line="360" w:lineRule="auto"/>
              <w:ind w:firstLine="210" w:firstLineChars="100"/>
              <w:jc w:val="left"/>
              <w:rPr>
                <w:color w:val="auto"/>
              </w:rPr>
            </w:pPr>
            <w:r>
              <w:rPr>
                <w:rFonts w:hint="eastAsia"/>
                <w:color w:val="auto"/>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440" w:type="dxa"/>
            <w:vMerge w:val="restart"/>
            <w:vAlign w:val="center"/>
          </w:tcPr>
          <w:p>
            <w:pPr>
              <w:spacing w:line="360" w:lineRule="auto"/>
              <w:jc w:val="center"/>
              <w:rPr>
                <w:color w:val="auto"/>
              </w:rPr>
            </w:pPr>
            <w:r>
              <w:rPr>
                <w:rFonts w:hint="eastAsia"/>
                <w:color w:val="auto"/>
              </w:rPr>
              <w:t>主要研究者</w:t>
            </w:r>
          </w:p>
        </w:tc>
        <w:tc>
          <w:tcPr>
            <w:tcW w:w="5010" w:type="dxa"/>
          </w:tcPr>
          <w:p>
            <w:pPr>
              <w:spacing w:line="360" w:lineRule="auto"/>
              <w:jc w:val="left"/>
              <w:rPr>
                <w:color w:val="auto"/>
              </w:rPr>
            </w:pPr>
            <w:r>
              <w:rPr>
                <w:rFonts w:hint="eastAsia"/>
                <w:color w:val="auto"/>
              </w:rPr>
              <w:t>该项目已完成，申请结题</w:t>
            </w:r>
          </w:p>
        </w:tc>
        <w:tc>
          <w:tcPr>
            <w:tcW w:w="1140" w:type="dxa"/>
          </w:tcPr>
          <w:p>
            <w:pPr>
              <w:spacing w:line="360" w:lineRule="auto"/>
              <w:jc w:val="left"/>
              <w:rPr>
                <w:color w:val="auto"/>
              </w:rPr>
            </w:pPr>
          </w:p>
        </w:tc>
        <w:tc>
          <w:tcPr>
            <w:tcW w:w="1080" w:type="dxa"/>
          </w:tcPr>
          <w:p>
            <w:pPr>
              <w:spacing w:line="360" w:lineRule="auto"/>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440" w:type="dxa"/>
            <w:vMerge w:val="continue"/>
          </w:tcPr>
          <w:p>
            <w:pPr>
              <w:spacing w:line="360" w:lineRule="auto"/>
              <w:jc w:val="center"/>
              <w:rPr>
                <w:color w:val="auto"/>
              </w:rPr>
            </w:pPr>
          </w:p>
        </w:tc>
        <w:tc>
          <w:tcPr>
            <w:tcW w:w="5010" w:type="dxa"/>
          </w:tcPr>
          <w:p>
            <w:pPr>
              <w:spacing w:line="360" w:lineRule="auto"/>
              <w:jc w:val="left"/>
              <w:rPr>
                <w:color w:val="auto"/>
              </w:rPr>
            </w:pPr>
            <w:r>
              <w:rPr>
                <w:rFonts w:hint="eastAsia"/>
                <w:color w:val="auto"/>
              </w:rPr>
              <w:t>该项目的全部研究费用已支付</w:t>
            </w:r>
          </w:p>
        </w:tc>
        <w:tc>
          <w:tcPr>
            <w:tcW w:w="1140" w:type="dxa"/>
          </w:tcPr>
          <w:p>
            <w:pPr>
              <w:spacing w:line="360" w:lineRule="auto"/>
              <w:jc w:val="left"/>
              <w:rPr>
                <w:color w:val="auto"/>
              </w:rPr>
            </w:pPr>
          </w:p>
        </w:tc>
        <w:tc>
          <w:tcPr>
            <w:tcW w:w="1080" w:type="dxa"/>
          </w:tcPr>
          <w:p>
            <w:pPr>
              <w:spacing w:line="360" w:lineRule="auto"/>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40" w:type="dxa"/>
            <w:vMerge w:val="restart"/>
            <w:vAlign w:val="center"/>
          </w:tcPr>
          <w:p>
            <w:pPr>
              <w:spacing w:line="360" w:lineRule="auto"/>
              <w:jc w:val="center"/>
              <w:rPr>
                <w:rFonts w:eastAsia="宋体"/>
                <w:color w:val="auto"/>
              </w:rPr>
            </w:pPr>
            <w:r>
              <w:rPr>
                <w:rFonts w:hint="eastAsia"/>
                <w:color w:val="auto"/>
              </w:rPr>
              <w:t>研究者</w:t>
            </w:r>
          </w:p>
        </w:tc>
        <w:tc>
          <w:tcPr>
            <w:tcW w:w="5010" w:type="dxa"/>
            <w:vAlign w:val="center"/>
          </w:tcPr>
          <w:p>
            <w:pPr>
              <w:spacing w:line="360" w:lineRule="auto"/>
              <w:rPr>
                <w:color w:val="auto"/>
              </w:rPr>
            </w:pPr>
            <w:r>
              <w:rPr>
                <w:rFonts w:hint="eastAsia"/>
                <w:color w:val="auto"/>
              </w:rPr>
              <w:t>该项目的剩余试验物资已退回/处理</w:t>
            </w:r>
          </w:p>
        </w:tc>
        <w:tc>
          <w:tcPr>
            <w:tcW w:w="1140" w:type="dxa"/>
          </w:tcPr>
          <w:p>
            <w:pPr>
              <w:spacing w:line="360" w:lineRule="auto"/>
              <w:jc w:val="left"/>
              <w:rPr>
                <w:color w:val="auto"/>
              </w:rPr>
            </w:pPr>
          </w:p>
        </w:tc>
        <w:tc>
          <w:tcPr>
            <w:tcW w:w="1080" w:type="dxa"/>
          </w:tcPr>
          <w:p>
            <w:pPr>
              <w:spacing w:line="360" w:lineRule="auto"/>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440" w:type="dxa"/>
            <w:vMerge w:val="continue"/>
          </w:tcPr>
          <w:p>
            <w:pPr>
              <w:spacing w:line="360" w:lineRule="auto"/>
              <w:jc w:val="center"/>
              <w:rPr>
                <w:color w:val="auto"/>
              </w:rPr>
            </w:pPr>
          </w:p>
        </w:tc>
        <w:tc>
          <w:tcPr>
            <w:tcW w:w="5010" w:type="dxa"/>
            <w:vAlign w:val="center"/>
          </w:tcPr>
          <w:p>
            <w:pPr>
              <w:rPr>
                <w:color w:val="auto"/>
              </w:rPr>
            </w:pPr>
            <w:r>
              <w:rPr>
                <w:rFonts w:hint="eastAsia"/>
                <w:color w:val="auto"/>
              </w:rPr>
              <w:t>该项目的研究文件及资料已根据归档目录整理，已完整</w:t>
            </w:r>
          </w:p>
        </w:tc>
        <w:tc>
          <w:tcPr>
            <w:tcW w:w="1140" w:type="dxa"/>
          </w:tcPr>
          <w:p>
            <w:pPr>
              <w:spacing w:line="360" w:lineRule="auto"/>
              <w:jc w:val="left"/>
              <w:rPr>
                <w:color w:val="auto"/>
              </w:rPr>
            </w:pPr>
          </w:p>
        </w:tc>
        <w:tc>
          <w:tcPr>
            <w:tcW w:w="1080" w:type="dxa"/>
          </w:tcPr>
          <w:p>
            <w:pPr>
              <w:spacing w:line="360" w:lineRule="auto"/>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440" w:type="dxa"/>
            <w:vMerge w:val="continue"/>
          </w:tcPr>
          <w:p>
            <w:pPr>
              <w:spacing w:line="360" w:lineRule="auto"/>
              <w:jc w:val="center"/>
              <w:rPr>
                <w:color w:val="auto"/>
              </w:rPr>
            </w:pPr>
          </w:p>
        </w:tc>
        <w:tc>
          <w:tcPr>
            <w:tcW w:w="5010" w:type="dxa"/>
            <w:vAlign w:val="center"/>
          </w:tcPr>
          <w:p>
            <w:pPr>
              <w:spacing w:line="360" w:lineRule="auto"/>
              <w:rPr>
                <w:color w:val="auto"/>
              </w:rPr>
            </w:pPr>
            <w:r>
              <w:rPr>
                <w:rFonts w:hint="eastAsia"/>
                <w:color w:val="auto"/>
              </w:rPr>
              <w:t>该项目的原始资料已完善并归入病案室</w:t>
            </w:r>
          </w:p>
        </w:tc>
        <w:tc>
          <w:tcPr>
            <w:tcW w:w="1140" w:type="dxa"/>
          </w:tcPr>
          <w:p>
            <w:pPr>
              <w:spacing w:line="360" w:lineRule="auto"/>
              <w:jc w:val="left"/>
              <w:rPr>
                <w:color w:val="auto"/>
              </w:rPr>
            </w:pPr>
          </w:p>
        </w:tc>
        <w:tc>
          <w:tcPr>
            <w:tcW w:w="1080" w:type="dxa"/>
          </w:tcPr>
          <w:p>
            <w:pPr>
              <w:spacing w:line="360" w:lineRule="auto"/>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440" w:type="dxa"/>
            <w:vMerge w:val="continue"/>
          </w:tcPr>
          <w:p>
            <w:pPr>
              <w:spacing w:line="360" w:lineRule="auto"/>
              <w:jc w:val="center"/>
              <w:rPr>
                <w:color w:val="auto"/>
              </w:rPr>
            </w:pPr>
          </w:p>
        </w:tc>
        <w:tc>
          <w:tcPr>
            <w:tcW w:w="5010" w:type="dxa"/>
            <w:vAlign w:val="center"/>
          </w:tcPr>
          <w:p>
            <w:pPr>
              <w:rPr>
                <w:color w:val="auto"/>
              </w:rPr>
            </w:pPr>
            <w:r>
              <w:rPr>
                <w:rFonts w:hint="eastAsia"/>
                <w:color w:val="auto"/>
              </w:rPr>
              <w:t>该项目的完成报告和总结报告已递交伦理委员会备案</w:t>
            </w:r>
          </w:p>
        </w:tc>
        <w:tc>
          <w:tcPr>
            <w:tcW w:w="1140" w:type="dxa"/>
          </w:tcPr>
          <w:p>
            <w:pPr>
              <w:spacing w:line="360" w:lineRule="auto"/>
              <w:jc w:val="left"/>
              <w:rPr>
                <w:color w:val="auto"/>
              </w:rPr>
            </w:pPr>
          </w:p>
        </w:tc>
        <w:tc>
          <w:tcPr>
            <w:tcW w:w="1080" w:type="dxa"/>
          </w:tcPr>
          <w:p>
            <w:pPr>
              <w:spacing w:line="360" w:lineRule="auto"/>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440" w:type="dxa"/>
            <w:vAlign w:val="center"/>
          </w:tcPr>
          <w:p>
            <w:pPr>
              <w:spacing w:line="360" w:lineRule="auto"/>
              <w:jc w:val="center"/>
              <w:rPr>
                <w:color w:val="auto"/>
              </w:rPr>
            </w:pPr>
            <w:r>
              <w:rPr>
                <w:rFonts w:hint="eastAsia"/>
                <w:color w:val="auto"/>
              </w:rPr>
              <w:t>药品</w:t>
            </w:r>
            <w:r>
              <w:rPr>
                <w:rFonts w:hint="eastAsia"/>
                <w:color w:val="auto"/>
                <w:lang w:val="en-US" w:eastAsia="zh-CN"/>
              </w:rPr>
              <w:t>/医疗器械</w:t>
            </w:r>
            <w:r>
              <w:rPr>
                <w:rFonts w:hint="eastAsia"/>
                <w:color w:val="auto"/>
              </w:rPr>
              <w:t>管理员</w:t>
            </w:r>
          </w:p>
        </w:tc>
        <w:tc>
          <w:tcPr>
            <w:tcW w:w="5010" w:type="dxa"/>
            <w:vAlign w:val="center"/>
          </w:tcPr>
          <w:p>
            <w:pPr>
              <w:spacing w:line="360" w:lineRule="auto"/>
              <w:rPr>
                <w:color w:val="auto"/>
              </w:rPr>
            </w:pPr>
            <w:r>
              <w:rPr>
                <w:rFonts w:hint="eastAsia"/>
                <w:color w:val="auto"/>
              </w:rPr>
              <w:t>该项目的剩余药品</w:t>
            </w:r>
            <w:r>
              <w:rPr>
                <w:rFonts w:hint="eastAsia"/>
                <w:color w:val="auto"/>
                <w:lang w:val="en-US" w:eastAsia="zh-CN"/>
              </w:rPr>
              <w:t>/医疗器械</w:t>
            </w:r>
            <w:r>
              <w:rPr>
                <w:rFonts w:hint="eastAsia"/>
                <w:color w:val="auto"/>
              </w:rPr>
              <w:t>已退回申办者/销毁</w:t>
            </w:r>
          </w:p>
        </w:tc>
        <w:tc>
          <w:tcPr>
            <w:tcW w:w="1140" w:type="dxa"/>
          </w:tcPr>
          <w:p>
            <w:pPr>
              <w:spacing w:line="360" w:lineRule="auto"/>
              <w:jc w:val="left"/>
              <w:rPr>
                <w:color w:val="auto"/>
              </w:rPr>
            </w:pPr>
          </w:p>
        </w:tc>
        <w:tc>
          <w:tcPr>
            <w:tcW w:w="1080" w:type="dxa"/>
          </w:tcPr>
          <w:p>
            <w:pPr>
              <w:spacing w:line="360" w:lineRule="auto"/>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440" w:type="dxa"/>
            <w:vAlign w:val="center"/>
          </w:tcPr>
          <w:p>
            <w:pPr>
              <w:jc w:val="center"/>
              <w:rPr>
                <w:color w:val="auto"/>
              </w:rPr>
            </w:pPr>
            <w:r>
              <w:rPr>
                <w:rFonts w:hint="eastAsia"/>
                <w:color w:val="auto"/>
              </w:rPr>
              <w:t>项目质量管理员</w:t>
            </w:r>
          </w:p>
        </w:tc>
        <w:tc>
          <w:tcPr>
            <w:tcW w:w="5010" w:type="dxa"/>
            <w:vAlign w:val="center"/>
          </w:tcPr>
          <w:p>
            <w:pPr>
              <w:spacing w:line="360" w:lineRule="auto"/>
              <w:rPr>
                <w:color w:val="auto"/>
              </w:rPr>
            </w:pPr>
            <w:r>
              <w:rPr>
                <w:rFonts w:hint="eastAsia"/>
                <w:color w:val="auto"/>
              </w:rPr>
              <w:t>我已对该项目进行了检查，并同意进行项目归档</w:t>
            </w:r>
          </w:p>
        </w:tc>
        <w:tc>
          <w:tcPr>
            <w:tcW w:w="1140" w:type="dxa"/>
          </w:tcPr>
          <w:p>
            <w:pPr>
              <w:spacing w:line="360" w:lineRule="auto"/>
              <w:jc w:val="left"/>
              <w:rPr>
                <w:color w:val="auto"/>
              </w:rPr>
            </w:pPr>
          </w:p>
        </w:tc>
        <w:tc>
          <w:tcPr>
            <w:tcW w:w="1080" w:type="dxa"/>
          </w:tcPr>
          <w:p>
            <w:pPr>
              <w:spacing w:line="360" w:lineRule="auto"/>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440" w:type="dxa"/>
            <w:vAlign w:val="center"/>
          </w:tcPr>
          <w:p>
            <w:pPr>
              <w:spacing w:line="360" w:lineRule="auto"/>
              <w:jc w:val="center"/>
              <w:rPr>
                <w:color w:val="auto"/>
              </w:rPr>
            </w:pPr>
            <w:r>
              <w:rPr>
                <w:rFonts w:hint="eastAsia"/>
                <w:color w:val="auto"/>
              </w:rPr>
              <w:t>档案管理员</w:t>
            </w:r>
          </w:p>
        </w:tc>
        <w:tc>
          <w:tcPr>
            <w:tcW w:w="5010" w:type="dxa"/>
            <w:vAlign w:val="center"/>
          </w:tcPr>
          <w:p>
            <w:pPr>
              <w:spacing w:line="360" w:lineRule="auto"/>
              <w:rPr>
                <w:color w:val="auto"/>
              </w:rPr>
            </w:pPr>
            <w:r>
              <w:rPr>
                <w:rFonts w:hint="eastAsia"/>
                <w:color w:val="auto"/>
              </w:rPr>
              <w:t>我已对该项目的资料目录进行审核，接受项目归档</w:t>
            </w:r>
          </w:p>
        </w:tc>
        <w:tc>
          <w:tcPr>
            <w:tcW w:w="1140" w:type="dxa"/>
          </w:tcPr>
          <w:p>
            <w:pPr>
              <w:spacing w:line="360" w:lineRule="auto"/>
              <w:jc w:val="left"/>
              <w:rPr>
                <w:color w:val="auto"/>
              </w:rPr>
            </w:pPr>
          </w:p>
        </w:tc>
        <w:tc>
          <w:tcPr>
            <w:tcW w:w="1080" w:type="dxa"/>
          </w:tcPr>
          <w:p>
            <w:pPr>
              <w:spacing w:line="360" w:lineRule="auto"/>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440" w:type="dxa"/>
            <w:vAlign w:val="center"/>
          </w:tcPr>
          <w:p>
            <w:pPr>
              <w:spacing w:line="360" w:lineRule="auto"/>
              <w:jc w:val="center"/>
              <w:rPr>
                <w:rFonts w:eastAsia="宋体"/>
                <w:color w:val="auto"/>
              </w:rPr>
            </w:pPr>
            <w:r>
              <w:rPr>
                <w:rFonts w:hint="eastAsia"/>
                <w:color w:val="auto"/>
              </w:rPr>
              <w:t>备注</w:t>
            </w:r>
          </w:p>
        </w:tc>
        <w:tc>
          <w:tcPr>
            <w:tcW w:w="7230" w:type="dxa"/>
            <w:gridSpan w:val="3"/>
          </w:tcPr>
          <w:p>
            <w:pPr>
              <w:spacing w:line="360" w:lineRule="auto"/>
              <w:jc w:val="left"/>
              <w:rPr>
                <w:color w:val="auto"/>
                <w:szCs w:val="21"/>
              </w:rPr>
            </w:pPr>
          </w:p>
        </w:tc>
      </w:tr>
    </w:tbl>
    <w:p>
      <w:pPr>
        <w:rPr>
          <w:color w:val="auto"/>
          <w:sz w:val="24"/>
          <w:szCs w:val="24"/>
        </w:rPr>
      </w:pPr>
    </w:p>
    <w:p>
      <w:pPr>
        <w:rPr>
          <w:color w:val="auto"/>
          <w:sz w:val="24"/>
          <w:szCs w:val="24"/>
        </w:rPr>
      </w:pPr>
    </w:p>
    <w:p>
      <w:pPr>
        <w:rPr>
          <w:color w:val="auto"/>
          <w:sz w:val="24"/>
          <w:szCs w:val="24"/>
        </w:rPr>
      </w:pPr>
    </w:p>
    <w:p>
      <w:pPr>
        <w:rPr>
          <w:color w:val="auto"/>
          <w:sz w:val="24"/>
          <w:szCs w:val="24"/>
        </w:rPr>
      </w:pPr>
    </w:p>
    <w:p>
      <w:pPr>
        <w:rPr>
          <w:color w:val="auto"/>
          <w:sz w:val="24"/>
          <w:szCs w:val="24"/>
        </w:rPr>
      </w:pPr>
    </w:p>
    <w:p>
      <w:pPr>
        <w:rPr>
          <w:color w:val="auto"/>
          <w:sz w:val="24"/>
          <w:szCs w:val="24"/>
        </w:rPr>
      </w:pPr>
    </w:p>
    <w:p>
      <w:pPr>
        <w:rPr>
          <w:color w:val="auto"/>
          <w:sz w:val="24"/>
          <w:szCs w:val="24"/>
        </w:rPr>
      </w:pPr>
    </w:p>
    <w:p>
      <w:pPr>
        <w:rPr>
          <w:color w:val="auto"/>
          <w:sz w:val="24"/>
          <w:szCs w:val="24"/>
        </w:rPr>
      </w:pPr>
    </w:p>
    <w:p>
      <w:pPr>
        <w:rPr>
          <w:color w:val="auto"/>
          <w:sz w:val="24"/>
          <w:szCs w:val="24"/>
        </w:rPr>
      </w:pPr>
    </w:p>
    <w:p>
      <w:pPr>
        <w:rPr>
          <w:color w:val="auto"/>
          <w:sz w:val="24"/>
          <w:szCs w:val="24"/>
        </w:rPr>
      </w:pPr>
    </w:p>
    <w:p>
      <w:pPr>
        <w:rPr>
          <w:color w:val="auto"/>
          <w:sz w:val="24"/>
          <w:szCs w:val="24"/>
        </w:rPr>
      </w:pPr>
    </w:p>
    <w:p>
      <w:pPr>
        <w:rPr>
          <w:color w:val="auto"/>
          <w:sz w:val="24"/>
          <w:szCs w:val="24"/>
        </w:rPr>
      </w:pPr>
    </w:p>
    <w:p>
      <w:pPr>
        <w:rPr>
          <w:color w:val="auto"/>
          <w:sz w:val="24"/>
          <w:szCs w:val="24"/>
        </w:rPr>
      </w:pPr>
    </w:p>
    <w:p>
      <w:pPr>
        <w:rPr>
          <w:color w:val="auto"/>
          <w:sz w:val="24"/>
          <w:szCs w:val="24"/>
        </w:rPr>
      </w:pPr>
    </w:p>
    <w:p>
      <w:pPr>
        <w:rPr>
          <w:color w:val="auto"/>
          <w:sz w:val="24"/>
          <w:szCs w:val="24"/>
        </w:rPr>
      </w:pPr>
    </w:p>
    <w:p>
      <w:pPr>
        <w:rPr>
          <w:color w:val="auto"/>
          <w:sz w:val="24"/>
          <w:szCs w:val="24"/>
        </w:rPr>
      </w:pPr>
    </w:p>
    <w:p>
      <w:pPr>
        <w:rPr>
          <w:rFonts w:asciiTheme="minorEastAsia" w:hAnsiTheme="minorEastAsia" w:cstheme="minorEastAsia"/>
          <w:b/>
          <w:bCs/>
          <w:color w:val="auto"/>
          <w:sz w:val="24"/>
          <w:szCs w:val="24"/>
        </w:rPr>
      </w:pPr>
      <w:r>
        <w:rPr>
          <w:rFonts w:hint="eastAsia" w:asciiTheme="minorEastAsia" w:hAnsiTheme="minorEastAsia" w:cstheme="minorEastAsia"/>
          <w:b/>
          <w:bCs/>
          <w:color w:val="auto"/>
          <w:sz w:val="24"/>
          <w:szCs w:val="24"/>
        </w:rPr>
        <w:t>附件2 临床试验结题经费核算表</w:t>
      </w:r>
    </w:p>
    <w:p>
      <w:pPr>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 xml:space="preserve">    自________________________________________________项目开展以来，按照临床试验协议规定内容，______________________________共向贵医院下述账号：</w:t>
      </w:r>
    </w:p>
    <w:p>
      <w:pPr>
        <w:spacing w:line="360" w:lineRule="auto"/>
        <w:rPr>
          <w:rFonts w:asciiTheme="minorEastAsia" w:hAnsiTheme="minorEastAsia" w:cstheme="minorEastAsia"/>
          <w:color w:val="auto"/>
          <w:sz w:val="24"/>
          <w:szCs w:val="24"/>
        </w:rPr>
      </w:pPr>
    </w:p>
    <w:p>
      <w:pPr>
        <w:rPr>
          <w:rFonts w:asciiTheme="minorEastAsia" w:hAnsiTheme="minorEastAsia" w:cstheme="minorEastAsia"/>
          <w:color w:val="auto"/>
          <w:sz w:val="24"/>
          <w:szCs w:val="24"/>
        </w:rPr>
      </w:pPr>
      <w:r>
        <w:rPr>
          <w:rFonts w:hint="eastAsia" w:asciiTheme="minorEastAsia" w:hAnsiTheme="minorEastAsia" w:cstheme="minorEastAsia"/>
          <w:color w:val="auto"/>
          <w:sz w:val="24"/>
          <w:szCs w:val="24"/>
          <w:u w:val="single"/>
        </w:rPr>
        <w:t>沂源县人民医院</w:t>
      </w:r>
    </w:p>
    <w:p>
      <w:pPr>
        <w:rPr>
          <w:rFonts w:asciiTheme="minorEastAsia" w:hAnsiTheme="minorEastAsia" w:cstheme="minorEastAsia"/>
          <w:color w:val="auto"/>
          <w:sz w:val="24"/>
          <w:szCs w:val="24"/>
          <w:u w:val="single"/>
        </w:rPr>
      </w:pPr>
    </w:p>
    <w:p>
      <w:pPr>
        <w:rPr>
          <w:rFonts w:asciiTheme="minorEastAsia" w:hAnsiTheme="minorEastAsia" w:cstheme="minorEastAsia"/>
          <w:color w:val="auto"/>
          <w:sz w:val="24"/>
          <w:szCs w:val="24"/>
          <w:u w:val="single"/>
        </w:rPr>
      </w:pPr>
      <w:r>
        <w:rPr>
          <w:rFonts w:hint="eastAsia" w:asciiTheme="minorEastAsia" w:hAnsiTheme="minorEastAsia" w:cstheme="minorEastAsia"/>
          <w:color w:val="auto"/>
          <w:sz w:val="24"/>
          <w:szCs w:val="24"/>
          <w:u w:val="single"/>
        </w:rPr>
        <w:t>1525 0101 04000 2373</w:t>
      </w:r>
    </w:p>
    <w:p>
      <w:pPr>
        <w:rPr>
          <w:rFonts w:asciiTheme="minorEastAsia" w:hAnsiTheme="minorEastAsia" w:cstheme="minorEastAsia"/>
          <w:color w:val="auto"/>
          <w:sz w:val="24"/>
          <w:szCs w:val="24"/>
          <w:u w:val="single"/>
        </w:rPr>
      </w:pPr>
    </w:p>
    <w:p>
      <w:pPr>
        <w:rPr>
          <w:rFonts w:asciiTheme="minorEastAsia" w:hAnsiTheme="minorEastAsia" w:cstheme="minorEastAsia"/>
          <w:color w:val="auto"/>
          <w:sz w:val="24"/>
          <w:szCs w:val="24"/>
          <w:u w:val="single"/>
        </w:rPr>
      </w:pPr>
      <w:r>
        <w:rPr>
          <w:rFonts w:hint="eastAsia" w:asciiTheme="minorEastAsia" w:hAnsiTheme="minorEastAsia" w:cstheme="minorEastAsia"/>
          <w:color w:val="auto"/>
          <w:sz w:val="24"/>
          <w:szCs w:val="24"/>
          <w:u w:val="single"/>
        </w:rPr>
        <w:t>农行沂源支行</w:t>
      </w:r>
    </w:p>
    <w:p>
      <w:pPr>
        <w:rPr>
          <w:rFonts w:asciiTheme="minorEastAsia" w:hAnsiTheme="minorEastAsia" w:cstheme="minorEastAsia"/>
          <w:color w:val="auto"/>
          <w:sz w:val="24"/>
          <w:szCs w:val="24"/>
          <w:u w:val="single"/>
        </w:rPr>
      </w:pP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rPr>
                <w:color w:val="auto"/>
              </w:rPr>
            </w:pPr>
            <w:r>
              <w:rPr>
                <w:rFonts w:hint="eastAsia"/>
                <w:color w:val="auto"/>
              </w:rPr>
              <w:t>付款款日期</w:t>
            </w:r>
          </w:p>
        </w:tc>
        <w:tc>
          <w:tcPr>
            <w:tcW w:w="2841" w:type="dxa"/>
          </w:tcPr>
          <w:p>
            <w:pPr>
              <w:spacing w:line="360" w:lineRule="auto"/>
              <w:rPr>
                <w:color w:val="auto"/>
                <w:u w:val="single"/>
              </w:rPr>
            </w:pPr>
            <w:r>
              <w:rPr>
                <w:rFonts w:hint="eastAsia" w:ascii="宋体" w:hAnsi="宋体" w:eastAsia="宋体" w:cs="宋体"/>
                <w:color w:val="auto"/>
              </w:rPr>
              <w:t>金额（RMB）</w:t>
            </w:r>
          </w:p>
        </w:tc>
        <w:tc>
          <w:tcPr>
            <w:tcW w:w="2841" w:type="dxa"/>
          </w:tcPr>
          <w:p>
            <w:pPr>
              <w:spacing w:line="360" w:lineRule="auto"/>
              <w:rPr>
                <w:color w:val="auto"/>
                <w:u w:val="single"/>
              </w:rPr>
            </w:pPr>
            <w:r>
              <w:rPr>
                <w:rFonts w:hint="eastAsia"/>
                <w:color w:val="auto"/>
              </w:rPr>
              <w:t>发票号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rPr>
                <w:color w:val="auto"/>
                <w:u w:val="single"/>
              </w:rPr>
            </w:pPr>
          </w:p>
        </w:tc>
        <w:tc>
          <w:tcPr>
            <w:tcW w:w="2841" w:type="dxa"/>
          </w:tcPr>
          <w:p>
            <w:pPr>
              <w:spacing w:line="360" w:lineRule="auto"/>
              <w:rPr>
                <w:color w:val="auto"/>
                <w:u w:val="single"/>
              </w:rPr>
            </w:pPr>
          </w:p>
        </w:tc>
        <w:tc>
          <w:tcPr>
            <w:tcW w:w="2841" w:type="dxa"/>
          </w:tcPr>
          <w:p>
            <w:pPr>
              <w:spacing w:line="360" w:lineRule="auto"/>
              <w:rPr>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rPr>
                <w:color w:val="auto"/>
                <w:u w:val="single"/>
              </w:rPr>
            </w:pPr>
          </w:p>
        </w:tc>
        <w:tc>
          <w:tcPr>
            <w:tcW w:w="2841" w:type="dxa"/>
          </w:tcPr>
          <w:p>
            <w:pPr>
              <w:spacing w:line="360" w:lineRule="auto"/>
              <w:rPr>
                <w:color w:val="auto"/>
                <w:u w:val="single"/>
              </w:rPr>
            </w:pPr>
          </w:p>
        </w:tc>
        <w:tc>
          <w:tcPr>
            <w:tcW w:w="2841" w:type="dxa"/>
          </w:tcPr>
          <w:p>
            <w:pPr>
              <w:spacing w:line="360" w:lineRule="auto"/>
              <w:rPr>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rPr>
                <w:color w:val="auto"/>
                <w:u w:val="single"/>
              </w:rPr>
            </w:pPr>
          </w:p>
        </w:tc>
        <w:tc>
          <w:tcPr>
            <w:tcW w:w="2841" w:type="dxa"/>
          </w:tcPr>
          <w:p>
            <w:pPr>
              <w:spacing w:line="360" w:lineRule="auto"/>
              <w:rPr>
                <w:color w:val="auto"/>
                <w:u w:val="single"/>
              </w:rPr>
            </w:pPr>
          </w:p>
        </w:tc>
        <w:tc>
          <w:tcPr>
            <w:tcW w:w="2841" w:type="dxa"/>
          </w:tcPr>
          <w:p>
            <w:pPr>
              <w:spacing w:line="360" w:lineRule="auto"/>
              <w:rPr>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rPr>
                <w:color w:val="auto"/>
                <w:u w:val="single"/>
              </w:rPr>
            </w:pPr>
          </w:p>
        </w:tc>
        <w:tc>
          <w:tcPr>
            <w:tcW w:w="2841" w:type="dxa"/>
          </w:tcPr>
          <w:p>
            <w:pPr>
              <w:spacing w:line="360" w:lineRule="auto"/>
              <w:rPr>
                <w:color w:val="auto"/>
                <w:u w:val="single"/>
              </w:rPr>
            </w:pPr>
          </w:p>
        </w:tc>
        <w:tc>
          <w:tcPr>
            <w:tcW w:w="2841" w:type="dxa"/>
          </w:tcPr>
          <w:p>
            <w:pPr>
              <w:spacing w:line="360" w:lineRule="auto"/>
              <w:rPr>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rPr>
                <w:color w:val="auto"/>
                <w:u w:val="single"/>
              </w:rPr>
            </w:pPr>
          </w:p>
        </w:tc>
        <w:tc>
          <w:tcPr>
            <w:tcW w:w="2841" w:type="dxa"/>
          </w:tcPr>
          <w:p>
            <w:pPr>
              <w:spacing w:line="360" w:lineRule="auto"/>
              <w:rPr>
                <w:color w:val="auto"/>
                <w:u w:val="single"/>
              </w:rPr>
            </w:pPr>
          </w:p>
        </w:tc>
        <w:tc>
          <w:tcPr>
            <w:tcW w:w="2841" w:type="dxa"/>
          </w:tcPr>
          <w:p>
            <w:pPr>
              <w:spacing w:line="360" w:lineRule="auto"/>
              <w:rPr>
                <w:color w:val="auto"/>
                <w:u w:val="single"/>
              </w:rPr>
            </w:pPr>
          </w:p>
        </w:tc>
      </w:tr>
    </w:tbl>
    <w:p>
      <w:pPr>
        <w:spacing w:line="360" w:lineRule="auto"/>
        <w:rPr>
          <w:color w:val="auto"/>
          <w:sz w:val="24"/>
          <w:szCs w:val="24"/>
        </w:rPr>
      </w:pPr>
      <w:r>
        <w:rPr>
          <w:rFonts w:hint="eastAsia"/>
          <w:color w:val="auto"/>
          <w:sz w:val="24"/>
          <w:szCs w:val="24"/>
        </w:rPr>
        <w:t>本项目经结束，所有临床试验协议规定的费用已支付完成。</w:t>
      </w:r>
    </w:p>
    <w:p>
      <w:pPr>
        <w:rPr>
          <w:color w:val="auto"/>
          <w:sz w:val="24"/>
          <w:szCs w:val="24"/>
        </w:rPr>
      </w:pPr>
      <w:r>
        <w:rPr>
          <w:rFonts w:hint="eastAsia"/>
          <w:color w:val="auto"/>
          <w:sz w:val="24"/>
          <w:szCs w:val="24"/>
        </w:rPr>
        <w:t xml:space="preserve">                          </w:t>
      </w:r>
    </w:p>
    <w:p>
      <w:pPr>
        <w:rPr>
          <w:color w:val="auto"/>
          <w:sz w:val="24"/>
          <w:szCs w:val="24"/>
        </w:rPr>
      </w:pPr>
    </w:p>
    <w:p>
      <w:pPr>
        <w:spacing w:line="360" w:lineRule="auto"/>
        <w:rPr>
          <w:color w:val="auto"/>
          <w:sz w:val="24"/>
          <w:szCs w:val="24"/>
        </w:rPr>
      </w:pPr>
      <w:r>
        <w:rPr>
          <w:rFonts w:hint="eastAsia"/>
          <w:color w:val="auto"/>
          <w:sz w:val="24"/>
          <w:szCs w:val="24"/>
        </w:rPr>
        <w:t xml:space="preserve">                                        监查员签名：                   日期：</w:t>
      </w:r>
    </w:p>
    <w:p>
      <w:pPr>
        <w:spacing w:line="360" w:lineRule="auto"/>
        <w:rPr>
          <w:color w:val="auto"/>
          <w:sz w:val="24"/>
          <w:szCs w:val="24"/>
        </w:rPr>
      </w:pPr>
      <w:r>
        <w:rPr>
          <w:rFonts w:hint="eastAsia"/>
          <w:color w:val="auto"/>
          <w:sz w:val="24"/>
          <w:szCs w:val="24"/>
        </w:rPr>
        <w:t xml:space="preserve">                                        项目负责人签名：               日期：</w:t>
      </w:r>
    </w:p>
    <w:p>
      <w:pPr>
        <w:spacing w:line="360" w:lineRule="auto"/>
        <w:rPr>
          <w:color w:val="auto"/>
          <w:sz w:val="24"/>
          <w:szCs w:val="24"/>
        </w:rPr>
      </w:pPr>
    </w:p>
    <w:p>
      <w:pPr>
        <w:rPr>
          <w:color w:val="auto"/>
        </w:rPr>
      </w:pPr>
    </w:p>
    <w:p>
      <w:pPr>
        <w:rPr>
          <w:color w:val="auto"/>
        </w:rPr>
      </w:pPr>
    </w:p>
    <w:p>
      <w:pPr>
        <w:rPr>
          <w:color w:val="auto"/>
        </w:rPr>
      </w:pPr>
    </w:p>
    <w:p>
      <w:pPr>
        <w:rPr>
          <w:color w:val="auto"/>
          <w:sz w:val="24"/>
          <w:szCs w:val="24"/>
        </w:rPr>
      </w:pPr>
    </w:p>
    <w:p>
      <w:pPr>
        <w:rPr>
          <w:color w:val="auto"/>
          <w:sz w:val="24"/>
          <w:szCs w:val="24"/>
        </w:rPr>
      </w:pPr>
    </w:p>
    <w:p>
      <w:pPr>
        <w:rPr>
          <w:color w:val="auto"/>
          <w:sz w:val="24"/>
          <w:szCs w:val="24"/>
        </w:rPr>
      </w:pPr>
    </w:p>
    <w:p>
      <w:pPr>
        <w:rPr>
          <w:color w:val="auto"/>
          <w:sz w:val="24"/>
          <w:szCs w:val="24"/>
        </w:rPr>
      </w:pPr>
    </w:p>
    <w:p>
      <w:pPr>
        <w:rPr>
          <w:color w:val="auto"/>
          <w:sz w:val="24"/>
          <w:szCs w:val="24"/>
        </w:rPr>
      </w:pPr>
    </w:p>
    <w:p>
      <w:pPr>
        <w:rPr>
          <w:color w:val="auto"/>
          <w:sz w:val="24"/>
          <w:szCs w:val="24"/>
        </w:rPr>
      </w:pPr>
    </w:p>
    <w:p>
      <w:pPr>
        <w:rPr>
          <w:color w:val="auto"/>
          <w:sz w:val="24"/>
          <w:szCs w:val="24"/>
        </w:rPr>
      </w:pPr>
    </w:p>
    <w:p>
      <w:pPr>
        <w:spacing w:line="360" w:lineRule="auto"/>
        <w:rPr>
          <w:rFonts w:ascii="宋体" w:hAnsi="宋体" w:eastAsia="宋体" w:cs="宋体"/>
          <w:b/>
          <w:bCs/>
          <w:color w:val="auto"/>
          <w:kern w:val="0"/>
          <w:sz w:val="24"/>
          <w:szCs w:val="24"/>
        </w:rPr>
      </w:pPr>
      <w:r>
        <w:rPr>
          <w:rFonts w:hint="eastAsia" w:ascii="宋体" w:hAnsi="宋体" w:eastAsia="宋体" w:cs="宋体"/>
          <w:b/>
          <w:bCs/>
          <w:color w:val="auto"/>
          <w:sz w:val="24"/>
          <w:szCs w:val="24"/>
        </w:rPr>
        <w:t>附件3 药物</w:t>
      </w:r>
      <w:r>
        <w:rPr>
          <w:rFonts w:hint="eastAsia" w:ascii="宋体" w:hAnsi="宋体" w:eastAsia="宋体" w:cs="宋体"/>
          <w:b/>
          <w:bCs/>
          <w:color w:val="auto"/>
          <w:sz w:val="24"/>
          <w:szCs w:val="24"/>
          <w:lang w:val="en-US" w:eastAsia="zh-CN"/>
        </w:rPr>
        <w:t>/医疗器械</w:t>
      </w:r>
      <w:r>
        <w:rPr>
          <w:rFonts w:hint="eastAsia" w:ascii="宋体" w:hAnsi="宋体" w:eastAsia="宋体" w:cs="宋体"/>
          <w:b/>
          <w:bCs/>
          <w:color w:val="auto"/>
          <w:sz w:val="24"/>
          <w:szCs w:val="24"/>
        </w:rPr>
        <w:t>临床试验质控检查表（结题）</w:t>
      </w:r>
    </w:p>
    <w:p>
      <w:pPr>
        <w:spacing w:line="360" w:lineRule="auto"/>
        <w:jc w:val="center"/>
        <w:rPr>
          <w:rFonts w:ascii="宋体" w:hAnsi="宋体" w:eastAsia="宋体" w:cs="宋体"/>
          <w:b/>
          <w:bCs/>
          <w:color w:val="auto"/>
          <w:kern w:val="0"/>
          <w:sz w:val="24"/>
          <w:szCs w:val="24"/>
        </w:rPr>
      </w:pPr>
      <w:r>
        <w:rPr>
          <w:rFonts w:hint="eastAsia" w:ascii="宋体" w:hAnsi="宋体" w:eastAsia="宋体" w:cs="宋体"/>
          <w:b/>
          <w:bCs/>
          <w:color w:val="auto"/>
          <w:sz w:val="24"/>
          <w:szCs w:val="24"/>
        </w:rPr>
        <w:t>药物</w:t>
      </w:r>
      <w:r>
        <w:rPr>
          <w:rFonts w:hint="eastAsia" w:ascii="宋体" w:hAnsi="宋体" w:eastAsia="宋体" w:cs="宋体"/>
          <w:b/>
          <w:bCs/>
          <w:color w:val="auto"/>
          <w:sz w:val="24"/>
          <w:szCs w:val="24"/>
          <w:lang w:val="en-US" w:eastAsia="zh-CN"/>
        </w:rPr>
        <w:t>/医疗器械</w:t>
      </w:r>
      <w:r>
        <w:rPr>
          <w:rFonts w:hint="eastAsia" w:ascii="宋体" w:hAnsi="宋体" w:eastAsia="宋体" w:cs="宋体"/>
          <w:b/>
          <w:bCs/>
          <w:color w:val="auto"/>
          <w:sz w:val="24"/>
          <w:szCs w:val="24"/>
        </w:rPr>
        <w:t>临床试验质控检查表（结题）</w:t>
      </w:r>
    </w:p>
    <w:tbl>
      <w:tblPr>
        <w:tblStyle w:val="27"/>
        <w:tblW w:w="10462" w:type="dxa"/>
        <w:tblInd w:w="-5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1212"/>
        <w:gridCol w:w="3719"/>
        <w:gridCol w:w="2687"/>
        <w:gridCol w:w="492"/>
        <w:gridCol w:w="540"/>
        <w:gridCol w:w="576"/>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494" w:hRule="atLeast"/>
          <w:tblHeader/>
        </w:trPr>
        <w:tc>
          <w:tcPr>
            <w:tcW w:w="10462" w:type="dxa"/>
            <w:gridSpan w:val="7"/>
            <w:vAlign w:val="top"/>
          </w:tcPr>
          <w:p>
            <w:pPr>
              <w:widowControl/>
              <w:spacing w:before="100" w:beforeAutospacing="1" w:after="100" w:afterAutospacing="1"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494" w:hRule="atLeast"/>
          <w:tblHeader/>
        </w:trPr>
        <w:tc>
          <w:tcPr>
            <w:tcW w:w="4931"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宋体" w:hAnsi="宋体" w:eastAsia="宋体" w:cs="宋体"/>
                <w:color w:val="auto"/>
                <w:kern w:val="0"/>
                <w:szCs w:val="21"/>
              </w:rPr>
              <w:t>科室：</w:t>
            </w:r>
          </w:p>
        </w:tc>
        <w:tc>
          <w:tcPr>
            <w:tcW w:w="5531" w:type="dxa"/>
            <w:gridSpan w:val="5"/>
            <w:vAlign w:val="top"/>
          </w:tcPr>
          <w:p>
            <w:pPr>
              <w:widowControl/>
              <w:spacing w:before="100" w:beforeAutospacing="1" w:after="100" w:afterAutospacing="1"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494" w:hRule="atLeast"/>
          <w:tblHeader/>
        </w:trPr>
        <w:tc>
          <w:tcPr>
            <w:tcW w:w="4931"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宋体" w:hAnsi="宋体" w:eastAsia="宋体" w:cs="宋体"/>
                <w:color w:val="auto"/>
                <w:kern w:val="0"/>
                <w:szCs w:val="21"/>
              </w:rPr>
              <w:t>申办方：</w:t>
            </w:r>
          </w:p>
        </w:tc>
        <w:tc>
          <w:tcPr>
            <w:tcW w:w="5531" w:type="dxa"/>
            <w:gridSpan w:val="5"/>
            <w:vAlign w:val="top"/>
          </w:tcPr>
          <w:p>
            <w:pPr>
              <w:widowControl/>
              <w:spacing w:before="100" w:beforeAutospacing="1" w:after="100" w:afterAutospacing="1"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启动时间：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494" w:hRule="atLeast"/>
          <w:tblHeader/>
        </w:trPr>
        <w:tc>
          <w:tcPr>
            <w:tcW w:w="4931"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宋体" w:hAnsi="宋体" w:eastAsia="宋体" w:cs="宋体"/>
                <w:color w:val="auto"/>
                <w:kern w:val="0"/>
                <w:szCs w:val="21"/>
              </w:rPr>
              <w:t>筛选人数：</w:t>
            </w:r>
          </w:p>
        </w:tc>
        <w:tc>
          <w:tcPr>
            <w:tcW w:w="5531" w:type="dxa"/>
            <w:gridSpan w:val="5"/>
            <w:vAlign w:val="top"/>
          </w:tcPr>
          <w:p>
            <w:pPr>
              <w:widowControl/>
              <w:spacing w:before="100" w:beforeAutospacing="1" w:after="100" w:afterAutospacing="1"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入组人数：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494" w:hRule="atLeast"/>
          <w:tblHeader/>
        </w:trPr>
        <w:tc>
          <w:tcPr>
            <w:tcW w:w="4931"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宋体" w:hAnsi="宋体" w:eastAsia="宋体" w:cs="宋体"/>
                <w:color w:val="auto"/>
                <w:kern w:val="0"/>
                <w:szCs w:val="21"/>
              </w:rPr>
              <w:t>脱落人数：</w:t>
            </w:r>
          </w:p>
        </w:tc>
        <w:tc>
          <w:tcPr>
            <w:tcW w:w="5531" w:type="dxa"/>
            <w:gridSpan w:val="5"/>
            <w:vAlign w:val="top"/>
          </w:tcPr>
          <w:p>
            <w:pPr>
              <w:widowControl/>
              <w:spacing w:before="100" w:beforeAutospacing="1" w:after="100" w:afterAutospacing="1"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严重不良事件例数：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494" w:hRule="atLeast"/>
          <w:tblHeader/>
        </w:trPr>
        <w:tc>
          <w:tcPr>
            <w:tcW w:w="4931"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宋体" w:hAnsi="宋体" w:eastAsia="宋体" w:cs="宋体"/>
                <w:color w:val="auto"/>
                <w:kern w:val="0"/>
                <w:szCs w:val="21"/>
              </w:rPr>
              <w:t>CRA（电话）：</w:t>
            </w:r>
          </w:p>
        </w:tc>
        <w:tc>
          <w:tcPr>
            <w:tcW w:w="5531" w:type="dxa"/>
            <w:gridSpan w:val="5"/>
            <w:vAlign w:val="top"/>
          </w:tcPr>
          <w:p>
            <w:pPr>
              <w:widowControl/>
              <w:spacing w:before="100" w:beforeAutospacing="1" w:after="100" w:afterAutospacing="1"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CRC（电话）：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494" w:hRule="atLeast"/>
          <w:tblHeader/>
        </w:trPr>
        <w:tc>
          <w:tcPr>
            <w:tcW w:w="4931"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宋体" w:hAnsi="宋体" w:eastAsia="宋体" w:cs="宋体"/>
                <w:color w:val="auto"/>
                <w:kern w:val="0"/>
                <w:szCs w:val="21"/>
                <w:lang w:val="en-US" w:eastAsia="zh-CN"/>
              </w:rPr>
              <w:t>机构</w:t>
            </w:r>
            <w:r>
              <w:rPr>
                <w:rFonts w:hint="eastAsia" w:ascii="宋体" w:hAnsi="宋体" w:eastAsia="宋体" w:cs="宋体"/>
                <w:color w:val="auto"/>
                <w:kern w:val="0"/>
                <w:szCs w:val="21"/>
              </w:rPr>
              <w:t>质控员：</w:t>
            </w:r>
          </w:p>
        </w:tc>
        <w:tc>
          <w:tcPr>
            <w:tcW w:w="5531" w:type="dxa"/>
            <w:gridSpan w:val="5"/>
            <w:vAlign w:val="top"/>
          </w:tcPr>
          <w:p>
            <w:pPr>
              <w:widowControl/>
              <w:spacing w:before="100" w:beforeAutospacing="1" w:after="100" w:afterAutospacing="1" w:line="360" w:lineRule="auto"/>
              <w:rPr>
                <w:rFonts w:hint="eastAsia" w:ascii="宋体" w:hAnsi="宋体" w:eastAsia="宋体" w:cs="宋体"/>
                <w:color w:val="auto"/>
                <w:kern w:val="0"/>
                <w:szCs w:val="21"/>
              </w:rPr>
            </w:pPr>
            <w:r>
              <w:rPr>
                <w:rFonts w:hint="eastAsia" w:ascii="宋体" w:hAnsi="宋体" w:eastAsia="宋体" w:cs="宋体"/>
                <w:color w:val="auto"/>
                <w:kern w:val="0"/>
                <w:szCs w:val="21"/>
              </w:rPr>
              <w:t>检查时间：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trPr>
        <w:tc>
          <w:tcPr>
            <w:tcW w:w="1212" w:type="dxa"/>
            <w:vAlign w:val="center"/>
          </w:tcPr>
          <w:p>
            <w:pPr>
              <w:widowControl/>
              <w:wordWrap/>
              <w:autoSpaceDE/>
              <w:autoSpaceDN/>
              <w:spacing w:before="20" w:after="20"/>
              <w:jc w:val="center"/>
              <w:rPr>
                <w:rFonts w:hint="eastAsia" w:ascii="宋体" w:hAnsi="宋体" w:eastAsia="宋体" w:cs="Arial"/>
                <w:b/>
                <w:bCs/>
                <w:color w:val="auto"/>
                <w:kern w:val="0"/>
                <w:sz w:val="21"/>
                <w:szCs w:val="21"/>
              </w:rPr>
            </w:pPr>
            <w:r>
              <w:rPr>
                <w:rFonts w:hint="eastAsia" w:ascii="宋体" w:hAnsi="宋体" w:eastAsia="宋体" w:cs="Arial"/>
                <w:b/>
                <w:bCs/>
                <w:color w:val="auto"/>
                <w:kern w:val="0"/>
                <w:sz w:val="21"/>
                <w:szCs w:val="21"/>
                <w:lang w:eastAsia="zh-CN"/>
              </w:rPr>
              <w:t>序号</w:t>
            </w:r>
          </w:p>
        </w:tc>
        <w:tc>
          <w:tcPr>
            <w:tcW w:w="6406" w:type="dxa"/>
            <w:gridSpan w:val="2"/>
            <w:vAlign w:val="center"/>
          </w:tcPr>
          <w:p>
            <w:pPr>
              <w:widowControl/>
              <w:wordWrap/>
              <w:autoSpaceDE/>
              <w:autoSpaceDN/>
              <w:spacing w:before="20" w:after="20"/>
              <w:jc w:val="center"/>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项目</w:t>
            </w:r>
          </w:p>
        </w:tc>
        <w:tc>
          <w:tcPr>
            <w:tcW w:w="492" w:type="dxa"/>
            <w:vAlign w:val="center"/>
          </w:tcPr>
          <w:p>
            <w:pPr>
              <w:widowControl/>
              <w:wordWrap/>
              <w:autoSpaceDE/>
              <w:autoSpaceDN/>
              <w:spacing w:before="20" w:after="20"/>
              <w:jc w:val="center"/>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是</w:t>
            </w:r>
          </w:p>
        </w:tc>
        <w:tc>
          <w:tcPr>
            <w:tcW w:w="540" w:type="dxa"/>
            <w:vAlign w:val="center"/>
          </w:tcPr>
          <w:p>
            <w:pPr>
              <w:widowControl/>
              <w:wordWrap/>
              <w:autoSpaceDE/>
              <w:autoSpaceDN/>
              <w:spacing w:before="20" w:after="20"/>
              <w:jc w:val="center"/>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否</w:t>
            </w:r>
          </w:p>
        </w:tc>
        <w:tc>
          <w:tcPr>
            <w:tcW w:w="576" w:type="dxa"/>
            <w:vAlign w:val="center"/>
          </w:tcPr>
          <w:p>
            <w:pPr>
              <w:widowControl/>
              <w:wordWrap/>
              <w:autoSpaceDE/>
              <w:autoSpaceDN/>
              <w:spacing w:before="20" w:after="20"/>
              <w:jc w:val="center"/>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NA</w:t>
            </w:r>
          </w:p>
        </w:tc>
        <w:tc>
          <w:tcPr>
            <w:tcW w:w="1236" w:type="dxa"/>
            <w:vAlign w:val="center"/>
          </w:tcPr>
          <w:p>
            <w:pPr>
              <w:widowControl/>
              <w:wordWrap/>
              <w:autoSpaceDE/>
              <w:autoSpaceDN/>
              <w:spacing w:before="20" w:after="20"/>
              <w:jc w:val="center"/>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211" w:firstLineChars="100"/>
              <w:jc w:val="left"/>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1</w:t>
            </w:r>
          </w:p>
        </w:tc>
        <w:tc>
          <w:tcPr>
            <w:tcW w:w="9250"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Merge w:val="restart"/>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1.1</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default" w:eastAsia="宋体"/>
                <w:color w:val="auto"/>
                <w:sz w:val="21"/>
                <w:szCs w:val="21"/>
                <w:lang w:val="en-US" w:eastAsia="zh-CN"/>
              </w:rPr>
              <w:t>临床试验机构与申办者</w:t>
            </w:r>
            <w:r>
              <w:rPr>
                <w:rFonts w:hint="eastAsia" w:eastAsia="宋体"/>
                <w:color w:val="auto"/>
                <w:sz w:val="21"/>
                <w:szCs w:val="21"/>
                <w:lang w:val="en-US" w:eastAsia="zh-CN"/>
              </w:rPr>
              <w:t>是否</w:t>
            </w:r>
            <w:r>
              <w:rPr>
                <w:rFonts w:hint="default" w:eastAsia="宋体"/>
                <w:color w:val="auto"/>
                <w:sz w:val="21"/>
                <w:szCs w:val="21"/>
                <w:lang w:val="en-US" w:eastAsia="zh-CN"/>
              </w:rPr>
              <w:t>签署</w:t>
            </w:r>
            <w:r>
              <w:rPr>
                <w:rFonts w:hint="eastAsia" w:eastAsia="宋体"/>
                <w:color w:val="auto"/>
                <w:sz w:val="21"/>
                <w:szCs w:val="21"/>
                <w:lang w:val="en-US" w:eastAsia="zh-CN"/>
              </w:rPr>
              <w:t>合同</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Merge w:val="continue"/>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rPr>
            </w:pPr>
          </w:p>
        </w:tc>
        <w:tc>
          <w:tcPr>
            <w:tcW w:w="8014"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olor w:val="auto"/>
                <w:sz w:val="21"/>
                <w:szCs w:val="21"/>
              </w:rPr>
            </w:pPr>
            <w:r>
              <w:rPr>
                <w:rFonts w:hint="eastAsia" w:eastAsia="宋体"/>
                <w:color w:val="auto"/>
                <w:sz w:val="21"/>
                <w:szCs w:val="21"/>
                <w:lang w:val="en-US" w:eastAsia="zh-CN"/>
              </w:rPr>
              <w:t>签署</w:t>
            </w:r>
            <w:r>
              <w:rPr>
                <w:rFonts w:hint="eastAsia" w:asciiTheme="minorEastAsia" w:hAnsiTheme="minorEastAsia" w:cstheme="minorEastAsia"/>
                <w:color w:val="auto"/>
                <w:kern w:val="0"/>
                <w:sz w:val="21"/>
                <w:szCs w:val="21"/>
              </w:rPr>
              <w:t>日期：</w:t>
            </w:r>
          </w:p>
        </w:tc>
        <w:tc>
          <w:tcPr>
            <w:tcW w:w="1236" w:type="dxa"/>
            <w:vAlign w:val="center"/>
          </w:tcPr>
          <w:p>
            <w:pPr>
              <w:widowControl/>
              <w:wordWrap/>
              <w:autoSpaceDE/>
              <w:autoSpaceDN/>
              <w:spacing w:before="20" w:after="20"/>
              <w:jc w:val="left"/>
              <w:rPr>
                <w:rFonts w:hint="eastAsia" w:asciiTheme="minorEastAsia" w:hAnsiTheme="minorEastAsia" w:cs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Merge w:val="restart"/>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1.2</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1"/>
                <w:szCs w:val="21"/>
                <w:lang w:val="en-US" w:eastAsia="zh-CN"/>
              </w:rPr>
            </w:pPr>
            <w:r>
              <w:rPr>
                <w:rFonts w:hint="default" w:eastAsia="宋体"/>
                <w:color w:val="auto"/>
                <w:sz w:val="21"/>
                <w:szCs w:val="21"/>
                <w:lang w:val="en-US" w:eastAsia="zh-CN"/>
              </w:rPr>
              <w:t>临床试验机构与合同研究组织</w:t>
            </w:r>
            <w:r>
              <w:rPr>
                <w:rFonts w:hint="eastAsia" w:eastAsia="宋体"/>
                <w:color w:val="auto"/>
                <w:sz w:val="21"/>
                <w:szCs w:val="21"/>
                <w:lang w:val="en-US" w:eastAsia="zh-CN"/>
              </w:rPr>
              <w:t>是否</w:t>
            </w:r>
            <w:r>
              <w:rPr>
                <w:rFonts w:hint="default" w:eastAsia="宋体"/>
                <w:color w:val="auto"/>
                <w:sz w:val="21"/>
                <w:szCs w:val="21"/>
                <w:lang w:val="en-US" w:eastAsia="zh-CN"/>
              </w:rPr>
              <w:t>签署合同</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Merge w:val="continue"/>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rPr>
            </w:pPr>
          </w:p>
        </w:tc>
        <w:tc>
          <w:tcPr>
            <w:tcW w:w="8014"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olor w:val="auto"/>
                <w:sz w:val="21"/>
                <w:szCs w:val="21"/>
              </w:rPr>
            </w:pPr>
            <w:r>
              <w:rPr>
                <w:rFonts w:hint="eastAsia" w:eastAsia="宋体"/>
                <w:color w:val="auto"/>
                <w:sz w:val="21"/>
                <w:szCs w:val="21"/>
                <w:lang w:val="en-US" w:eastAsia="zh-CN"/>
              </w:rPr>
              <w:t>签署</w:t>
            </w:r>
            <w:r>
              <w:rPr>
                <w:rFonts w:hint="eastAsia" w:asciiTheme="minorEastAsia" w:hAnsiTheme="minorEastAsia" w:cstheme="minorEastAsia"/>
                <w:color w:val="auto"/>
                <w:kern w:val="0"/>
                <w:sz w:val="21"/>
                <w:szCs w:val="21"/>
              </w:rPr>
              <w:t>日期：</w:t>
            </w:r>
          </w:p>
        </w:tc>
        <w:tc>
          <w:tcPr>
            <w:tcW w:w="1236" w:type="dxa"/>
            <w:vAlign w:val="center"/>
          </w:tcPr>
          <w:p>
            <w:pPr>
              <w:widowControl/>
              <w:wordWrap/>
              <w:autoSpaceDE/>
              <w:autoSpaceDN/>
              <w:spacing w:before="20" w:after="20"/>
              <w:jc w:val="left"/>
              <w:rPr>
                <w:rFonts w:hint="eastAsia" w:asciiTheme="minorEastAsia" w:hAnsiTheme="minorEastAsia" w:cs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Merge w:val="restart"/>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1.3</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eastAsia="宋体"/>
                <w:color w:val="auto"/>
                <w:sz w:val="21"/>
                <w:szCs w:val="21"/>
                <w:lang w:val="en-US" w:eastAsia="zh-CN"/>
              </w:rPr>
            </w:pPr>
            <w:r>
              <w:rPr>
                <w:rFonts w:hint="default" w:eastAsia="宋体"/>
                <w:color w:val="auto"/>
                <w:sz w:val="21"/>
                <w:szCs w:val="21"/>
                <w:lang w:val="en-US" w:eastAsia="zh-CN"/>
              </w:rPr>
              <w:t>申办者与合同研究组织</w:t>
            </w:r>
            <w:r>
              <w:rPr>
                <w:rFonts w:hint="eastAsia" w:eastAsia="宋体"/>
                <w:color w:val="auto"/>
                <w:sz w:val="21"/>
                <w:szCs w:val="21"/>
                <w:lang w:val="en-US" w:eastAsia="zh-CN"/>
              </w:rPr>
              <w:t>是否</w:t>
            </w:r>
            <w:r>
              <w:rPr>
                <w:rFonts w:hint="default" w:eastAsia="宋体"/>
                <w:color w:val="auto"/>
                <w:sz w:val="21"/>
                <w:szCs w:val="21"/>
                <w:lang w:val="en-US" w:eastAsia="zh-CN"/>
              </w:rPr>
              <w:t>签署合同</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Merge w:val="continue"/>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rPr>
            </w:pPr>
          </w:p>
        </w:tc>
        <w:tc>
          <w:tcPr>
            <w:tcW w:w="8014"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olor w:val="auto"/>
                <w:sz w:val="21"/>
                <w:szCs w:val="21"/>
              </w:rPr>
            </w:pPr>
            <w:r>
              <w:rPr>
                <w:rFonts w:hint="eastAsia" w:eastAsia="宋体"/>
                <w:color w:val="auto"/>
                <w:sz w:val="21"/>
                <w:szCs w:val="21"/>
                <w:lang w:val="en-US" w:eastAsia="zh-CN"/>
              </w:rPr>
              <w:t>签署日期</w:t>
            </w:r>
            <w:r>
              <w:rPr>
                <w:rFonts w:hint="eastAsia" w:asciiTheme="minorEastAsia" w:hAnsiTheme="minorEastAsia" w:cstheme="minorEastAsia"/>
                <w:color w:val="auto"/>
                <w:kern w:val="0"/>
                <w:sz w:val="21"/>
                <w:szCs w:val="21"/>
              </w:rPr>
              <w:t>：</w:t>
            </w:r>
          </w:p>
        </w:tc>
        <w:tc>
          <w:tcPr>
            <w:tcW w:w="1236" w:type="dxa"/>
            <w:vAlign w:val="center"/>
          </w:tcPr>
          <w:p>
            <w:pPr>
              <w:widowControl/>
              <w:wordWrap/>
              <w:autoSpaceDE/>
              <w:autoSpaceDN/>
              <w:spacing w:before="20" w:after="20"/>
              <w:jc w:val="left"/>
              <w:rPr>
                <w:rFonts w:hint="eastAsia" w:asciiTheme="minorEastAsia" w:hAnsiTheme="minorEastAsia" w:cs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1.4</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eastAsia="宋体"/>
                <w:color w:val="auto"/>
                <w:sz w:val="21"/>
                <w:szCs w:val="21"/>
                <w:lang w:val="en-US" w:eastAsia="zh-CN"/>
              </w:rPr>
            </w:pPr>
            <w:r>
              <w:rPr>
                <w:rFonts w:hint="eastAsia" w:eastAsia="宋体"/>
                <w:color w:val="auto"/>
                <w:sz w:val="21"/>
                <w:szCs w:val="21"/>
                <w:lang w:val="en-US" w:eastAsia="zh-CN"/>
              </w:rPr>
              <w:t>是否签署临床试验的财务合同</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1.5</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微软雅黑"/>
                <w:color w:val="auto"/>
                <w:kern w:val="0"/>
                <w:sz w:val="21"/>
                <w:szCs w:val="21"/>
                <w:lang w:val="en-US" w:eastAsia="zh-CN"/>
              </w:rPr>
            </w:pPr>
            <w:r>
              <w:rPr>
                <w:rFonts w:hint="eastAsia" w:ascii="宋体" w:hAnsi="宋体" w:eastAsia="宋体" w:cs="微软雅黑"/>
                <w:color w:val="auto"/>
                <w:kern w:val="0"/>
                <w:sz w:val="21"/>
                <w:szCs w:val="21"/>
                <w:lang w:val="en-US" w:eastAsia="zh-CN"/>
              </w:rPr>
              <w:t>保险文件（若有）</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211" w:firstLineChars="100"/>
              <w:jc w:val="left"/>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2</w:t>
            </w:r>
          </w:p>
        </w:tc>
        <w:tc>
          <w:tcPr>
            <w:tcW w:w="9250"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研究主要文件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2.1</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color w:val="auto"/>
                <w:sz w:val="21"/>
                <w:szCs w:val="21"/>
              </w:rPr>
              <w:t>药品监督管理部门对临床试验方案的许可、备案</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212" w:type="dxa"/>
            <w:vMerge w:val="restart"/>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2.</w:t>
            </w:r>
            <w:r>
              <w:rPr>
                <w:rFonts w:hint="eastAsia" w:ascii="宋体" w:hAnsi="宋体" w:eastAsia="宋体" w:cs="Arial"/>
                <w:color w:val="auto"/>
                <w:kern w:val="0"/>
                <w:sz w:val="21"/>
                <w:szCs w:val="21"/>
                <w:lang w:val="en-US" w:eastAsia="zh-CN"/>
              </w:rPr>
              <w:t>2</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1"/>
                <w:szCs w:val="21"/>
                <w:lang w:eastAsia="zh-CN"/>
              </w:rPr>
            </w:pPr>
            <w:r>
              <w:rPr>
                <w:rFonts w:hint="eastAsia" w:ascii="宋体" w:hAnsi="宋体" w:eastAsia="宋体" w:cs="Arial"/>
                <w:color w:val="auto"/>
                <w:kern w:val="0"/>
                <w:sz w:val="21"/>
                <w:szCs w:val="21"/>
                <w:lang w:val="en-US" w:eastAsia="zh-CN"/>
              </w:rPr>
              <w:t>临床试验方案否经过伦理委员会的批准</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212" w:type="dxa"/>
            <w:vMerge w:val="continue"/>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eastAsia="zh-CN"/>
              </w:rPr>
            </w:pPr>
          </w:p>
        </w:tc>
        <w:tc>
          <w:tcPr>
            <w:tcW w:w="8014"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olor w:val="auto"/>
                <w:sz w:val="21"/>
                <w:szCs w:val="21"/>
              </w:rPr>
            </w:pPr>
            <w:r>
              <w:rPr>
                <w:rFonts w:hint="eastAsia" w:asciiTheme="minorEastAsia" w:hAnsiTheme="minorEastAsia" w:cstheme="minorEastAsia"/>
                <w:color w:val="auto"/>
                <w:kern w:val="0"/>
                <w:sz w:val="21"/>
                <w:szCs w:val="21"/>
              </w:rPr>
              <w:t>各个版本的临床试验方案版本号和批准日期：</w:t>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Merge w:val="restart"/>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2.</w:t>
            </w:r>
            <w:r>
              <w:rPr>
                <w:rFonts w:hint="eastAsia" w:ascii="宋体" w:hAnsi="宋体" w:eastAsia="宋体" w:cs="Arial"/>
                <w:color w:val="auto"/>
                <w:kern w:val="0"/>
                <w:sz w:val="21"/>
                <w:szCs w:val="21"/>
                <w:lang w:val="en-US" w:eastAsia="zh-CN"/>
              </w:rPr>
              <w:t>3</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知情同意书是否经过伦理委员会批准</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Merge w:val="continue"/>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eastAsia="zh-CN"/>
              </w:rPr>
            </w:pPr>
          </w:p>
        </w:tc>
        <w:tc>
          <w:tcPr>
            <w:tcW w:w="8014"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olor w:val="auto"/>
                <w:sz w:val="21"/>
                <w:szCs w:val="21"/>
              </w:rPr>
            </w:pPr>
            <w:r>
              <w:rPr>
                <w:rFonts w:hint="eastAsia" w:asciiTheme="minorEastAsia" w:hAnsiTheme="minorEastAsia" w:cstheme="minorEastAsia"/>
                <w:color w:val="auto"/>
                <w:kern w:val="0"/>
                <w:sz w:val="21"/>
                <w:szCs w:val="21"/>
              </w:rPr>
              <w:t>各个版本的知情同意书版本号和批准日期：</w:t>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2.4</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空白</w:t>
            </w:r>
            <w:r>
              <w:rPr>
                <w:rFonts w:hint="eastAsia" w:ascii="宋体" w:hAnsi="宋体" w:eastAsia="宋体" w:cs="Arial"/>
                <w:color w:val="auto"/>
                <w:kern w:val="0"/>
                <w:sz w:val="21"/>
                <w:szCs w:val="21"/>
                <w:lang w:val="en-US" w:eastAsia="zh-CN"/>
              </w:rPr>
              <w:t>病例报告表（</w:t>
            </w:r>
            <w:r>
              <w:rPr>
                <w:rFonts w:ascii="宋体" w:hAnsi="宋体" w:eastAsia="宋体" w:cs="Arial"/>
                <w:color w:val="auto"/>
                <w:kern w:val="0"/>
                <w:sz w:val="21"/>
                <w:szCs w:val="21"/>
              </w:rPr>
              <w:t xml:space="preserve">CRF </w:t>
            </w:r>
            <w:r>
              <w:rPr>
                <w:rFonts w:hint="eastAsia" w:ascii="宋体" w:hAnsi="宋体" w:eastAsia="宋体" w:cs="Arial"/>
                <w:color w:val="auto"/>
                <w:kern w:val="0"/>
                <w:sz w:val="21"/>
                <w:szCs w:val="21"/>
                <w:lang w:val="en-US" w:eastAsia="zh-CN"/>
              </w:rPr>
              <w:t>/eCRF）是否经过伦理委员会批准</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2.5</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招募广告及其他提供给受试者的任何书面资料是否经过伦理委员会批准</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33" w:hRule="atLeast"/>
          <w:tblHeader/>
        </w:trPr>
        <w:tc>
          <w:tcPr>
            <w:tcW w:w="1212"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2.6</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是否有适用的研究者手册</w:t>
            </w:r>
          </w:p>
        </w:tc>
        <w:tc>
          <w:tcPr>
            <w:tcW w:w="492"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212"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2.7</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是否有临床前实验室资料（医疗器械临床试验）</w:t>
            </w:r>
          </w:p>
        </w:tc>
        <w:tc>
          <w:tcPr>
            <w:tcW w:w="492"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2.8</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cs="宋体"/>
                <w:color w:val="auto"/>
                <w:kern w:val="0"/>
                <w:sz w:val="21"/>
                <w:szCs w:val="21"/>
              </w:rPr>
              <w:t>如知情同意书或方案</w:t>
            </w:r>
            <w:r>
              <w:rPr>
                <w:rFonts w:hint="eastAsia" w:ascii="宋体" w:hAnsi="宋体" w:cs="宋体"/>
                <w:color w:val="auto"/>
                <w:kern w:val="0"/>
                <w:sz w:val="21"/>
                <w:szCs w:val="21"/>
                <w:lang w:val="en-US" w:eastAsia="zh-CN"/>
              </w:rPr>
              <w:t>如</w:t>
            </w:r>
            <w:r>
              <w:rPr>
                <w:rFonts w:hint="eastAsia" w:ascii="宋体" w:hAnsi="宋体" w:cs="宋体"/>
                <w:color w:val="auto"/>
                <w:kern w:val="0"/>
                <w:sz w:val="21"/>
                <w:szCs w:val="21"/>
              </w:rPr>
              <w:t>进行了修改，</w:t>
            </w:r>
            <w:r>
              <w:rPr>
                <w:rFonts w:hint="eastAsia" w:ascii="宋体" w:hAnsi="宋体" w:cs="宋体"/>
                <w:color w:val="auto"/>
                <w:kern w:val="0"/>
                <w:sz w:val="21"/>
                <w:szCs w:val="21"/>
                <w:lang w:val="en-US" w:eastAsia="zh-CN"/>
              </w:rPr>
              <w:t>是否</w:t>
            </w:r>
            <w:r>
              <w:rPr>
                <w:rFonts w:hint="eastAsia" w:ascii="宋体" w:hAnsi="宋体" w:eastAsia="宋体" w:cs="Arial"/>
                <w:color w:val="auto"/>
                <w:kern w:val="0"/>
                <w:sz w:val="21"/>
                <w:szCs w:val="21"/>
                <w:lang w:val="en-US" w:eastAsia="zh-CN"/>
              </w:rPr>
              <w:t>经过伦理委员会批准</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2.9</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cs="宋体"/>
                <w:color w:val="auto"/>
                <w:kern w:val="0"/>
                <w:sz w:val="21"/>
                <w:szCs w:val="21"/>
              </w:rPr>
            </w:pPr>
            <w:r>
              <w:rPr>
                <w:rFonts w:hint="eastAsia" w:ascii="宋体" w:hAnsi="宋体" w:cs="宋体"/>
                <w:color w:val="auto"/>
                <w:kern w:val="0"/>
                <w:sz w:val="21"/>
                <w:szCs w:val="21"/>
              </w:rPr>
              <w:t>如知情同意书或方案</w:t>
            </w:r>
            <w:r>
              <w:rPr>
                <w:rFonts w:hint="eastAsia" w:ascii="宋体" w:hAnsi="宋体" w:cs="宋体"/>
                <w:color w:val="auto"/>
                <w:kern w:val="0"/>
                <w:sz w:val="21"/>
                <w:szCs w:val="21"/>
                <w:lang w:val="en-US" w:eastAsia="zh-CN"/>
              </w:rPr>
              <w:t>如</w:t>
            </w:r>
            <w:r>
              <w:rPr>
                <w:rFonts w:hint="eastAsia" w:ascii="宋体" w:hAnsi="宋体" w:cs="宋体"/>
                <w:color w:val="auto"/>
                <w:kern w:val="0"/>
                <w:sz w:val="21"/>
                <w:szCs w:val="21"/>
              </w:rPr>
              <w:t>进行了修改，是否进行相应的培训并记录</w:t>
            </w:r>
          </w:p>
        </w:tc>
        <w:tc>
          <w:tcPr>
            <w:tcW w:w="492"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211" w:firstLineChars="100"/>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3</w:t>
            </w:r>
          </w:p>
        </w:tc>
        <w:tc>
          <w:tcPr>
            <w:tcW w:w="9250"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3.1</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申办方资质是否齐全（GMP、营业执照、药品生产许可证）</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3.2</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CRO是否有资质</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59"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3.3</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是否有符合资质的CRA（GCP、简历、身份证复印件）</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3.4</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是否有试验启动监查报告</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211" w:firstLineChars="100"/>
              <w:jc w:val="left"/>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4</w:t>
            </w:r>
          </w:p>
        </w:tc>
        <w:tc>
          <w:tcPr>
            <w:tcW w:w="9250"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4.1</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是否有申办方对研究中心授权委托书</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4.2</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是否有申办方对CRO授权委托书</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4.3</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是否有CRO对CRA授权委托书</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212" w:type="dxa"/>
            <w:vAlign w:val="bottom"/>
          </w:tcPr>
          <w:p>
            <w:pPr>
              <w:widowControl/>
              <w:wordWrap/>
              <w:autoSpaceDE/>
              <w:autoSpaceDN/>
              <w:spacing w:before="20" w:after="20"/>
              <w:ind w:firstLine="211" w:firstLineChars="100"/>
              <w:jc w:val="left"/>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5</w:t>
            </w:r>
          </w:p>
        </w:tc>
        <w:tc>
          <w:tcPr>
            <w:tcW w:w="8014"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s="Arial"/>
                <w:color w:val="auto"/>
                <w:kern w:val="0"/>
                <w:sz w:val="21"/>
                <w:szCs w:val="21"/>
              </w:rPr>
            </w:pPr>
            <w:r>
              <w:rPr>
                <w:rFonts w:hint="eastAsia" w:ascii="宋体" w:hAnsi="宋体" w:eastAsia="宋体" w:cs="Arial"/>
                <w:b/>
                <w:bCs/>
                <w:color w:val="auto"/>
                <w:kern w:val="0"/>
                <w:sz w:val="21"/>
                <w:szCs w:val="21"/>
                <w:lang w:val="en-US" w:eastAsia="zh-CN"/>
              </w:rPr>
              <w:t>伦理</w:t>
            </w:r>
          </w:p>
        </w:tc>
        <w:tc>
          <w:tcPr>
            <w:tcW w:w="123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5.1</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伦理委员会批件是否齐全</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5.2</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对临床试验的跟踪审查是否及时（必要时）</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5.3</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方案违背是否提交伦理审查</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5.3</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向伦理委员会提交的试验完成文件</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1" w:hRule="atLeast"/>
          <w:tblHeader/>
        </w:trPr>
        <w:tc>
          <w:tcPr>
            <w:tcW w:w="1212" w:type="dxa"/>
            <w:vAlign w:val="bottom"/>
          </w:tcPr>
          <w:p>
            <w:pPr>
              <w:widowControl/>
              <w:wordWrap/>
              <w:autoSpaceDE/>
              <w:autoSpaceDN/>
              <w:spacing w:before="20" w:after="20"/>
              <w:jc w:val="left"/>
              <w:rPr>
                <w:rFonts w:hint="eastAsia" w:ascii="宋体" w:hAnsi="宋体" w:eastAsia="宋体" w:cs="Arial"/>
                <w:b/>
                <w:color w:val="auto"/>
                <w:kern w:val="0"/>
                <w:sz w:val="21"/>
                <w:szCs w:val="21"/>
                <w:lang w:val="en-US" w:eastAsia="zh-CN"/>
              </w:rPr>
            </w:pPr>
            <w:r>
              <w:rPr>
                <w:rFonts w:hint="eastAsia" w:ascii="宋体" w:hAnsi="宋体" w:eastAsia="宋体" w:cs="Arial"/>
                <w:b/>
                <w:bCs/>
                <w:color w:val="auto"/>
                <w:kern w:val="0"/>
                <w:sz w:val="21"/>
                <w:szCs w:val="21"/>
              </w:rPr>
              <w:t xml:space="preserve">  </w:t>
            </w:r>
            <w:r>
              <w:rPr>
                <w:rFonts w:hint="eastAsia" w:ascii="宋体" w:hAnsi="宋体" w:eastAsia="宋体" w:cs="Arial"/>
                <w:b/>
                <w:bCs/>
                <w:color w:val="auto"/>
                <w:kern w:val="0"/>
                <w:sz w:val="21"/>
                <w:szCs w:val="21"/>
                <w:lang w:val="en-US" w:eastAsia="zh-CN"/>
              </w:rPr>
              <w:t>6</w:t>
            </w:r>
          </w:p>
        </w:tc>
        <w:tc>
          <w:tcPr>
            <w:tcW w:w="9250"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color w:val="auto"/>
                <w:kern w:val="0"/>
                <w:sz w:val="21"/>
                <w:szCs w:val="21"/>
                <w:lang w:eastAsia="zh-CN"/>
              </w:rPr>
            </w:pPr>
            <w:r>
              <w:rPr>
                <w:rFonts w:hint="eastAsia" w:ascii="宋体" w:hAnsi="宋体" w:eastAsia="宋体" w:cs="Arial"/>
                <w:b/>
                <w:color w:val="auto"/>
                <w:kern w:val="0"/>
                <w:sz w:val="21"/>
                <w:szCs w:val="21"/>
                <w:lang w:eastAsia="zh-CN"/>
              </w:rPr>
              <w:t>研究参与人员信息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4" w:hRule="atLeast"/>
          <w:tblHeader/>
        </w:trPr>
        <w:tc>
          <w:tcPr>
            <w:tcW w:w="1212"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6.</w:t>
            </w:r>
            <w:r>
              <w:rPr>
                <w:rFonts w:hint="eastAsia" w:ascii="宋体" w:hAnsi="宋体" w:eastAsia="宋体" w:cs="Arial"/>
                <w:color w:val="auto"/>
                <w:kern w:val="0"/>
                <w:sz w:val="21"/>
                <w:szCs w:val="21"/>
              </w:rPr>
              <w:t>1</w:t>
            </w:r>
          </w:p>
        </w:tc>
        <w:tc>
          <w:tcPr>
            <w:tcW w:w="8014"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项目组成员共：___人</w:t>
            </w:r>
          </w:p>
        </w:tc>
        <w:tc>
          <w:tcPr>
            <w:tcW w:w="123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val="0"/>
                <w:bCs w:val="0"/>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6.</w:t>
            </w:r>
            <w:r>
              <w:rPr>
                <w:rFonts w:ascii="宋体" w:hAnsi="宋体" w:eastAsia="宋体" w:cs="Arial"/>
                <w:color w:val="auto"/>
                <w:kern w:val="0"/>
                <w:sz w:val="21"/>
                <w:szCs w:val="21"/>
                <w:lang w:eastAsia="zh-CN"/>
              </w:rPr>
              <w:t>2</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PI简历及资质是否满足试验要求</w:t>
            </w:r>
          </w:p>
        </w:tc>
        <w:tc>
          <w:tcPr>
            <w:tcW w:w="492" w:type="dxa"/>
            <w:vAlign w:val="center"/>
          </w:tcPr>
          <w:p>
            <w:pPr>
              <w:keepNext w:val="0"/>
              <w:keepLines w:val="0"/>
              <w:pageBreakBefore w:val="0"/>
              <w:widowControl/>
              <w:kinsoku/>
              <w:wordWrap/>
              <w:overflowPunct/>
              <w:topLinePunct w:val="0"/>
              <w:autoSpaceDE/>
              <w:autoSpaceDN/>
              <w:bidi w:val="0"/>
              <w:adjustRightInd/>
              <w:snapToGrid/>
              <w:spacing w:before="20" w:after="20"/>
              <w:ind w:left="0" w:leftChars="0"/>
              <w:jc w:val="center"/>
              <w:textAlignment w:val="auto"/>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keepNext w:val="0"/>
              <w:keepLines w:val="0"/>
              <w:pageBreakBefore w:val="0"/>
              <w:widowControl/>
              <w:kinsoku/>
              <w:wordWrap/>
              <w:overflowPunct/>
              <w:topLinePunct w:val="0"/>
              <w:autoSpaceDE/>
              <w:autoSpaceDN/>
              <w:bidi w:val="0"/>
              <w:adjustRightInd/>
              <w:snapToGrid/>
              <w:spacing w:before="20" w:after="20"/>
              <w:ind w:left="0" w:leftChars="0"/>
              <w:jc w:val="center"/>
              <w:textAlignment w:val="auto"/>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keepNext w:val="0"/>
              <w:keepLines w:val="0"/>
              <w:pageBreakBefore w:val="0"/>
              <w:widowControl/>
              <w:kinsoku/>
              <w:wordWrap/>
              <w:overflowPunct/>
              <w:topLinePunct w:val="0"/>
              <w:autoSpaceDE/>
              <w:autoSpaceDN/>
              <w:bidi w:val="0"/>
              <w:adjustRightInd/>
              <w:snapToGrid/>
              <w:spacing w:before="20" w:after="20"/>
              <w:ind w:left="0" w:leftChars="0"/>
              <w:jc w:val="center"/>
              <w:textAlignment w:val="auto"/>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6.3</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研究者简历</w:t>
            </w:r>
            <w:r>
              <w:rPr>
                <w:rFonts w:hint="eastAsia" w:eastAsia="宋体"/>
                <w:color w:val="auto"/>
                <w:sz w:val="21"/>
                <w:szCs w:val="21"/>
                <w:lang w:val="en-US" w:eastAsia="zh-CN"/>
              </w:rPr>
              <w:t>及资质</w:t>
            </w:r>
            <w:r>
              <w:rPr>
                <w:rFonts w:hint="eastAsia" w:ascii="宋体" w:hAnsi="宋体" w:eastAsia="宋体" w:cs="Arial"/>
                <w:color w:val="auto"/>
                <w:kern w:val="0"/>
                <w:sz w:val="21"/>
                <w:szCs w:val="21"/>
                <w:lang w:val="en-US" w:eastAsia="zh-CN"/>
              </w:rPr>
              <w:t>是否满足试验要求</w:t>
            </w:r>
          </w:p>
        </w:tc>
        <w:tc>
          <w:tcPr>
            <w:tcW w:w="492" w:type="dxa"/>
            <w:vAlign w:val="center"/>
          </w:tcPr>
          <w:p>
            <w:pPr>
              <w:keepNext w:val="0"/>
              <w:keepLines w:val="0"/>
              <w:pageBreakBefore w:val="0"/>
              <w:widowControl/>
              <w:kinsoku/>
              <w:wordWrap/>
              <w:overflowPunct/>
              <w:topLinePunct w:val="0"/>
              <w:autoSpaceDE/>
              <w:autoSpaceDN/>
              <w:bidi w:val="0"/>
              <w:adjustRightInd/>
              <w:snapToGrid/>
              <w:spacing w:before="20" w:after="20"/>
              <w:ind w:left="0" w:leftChars="0"/>
              <w:jc w:val="center"/>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keepNext w:val="0"/>
              <w:keepLines w:val="0"/>
              <w:pageBreakBefore w:val="0"/>
              <w:widowControl/>
              <w:kinsoku/>
              <w:wordWrap/>
              <w:overflowPunct/>
              <w:topLinePunct w:val="0"/>
              <w:autoSpaceDE/>
              <w:autoSpaceDN/>
              <w:bidi w:val="0"/>
              <w:adjustRightInd/>
              <w:snapToGrid/>
              <w:spacing w:before="20" w:after="20"/>
              <w:ind w:left="0" w:leftChars="0"/>
              <w:jc w:val="center"/>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keepNext w:val="0"/>
              <w:keepLines w:val="0"/>
              <w:pageBreakBefore w:val="0"/>
              <w:widowControl/>
              <w:kinsoku/>
              <w:wordWrap/>
              <w:overflowPunct/>
              <w:topLinePunct w:val="0"/>
              <w:autoSpaceDE/>
              <w:autoSpaceDN/>
              <w:bidi w:val="0"/>
              <w:adjustRightInd/>
              <w:snapToGrid/>
              <w:spacing w:before="20" w:after="20"/>
              <w:ind w:left="0" w:leftChars="0"/>
              <w:jc w:val="center"/>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90" w:hRule="atLeast"/>
          <w:tblHeader/>
        </w:trPr>
        <w:tc>
          <w:tcPr>
            <w:tcW w:w="1212"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6.4</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项目组成员是否有培训记录</w:t>
            </w:r>
          </w:p>
        </w:tc>
        <w:tc>
          <w:tcPr>
            <w:tcW w:w="492" w:type="dxa"/>
            <w:vAlign w:val="center"/>
          </w:tcPr>
          <w:p>
            <w:pPr>
              <w:keepNext w:val="0"/>
              <w:keepLines w:val="0"/>
              <w:pageBreakBefore w:val="0"/>
              <w:widowControl/>
              <w:kinsoku/>
              <w:wordWrap/>
              <w:overflowPunct/>
              <w:topLinePunct w:val="0"/>
              <w:autoSpaceDE/>
              <w:autoSpaceDN/>
              <w:bidi w:val="0"/>
              <w:adjustRightInd/>
              <w:snapToGrid/>
              <w:spacing w:before="20" w:after="20"/>
              <w:ind w:left="0" w:leftChars="0"/>
              <w:jc w:val="center"/>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keepNext w:val="0"/>
              <w:keepLines w:val="0"/>
              <w:pageBreakBefore w:val="0"/>
              <w:widowControl/>
              <w:kinsoku/>
              <w:wordWrap/>
              <w:overflowPunct/>
              <w:topLinePunct w:val="0"/>
              <w:autoSpaceDE/>
              <w:autoSpaceDN/>
              <w:bidi w:val="0"/>
              <w:adjustRightInd/>
              <w:snapToGrid/>
              <w:spacing w:before="20" w:after="20"/>
              <w:ind w:left="0" w:leftChars="0"/>
              <w:jc w:val="center"/>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keepNext w:val="0"/>
              <w:keepLines w:val="0"/>
              <w:pageBreakBefore w:val="0"/>
              <w:widowControl/>
              <w:kinsoku/>
              <w:wordWrap/>
              <w:overflowPunct/>
              <w:topLinePunct w:val="0"/>
              <w:autoSpaceDE/>
              <w:autoSpaceDN/>
              <w:bidi w:val="0"/>
              <w:adjustRightInd/>
              <w:snapToGrid/>
              <w:spacing w:before="20" w:after="20"/>
              <w:ind w:left="0" w:leftChars="0"/>
              <w:jc w:val="center"/>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190"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6.5</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0"/>
                <w:szCs w:val="20"/>
                <w:lang w:val="en-US" w:eastAsia="zh-CN" w:bidi="ar-SA"/>
              </w:rPr>
            </w:pPr>
            <w:r>
              <w:rPr>
                <w:rFonts w:hint="eastAsia" w:ascii="宋体" w:hAnsi="宋体" w:eastAsia="宋体" w:cs="Arial"/>
                <w:color w:val="auto"/>
                <w:kern w:val="0"/>
                <w:sz w:val="21"/>
                <w:szCs w:val="21"/>
                <w:lang w:val="en-US" w:eastAsia="zh-CN"/>
              </w:rPr>
              <w:t>研究组成员职责分工明确合理并或得PI授权</w:t>
            </w:r>
          </w:p>
        </w:tc>
        <w:tc>
          <w:tcPr>
            <w:tcW w:w="492" w:type="dxa"/>
            <w:vAlign w:val="center"/>
          </w:tcPr>
          <w:p>
            <w:pPr>
              <w:keepNext w:val="0"/>
              <w:keepLines w:val="0"/>
              <w:pageBreakBefore w:val="0"/>
              <w:widowControl/>
              <w:kinsoku/>
              <w:wordWrap/>
              <w:overflowPunct/>
              <w:topLinePunct w:val="0"/>
              <w:autoSpaceDE/>
              <w:autoSpaceDN/>
              <w:bidi w:val="0"/>
              <w:adjustRightInd/>
              <w:snapToGrid/>
              <w:spacing w:before="20" w:after="20"/>
              <w:ind w:left="0" w:leftChars="0"/>
              <w:jc w:val="center"/>
              <w:textAlignment w:val="auto"/>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keepNext w:val="0"/>
              <w:keepLines w:val="0"/>
              <w:pageBreakBefore w:val="0"/>
              <w:widowControl/>
              <w:kinsoku/>
              <w:wordWrap/>
              <w:overflowPunct/>
              <w:topLinePunct w:val="0"/>
              <w:autoSpaceDE/>
              <w:autoSpaceDN/>
              <w:bidi w:val="0"/>
              <w:adjustRightInd/>
              <w:snapToGrid/>
              <w:spacing w:before="20" w:after="20"/>
              <w:ind w:left="0" w:leftChars="0"/>
              <w:jc w:val="center"/>
              <w:textAlignment w:val="auto"/>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keepNext w:val="0"/>
              <w:keepLines w:val="0"/>
              <w:pageBreakBefore w:val="0"/>
              <w:widowControl/>
              <w:kinsoku/>
              <w:wordWrap/>
              <w:overflowPunct/>
              <w:topLinePunct w:val="0"/>
              <w:autoSpaceDE/>
              <w:autoSpaceDN/>
              <w:bidi w:val="0"/>
              <w:adjustRightInd/>
              <w:snapToGrid/>
              <w:spacing w:before="20" w:after="20"/>
              <w:ind w:left="0" w:leftChars="0"/>
              <w:jc w:val="center"/>
              <w:textAlignment w:val="auto"/>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190" w:hRule="atLeast"/>
          <w:tblHeader/>
        </w:trPr>
        <w:tc>
          <w:tcPr>
            <w:tcW w:w="1212" w:type="dxa"/>
            <w:vMerge w:val="restart"/>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6.6</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1"/>
                <w:szCs w:val="21"/>
                <w:lang w:val="en-US" w:eastAsia="zh-CN"/>
              </w:rPr>
            </w:pPr>
            <w:r>
              <w:rPr>
                <w:rFonts w:hint="eastAsia" w:ascii="宋体" w:hAnsi="宋体" w:cs="宋体"/>
                <w:color w:val="auto"/>
                <w:kern w:val="0"/>
                <w:sz w:val="21"/>
                <w:szCs w:val="21"/>
              </w:rPr>
              <w:t>如研究组成员发生了变动是否进行相应的培训并记录</w:t>
            </w:r>
          </w:p>
        </w:tc>
        <w:tc>
          <w:tcPr>
            <w:tcW w:w="492" w:type="dxa"/>
            <w:vAlign w:val="center"/>
          </w:tcPr>
          <w:p>
            <w:pPr>
              <w:keepNext w:val="0"/>
              <w:keepLines w:val="0"/>
              <w:pageBreakBefore w:val="0"/>
              <w:widowControl/>
              <w:kinsoku/>
              <w:wordWrap/>
              <w:overflowPunct/>
              <w:topLinePunct w:val="0"/>
              <w:autoSpaceDE/>
              <w:autoSpaceDN/>
              <w:bidi w:val="0"/>
              <w:adjustRightInd/>
              <w:snapToGrid/>
              <w:spacing w:before="20" w:after="20"/>
              <w:ind w:left="0" w:leftChars="0"/>
              <w:jc w:val="both"/>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keepNext w:val="0"/>
              <w:keepLines w:val="0"/>
              <w:pageBreakBefore w:val="0"/>
              <w:widowControl/>
              <w:kinsoku/>
              <w:wordWrap/>
              <w:overflowPunct/>
              <w:topLinePunct w:val="0"/>
              <w:autoSpaceDE/>
              <w:autoSpaceDN/>
              <w:bidi w:val="0"/>
              <w:adjustRightInd/>
              <w:snapToGrid/>
              <w:spacing w:before="20" w:after="20"/>
              <w:ind w:left="0" w:leftChars="0"/>
              <w:jc w:val="center"/>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keepNext w:val="0"/>
              <w:keepLines w:val="0"/>
              <w:pageBreakBefore w:val="0"/>
              <w:widowControl/>
              <w:kinsoku/>
              <w:wordWrap/>
              <w:overflowPunct/>
              <w:topLinePunct w:val="0"/>
              <w:autoSpaceDE/>
              <w:autoSpaceDN/>
              <w:bidi w:val="0"/>
              <w:adjustRightInd/>
              <w:snapToGrid/>
              <w:spacing w:before="20" w:after="20"/>
              <w:ind w:left="0" w:leftChars="0"/>
              <w:jc w:val="center"/>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2" w:hRule="atLeast"/>
          <w:tblHeader/>
        </w:trPr>
        <w:tc>
          <w:tcPr>
            <w:tcW w:w="1212" w:type="dxa"/>
            <w:vMerge w:val="continue"/>
            <w:vAlign w:val="center"/>
          </w:tcPr>
          <w:p>
            <w:pPr>
              <w:widowControl/>
              <w:wordWrap/>
              <w:autoSpaceDE/>
              <w:autoSpaceDN/>
              <w:spacing w:before="20" w:after="20"/>
              <w:ind w:firstLine="441" w:firstLineChars="210"/>
              <w:jc w:val="center"/>
              <w:rPr>
                <w:rFonts w:hint="default" w:ascii="宋体" w:hAnsi="宋体" w:eastAsia="宋体" w:cs="Arial"/>
                <w:color w:val="auto"/>
                <w:kern w:val="0"/>
                <w:sz w:val="21"/>
                <w:szCs w:val="21"/>
                <w:lang w:val="en-US" w:eastAsia="zh-CN"/>
              </w:rPr>
            </w:pPr>
          </w:p>
        </w:tc>
        <w:tc>
          <w:tcPr>
            <w:tcW w:w="8014"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项目组成员人员变动情况：</w:t>
            </w:r>
          </w:p>
        </w:tc>
        <w:tc>
          <w:tcPr>
            <w:tcW w:w="123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cs="宋体"/>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211" w:firstLineChars="100"/>
              <w:jc w:val="left"/>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7</w:t>
            </w:r>
          </w:p>
        </w:tc>
        <w:tc>
          <w:tcPr>
            <w:tcW w:w="9250"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启动会及培训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2" w:hRule="atLeast"/>
          <w:tblHeader/>
        </w:trPr>
        <w:tc>
          <w:tcPr>
            <w:tcW w:w="1212"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7.1</w:t>
            </w:r>
          </w:p>
        </w:tc>
        <w:tc>
          <w:tcPr>
            <w:tcW w:w="8014"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b/>
                <w:bCs/>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 xml:space="preserve">启动会召开时间：     </w:t>
            </w:r>
            <w:r>
              <w:rPr>
                <w:rFonts w:hint="eastAsia" w:ascii="宋体" w:hAnsi="宋体" w:eastAsia="宋体" w:cs="Arial"/>
                <w:b/>
                <w:bCs/>
                <w:color w:val="auto"/>
                <w:kern w:val="0"/>
                <w:sz w:val="21"/>
                <w:szCs w:val="21"/>
                <w:lang w:val="en-US" w:eastAsia="zh-CN"/>
              </w:rPr>
              <w:t xml:space="preserve">     </w:t>
            </w:r>
            <w:r>
              <w:rPr>
                <w:rFonts w:hint="eastAsia" w:ascii="宋体" w:hAnsi="宋体" w:eastAsia="宋体" w:cs="Arial"/>
                <w:b w:val="0"/>
                <w:bCs w:val="0"/>
                <w:color w:val="auto"/>
                <w:kern w:val="0"/>
                <w:sz w:val="21"/>
                <w:szCs w:val="21"/>
                <w:lang w:val="en-US" w:eastAsia="zh-CN"/>
              </w:rPr>
              <w:t xml:space="preserve">主讲人： </w:t>
            </w:r>
            <w:r>
              <w:rPr>
                <w:rFonts w:hint="eastAsia" w:ascii="宋体" w:hAnsi="宋体" w:eastAsia="宋体" w:cs="Arial"/>
                <w:b/>
                <w:bCs/>
                <w:color w:val="auto"/>
                <w:kern w:val="0"/>
                <w:sz w:val="21"/>
                <w:szCs w:val="21"/>
                <w:lang w:val="en-US" w:eastAsia="zh-CN"/>
              </w:rPr>
              <w:t xml:space="preserve">          </w:t>
            </w:r>
            <w:r>
              <w:rPr>
                <w:rFonts w:hint="eastAsia" w:ascii="宋体" w:hAnsi="宋体" w:eastAsia="宋体" w:cs="Arial"/>
                <w:b w:val="0"/>
                <w:bCs w:val="0"/>
                <w:color w:val="auto"/>
                <w:kern w:val="0"/>
                <w:sz w:val="21"/>
                <w:szCs w:val="21"/>
                <w:lang w:val="en-US" w:eastAsia="zh-CN"/>
              </w:rPr>
              <w:t>参会人员：___人</w:t>
            </w:r>
          </w:p>
        </w:tc>
        <w:tc>
          <w:tcPr>
            <w:tcW w:w="1236"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val="0"/>
                <w:bCs w:val="0"/>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7.2</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default" w:ascii="宋体" w:hAnsi="宋体" w:eastAsia="宋体" w:cs="Arial"/>
                <w:color w:val="auto"/>
                <w:kern w:val="0"/>
                <w:sz w:val="21"/>
                <w:szCs w:val="21"/>
                <w:lang w:val="en-US" w:eastAsia="zh-CN"/>
              </w:rPr>
              <w:t>申办者/合同研究组织（CRO）是否召开研究启动会并进行相关记录</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7.3</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是否有启动会签到表</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7.4</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是否有启动会培训资料（如PPT）</w:t>
            </w:r>
          </w:p>
        </w:tc>
        <w:tc>
          <w:tcPr>
            <w:tcW w:w="492"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665"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7.5</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bidi="ar-SA"/>
              </w:rPr>
            </w:pPr>
            <w:r>
              <w:rPr>
                <w:rFonts w:hint="default" w:ascii="宋体" w:hAnsi="宋体" w:eastAsia="宋体" w:cs="Arial"/>
                <w:color w:val="auto"/>
                <w:kern w:val="0"/>
                <w:sz w:val="21"/>
                <w:szCs w:val="21"/>
                <w:lang w:val="en-US" w:eastAsia="zh-CN"/>
              </w:rPr>
              <w:t>是否在获得伦理委员会批准、协议签订以及启动会后才开始筛选受试者</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211" w:firstLineChars="100"/>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8</w:t>
            </w:r>
          </w:p>
        </w:tc>
        <w:tc>
          <w:tcPr>
            <w:tcW w:w="9250" w:type="dxa"/>
            <w:gridSpan w:val="6"/>
            <w:vAlign w:val="center"/>
          </w:tcPr>
          <w:p>
            <w:pPr>
              <w:widowControl/>
              <w:wordWrap/>
              <w:autoSpaceDE/>
              <w:autoSpaceDN/>
              <w:spacing w:before="20" w:after="20"/>
              <w:jc w:val="left"/>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212"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8.1</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中心实验室资质</w:t>
            </w:r>
            <w:r>
              <w:rPr>
                <w:rFonts w:hint="eastAsia"/>
                <w:color w:val="auto"/>
                <w:sz w:val="21"/>
                <w:szCs w:val="21"/>
                <w:lang w:eastAsia="zh-CN"/>
              </w:rPr>
              <w:t>（</w:t>
            </w:r>
            <w:r>
              <w:rPr>
                <w:rFonts w:hint="eastAsia"/>
                <w:color w:val="auto"/>
                <w:sz w:val="21"/>
                <w:szCs w:val="21"/>
                <w:lang w:val="en-US" w:eastAsia="zh-CN"/>
              </w:rPr>
              <w:t>室间质评证书等</w:t>
            </w:r>
            <w:r>
              <w:rPr>
                <w:rFonts w:hint="eastAsia"/>
                <w:color w:val="auto"/>
                <w:sz w:val="21"/>
                <w:szCs w:val="21"/>
                <w:lang w:eastAsia="zh-CN"/>
              </w:rPr>
              <w:t>）（</w:t>
            </w:r>
            <w:r>
              <w:rPr>
                <w:rFonts w:hint="eastAsia"/>
                <w:color w:val="auto"/>
                <w:sz w:val="21"/>
                <w:szCs w:val="21"/>
                <w:lang w:val="en-US" w:eastAsia="zh-CN"/>
              </w:rPr>
              <w:t>若有</w:t>
            </w:r>
            <w:r>
              <w:rPr>
                <w:rFonts w:hint="eastAsia"/>
                <w:color w:val="auto"/>
                <w:sz w:val="21"/>
                <w:szCs w:val="21"/>
                <w:lang w:eastAsia="zh-CN"/>
              </w:rPr>
              <w:t>）</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8.2</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中心实验室负责人简历</w:t>
            </w:r>
            <w:r>
              <w:rPr>
                <w:rFonts w:hint="eastAsia"/>
                <w:color w:val="auto"/>
                <w:sz w:val="21"/>
                <w:szCs w:val="21"/>
                <w:lang w:eastAsia="zh-CN"/>
              </w:rPr>
              <w:t>（</w:t>
            </w:r>
            <w:r>
              <w:rPr>
                <w:rFonts w:hint="eastAsia"/>
                <w:color w:val="auto"/>
                <w:sz w:val="21"/>
                <w:szCs w:val="21"/>
                <w:lang w:val="en-US" w:eastAsia="zh-CN"/>
              </w:rPr>
              <w:t>若有</w:t>
            </w:r>
            <w:r>
              <w:rPr>
                <w:rFonts w:hint="eastAsia"/>
                <w:color w:val="auto"/>
                <w:sz w:val="21"/>
                <w:szCs w:val="21"/>
                <w:lang w:eastAsia="zh-CN"/>
              </w:rPr>
              <w:t>）</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8.3</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color w:val="auto"/>
                <w:sz w:val="21"/>
                <w:szCs w:val="21"/>
                <w:lang w:val="en-US" w:eastAsia="zh-CN"/>
              </w:rPr>
              <w:t>中心实验室</w:t>
            </w:r>
            <w:r>
              <w:rPr>
                <w:rFonts w:hint="eastAsia"/>
                <w:color w:val="auto"/>
                <w:sz w:val="21"/>
                <w:szCs w:val="21"/>
              </w:rPr>
              <w:t>在试验方案中涉及的医学、实验室、专业技术操作和相关检测的参考值和参考值范围</w:t>
            </w:r>
            <w:r>
              <w:rPr>
                <w:rFonts w:hint="eastAsia"/>
                <w:color w:val="auto"/>
                <w:sz w:val="21"/>
                <w:szCs w:val="21"/>
                <w:lang w:eastAsia="zh-CN"/>
              </w:rPr>
              <w:t>（</w:t>
            </w:r>
            <w:r>
              <w:rPr>
                <w:rFonts w:hint="eastAsia"/>
                <w:color w:val="auto"/>
                <w:sz w:val="21"/>
                <w:szCs w:val="21"/>
                <w:lang w:val="en-US" w:eastAsia="zh-CN"/>
              </w:rPr>
              <w:t>若有</w:t>
            </w:r>
            <w:r>
              <w:rPr>
                <w:rFonts w:hint="eastAsia"/>
                <w:color w:val="auto"/>
                <w:sz w:val="21"/>
                <w:szCs w:val="21"/>
                <w:lang w:eastAsia="zh-CN"/>
              </w:rPr>
              <w:t>）</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26" w:hRule="atLeast"/>
          <w:tblHeader/>
        </w:trPr>
        <w:tc>
          <w:tcPr>
            <w:tcW w:w="1212"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8.4</w:t>
            </w:r>
          </w:p>
        </w:tc>
        <w:tc>
          <w:tcPr>
            <w:tcW w:w="6406" w:type="dxa"/>
            <w:gridSpan w:val="2"/>
            <w:vAlign w:val="center"/>
          </w:tcPr>
          <w:p>
            <w:pPr>
              <w:pStyle w:val="43"/>
              <w:keepNext w:val="0"/>
              <w:keepLines w:val="0"/>
              <w:pageBreakBefore w:val="0"/>
              <w:numPr>
                <w:ilvl w:val="0"/>
                <w:numId w:val="0"/>
              </w:numPr>
              <w:kinsoku/>
              <w:overflowPunct/>
              <w:topLinePunct w:val="0"/>
              <w:bidi w:val="0"/>
              <w:adjustRightInd/>
              <w:snapToGrid/>
              <w:ind w:left="105" w:leftChars="50"/>
              <w:textAlignment w:val="auto"/>
              <w:rPr>
                <w:rFonts w:ascii="宋体" w:hAnsi="宋体" w:eastAsia="宋体" w:cs="Arial"/>
                <w:color w:val="auto"/>
                <w:kern w:val="0"/>
                <w:sz w:val="21"/>
                <w:szCs w:val="21"/>
                <w:lang w:eastAsia="zh-CN"/>
              </w:rPr>
            </w:pPr>
            <w:r>
              <w:rPr>
                <w:rFonts w:hint="eastAsia" w:ascii="宋体" w:hAnsi="宋体" w:eastAsia="宋体" w:cs="Times New Roman"/>
                <w:b w:val="0"/>
                <w:bCs w:val="0"/>
                <w:color w:val="auto"/>
                <w:kern w:val="2"/>
                <w:sz w:val="21"/>
                <w:szCs w:val="21"/>
                <w:lang w:val="en-US" w:eastAsia="zh-CN" w:bidi="ar-SA"/>
              </w:rPr>
              <w:t>中心实验室物资预定、运输及确认</w:t>
            </w:r>
            <w:r>
              <w:rPr>
                <w:rFonts w:hint="eastAsia"/>
                <w:color w:val="auto"/>
                <w:sz w:val="21"/>
                <w:szCs w:val="21"/>
                <w:lang w:eastAsia="zh-CN"/>
              </w:rPr>
              <w:t>（</w:t>
            </w:r>
            <w:r>
              <w:rPr>
                <w:rFonts w:hint="eastAsia"/>
                <w:color w:val="auto"/>
                <w:sz w:val="21"/>
                <w:szCs w:val="21"/>
                <w:lang w:val="en-US" w:eastAsia="zh-CN"/>
              </w:rPr>
              <w:t>若有</w:t>
            </w:r>
            <w:r>
              <w:rPr>
                <w:rFonts w:hint="eastAsia"/>
                <w:color w:val="auto"/>
                <w:sz w:val="21"/>
                <w:szCs w:val="21"/>
                <w:lang w:eastAsia="zh-CN"/>
              </w:rPr>
              <w:t>）</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8.5</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本院实验室资质</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8.6</w:t>
            </w:r>
          </w:p>
        </w:tc>
        <w:tc>
          <w:tcPr>
            <w:tcW w:w="6406"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本院实验室</w:t>
            </w:r>
            <w:r>
              <w:rPr>
                <w:rFonts w:hint="eastAsia"/>
                <w:color w:val="auto"/>
                <w:sz w:val="21"/>
                <w:szCs w:val="21"/>
              </w:rPr>
              <w:t>在试验方案中涉及的医学、实验室、专业技术操作和相关检测的参考值和参考值范围</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8.7</w:t>
            </w:r>
          </w:p>
        </w:tc>
        <w:tc>
          <w:tcPr>
            <w:tcW w:w="6406"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本院实验室仪器校准证明</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211" w:firstLineChars="100"/>
              <w:jc w:val="left"/>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9</w:t>
            </w:r>
          </w:p>
        </w:tc>
        <w:tc>
          <w:tcPr>
            <w:tcW w:w="9250"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eastAsia="zh-CN"/>
              </w:rPr>
            </w:pPr>
            <w:r>
              <w:rPr>
                <w:rFonts w:hint="eastAsia" w:ascii="宋体" w:hAnsi="宋体" w:eastAsia="宋体" w:cs="Arial"/>
                <w:b/>
                <w:bCs/>
                <w:color w:val="auto"/>
                <w:kern w:val="0"/>
                <w:sz w:val="21"/>
                <w:szCs w:val="21"/>
                <w:lang w:eastAsia="zh-CN"/>
              </w:rPr>
              <w:t>随机和破盲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400" w:hRule="atLeast"/>
          <w:tblHeader/>
        </w:trPr>
        <w:tc>
          <w:tcPr>
            <w:tcW w:w="1212"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9.1</w:t>
            </w:r>
          </w:p>
        </w:tc>
        <w:tc>
          <w:tcPr>
            <w:tcW w:w="6406"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随机方案是否规范</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9.2</w:t>
            </w:r>
          </w:p>
        </w:tc>
        <w:tc>
          <w:tcPr>
            <w:tcW w:w="6406"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随机过程是否规范</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9.3</w:t>
            </w:r>
          </w:p>
        </w:tc>
        <w:tc>
          <w:tcPr>
            <w:tcW w:w="6406"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盲法试验的揭盲程序是否规范</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bidi="ar-SA"/>
              </w:rPr>
              <w:t>9.4</w:t>
            </w:r>
          </w:p>
        </w:tc>
        <w:tc>
          <w:tcPr>
            <w:tcW w:w="6406"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rPr>
            </w:pPr>
            <w:r>
              <w:rPr>
                <w:rFonts w:hint="eastAsia" w:ascii="宋体" w:hAnsi="宋体" w:cs="宋体"/>
                <w:color w:val="auto"/>
                <w:kern w:val="0"/>
                <w:sz w:val="21"/>
                <w:szCs w:val="21"/>
              </w:rPr>
              <w:t>盲法试验应急信封是否保存完整</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211" w:firstLineChars="100"/>
              <w:jc w:val="left"/>
              <w:rPr>
                <w:rFonts w:hint="eastAsia" w:ascii="宋体" w:hAnsi="宋体" w:eastAsia="宋体" w:cs="Arial"/>
                <w:b/>
                <w:bCs/>
                <w:color w:val="auto"/>
                <w:kern w:val="0"/>
                <w:sz w:val="21"/>
                <w:szCs w:val="21"/>
                <w:lang w:val="en-US" w:eastAsia="zh-CN"/>
              </w:rPr>
            </w:pPr>
            <w:r>
              <w:rPr>
                <w:rFonts w:ascii="宋体" w:hAnsi="宋体" w:eastAsia="宋体" w:cs="Arial"/>
                <w:b/>
                <w:bCs/>
                <w:color w:val="auto"/>
                <w:kern w:val="0"/>
                <w:sz w:val="21"/>
                <w:szCs w:val="21"/>
              </w:rPr>
              <w:t>1</w:t>
            </w:r>
            <w:r>
              <w:rPr>
                <w:rFonts w:hint="eastAsia" w:ascii="宋体" w:hAnsi="宋体" w:eastAsia="宋体" w:cs="Arial"/>
                <w:b/>
                <w:bCs/>
                <w:color w:val="auto"/>
                <w:kern w:val="0"/>
                <w:sz w:val="21"/>
                <w:szCs w:val="21"/>
                <w:lang w:val="en-US" w:eastAsia="zh-CN"/>
              </w:rPr>
              <w:t>0</w:t>
            </w:r>
          </w:p>
        </w:tc>
        <w:tc>
          <w:tcPr>
            <w:tcW w:w="9250"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临床监查/稽查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1" w:hRule="atLeast"/>
          <w:tblHeader/>
        </w:trPr>
        <w:tc>
          <w:tcPr>
            <w:tcW w:w="1212"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10.1</w:t>
            </w:r>
          </w:p>
        </w:tc>
        <w:tc>
          <w:tcPr>
            <w:tcW w:w="6406"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是否有符合资质的监察员</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1" w:hRule="atLeast"/>
          <w:tblHeader/>
        </w:trPr>
        <w:tc>
          <w:tcPr>
            <w:tcW w:w="1212"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10.2</w:t>
            </w:r>
          </w:p>
        </w:tc>
        <w:tc>
          <w:tcPr>
            <w:tcW w:w="6406"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rPr>
            </w:pPr>
            <w:r>
              <w:rPr>
                <w:rFonts w:hint="eastAsia" w:ascii="宋体" w:hAnsi="宋体" w:cs="宋体"/>
                <w:color w:val="auto"/>
                <w:kern w:val="0"/>
                <w:sz w:val="21"/>
                <w:szCs w:val="21"/>
              </w:rPr>
              <w:t>监查员是否定期进行监查并有书面报告或反馈</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211" w:firstLineChars="100"/>
              <w:jc w:val="left"/>
              <w:rPr>
                <w:rFonts w:hint="eastAsia" w:ascii="宋体" w:hAnsi="宋体" w:eastAsia="宋体" w:cs="Arial"/>
                <w:b/>
                <w:bCs/>
                <w:color w:val="auto"/>
                <w:kern w:val="0"/>
                <w:sz w:val="21"/>
                <w:szCs w:val="21"/>
                <w:lang w:val="en-US" w:eastAsia="zh-CN"/>
              </w:rPr>
            </w:pPr>
            <w:r>
              <w:rPr>
                <w:rFonts w:ascii="宋体" w:hAnsi="宋体" w:eastAsia="宋体" w:cs="Arial"/>
                <w:b/>
                <w:bCs/>
                <w:color w:val="auto"/>
                <w:kern w:val="0"/>
                <w:sz w:val="21"/>
                <w:szCs w:val="21"/>
              </w:rPr>
              <w:t>1</w:t>
            </w:r>
            <w:r>
              <w:rPr>
                <w:rFonts w:hint="eastAsia" w:ascii="宋体" w:hAnsi="宋体" w:eastAsia="宋体" w:cs="Arial"/>
                <w:b/>
                <w:bCs/>
                <w:color w:val="auto"/>
                <w:kern w:val="0"/>
                <w:sz w:val="21"/>
                <w:szCs w:val="21"/>
                <w:lang w:val="en-US" w:eastAsia="zh-CN"/>
              </w:rPr>
              <w:t>1</w:t>
            </w:r>
          </w:p>
        </w:tc>
        <w:tc>
          <w:tcPr>
            <w:tcW w:w="9250" w:type="dxa"/>
            <w:gridSpan w:val="6"/>
            <w:vAlign w:val="center"/>
          </w:tcPr>
          <w:p>
            <w:pPr>
              <w:widowControl/>
              <w:wordWrap/>
              <w:autoSpaceDE/>
              <w:autoSpaceDN/>
              <w:spacing w:before="20" w:after="20"/>
              <w:ind w:left="105" w:leftChars="50"/>
              <w:jc w:val="left"/>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试验物资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441" w:firstLineChars="210"/>
              <w:jc w:val="right"/>
              <w:rPr>
                <w:rFonts w:ascii="宋体" w:hAnsi="宋体" w:eastAsia="宋体" w:cs="Arial"/>
                <w:color w:val="auto"/>
                <w:kern w:val="0"/>
                <w:sz w:val="21"/>
                <w:szCs w:val="21"/>
                <w:lang w:eastAsia="zh-CN"/>
              </w:rPr>
            </w:pPr>
            <w:r>
              <w:rPr>
                <w:rFonts w:hint="eastAsia" w:ascii="宋体" w:hAnsi="宋体" w:eastAsia="宋体" w:cs="Arial"/>
                <w:color w:val="auto"/>
                <w:kern w:val="0"/>
                <w:sz w:val="21"/>
                <w:szCs w:val="21"/>
                <w:lang w:eastAsia="zh-CN"/>
              </w:rPr>
              <w:t>11.</w:t>
            </w:r>
            <w:r>
              <w:rPr>
                <w:rFonts w:ascii="宋体" w:hAnsi="宋体" w:eastAsia="宋体" w:cs="Arial"/>
                <w:color w:val="auto"/>
                <w:kern w:val="0"/>
                <w:sz w:val="21"/>
                <w:szCs w:val="21"/>
                <w:lang w:eastAsia="zh-CN"/>
              </w:rPr>
              <w:t>1</w:t>
            </w:r>
          </w:p>
        </w:tc>
        <w:tc>
          <w:tcPr>
            <w:tcW w:w="6406"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仪器、耗材交接</w:t>
            </w:r>
            <w:r>
              <w:rPr>
                <w:rFonts w:hint="eastAsia" w:ascii="宋体" w:hAnsi="宋体" w:eastAsia="宋体" w:cs="Arial"/>
                <w:color w:val="auto"/>
                <w:kern w:val="0"/>
                <w:sz w:val="21"/>
                <w:szCs w:val="21"/>
                <w:lang w:val="en-US" w:eastAsia="zh-CN"/>
              </w:rPr>
              <w:t>证明（若有）</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441" w:firstLineChars="210"/>
              <w:jc w:val="right"/>
              <w:rPr>
                <w:rFonts w:ascii="宋体" w:hAnsi="宋体" w:eastAsia="宋体" w:cs="Arial"/>
                <w:color w:val="auto"/>
                <w:kern w:val="0"/>
                <w:sz w:val="21"/>
                <w:szCs w:val="21"/>
                <w:lang w:eastAsia="zh-CN"/>
              </w:rPr>
            </w:pPr>
            <w:r>
              <w:rPr>
                <w:rFonts w:hint="eastAsia" w:ascii="宋体" w:hAnsi="宋体" w:eastAsia="宋体" w:cs="Arial"/>
                <w:color w:val="auto"/>
                <w:kern w:val="0"/>
                <w:sz w:val="21"/>
                <w:szCs w:val="21"/>
                <w:lang w:eastAsia="zh-CN"/>
              </w:rPr>
              <w:t>11.</w:t>
            </w:r>
            <w:r>
              <w:rPr>
                <w:rFonts w:ascii="宋体" w:hAnsi="宋体" w:eastAsia="宋体" w:cs="Arial"/>
                <w:color w:val="auto"/>
                <w:kern w:val="0"/>
                <w:sz w:val="21"/>
                <w:szCs w:val="21"/>
                <w:lang w:eastAsia="zh-CN"/>
              </w:rPr>
              <w:t>2</w:t>
            </w:r>
          </w:p>
        </w:tc>
        <w:tc>
          <w:tcPr>
            <w:tcW w:w="6406"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试验印刷材料交接</w:t>
            </w:r>
            <w:r>
              <w:rPr>
                <w:rFonts w:hint="eastAsia" w:ascii="宋体" w:hAnsi="宋体" w:eastAsia="宋体" w:cs="Arial"/>
                <w:color w:val="auto"/>
                <w:kern w:val="0"/>
                <w:sz w:val="21"/>
                <w:szCs w:val="21"/>
                <w:lang w:val="en-US" w:eastAsia="zh-CN"/>
              </w:rPr>
              <w:t>证明（若有）</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441" w:firstLineChars="210"/>
              <w:jc w:val="right"/>
              <w:rPr>
                <w:rFonts w:ascii="宋体" w:hAnsi="宋体" w:eastAsia="宋体" w:cs="Arial"/>
                <w:color w:val="auto"/>
                <w:kern w:val="0"/>
                <w:sz w:val="21"/>
                <w:szCs w:val="21"/>
                <w:lang w:eastAsia="zh-CN"/>
              </w:rPr>
            </w:pPr>
            <w:r>
              <w:rPr>
                <w:rFonts w:hint="eastAsia" w:ascii="宋体" w:hAnsi="宋体" w:eastAsia="宋体" w:cs="Arial"/>
                <w:color w:val="auto"/>
                <w:kern w:val="0"/>
                <w:sz w:val="21"/>
                <w:szCs w:val="21"/>
                <w:lang w:eastAsia="zh-CN"/>
              </w:rPr>
              <w:t>11.</w:t>
            </w:r>
            <w:r>
              <w:rPr>
                <w:rFonts w:ascii="宋体" w:hAnsi="宋体" w:eastAsia="宋体" w:cs="Arial"/>
                <w:color w:val="auto"/>
                <w:kern w:val="0"/>
                <w:sz w:val="21"/>
                <w:szCs w:val="21"/>
                <w:lang w:eastAsia="zh-CN"/>
              </w:rPr>
              <w:t>3</w:t>
            </w:r>
          </w:p>
        </w:tc>
        <w:tc>
          <w:tcPr>
            <w:tcW w:w="6406"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研究中心文件物料交接</w:t>
            </w:r>
            <w:r>
              <w:rPr>
                <w:rFonts w:hint="eastAsia" w:ascii="宋体" w:hAnsi="宋体" w:eastAsia="宋体" w:cs="Arial"/>
                <w:color w:val="auto"/>
                <w:kern w:val="0"/>
                <w:sz w:val="21"/>
                <w:szCs w:val="21"/>
                <w:lang w:val="en-US" w:eastAsia="zh-CN"/>
              </w:rPr>
              <w:t>证明（若有）</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211" w:firstLineChars="100"/>
              <w:jc w:val="left"/>
              <w:rPr>
                <w:rFonts w:hint="default" w:ascii="宋体" w:hAnsi="宋体" w:eastAsia="宋体" w:cs="Arial"/>
                <w:color w:val="auto"/>
                <w:kern w:val="0"/>
                <w:sz w:val="21"/>
                <w:szCs w:val="21"/>
                <w:lang w:val="en-US" w:eastAsia="zh-CN"/>
              </w:rPr>
            </w:pPr>
            <w:r>
              <w:rPr>
                <w:rFonts w:hint="eastAsia" w:ascii="宋体" w:hAnsi="宋体" w:eastAsia="宋体" w:cs="Arial"/>
                <w:b/>
                <w:bCs/>
                <w:color w:val="auto"/>
                <w:kern w:val="0"/>
                <w:sz w:val="21"/>
                <w:szCs w:val="21"/>
                <w:lang w:val="en-US" w:eastAsia="zh-CN"/>
              </w:rPr>
              <w:t>12</w:t>
            </w:r>
          </w:p>
        </w:tc>
        <w:tc>
          <w:tcPr>
            <w:tcW w:w="9250" w:type="dxa"/>
            <w:gridSpan w:val="6"/>
            <w:vAlign w:val="center"/>
          </w:tcPr>
          <w:p>
            <w:pPr>
              <w:widowControl/>
              <w:wordWrap/>
              <w:autoSpaceDE/>
              <w:autoSpaceDN/>
              <w:spacing w:before="20" w:after="20"/>
              <w:ind w:left="105" w:leftChars="50"/>
              <w:jc w:val="left"/>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试验流程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12.</w:t>
            </w:r>
            <w:r>
              <w:rPr>
                <w:rFonts w:ascii="宋体" w:hAnsi="宋体" w:eastAsia="宋体" w:cs="Arial"/>
                <w:color w:val="auto"/>
                <w:kern w:val="0"/>
                <w:sz w:val="21"/>
                <w:szCs w:val="21"/>
                <w:lang w:eastAsia="zh-CN"/>
              </w:rPr>
              <w:t>1</w:t>
            </w:r>
          </w:p>
        </w:tc>
        <w:tc>
          <w:tcPr>
            <w:tcW w:w="6406"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eastAsia="zh-CN"/>
              </w:rPr>
            </w:pPr>
            <w:r>
              <w:rPr>
                <w:rFonts w:hint="eastAsia" w:ascii="宋体" w:hAnsi="宋体" w:cs="宋体"/>
                <w:color w:val="auto"/>
                <w:kern w:val="0"/>
                <w:sz w:val="21"/>
                <w:szCs w:val="21"/>
              </w:rPr>
              <w:t>是否所有入组受试者都签署了知情同意书</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12.</w:t>
            </w:r>
            <w:r>
              <w:rPr>
                <w:rFonts w:ascii="宋体" w:hAnsi="宋体" w:eastAsia="宋体" w:cs="Arial"/>
                <w:color w:val="auto"/>
                <w:kern w:val="0"/>
                <w:sz w:val="21"/>
                <w:szCs w:val="21"/>
                <w:lang w:eastAsia="zh-CN"/>
              </w:rPr>
              <w:t>2</w:t>
            </w:r>
          </w:p>
        </w:tc>
        <w:tc>
          <w:tcPr>
            <w:tcW w:w="6406"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eastAsia="zh-CN"/>
              </w:rPr>
            </w:pPr>
            <w:r>
              <w:rPr>
                <w:rFonts w:hint="eastAsia" w:ascii="宋体" w:hAnsi="宋体" w:cs="宋体"/>
                <w:color w:val="auto"/>
                <w:kern w:val="0"/>
                <w:sz w:val="21"/>
                <w:szCs w:val="21"/>
              </w:rPr>
              <w:t>是否所有入组受试者都符合入排标准</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212" w:type="dxa"/>
            <w:vAlign w:val="bottom"/>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12.</w:t>
            </w:r>
            <w:r>
              <w:rPr>
                <w:rFonts w:ascii="宋体" w:hAnsi="宋体" w:eastAsia="宋体" w:cs="Arial"/>
                <w:color w:val="auto"/>
                <w:kern w:val="0"/>
                <w:sz w:val="21"/>
                <w:szCs w:val="21"/>
                <w:lang w:eastAsia="zh-CN"/>
              </w:rPr>
              <w:t>3</w:t>
            </w:r>
          </w:p>
        </w:tc>
        <w:tc>
          <w:tcPr>
            <w:tcW w:w="6406"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eastAsia="zh-CN"/>
              </w:rPr>
            </w:pPr>
            <w:r>
              <w:rPr>
                <w:rFonts w:hint="eastAsia" w:asciiTheme="minorEastAsia" w:hAnsiTheme="minorEastAsia" w:cstheme="minorEastAsia"/>
                <w:color w:val="auto"/>
                <w:kern w:val="0"/>
                <w:sz w:val="21"/>
                <w:szCs w:val="21"/>
              </w:rPr>
              <w:t>物资接收和退还过程均有原始记录</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12.</w:t>
            </w:r>
            <w:r>
              <w:rPr>
                <w:rFonts w:ascii="宋体" w:hAnsi="宋体" w:eastAsia="宋体" w:cs="Arial"/>
                <w:color w:val="auto"/>
                <w:kern w:val="0"/>
                <w:sz w:val="21"/>
                <w:szCs w:val="21"/>
                <w:lang w:eastAsia="zh-CN"/>
              </w:rPr>
              <w:t>4</w:t>
            </w:r>
          </w:p>
        </w:tc>
        <w:tc>
          <w:tcPr>
            <w:tcW w:w="6406" w:type="dxa"/>
            <w:gridSpan w:val="2"/>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受试者筛选入选表是否规范</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left="105" w:leftChars="50"/>
              <w:jc w:val="right"/>
              <w:rPr>
                <w:rFonts w:hint="eastAsia" w:asciiTheme="minorEastAsia" w:hAnsi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lang w:eastAsia="zh-CN"/>
              </w:rPr>
              <w:t>12.5</w:t>
            </w:r>
          </w:p>
        </w:tc>
        <w:tc>
          <w:tcPr>
            <w:tcW w:w="6406"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ko-KR" w:bidi="ar-SA"/>
              </w:rPr>
            </w:pPr>
            <w:r>
              <w:rPr>
                <w:rFonts w:hint="eastAsia" w:asciiTheme="minorEastAsia" w:hAnsiTheme="minorEastAsia" w:cstheme="minorEastAsia"/>
                <w:color w:val="auto"/>
                <w:kern w:val="0"/>
                <w:sz w:val="21"/>
                <w:szCs w:val="21"/>
              </w:rPr>
              <w:t>受试者鉴认代码表是否涵盖如姓名、住院号/门诊就诊号、身份证号、联系地址以及联系方式等受试者身份鉴别信息</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12.</w:t>
            </w:r>
            <w:r>
              <w:rPr>
                <w:rFonts w:ascii="宋体" w:hAnsi="宋体" w:eastAsia="宋体" w:cs="Arial"/>
                <w:color w:val="auto"/>
                <w:kern w:val="0"/>
                <w:sz w:val="21"/>
                <w:szCs w:val="21"/>
                <w:lang w:eastAsia="zh-CN"/>
              </w:rPr>
              <w:t>6</w:t>
            </w:r>
          </w:p>
        </w:tc>
        <w:tc>
          <w:tcPr>
            <w:tcW w:w="6406" w:type="dxa"/>
            <w:gridSpan w:val="2"/>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方案规定的检查是否遗漏</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12.</w:t>
            </w:r>
            <w:r>
              <w:rPr>
                <w:rFonts w:ascii="宋体" w:hAnsi="宋体" w:eastAsia="宋体" w:cs="Arial"/>
                <w:color w:val="auto"/>
                <w:kern w:val="0"/>
                <w:sz w:val="21"/>
                <w:szCs w:val="21"/>
                <w:lang w:eastAsia="zh-CN"/>
              </w:rPr>
              <w:t>7</w:t>
            </w:r>
          </w:p>
        </w:tc>
        <w:tc>
          <w:tcPr>
            <w:tcW w:w="6406" w:type="dxa"/>
            <w:gridSpan w:val="2"/>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检查报告单（检验科、影像科、心电图室等检查结果）是否齐全、可溯源</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12.8</w:t>
            </w:r>
          </w:p>
        </w:tc>
        <w:tc>
          <w:tcPr>
            <w:tcW w:w="6406" w:type="dxa"/>
            <w:gridSpan w:val="2"/>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研究者是否及时对检查结果的临床意义作出判断</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212"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 xml:space="preserve">    12.9</w:t>
            </w:r>
          </w:p>
        </w:tc>
        <w:tc>
          <w:tcPr>
            <w:tcW w:w="6406" w:type="dxa"/>
            <w:gridSpan w:val="2"/>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是否所有入组受试者都按照方案进行治疗</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12.10</w:t>
            </w:r>
          </w:p>
        </w:tc>
        <w:tc>
          <w:tcPr>
            <w:tcW w:w="6406"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ko-KR"/>
              </w:rPr>
            </w:pPr>
            <w:r>
              <w:rPr>
                <w:rFonts w:hint="eastAsia" w:asciiTheme="minorEastAsia" w:hAnsiTheme="minorEastAsia" w:cstheme="minorEastAsia"/>
                <w:color w:val="auto"/>
                <w:kern w:val="0"/>
                <w:sz w:val="21"/>
                <w:szCs w:val="21"/>
              </w:rPr>
              <w:t>生物样本采集、预处理、保存以及转运过程的各环节均有原始记录</w:t>
            </w:r>
          </w:p>
        </w:tc>
        <w:tc>
          <w:tcPr>
            <w:tcW w:w="492"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12.11</w:t>
            </w:r>
          </w:p>
        </w:tc>
        <w:tc>
          <w:tcPr>
            <w:tcW w:w="6406"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研究病历和CRF表填写是否规范、及时、准确、完整以及清晰（急诊入院的受试者需保留相关病程记录）</w:t>
            </w:r>
          </w:p>
        </w:tc>
        <w:tc>
          <w:tcPr>
            <w:tcW w:w="492"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12.12</w:t>
            </w:r>
          </w:p>
        </w:tc>
        <w:tc>
          <w:tcPr>
            <w:tcW w:w="6406"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各项签名是否符合相关要求</w:t>
            </w:r>
          </w:p>
        </w:tc>
        <w:tc>
          <w:tcPr>
            <w:tcW w:w="492"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1" w:hRule="atLeast"/>
          <w:tblHeader/>
        </w:trPr>
        <w:tc>
          <w:tcPr>
            <w:tcW w:w="1212" w:type="dxa"/>
            <w:vAlign w:val="bottom"/>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12.13</w:t>
            </w:r>
          </w:p>
        </w:tc>
        <w:tc>
          <w:tcPr>
            <w:tcW w:w="6406"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合并用药</w:t>
            </w:r>
            <w:r>
              <w:rPr>
                <w:rFonts w:hint="eastAsia" w:asciiTheme="minorEastAsia" w:hAnsiTheme="minorEastAsia" w:cstheme="minorEastAsia"/>
                <w:color w:val="auto"/>
                <w:kern w:val="0"/>
                <w:sz w:val="21"/>
                <w:szCs w:val="21"/>
                <w:lang w:val="en-US" w:eastAsia="zh-CN"/>
              </w:rPr>
              <w:t>或治疗</w:t>
            </w:r>
            <w:r>
              <w:rPr>
                <w:rFonts w:hint="eastAsia" w:asciiTheme="minorEastAsia" w:hAnsiTheme="minorEastAsia" w:cstheme="minorEastAsia"/>
                <w:color w:val="auto"/>
                <w:kern w:val="0"/>
                <w:sz w:val="21"/>
                <w:szCs w:val="21"/>
              </w:rPr>
              <w:t>是否符合方案要求并进行相关记录</w:t>
            </w:r>
          </w:p>
        </w:tc>
        <w:tc>
          <w:tcPr>
            <w:tcW w:w="492"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12.14</w:t>
            </w:r>
          </w:p>
        </w:tc>
        <w:tc>
          <w:tcPr>
            <w:tcW w:w="6406"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病例完成情况是否按预期进度进行</w:t>
            </w:r>
          </w:p>
        </w:tc>
        <w:tc>
          <w:tcPr>
            <w:tcW w:w="492"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211" w:firstLineChars="100"/>
              <w:jc w:val="left"/>
              <w:rPr>
                <w:rFonts w:hint="eastAsia" w:eastAsia="宋体" w:asciiTheme="minorEastAsia" w:hAnsiTheme="minorEastAsia" w:cstheme="minorEastAsia"/>
                <w:color w:val="auto"/>
                <w:kern w:val="0"/>
                <w:sz w:val="21"/>
                <w:szCs w:val="21"/>
                <w:lang w:val="en-US" w:eastAsia="zh-CN"/>
              </w:rPr>
            </w:pPr>
            <w:r>
              <w:rPr>
                <w:rFonts w:hint="eastAsia" w:ascii="宋体" w:hAnsi="宋体" w:eastAsia="宋体" w:cs="Arial"/>
                <w:b/>
                <w:bCs/>
                <w:color w:val="auto"/>
                <w:kern w:val="0"/>
                <w:sz w:val="21"/>
                <w:szCs w:val="21"/>
              </w:rPr>
              <w:t>1</w:t>
            </w:r>
            <w:r>
              <w:rPr>
                <w:rFonts w:hint="eastAsia" w:ascii="宋体" w:hAnsi="宋体" w:eastAsia="宋体" w:cs="Arial"/>
                <w:b/>
                <w:bCs/>
                <w:color w:val="auto"/>
                <w:kern w:val="0"/>
                <w:sz w:val="21"/>
                <w:szCs w:val="21"/>
                <w:lang w:val="en-US" w:eastAsia="zh-CN"/>
              </w:rPr>
              <w:t>3</w:t>
            </w:r>
          </w:p>
        </w:tc>
        <w:tc>
          <w:tcPr>
            <w:tcW w:w="9250" w:type="dxa"/>
            <w:gridSpan w:val="6"/>
            <w:vAlign w:val="top"/>
          </w:tcPr>
          <w:p>
            <w:pPr>
              <w:widowControl/>
              <w:wordWrap/>
              <w:autoSpaceDE/>
              <w:autoSpaceDN/>
              <w:spacing w:before="20" w:after="20"/>
              <w:ind w:left="105" w:leftChars="50"/>
              <w:jc w:val="left"/>
              <w:rPr>
                <w:rFonts w:hint="eastAsia" w:asciiTheme="minorEastAsia" w:hAnsiTheme="minorEastAsia" w:cstheme="minorEastAsia"/>
                <w:b/>
                <w:bCs/>
                <w:color w:val="auto"/>
                <w:kern w:val="0"/>
                <w:sz w:val="21"/>
                <w:szCs w:val="21"/>
                <w:lang w:val="en-US" w:eastAsia="zh-CN"/>
              </w:rPr>
            </w:pPr>
            <w:r>
              <w:rPr>
                <w:rFonts w:hint="eastAsia" w:asciiTheme="minorEastAsia" w:hAnsiTheme="minorEastAsia" w:cstheme="minorEastAsia"/>
                <w:b/>
                <w:bCs/>
                <w:color w:val="auto"/>
                <w:kern w:val="0"/>
                <w:sz w:val="21"/>
                <w:szCs w:val="21"/>
                <w:lang w:val="en-US" w:eastAsia="zh-CN"/>
              </w:rPr>
              <w:t>样本</w:t>
            </w:r>
            <w:r>
              <w:rPr>
                <w:rFonts w:hint="eastAsia" w:ascii="宋体" w:hAnsi="宋体" w:eastAsia="宋体"/>
                <w:b/>
                <w:bCs/>
                <w:color w:val="auto"/>
                <w:sz w:val="21"/>
                <w:szCs w:val="21"/>
                <w:lang w:val="en-US" w:eastAsia="zh-CN"/>
              </w:rPr>
              <w:t>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210" w:firstLineChars="100"/>
              <w:jc w:val="right"/>
              <w:rPr>
                <w:rFonts w:hint="eastAsia" w:ascii="宋体" w:hAnsi="宋体" w:eastAsia="宋体" w:cs="Arial"/>
                <w:b/>
                <w:bCs/>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13.1</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样本处理过程是否规范</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210" w:firstLineChars="100"/>
              <w:jc w:val="right"/>
              <w:rPr>
                <w:rFonts w:hint="eastAsia" w:ascii="宋体" w:hAnsi="宋体" w:eastAsia="宋体" w:cs="Arial"/>
                <w:b w:val="0"/>
                <w:bCs w:val="0"/>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13.2</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b w:val="0"/>
                <w:bCs w:val="0"/>
                <w:color w:val="auto"/>
                <w:kern w:val="2"/>
                <w:sz w:val="21"/>
                <w:szCs w:val="21"/>
                <w:lang w:val="en-US" w:eastAsia="zh-CN" w:bidi="ar-SA"/>
              </w:rPr>
            </w:pPr>
            <w:r>
              <w:rPr>
                <w:rFonts w:hint="eastAsia" w:ascii="宋体" w:hAnsi="宋体" w:eastAsia="宋体"/>
                <w:b w:val="0"/>
                <w:bCs w:val="0"/>
                <w:color w:val="auto"/>
                <w:sz w:val="21"/>
                <w:szCs w:val="21"/>
                <w:lang w:val="en-US" w:eastAsia="zh-CN"/>
              </w:rPr>
              <w:t>是否有样本保存记录</w:t>
            </w:r>
          </w:p>
        </w:tc>
        <w:tc>
          <w:tcPr>
            <w:tcW w:w="492"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210" w:firstLineChars="100"/>
              <w:jc w:val="right"/>
              <w:rPr>
                <w:rFonts w:hint="eastAsia" w:ascii="宋体" w:hAnsi="宋体" w:eastAsia="宋体" w:cs="Arial"/>
                <w:b w:val="0"/>
                <w:bCs w:val="0"/>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13.3</w:t>
            </w:r>
          </w:p>
        </w:tc>
        <w:tc>
          <w:tcPr>
            <w:tcW w:w="6406"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b w:val="0"/>
                <w:bCs w:val="0"/>
                <w:color w:val="auto"/>
                <w:kern w:val="2"/>
                <w:sz w:val="21"/>
                <w:szCs w:val="21"/>
                <w:lang w:val="en-US" w:eastAsia="zh-CN" w:bidi="ar-SA"/>
              </w:rPr>
            </w:pPr>
            <w:r>
              <w:rPr>
                <w:rFonts w:hint="eastAsia" w:ascii="宋体" w:hAnsi="宋体" w:eastAsia="宋体"/>
                <w:b w:val="0"/>
                <w:bCs w:val="0"/>
                <w:color w:val="auto"/>
                <w:sz w:val="21"/>
                <w:szCs w:val="21"/>
                <w:lang w:val="en-US" w:eastAsia="zh-CN"/>
              </w:rPr>
              <w:t>是否有样本交接记录</w:t>
            </w:r>
          </w:p>
        </w:tc>
        <w:tc>
          <w:tcPr>
            <w:tcW w:w="492"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bottom"/>
          </w:tcPr>
          <w:p>
            <w:pPr>
              <w:widowControl/>
              <w:wordWrap/>
              <w:autoSpaceDE/>
              <w:autoSpaceDN/>
              <w:spacing w:before="20" w:after="20"/>
              <w:ind w:firstLine="211" w:firstLineChars="100"/>
              <w:jc w:val="left"/>
              <w:rPr>
                <w:rFonts w:hint="eastAsia" w:ascii="宋体" w:hAnsi="宋体" w:eastAsia="宋体" w:cs="Arial"/>
                <w:b/>
                <w:bCs/>
                <w:color w:val="auto"/>
                <w:kern w:val="0"/>
                <w:sz w:val="21"/>
                <w:szCs w:val="21"/>
                <w:lang w:val="en-US" w:eastAsia="zh-CN"/>
              </w:rPr>
            </w:pPr>
            <w:r>
              <w:rPr>
                <w:rFonts w:ascii="宋体" w:hAnsi="宋体" w:eastAsia="宋体" w:cs="Arial"/>
                <w:b/>
                <w:bCs/>
                <w:color w:val="auto"/>
                <w:kern w:val="0"/>
                <w:sz w:val="21"/>
                <w:szCs w:val="21"/>
              </w:rPr>
              <w:t>1</w:t>
            </w:r>
            <w:r>
              <w:rPr>
                <w:rFonts w:hint="eastAsia" w:ascii="宋体" w:hAnsi="宋体" w:eastAsia="宋体" w:cs="Arial"/>
                <w:b/>
                <w:bCs/>
                <w:color w:val="auto"/>
                <w:kern w:val="0"/>
                <w:sz w:val="21"/>
                <w:szCs w:val="21"/>
                <w:lang w:val="en-US" w:eastAsia="zh-CN"/>
              </w:rPr>
              <w:t>4</w:t>
            </w:r>
          </w:p>
        </w:tc>
        <w:tc>
          <w:tcPr>
            <w:tcW w:w="9250" w:type="dxa"/>
            <w:gridSpan w:val="6"/>
            <w:vAlign w:val="center"/>
          </w:tcPr>
          <w:p>
            <w:pPr>
              <w:widowControl/>
              <w:wordWrap/>
              <w:autoSpaceDE/>
              <w:autoSpaceDN/>
              <w:spacing w:before="20" w:after="20"/>
              <w:ind w:left="105" w:leftChars="50"/>
              <w:jc w:val="left"/>
              <w:rPr>
                <w:rFonts w:hint="eastAsia" w:asciiTheme="minorEastAsia" w:hAnsiTheme="minorEastAsia" w:cstheme="minorEastAsia"/>
                <w:b/>
                <w:bCs/>
                <w:color w:val="auto"/>
                <w:kern w:val="0"/>
                <w:sz w:val="21"/>
                <w:szCs w:val="21"/>
                <w:lang w:val="en-US" w:eastAsia="zh-CN"/>
              </w:rPr>
            </w:pPr>
            <w:r>
              <w:rPr>
                <w:rFonts w:hint="eastAsia" w:asciiTheme="minorEastAsia" w:hAnsiTheme="minorEastAsia" w:cstheme="minorEastAsia"/>
                <w:b/>
                <w:bCs/>
                <w:color w:val="auto"/>
                <w:kern w:val="0"/>
                <w:sz w:val="21"/>
                <w:szCs w:val="21"/>
                <w:lang w:val="en-US" w:eastAsia="zh-CN"/>
              </w:rPr>
              <w:t>知情同意书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14.</w:t>
            </w:r>
            <w:r>
              <w:rPr>
                <w:rFonts w:ascii="宋体" w:hAnsi="宋体" w:eastAsia="宋体" w:cs="Arial"/>
                <w:color w:val="auto"/>
                <w:kern w:val="0"/>
                <w:sz w:val="21"/>
                <w:szCs w:val="21"/>
                <w:lang w:eastAsia="zh-CN"/>
              </w:rPr>
              <w:t>1</w:t>
            </w:r>
          </w:p>
        </w:tc>
        <w:tc>
          <w:tcPr>
            <w:tcW w:w="8014" w:type="dxa"/>
            <w:gridSpan w:val="5"/>
            <w:vAlign w:val="center"/>
          </w:tcPr>
          <w:p>
            <w:pPr>
              <w:widowControl/>
              <w:wordWrap/>
              <w:autoSpaceDE/>
              <w:autoSpaceDN/>
              <w:spacing w:before="20" w:after="20"/>
              <w:jc w:val="left"/>
              <w:rPr>
                <w:rFonts w:hint="default" w:asciiTheme="minorEastAsia" w:hAnsiTheme="minorEastAsia" w:cstheme="minorEastAsia"/>
                <w:b/>
                <w:bCs/>
                <w:color w:val="auto"/>
                <w:kern w:val="0"/>
                <w:sz w:val="21"/>
                <w:szCs w:val="21"/>
                <w:lang w:val="en-US" w:eastAsia="zh-CN"/>
              </w:rPr>
            </w:pPr>
            <w:r>
              <w:rPr>
                <w:rFonts w:hint="eastAsia" w:ascii="宋体" w:hAnsi="宋体" w:eastAsia="宋体" w:cs="Arial"/>
                <w:color w:val="auto"/>
                <w:kern w:val="0"/>
                <w:sz w:val="21"/>
                <w:szCs w:val="21"/>
                <w:lang w:val="en-US" w:eastAsia="zh-CN"/>
              </w:rPr>
              <w:t>签署知情同意书：共___份，抽查：___份，筛选号：</w:t>
            </w:r>
          </w:p>
        </w:tc>
        <w:tc>
          <w:tcPr>
            <w:tcW w:w="1236" w:type="dxa"/>
            <w:vAlign w:val="center"/>
          </w:tcPr>
          <w:p>
            <w:pPr>
              <w:widowControl/>
              <w:wordWrap/>
              <w:autoSpaceDE/>
              <w:autoSpaceDN/>
              <w:spacing w:before="20" w:after="20"/>
              <w:jc w:val="left"/>
              <w:rPr>
                <w:rFonts w:hint="eastAsia" w:ascii="宋体" w:hAnsi="宋体" w:eastAsia="宋体" w:cs="Arial"/>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14.</w:t>
            </w:r>
            <w:r>
              <w:rPr>
                <w:rFonts w:ascii="宋体" w:hAnsi="宋体" w:eastAsia="宋体" w:cs="Arial"/>
                <w:color w:val="auto"/>
                <w:kern w:val="0"/>
                <w:sz w:val="21"/>
                <w:szCs w:val="21"/>
                <w:lang w:eastAsia="zh-CN"/>
              </w:rPr>
              <w:t>2</w:t>
            </w:r>
          </w:p>
        </w:tc>
        <w:tc>
          <w:tcPr>
            <w:tcW w:w="6406" w:type="dxa"/>
            <w:gridSpan w:val="2"/>
            <w:vAlign w:val="top"/>
          </w:tcPr>
          <w:p>
            <w:pPr>
              <w:widowControl/>
              <w:spacing w:before="100" w:beforeAutospacing="1" w:after="100" w:afterAutospacing="1" w:line="360" w:lineRule="auto"/>
              <w:rPr>
                <w:rFonts w:hint="eastAsia" w:asciiTheme="minorEastAsia" w:hAnsi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rPr>
              <w:t>受试者签署知情同意书是否在筛选期</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14.</w:t>
            </w:r>
            <w:r>
              <w:rPr>
                <w:rFonts w:ascii="宋体" w:hAnsi="宋体" w:eastAsia="宋体" w:cs="Arial"/>
                <w:color w:val="auto"/>
                <w:kern w:val="0"/>
                <w:sz w:val="21"/>
                <w:szCs w:val="21"/>
                <w:lang w:eastAsia="zh-CN"/>
              </w:rPr>
              <w:t>3</w:t>
            </w:r>
          </w:p>
        </w:tc>
        <w:tc>
          <w:tcPr>
            <w:tcW w:w="6406" w:type="dxa"/>
            <w:gridSpan w:val="2"/>
            <w:vAlign w:val="top"/>
          </w:tcPr>
          <w:p>
            <w:pPr>
              <w:widowControl/>
              <w:spacing w:before="100" w:beforeAutospacing="1" w:after="100" w:afterAutospacing="1" w:line="360" w:lineRule="auto"/>
              <w:rPr>
                <w:rFonts w:hint="eastAsia" w:asciiTheme="minorEastAsia" w:hAnsi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rPr>
              <w:t>知情同意书是否有受试者本人签名并签署日期</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14.</w:t>
            </w:r>
            <w:r>
              <w:rPr>
                <w:rFonts w:ascii="宋体" w:hAnsi="宋体" w:eastAsia="宋体" w:cs="Arial"/>
                <w:color w:val="auto"/>
                <w:kern w:val="0"/>
                <w:sz w:val="21"/>
                <w:szCs w:val="21"/>
                <w:lang w:eastAsia="zh-CN"/>
              </w:rPr>
              <w:t>4</w:t>
            </w:r>
          </w:p>
        </w:tc>
        <w:tc>
          <w:tcPr>
            <w:tcW w:w="6406" w:type="dxa"/>
            <w:gridSpan w:val="2"/>
            <w:vAlign w:val="top"/>
          </w:tcPr>
          <w:p>
            <w:pPr>
              <w:widowControl/>
              <w:wordWrap/>
              <w:autoSpaceDE/>
              <w:autoSpaceDN/>
              <w:spacing w:before="20" w:after="20"/>
              <w:ind w:left="105" w:leftChars="50"/>
              <w:jc w:val="left"/>
              <w:rPr>
                <w:rFonts w:asciiTheme="minorEastAsia" w:hAnsiTheme="minorEastAsia" w:cstheme="minorEastAsia"/>
                <w:color w:val="auto"/>
                <w:kern w:val="0"/>
                <w:sz w:val="21"/>
                <w:szCs w:val="21"/>
                <w:lang w:val="en-US" w:eastAsia="ko-KR" w:bidi="ar-SA"/>
              </w:rPr>
            </w:pPr>
            <w:r>
              <w:rPr>
                <w:rFonts w:hint="eastAsia" w:asciiTheme="minorEastAsia" w:hAnsiTheme="minorEastAsia" w:cstheme="minorEastAsia"/>
                <w:color w:val="auto"/>
                <w:kern w:val="0"/>
                <w:sz w:val="21"/>
                <w:szCs w:val="21"/>
              </w:rPr>
              <w:t>如受试者无行为能力等，由其法定代理人签名并签署日期</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left="105" w:leftChars="50"/>
              <w:jc w:val="right"/>
              <w:rPr>
                <w:rFonts w:hint="eastAsia" w:asciiTheme="minorEastAsia" w:hAnsi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lang w:eastAsia="zh-CN"/>
              </w:rPr>
              <w:t>14.5</w:t>
            </w:r>
          </w:p>
        </w:tc>
        <w:tc>
          <w:tcPr>
            <w:tcW w:w="6406" w:type="dxa"/>
            <w:gridSpan w:val="2"/>
            <w:vAlign w:val="top"/>
          </w:tcPr>
          <w:p>
            <w:pPr>
              <w:widowControl/>
              <w:wordWrap/>
              <w:autoSpaceDE/>
              <w:autoSpaceDN/>
              <w:spacing w:before="20" w:after="20"/>
              <w:ind w:left="105" w:leftChars="50"/>
              <w:jc w:val="left"/>
              <w:rPr>
                <w:rFonts w:asciiTheme="minorEastAsia" w:hAnsiTheme="minorEastAsia" w:cstheme="minorEastAsia"/>
                <w:color w:val="auto"/>
                <w:kern w:val="0"/>
                <w:sz w:val="21"/>
                <w:szCs w:val="21"/>
                <w:lang w:val="en-US" w:eastAsia="ko-KR" w:bidi="ar-SA"/>
              </w:rPr>
            </w:pPr>
            <w:r>
              <w:rPr>
                <w:rFonts w:hint="eastAsia" w:asciiTheme="minorEastAsia" w:hAnsiTheme="minorEastAsia" w:cstheme="minorEastAsia"/>
                <w:color w:val="auto"/>
                <w:kern w:val="0"/>
                <w:sz w:val="21"/>
                <w:szCs w:val="21"/>
              </w:rPr>
              <w:t>知情同意书是否有研究者签名和签署日期</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212"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14.</w:t>
            </w:r>
            <w:r>
              <w:rPr>
                <w:rFonts w:ascii="宋体" w:hAnsi="宋体" w:eastAsia="宋体" w:cs="Arial"/>
                <w:color w:val="auto"/>
                <w:kern w:val="0"/>
                <w:sz w:val="21"/>
                <w:szCs w:val="21"/>
                <w:lang w:eastAsia="zh-CN"/>
              </w:rPr>
              <w:t>6</w:t>
            </w:r>
          </w:p>
        </w:tc>
        <w:tc>
          <w:tcPr>
            <w:tcW w:w="6406"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ko-KR"/>
              </w:rPr>
            </w:pPr>
            <w:r>
              <w:rPr>
                <w:rFonts w:hint="eastAsia" w:asciiTheme="minorEastAsia" w:hAnsiTheme="minorEastAsia" w:cstheme="minorEastAsia"/>
                <w:color w:val="auto"/>
                <w:kern w:val="0"/>
                <w:sz w:val="21"/>
                <w:szCs w:val="21"/>
              </w:rPr>
              <w:t>知情同意书研究者签署日期是否与受试者签署日期相一致</w:t>
            </w:r>
          </w:p>
        </w:tc>
        <w:tc>
          <w:tcPr>
            <w:tcW w:w="492"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14.</w:t>
            </w:r>
            <w:r>
              <w:rPr>
                <w:rFonts w:ascii="宋体" w:hAnsi="宋体" w:eastAsia="宋体" w:cs="Arial"/>
                <w:color w:val="auto"/>
                <w:kern w:val="0"/>
                <w:sz w:val="21"/>
                <w:szCs w:val="21"/>
                <w:lang w:eastAsia="zh-CN"/>
              </w:rPr>
              <w:t>7</w:t>
            </w:r>
          </w:p>
        </w:tc>
        <w:tc>
          <w:tcPr>
            <w:tcW w:w="6406"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ko-KR" w:bidi="ar-SA"/>
              </w:rPr>
            </w:pPr>
            <w:r>
              <w:rPr>
                <w:rFonts w:hint="eastAsia" w:asciiTheme="minorEastAsia" w:hAnsiTheme="minorEastAsia" w:cstheme="minorEastAsia"/>
                <w:color w:val="auto"/>
                <w:kern w:val="0"/>
                <w:sz w:val="21"/>
                <w:szCs w:val="21"/>
              </w:rPr>
              <w:t>知情同意书是否交给受试者一份</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14.</w:t>
            </w:r>
            <w:r>
              <w:rPr>
                <w:rFonts w:ascii="宋体" w:hAnsi="宋体" w:eastAsia="宋体" w:cs="Arial"/>
                <w:color w:val="auto"/>
                <w:kern w:val="0"/>
                <w:sz w:val="21"/>
                <w:szCs w:val="21"/>
                <w:lang w:eastAsia="zh-CN"/>
              </w:rPr>
              <w:t>8</w:t>
            </w:r>
          </w:p>
        </w:tc>
        <w:tc>
          <w:tcPr>
            <w:tcW w:w="6406"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rPr>
              <w:t>知情同意书修改后是否告知受试者并重新签署</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14.9</w:t>
            </w:r>
          </w:p>
        </w:tc>
        <w:tc>
          <w:tcPr>
            <w:tcW w:w="6406" w:type="dxa"/>
            <w:gridSpan w:val="2"/>
            <w:vAlign w:val="top"/>
          </w:tcPr>
          <w:p>
            <w:pPr>
              <w:widowControl/>
              <w:wordWrap/>
              <w:autoSpaceDE/>
              <w:autoSpaceDN/>
              <w:spacing w:before="20" w:after="20"/>
              <w:ind w:left="105" w:leftChars="50"/>
              <w:jc w:val="left"/>
              <w:rPr>
                <w:rFonts w:hint="default" w:eastAsia="宋体" w:asciiTheme="minorEastAsia" w:hAnsiTheme="minorEastAsia" w:cstheme="minorEastAsia"/>
                <w:color w:val="auto"/>
                <w:kern w:val="0"/>
                <w:sz w:val="21"/>
                <w:szCs w:val="21"/>
                <w:lang w:val="en-US" w:eastAsia="zh-CN"/>
              </w:rPr>
            </w:pPr>
            <w:r>
              <w:rPr>
                <w:rFonts w:hint="eastAsia" w:asciiTheme="minorEastAsia" w:hAnsiTheme="minorEastAsia" w:cstheme="minorEastAsia"/>
                <w:color w:val="auto"/>
                <w:kern w:val="0"/>
                <w:sz w:val="21"/>
                <w:szCs w:val="21"/>
                <w:lang w:val="en-US" w:eastAsia="zh-CN"/>
              </w:rPr>
              <w:t>知情同意书数量与筛选人数是否相符</w:t>
            </w:r>
          </w:p>
        </w:tc>
        <w:tc>
          <w:tcPr>
            <w:tcW w:w="492"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212" w:type="dxa"/>
            <w:vAlign w:val="top"/>
          </w:tcPr>
          <w:p>
            <w:pPr>
              <w:widowControl/>
              <w:wordWrap/>
              <w:autoSpaceDE/>
              <w:autoSpaceDN/>
              <w:spacing w:before="20" w:after="20"/>
              <w:ind w:firstLine="211" w:firstLineChars="100"/>
              <w:jc w:val="both"/>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rPr>
              <w:t>1</w:t>
            </w:r>
            <w:r>
              <w:rPr>
                <w:rFonts w:hint="eastAsia" w:ascii="宋体" w:hAnsi="宋体" w:eastAsia="宋体" w:cs="Arial"/>
                <w:b/>
                <w:bCs/>
                <w:color w:val="auto"/>
                <w:kern w:val="0"/>
                <w:sz w:val="21"/>
                <w:szCs w:val="21"/>
                <w:lang w:val="en-US" w:eastAsia="zh-CN"/>
              </w:rPr>
              <w:t>5</w:t>
            </w:r>
          </w:p>
        </w:tc>
        <w:tc>
          <w:tcPr>
            <w:tcW w:w="9250" w:type="dxa"/>
            <w:gridSpan w:val="6"/>
            <w:vAlign w:val="center"/>
          </w:tcPr>
          <w:p>
            <w:pPr>
              <w:widowControl/>
              <w:wordWrap/>
              <w:autoSpaceDE/>
              <w:autoSpaceDN/>
              <w:spacing w:before="20" w:after="20"/>
              <w:ind w:left="105" w:leftChars="50"/>
              <w:jc w:val="left"/>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研究病历或CRF表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212"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15.1</w:t>
            </w:r>
          </w:p>
        </w:tc>
        <w:tc>
          <w:tcPr>
            <w:tcW w:w="8014" w:type="dxa"/>
            <w:gridSpan w:val="5"/>
            <w:vAlign w:val="center"/>
          </w:tcPr>
          <w:p>
            <w:pPr>
              <w:widowControl/>
              <w:wordWrap/>
              <w:autoSpaceDE/>
              <w:autoSpaceDN/>
              <w:spacing w:before="20" w:after="20"/>
              <w:ind w:left="105" w:leftChars="50"/>
              <w:jc w:val="left"/>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lang w:val="en-US" w:eastAsia="zh-CN"/>
              </w:rPr>
              <w:t>研究</w:t>
            </w:r>
            <w:r>
              <w:rPr>
                <w:rFonts w:hint="eastAsia" w:ascii="宋体" w:hAnsi="宋体" w:eastAsia="宋体" w:cs="Arial"/>
                <w:b w:val="0"/>
                <w:bCs w:val="0"/>
                <w:color w:val="auto"/>
                <w:kern w:val="0"/>
                <w:sz w:val="21"/>
                <w:szCs w:val="21"/>
                <w:lang w:val="en-US" w:eastAsia="zh-CN"/>
              </w:rPr>
              <w:t>病历或CRF表：共</w:t>
            </w:r>
            <w:r>
              <w:rPr>
                <w:rFonts w:hint="eastAsia" w:ascii="宋体" w:hAnsi="宋体" w:eastAsia="宋体" w:cs="Arial"/>
                <w:color w:val="auto"/>
                <w:kern w:val="0"/>
                <w:sz w:val="21"/>
                <w:szCs w:val="21"/>
                <w:lang w:val="en-US" w:eastAsia="zh-CN"/>
              </w:rPr>
              <w:t>___份，抽查：___份，筛选号：</w:t>
            </w:r>
          </w:p>
        </w:tc>
        <w:tc>
          <w:tcPr>
            <w:tcW w:w="1236" w:type="dxa"/>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15.2</w:t>
            </w:r>
          </w:p>
        </w:tc>
        <w:tc>
          <w:tcPr>
            <w:tcW w:w="6406"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是否有对应临床试验方案的SOP</w:t>
            </w:r>
          </w:p>
        </w:tc>
        <w:tc>
          <w:tcPr>
            <w:tcW w:w="492"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15.3</w:t>
            </w:r>
          </w:p>
        </w:tc>
        <w:tc>
          <w:tcPr>
            <w:tcW w:w="6406"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病历或CRF表填写是否及时</w:t>
            </w:r>
          </w:p>
        </w:tc>
        <w:tc>
          <w:tcPr>
            <w:tcW w:w="492"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15.4</w:t>
            </w:r>
          </w:p>
        </w:tc>
        <w:tc>
          <w:tcPr>
            <w:tcW w:w="6406"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病历或CRF表填写是否完整</w:t>
            </w:r>
          </w:p>
        </w:tc>
        <w:tc>
          <w:tcPr>
            <w:tcW w:w="492"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212"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15.5</w:t>
            </w:r>
          </w:p>
        </w:tc>
        <w:tc>
          <w:tcPr>
            <w:tcW w:w="6406"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病历或CRF表填写内容的修改是否规范</w:t>
            </w:r>
          </w:p>
        </w:tc>
        <w:tc>
          <w:tcPr>
            <w:tcW w:w="492"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15.6</w:t>
            </w:r>
          </w:p>
        </w:tc>
        <w:tc>
          <w:tcPr>
            <w:tcW w:w="6406"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CRF表内容与原始病历是否相符</w:t>
            </w:r>
          </w:p>
        </w:tc>
        <w:tc>
          <w:tcPr>
            <w:tcW w:w="492"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15.7</w:t>
            </w:r>
          </w:p>
        </w:tc>
        <w:tc>
          <w:tcPr>
            <w:tcW w:w="6406"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入选、排除标准是否符合方案要求</w:t>
            </w:r>
          </w:p>
        </w:tc>
        <w:tc>
          <w:tcPr>
            <w:tcW w:w="492"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62" w:hRule="atLeast"/>
          <w:tblHeader/>
        </w:trPr>
        <w:tc>
          <w:tcPr>
            <w:tcW w:w="1212"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15.8</w:t>
            </w:r>
          </w:p>
        </w:tc>
        <w:tc>
          <w:tcPr>
            <w:tcW w:w="6406"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受试者是否按照方案要求进行相关访视、检查（体格检查、实验室、影像学检查等）</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15.9</w:t>
            </w:r>
          </w:p>
        </w:tc>
        <w:tc>
          <w:tcPr>
            <w:tcW w:w="6406"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实验室检查有报告单或者复印件</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15.10</w:t>
            </w:r>
          </w:p>
        </w:tc>
        <w:tc>
          <w:tcPr>
            <w:tcW w:w="6406"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报告单是否及时签名、异常值判断</w:t>
            </w:r>
          </w:p>
        </w:tc>
        <w:tc>
          <w:tcPr>
            <w:tcW w:w="492"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15.11</w:t>
            </w:r>
          </w:p>
        </w:tc>
        <w:tc>
          <w:tcPr>
            <w:tcW w:w="6406"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Theme="minorEastAsia" w:hAnsiTheme="minorEastAsia" w:cstheme="minorEastAsia"/>
                <w:color w:val="auto"/>
                <w:kern w:val="0"/>
                <w:sz w:val="21"/>
                <w:szCs w:val="21"/>
              </w:rPr>
              <w:t>是否存在方案违背</w:t>
            </w:r>
          </w:p>
        </w:tc>
        <w:tc>
          <w:tcPr>
            <w:tcW w:w="492"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15.12</w:t>
            </w:r>
          </w:p>
        </w:tc>
        <w:tc>
          <w:tcPr>
            <w:tcW w:w="6406" w:type="dxa"/>
            <w:gridSpan w:val="2"/>
            <w:vAlign w:val="center"/>
          </w:tcPr>
          <w:p>
            <w:pPr>
              <w:widowControl/>
              <w:wordWrap/>
              <w:autoSpaceDE/>
              <w:autoSpaceDN/>
              <w:spacing w:before="20" w:after="20"/>
              <w:ind w:left="105" w:leftChars="50"/>
              <w:jc w:val="left"/>
              <w:rPr>
                <w:rFonts w:hint="default" w:eastAsia="宋体" w:asciiTheme="minorEastAsia" w:hAnsiTheme="minorEastAsia" w:cstheme="minorEastAsia"/>
                <w:color w:val="auto"/>
                <w:kern w:val="0"/>
                <w:sz w:val="21"/>
                <w:szCs w:val="21"/>
                <w:lang w:val="en-US" w:eastAsia="zh-CN"/>
              </w:rPr>
            </w:pPr>
            <w:r>
              <w:rPr>
                <w:rFonts w:hint="eastAsia" w:asciiTheme="minorEastAsia" w:hAnsiTheme="minorEastAsia" w:cstheme="minorEastAsia"/>
                <w:color w:val="auto"/>
                <w:kern w:val="0"/>
                <w:sz w:val="21"/>
                <w:szCs w:val="21"/>
                <w:lang w:val="en-US" w:eastAsia="zh-CN"/>
              </w:rPr>
              <w:t>方案违背是否及时处理并记录</w:t>
            </w:r>
          </w:p>
        </w:tc>
        <w:tc>
          <w:tcPr>
            <w:tcW w:w="492"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ind w:firstLine="211" w:firstLineChars="100"/>
              <w:jc w:val="both"/>
              <w:rPr>
                <w:rFonts w:hint="default" w:ascii="宋体" w:hAnsi="宋体" w:eastAsia="宋体" w:cs="Arial"/>
                <w:color w:val="auto"/>
                <w:kern w:val="0"/>
                <w:sz w:val="21"/>
                <w:szCs w:val="21"/>
                <w:lang w:val="en-US" w:eastAsia="zh-CN" w:bidi="ar-SA"/>
              </w:rPr>
            </w:pPr>
            <w:r>
              <w:rPr>
                <w:rFonts w:hint="eastAsia" w:ascii="宋体" w:hAnsi="宋体" w:eastAsia="宋体" w:cs="Arial"/>
                <w:b/>
                <w:bCs/>
                <w:color w:val="auto"/>
                <w:kern w:val="0"/>
                <w:sz w:val="21"/>
                <w:szCs w:val="21"/>
                <w:lang w:val="en-US" w:eastAsia="zh-CN" w:bidi="ar-SA"/>
              </w:rPr>
              <w:t>16</w:t>
            </w:r>
          </w:p>
        </w:tc>
        <w:tc>
          <w:tcPr>
            <w:tcW w:w="9250" w:type="dxa"/>
            <w:gridSpan w:val="6"/>
            <w:vAlign w:val="center"/>
          </w:tcPr>
          <w:p>
            <w:pPr>
              <w:widowControl/>
              <w:wordWrap/>
              <w:autoSpaceDE/>
              <w:autoSpaceDN/>
              <w:spacing w:before="20" w:after="20"/>
              <w:ind w:left="105" w:leftChars="50"/>
              <w:jc w:val="left"/>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受试者安全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16.1</w:t>
            </w:r>
          </w:p>
        </w:tc>
        <w:tc>
          <w:tcPr>
            <w:tcW w:w="6406" w:type="dxa"/>
            <w:gridSpan w:val="2"/>
            <w:vAlign w:val="center"/>
          </w:tcPr>
          <w:p>
            <w:pPr>
              <w:widowControl/>
              <w:wordWrap/>
              <w:autoSpaceDE/>
              <w:autoSpaceDN/>
              <w:spacing w:before="20" w:after="20"/>
              <w:ind w:left="105" w:leftChars="50"/>
              <w:jc w:val="left"/>
              <w:rPr>
                <w:rFonts w:hint="eastAsia" w:asciiTheme="minorHAnsi" w:hAnsiTheme="minorHAnsi" w:eastAsiaTheme="minorEastAsia" w:cstheme="minorBidi"/>
                <w:color w:val="auto"/>
                <w:kern w:val="2"/>
                <w:sz w:val="21"/>
                <w:szCs w:val="22"/>
                <w:lang w:val="en-US" w:eastAsia="zh-CN" w:bidi="ar-SA"/>
              </w:rPr>
            </w:pPr>
            <w:r>
              <w:rPr>
                <w:rFonts w:hint="eastAsia" w:asciiTheme="minorEastAsia" w:hAnsiTheme="minorEastAsia" w:cstheme="minorEastAsia"/>
                <w:color w:val="auto"/>
                <w:kern w:val="0"/>
                <w:sz w:val="21"/>
                <w:szCs w:val="21"/>
                <w:lang w:val="en-US" w:eastAsia="zh-CN"/>
              </w:rPr>
              <w:t>治疗</w:t>
            </w:r>
            <w:r>
              <w:rPr>
                <w:rFonts w:hint="eastAsia" w:asciiTheme="minorEastAsia" w:hAnsiTheme="minorEastAsia" w:cstheme="minorEastAsia"/>
                <w:color w:val="auto"/>
                <w:kern w:val="0"/>
                <w:sz w:val="21"/>
                <w:szCs w:val="21"/>
              </w:rPr>
              <w:t>后是否有临床意义的异常检验值</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16.2</w:t>
            </w:r>
          </w:p>
        </w:tc>
        <w:tc>
          <w:tcPr>
            <w:tcW w:w="6406" w:type="dxa"/>
            <w:gridSpan w:val="2"/>
            <w:vAlign w:val="center"/>
          </w:tcPr>
          <w:p>
            <w:pPr>
              <w:widowControl/>
              <w:wordWrap/>
              <w:autoSpaceDE/>
              <w:autoSpaceDN/>
              <w:spacing w:before="20" w:after="20"/>
              <w:ind w:left="105" w:leftChars="50"/>
              <w:jc w:val="left"/>
              <w:rPr>
                <w:rFonts w:hint="eastAsia" w:asciiTheme="minorHAnsi" w:hAnsiTheme="minorHAnsi" w:eastAsiaTheme="minorEastAsia" w:cstheme="minorBidi"/>
                <w:color w:val="auto"/>
                <w:kern w:val="2"/>
                <w:sz w:val="21"/>
                <w:szCs w:val="22"/>
                <w:lang w:val="en-US" w:eastAsia="zh-CN" w:bidi="ar-SA"/>
              </w:rPr>
            </w:pPr>
            <w:r>
              <w:rPr>
                <w:rFonts w:hint="eastAsia"/>
                <w:color w:val="auto"/>
              </w:rPr>
              <w:t>有临床意义的异常检验值是否随访（如有）</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16.3</w:t>
            </w:r>
          </w:p>
        </w:tc>
        <w:tc>
          <w:tcPr>
            <w:tcW w:w="6406" w:type="dxa"/>
            <w:gridSpan w:val="2"/>
            <w:vAlign w:val="top"/>
          </w:tcPr>
          <w:p>
            <w:pPr>
              <w:widowControl/>
              <w:wordWrap/>
              <w:autoSpaceDE/>
              <w:autoSpaceDN/>
              <w:spacing w:before="20" w:after="20"/>
              <w:ind w:left="105" w:leftChars="50"/>
              <w:jc w:val="left"/>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rPr>
              <w:t>AE（不良事件）是否按照相关SOP处理并进行记录</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16.4</w:t>
            </w:r>
          </w:p>
        </w:tc>
        <w:tc>
          <w:tcPr>
            <w:tcW w:w="6406" w:type="dxa"/>
            <w:gridSpan w:val="2"/>
            <w:vAlign w:val="top"/>
          </w:tcPr>
          <w:p>
            <w:pPr>
              <w:widowControl/>
              <w:wordWrap/>
              <w:autoSpaceDE/>
              <w:autoSpaceDN/>
              <w:spacing w:before="20" w:after="20"/>
              <w:ind w:left="105" w:leftChars="50"/>
              <w:jc w:val="left"/>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rPr>
              <w:t>SAE（严重不良事件）是否按照相关SOP及时处理、记录并上报</w:t>
            </w:r>
          </w:p>
        </w:tc>
        <w:tc>
          <w:tcPr>
            <w:tcW w:w="492"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26" w:hRule="atLeast"/>
          <w:tblHeader/>
        </w:trPr>
        <w:tc>
          <w:tcPr>
            <w:tcW w:w="1212" w:type="dxa"/>
            <w:vAlign w:val="center"/>
          </w:tcPr>
          <w:p>
            <w:pPr>
              <w:widowControl/>
              <w:wordWrap/>
              <w:autoSpaceDE/>
              <w:autoSpaceDN/>
              <w:spacing w:before="20" w:after="20"/>
              <w:ind w:firstLine="211" w:firstLineChars="100"/>
              <w:jc w:val="both"/>
              <w:rPr>
                <w:rFonts w:hint="default" w:ascii="宋体" w:hAnsi="宋体" w:eastAsia="宋体" w:cs="Arial"/>
                <w:color w:val="auto"/>
                <w:kern w:val="0"/>
                <w:sz w:val="21"/>
                <w:szCs w:val="21"/>
                <w:lang w:val="en-US" w:eastAsia="zh-CN" w:bidi="ar-SA"/>
              </w:rPr>
            </w:pPr>
            <w:r>
              <w:rPr>
                <w:rFonts w:hint="eastAsia" w:ascii="宋体" w:hAnsi="宋体" w:eastAsia="宋体" w:cs="Arial"/>
                <w:b/>
                <w:bCs/>
                <w:color w:val="auto"/>
                <w:kern w:val="0"/>
                <w:sz w:val="21"/>
                <w:szCs w:val="21"/>
                <w:lang w:val="en-US" w:eastAsia="zh-CN"/>
              </w:rPr>
              <w:t>17</w:t>
            </w:r>
          </w:p>
        </w:tc>
        <w:tc>
          <w:tcPr>
            <w:tcW w:w="9250" w:type="dxa"/>
            <w:gridSpan w:val="6"/>
            <w:vAlign w:val="center"/>
          </w:tcPr>
          <w:p>
            <w:pPr>
              <w:widowControl/>
              <w:wordWrap/>
              <w:autoSpaceDE/>
              <w:autoSpaceDN/>
              <w:spacing w:before="20" w:after="20"/>
              <w:ind w:left="105" w:leftChars="50"/>
              <w:jc w:val="left"/>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小结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26" w:hRule="atLeast"/>
          <w:tblHeader/>
        </w:trPr>
        <w:tc>
          <w:tcPr>
            <w:tcW w:w="1212"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17.1</w:t>
            </w:r>
          </w:p>
        </w:tc>
        <w:tc>
          <w:tcPr>
            <w:tcW w:w="6406"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zh-CN"/>
              </w:rPr>
            </w:pPr>
            <w:r>
              <w:rPr>
                <w:rFonts w:hint="eastAsia" w:asciiTheme="minorEastAsia" w:hAnsiTheme="minorEastAsia" w:cstheme="minorEastAsia"/>
                <w:color w:val="auto"/>
                <w:kern w:val="0"/>
                <w:sz w:val="21"/>
                <w:szCs w:val="21"/>
              </w:rPr>
              <w:t>所有质控检查发现的问题是否已经解决</w:t>
            </w:r>
          </w:p>
        </w:tc>
        <w:tc>
          <w:tcPr>
            <w:tcW w:w="492"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17.2</w:t>
            </w:r>
          </w:p>
        </w:tc>
        <w:tc>
          <w:tcPr>
            <w:tcW w:w="6406"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zh-CN"/>
              </w:rPr>
            </w:pPr>
            <w:r>
              <w:rPr>
                <w:rFonts w:hint="eastAsia" w:asciiTheme="minorEastAsia" w:hAnsiTheme="minorEastAsia" w:cstheme="minorEastAsia"/>
                <w:color w:val="auto"/>
                <w:kern w:val="0"/>
                <w:sz w:val="21"/>
                <w:szCs w:val="21"/>
              </w:rPr>
              <w:t>是否按照</w:t>
            </w:r>
            <w:r>
              <w:rPr>
                <w:rFonts w:hint="eastAsia" w:asciiTheme="minorEastAsia" w:hAnsiTheme="minorEastAsia" w:cstheme="minorEastAsia"/>
                <w:color w:val="auto"/>
                <w:kern w:val="0"/>
                <w:sz w:val="21"/>
                <w:szCs w:val="21"/>
                <w:lang w:val="en-US" w:eastAsia="zh-CN"/>
              </w:rPr>
              <w:t>NMPA</w:t>
            </w:r>
            <w:r>
              <w:rPr>
                <w:rFonts w:hint="eastAsia" w:asciiTheme="minorEastAsia" w:hAnsiTheme="minorEastAsia" w:cstheme="minorEastAsia"/>
                <w:color w:val="auto"/>
                <w:kern w:val="0"/>
                <w:sz w:val="21"/>
                <w:szCs w:val="21"/>
              </w:rPr>
              <w:t>颁布的药物临床试验数据现场稽查要点进行自查</w:t>
            </w:r>
          </w:p>
        </w:tc>
        <w:tc>
          <w:tcPr>
            <w:tcW w:w="492"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08" w:hRule="atLeast"/>
          <w:tblHeader/>
        </w:trPr>
        <w:tc>
          <w:tcPr>
            <w:tcW w:w="1212"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17.3</w:t>
            </w:r>
          </w:p>
        </w:tc>
        <w:tc>
          <w:tcPr>
            <w:tcW w:w="6406" w:type="dxa"/>
            <w:gridSpan w:val="2"/>
            <w:vAlign w:val="top"/>
          </w:tcPr>
          <w:p>
            <w:pPr>
              <w:widowControl/>
              <w:wordWrap/>
              <w:autoSpaceDE/>
              <w:autoSpaceDN/>
              <w:spacing w:before="20" w:after="20"/>
              <w:ind w:left="105" w:leftChars="50"/>
              <w:jc w:val="left"/>
              <w:rPr>
                <w:rFonts w:hint="default" w:asciiTheme="minorEastAsia" w:hAnsiTheme="minorEastAsia" w:cstheme="minorEastAsia"/>
                <w:color w:val="auto"/>
                <w:kern w:val="0"/>
                <w:sz w:val="21"/>
                <w:szCs w:val="21"/>
                <w:lang w:val="en-US" w:eastAsia="zh-CN"/>
              </w:rPr>
            </w:pPr>
            <w:r>
              <w:rPr>
                <w:rFonts w:hint="eastAsia" w:asciiTheme="minorEastAsia" w:hAnsiTheme="minorEastAsia" w:cstheme="minorEastAsia"/>
                <w:color w:val="auto"/>
                <w:kern w:val="0"/>
                <w:sz w:val="21"/>
                <w:szCs w:val="21"/>
                <w:lang w:val="en-US" w:eastAsia="zh-CN"/>
              </w:rPr>
              <w:t>是否提交临床试验小结或临床试验总结报告</w:t>
            </w:r>
          </w:p>
        </w:tc>
        <w:tc>
          <w:tcPr>
            <w:tcW w:w="492"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trPr>
        <w:tc>
          <w:tcPr>
            <w:tcW w:w="1212"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17.4</w:t>
            </w:r>
          </w:p>
        </w:tc>
        <w:tc>
          <w:tcPr>
            <w:tcW w:w="6406"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zh-CN"/>
              </w:rPr>
            </w:pPr>
            <w:r>
              <w:rPr>
                <w:rFonts w:hint="eastAsia" w:asciiTheme="minorEastAsia" w:hAnsiTheme="minorEastAsia" w:cstheme="minorEastAsia"/>
                <w:color w:val="auto"/>
                <w:kern w:val="0"/>
                <w:sz w:val="21"/>
                <w:szCs w:val="21"/>
              </w:rPr>
              <w:t>分中心小结表与实际临床试验例数是否一致</w:t>
            </w:r>
          </w:p>
        </w:tc>
        <w:tc>
          <w:tcPr>
            <w:tcW w:w="492"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trPr>
        <w:tc>
          <w:tcPr>
            <w:tcW w:w="1212"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17.5</w:t>
            </w:r>
          </w:p>
        </w:tc>
        <w:tc>
          <w:tcPr>
            <w:tcW w:w="6406"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是否提交关中心函</w:t>
            </w:r>
          </w:p>
        </w:tc>
        <w:tc>
          <w:tcPr>
            <w:tcW w:w="492"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40"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6"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236"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6" w:hRule="atLeast"/>
          <w:tblHeader/>
        </w:trPr>
        <w:tc>
          <w:tcPr>
            <w:tcW w:w="10462" w:type="dxa"/>
            <w:gridSpan w:val="7"/>
            <w:vAlign w:val="bottom"/>
          </w:tcPr>
          <w:p>
            <w:pPr>
              <w:widowControl/>
              <w:wordWrap/>
              <w:autoSpaceDE/>
              <w:autoSpaceDN/>
              <w:spacing w:before="20" w:after="2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补充备注及其他问题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1180" w:hRule="atLeast"/>
          <w:tblHeader/>
        </w:trPr>
        <w:tc>
          <w:tcPr>
            <w:tcW w:w="10462" w:type="dxa"/>
            <w:gridSpan w:val="7"/>
            <w:vAlign w:val="bottom"/>
          </w:tcPr>
          <w:p>
            <w:pPr>
              <w:widowControl/>
              <w:wordWrap/>
              <w:autoSpaceDE/>
              <w:autoSpaceDN/>
              <w:spacing w:before="20" w:after="20"/>
              <w:jc w:val="both"/>
              <w:rPr>
                <w:rFonts w:ascii="宋体" w:hAnsi="宋体" w:eastAsia="宋体"/>
                <w:color w:val="auto"/>
                <w:kern w:val="2"/>
                <w:sz w:val="21"/>
                <w:szCs w:val="21"/>
                <w:lang w:val="en-US" w:eastAsia="ko-KR" w:bidi="ar-SA"/>
              </w:rPr>
            </w:pPr>
          </w:p>
        </w:tc>
      </w:tr>
    </w:tbl>
    <w:p>
      <w:pPr>
        <w:rPr>
          <w:b/>
          <w:bCs/>
          <w:color w:val="auto"/>
          <w:sz w:val="24"/>
          <w:szCs w:val="24"/>
        </w:rPr>
      </w:pPr>
    </w:p>
    <w:p>
      <w:pPr>
        <w:pStyle w:val="33"/>
        <w:rPr>
          <w:color w:val="auto"/>
        </w:rPr>
      </w:pPr>
    </w:p>
    <w:p>
      <w:pPr>
        <w:rPr>
          <w:b/>
          <w:bCs/>
          <w:color w:val="auto"/>
          <w:sz w:val="24"/>
          <w:szCs w:val="24"/>
        </w:rPr>
      </w:pPr>
      <w:r>
        <w:rPr>
          <w:rFonts w:hint="eastAsia"/>
          <w:b/>
          <w:bCs/>
          <w:color w:val="auto"/>
          <w:sz w:val="24"/>
          <w:szCs w:val="24"/>
        </w:rPr>
        <w:t>附件4 药物</w:t>
      </w:r>
      <w:r>
        <w:rPr>
          <w:rFonts w:hint="eastAsia"/>
          <w:b/>
          <w:bCs/>
          <w:color w:val="auto"/>
          <w:sz w:val="24"/>
          <w:szCs w:val="24"/>
          <w:lang w:val="en-US" w:eastAsia="zh-CN"/>
        </w:rPr>
        <w:t>/医疗器械</w:t>
      </w:r>
      <w:r>
        <w:rPr>
          <w:rFonts w:hint="eastAsia"/>
          <w:b/>
          <w:bCs/>
          <w:color w:val="auto"/>
          <w:sz w:val="24"/>
          <w:szCs w:val="24"/>
        </w:rPr>
        <w:t>临床试验质控检查结果反馈表（结题）</w:t>
      </w:r>
    </w:p>
    <w:p>
      <w:pPr>
        <w:rPr>
          <w:color w:val="auto"/>
        </w:rPr>
      </w:pP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522" w:type="dxa"/>
            <w:gridSpan w:val="2"/>
          </w:tcPr>
          <w:p>
            <w:pPr>
              <w:rPr>
                <w:rFonts w:asciiTheme="minorEastAsia" w:hAnsiTheme="minorEastAsia" w:cstheme="minorEastAsia"/>
                <w:color w:val="auto"/>
                <w:szCs w:val="21"/>
              </w:rPr>
            </w:pPr>
            <w:r>
              <w:rPr>
                <w:rFonts w:hint="eastAsia" w:asciiTheme="minorEastAsia" w:hAnsiTheme="minorEastAsia" w:cstheme="minorEastAsia"/>
                <w:color w:val="auto"/>
                <w:szCs w:val="21"/>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科室：</w:t>
            </w:r>
          </w:p>
        </w:tc>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主要研究者：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申办方：</w:t>
            </w:r>
          </w:p>
        </w:tc>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启动时间：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筛选例数:</w:t>
            </w:r>
          </w:p>
        </w:tc>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入组例数：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脱落例数：</w:t>
            </w:r>
          </w:p>
        </w:tc>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严重不良事件例数：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完成例数:</w:t>
            </w:r>
          </w:p>
        </w:tc>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不良事件例数：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机构质控员：</w:t>
            </w:r>
          </w:p>
        </w:tc>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检查时间：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261"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存在问题</w:t>
            </w:r>
          </w:p>
        </w:tc>
        <w:tc>
          <w:tcPr>
            <w:tcW w:w="4261" w:type="dxa"/>
            <w:vAlign w:val="center"/>
          </w:tcPr>
          <w:p>
            <w:pPr>
              <w:jc w:val="center"/>
              <w:rPr>
                <w:rFonts w:asciiTheme="minorEastAsia" w:hAnsiTheme="minorEastAsia" w:cstheme="minorEastAsia"/>
                <w:color w:val="auto"/>
                <w:szCs w:val="21"/>
              </w:rPr>
            </w:pPr>
            <w:r>
              <w:rPr>
                <w:rFonts w:hint="eastAsia" w:asciiTheme="minorEastAsia" w:hAnsiTheme="minorEastAsia" w:cstheme="minorEastAsia"/>
                <w:color w:val="auto"/>
                <w:szCs w:val="21"/>
              </w:rPr>
              <w:t>问题落实情况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9" w:hRule="atLeast"/>
        </w:trPr>
        <w:tc>
          <w:tcPr>
            <w:tcW w:w="4261" w:type="dxa"/>
          </w:tcPr>
          <w:p>
            <w:pPr>
              <w:rPr>
                <w:color w:val="auto"/>
              </w:rPr>
            </w:pPr>
          </w:p>
        </w:tc>
        <w:tc>
          <w:tcPr>
            <w:tcW w:w="4261" w:type="dxa"/>
          </w:tcPr>
          <w:p>
            <w:pPr>
              <w:rPr>
                <w:color w:val="auto"/>
              </w:rPr>
            </w:pPr>
          </w:p>
        </w:tc>
      </w:tr>
    </w:tbl>
    <w:p>
      <w:pPr>
        <w:rPr>
          <w:color w:val="auto"/>
        </w:rPr>
      </w:pPr>
      <w:r>
        <w:rPr>
          <w:rFonts w:hint="eastAsia"/>
          <w:color w:val="auto"/>
        </w:rPr>
        <w:t xml:space="preserve">                              </w:t>
      </w:r>
    </w:p>
    <w:p>
      <w:pPr>
        <w:jc w:val="center"/>
        <w:rPr>
          <w:rFonts w:asciiTheme="minorEastAsia" w:hAnsiTheme="minorEastAsia" w:cstheme="minorEastAsia"/>
          <w:color w:val="auto"/>
          <w:szCs w:val="21"/>
        </w:rPr>
      </w:pPr>
      <w:r>
        <w:rPr>
          <w:rFonts w:hint="eastAsia"/>
          <w:color w:val="auto"/>
          <w:szCs w:val="21"/>
          <w:lang w:val="en-US" w:eastAsia="zh-CN"/>
        </w:rPr>
        <w:t xml:space="preserve">           </w:t>
      </w:r>
      <w:r>
        <w:rPr>
          <w:rFonts w:hint="eastAsia"/>
          <w:color w:val="auto"/>
          <w:szCs w:val="21"/>
        </w:rPr>
        <w:t>主要研究者：                        日期：</w:t>
      </w:r>
    </w:p>
    <w:p>
      <w:pPr>
        <w:tabs>
          <w:tab w:val="left" w:pos="2910"/>
        </w:tabs>
        <w:spacing w:line="500" w:lineRule="exact"/>
        <w:ind w:firstLine="2530" w:firstLineChars="900"/>
        <w:rPr>
          <w:rFonts w:hint="default" w:ascii="黑体" w:hAnsi="黑体" w:eastAsia="黑体" w:cs="黑体"/>
          <w:b/>
          <w:bCs/>
          <w:color w:val="auto"/>
          <w:sz w:val="28"/>
          <w:lang w:val="en-US" w:eastAsia="zh-CN"/>
        </w:rPr>
      </w:pPr>
    </w:p>
    <w:p>
      <w:pPr>
        <w:tabs>
          <w:tab w:val="left" w:pos="2910"/>
        </w:tabs>
        <w:spacing w:line="500" w:lineRule="exact"/>
        <w:ind w:firstLine="2530" w:firstLineChars="900"/>
        <w:rPr>
          <w:rFonts w:ascii="黑体" w:hAnsi="黑体" w:eastAsia="黑体" w:cs="黑体"/>
          <w:b/>
          <w:bCs/>
          <w:color w:val="auto"/>
          <w:sz w:val="28"/>
        </w:rPr>
      </w:pPr>
    </w:p>
    <w:p>
      <w:pPr>
        <w:tabs>
          <w:tab w:val="left" w:pos="2910"/>
        </w:tabs>
        <w:spacing w:line="500" w:lineRule="exact"/>
        <w:ind w:firstLine="2530" w:firstLineChars="900"/>
        <w:rPr>
          <w:rFonts w:ascii="黑体" w:hAnsi="黑体" w:eastAsia="黑体" w:cs="黑体"/>
          <w:b/>
          <w:bCs/>
          <w:color w:val="auto"/>
          <w:sz w:val="28"/>
        </w:rPr>
      </w:pPr>
    </w:p>
    <w:p>
      <w:pPr>
        <w:tabs>
          <w:tab w:val="left" w:pos="2910"/>
        </w:tabs>
        <w:spacing w:line="500" w:lineRule="exact"/>
        <w:ind w:firstLine="2530" w:firstLineChars="900"/>
        <w:rPr>
          <w:rFonts w:ascii="黑体" w:hAnsi="黑体" w:eastAsia="黑体" w:cs="黑体"/>
          <w:b/>
          <w:bCs/>
          <w:color w:val="auto"/>
          <w:sz w:val="28"/>
        </w:rPr>
      </w:pPr>
    </w:p>
    <w:p>
      <w:pPr>
        <w:tabs>
          <w:tab w:val="left" w:pos="2910"/>
        </w:tabs>
        <w:spacing w:line="500" w:lineRule="exact"/>
        <w:ind w:firstLine="2530" w:firstLineChars="900"/>
        <w:rPr>
          <w:rFonts w:ascii="黑体" w:hAnsi="黑体" w:eastAsia="黑体" w:cs="黑体"/>
          <w:b/>
          <w:bCs/>
          <w:color w:val="auto"/>
          <w:sz w:val="28"/>
        </w:rPr>
      </w:pPr>
    </w:p>
    <w:p>
      <w:pPr>
        <w:tabs>
          <w:tab w:val="left" w:pos="2910"/>
        </w:tabs>
        <w:spacing w:line="500" w:lineRule="exact"/>
        <w:ind w:firstLine="2530" w:firstLineChars="900"/>
        <w:rPr>
          <w:rFonts w:ascii="黑体" w:hAnsi="黑体" w:eastAsia="黑体" w:cs="黑体"/>
          <w:b/>
          <w:bCs/>
          <w:color w:val="auto"/>
          <w:sz w:val="28"/>
        </w:rPr>
      </w:pPr>
    </w:p>
    <w:p>
      <w:pPr>
        <w:pStyle w:val="33"/>
        <w:rPr>
          <w:color w:val="auto"/>
        </w:rPr>
      </w:pPr>
    </w:p>
    <w:p>
      <w:pPr>
        <w:tabs>
          <w:tab w:val="left" w:pos="2910"/>
        </w:tabs>
        <w:spacing w:line="500" w:lineRule="exact"/>
        <w:ind w:firstLine="2530" w:firstLineChars="900"/>
        <w:rPr>
          <w:rFonts w:ascii="黑体" w:hAnsi="黑体" w:eastAsia="黑体" w:cs="黑体"/>
          <w:b/>
          <w:bCs/>
          <w:color w:val="auto"/>
          <w:sz w:val="28"/>
        </w:rPr>
      </w:pPr>
    </w:p>
    <w:p>
      <w:pPr>
        <w:tabs>
          <w:tab w:val="left" w:pos="2910"/>
        </w:tabs>
        <w:spacing w:line="500" w:lineRule="exact"/>
        <w:ind w:firstLine="2530" w:firstLineChars="900"/>
        <w:rPr>
          <w:rFonts w:ascii="黑体" w:hAnsi="黑体" w:eastAsia="黑体" w:cs="黑体"/>
          <w:b/>
          <w:bCs/>
          <w:color w:val="auto"/>
          <w:sz w:val="28"/>
        </w:rPr>
      </w:pPr>
    </w:p>
    <w:p>
      <w:pPr>
        <w:rPr>
          <w:rFonts w:hint="eastAsia"/>
          <w:b/>
          <w:bCs/>
          <w:color w:val="auto"/>
          <w:sz w:val="24"/>
          <w:szCs w:val="24"/>
        </w:rPr>
      </w:pPr>
    </w:p>
    <w:p>
      <w:pPr>
        <w:rPr>
          <w:b/>
          <w:bCs/>
          <w:color w:val="auto"/>
          <w:sz w:val="24"/>
          <w:szCs w:val="24"/>
        </w:rPr>
      </w:pPr>
      <w:r>
        <w:rPr>
          <w:rFonts w:hint="eastAsia"/>
          <w:b/>
          <w:bCs/>
          <w:color w:val="auto"/>
          <w:sz w:val="24"/>
          <w:szCs w:val="24"/>
        </w:rPr>
        <w:t>附件5 药物</w:t>
      </w:r>
      <w:r>
        <w:rPr>
          <w:rFonts w:hint="eastAsia"/>
          <w:b/>
          <w:bCs/>
          <w:color w:val="auto"/>
          <w:sz w:val="24"/>
          <w:szCs w:val="24"/>
          <w:lang w:val="en-US" w:eastAsia="zh-CN"/>
        </w:rPr>
        <w:t>/医疗器械</w:t>
      </w:r>
      <w:r>
        <w:rPr>
          <w:rFonts w:hint="eastAsia"/>
          <w:b/>
          <w:bCs/>
          <w:color w:val="auto"/>
          <w:sz w:val="24"/>
          <w:szCs w:val="24"/>
        </w:rPr>
        <w:t>临床试验质控检查总结表</w:t>
      </w:r>
    </w:p>
    <w:p>
      <w:pPr>
        <w:rPr>
          <w:color w:val="auto"/>
          <w:sz w:val="24"/>
          <w:szCs w:val="24"/>
        </w:rPr>
      </w:pP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0"/>
        <w:gridCol w:w="187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522" w:type="dxa"/>
            <w:gridSpan w:val="3"/>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261" w:type="dxa"/>
            <w:gridSpan w:val="2"/>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科室：</w:t>
            </w:r>
          </w:p>
        </w:tc>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主要研究者：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261" w:type="dxa"/>
            <w:gridSpan w:val="2"/>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启动时间：</w:t>
            </w:r>
          </w:p>
        </w:tc>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计划入组人数（试验/本机构）：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261" w:type="dxa"/>
            <w:gridSpan w:val="2"/>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申办方：</w:t>
            </w:r>
          </w:p>
        </w:tc>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入组例数：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4261" w:type="dxa"/>
            <w:gridSpan w:val="2"/>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CRA(电话）：</w:t>
            </w:r>
          </w:p>
        </w:tc>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CRC(电话）：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261" w:type="dxa"/>
            <w:gridSpan w:val="2"/>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CRO:</w:t>
            </w:r>
          </w:p>
        </w:tc>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SMO: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261" w:type="dxa"/>
            <w:gridSpan w:val="2"/>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筛选例数：</w:t>
            </w:r>
          </w:p>
        </w:tc>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检查时间：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261" w:type="dxa"/>
            <w:gridSpan w:val="2"/>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脱落例数：</w:t>
            </w:r>
          </w:p>
        </w:tc>
        <w:tc>
          <w:tcPr>
            <w:tcW w:w="4261" w:type="dxa"/>
            <w:vAlign w:val="center"/>
          </w:tcPr>
          <w:p>
            <w:pPr>
              <w:jc w:val="both"/>
              <w:rPr>
                <w:rFonts w:asciiTheme="minorEastAsia" w:hAnsiTheme="minorEastAsia" w:cstheme="minorEastAsia"/>
                <w:color w:val="auto"/>
                <w:szCs w:val="21"/>
              </w:rPr>
            </w:pPr>
            <w:r>
              <w:rPr>
                <w:rFonts w:hint="eastAsia" w:asciiTheme="minorEastAsia" w:hAnsiTheme="minorEastAsia" w:cstheme="minorEastAsia"/>
                <w:color w:val="auto"/>
                <w:szCs w:val="21"/>
              </w:rPr>
              <w:t>完成例数：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4261" w:type="dxa"/>
            <w:gridSpan w:val="2"/>
            <w:vAlign w:val="center"/>
          </w:tcPr>
          <w:p>
            <w:pPr>
              <w:jc w:val="both"/>
              <w:rPr>
                <w:color w:val="auto"/>
                <w:szCs w:val="21"/>
              </w:rPr>
            </w:pPr>
            <w:r>
              <w:rPr>
                <w:rFonts w:hint="eastAsia" w:asciiTheme="minorEastAsia" w:hAnsiTheme="minorEastAsia" w:cstheme="minorEastAsia"/>
                <w:color w:val="auto"/>
                <w:szCs w:val="21"/>
              </w:rPr>
              <w:t>不良事件例数：</w:t>
            </w:r>
          </w:p>
        </w:tc>
        <w:tc>
          <w:tcPr>
            <w:tcW w:w="4261" w:type="dxa"/>
            <w:vAlign w:val="center"/>
          </w:tcPr>
          <w:p>
            <w:pPr>
              <w:jc w:val="both"/>
              <w:rPr>
                <w:color w:val="auto"/>
                <w:szCs w:val="21"/>
              </w:rPr>
            </w:pPr>
            <w:r>
              <w:rPr>
                <w:rFonts w:hint="eastAsia" w:asciiTheme="minorEastAsia" w:hAnsiTheme="minorEastAsia" w:cstheme="minorEastAsia"/>
                <w:color w:val="auto"/>
                <w:szCs w:val="21"/>
              </w:rPr>
              <w:t>严重不良事件例数：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trPr>
        <w:tc>
          <w:tcPr>
            <w:tcW w:w="2390" w:type="dxa"/>
          </w:tcPr>
          <w:p>
            <w:pPr>
              <w:rPr>
                <w:color w:val="auto"/>
                <w:szCs w:val="21"/>
              </w:rPr>
            </w:pPr>
          </w:p>
          <w:p>
            <w:pPr>
              <w:rPr>
                <w:color w:val="auto"/>
                <w:szCs w:val="21"/>
              </w:rPr>
            </w:pPr>
          </w:p>
          <w:p>
            <w:pPr>
              <w:rPr>
                <w:color w:val="auto"/>
                <w:szCs w:val="21"/>
              </w:rPr>
            </w:pPr>
          </w:p>
          <w:p>
            <w:pPr>
              <w:rPr>
                <w:color w:val="auto"/>
                <w:szCs w:val="21"/>
              </w:rPr>
            </w:pPr>
            <w:r>
              <w:rPr>
                <w:rFonts w:hint="eastAsia"/>
                <w:color w:val="auto"/>
                <w:szCs w:val="21"/>
              </w:rPr>
              <w:t>结题前项目存在的问题</w:t>
            </w:r>
          </w:p>
        </w:tc>
        <w:tc>
          <w:tcPr>
            <w:tcW w:w="6132" w:type="dxa"/>
            <w:gridSpan w:val="2"/>
          </w:tcPr>
          <w:p>
            <w:pPr>
              <w:rPr>
                <w:color w:val="auto"/>
                <w:szCs w:val="21"/>
              </w:rPr>
            </w:pPr>
          </w:p>
          <w:p>
            <w:pPr>
              <w:rPr>
                <w:color w:val="auto"/>
                <w:szCs w:val="21"/>
              </w:rPr>
            </w:pPr>
          </w:p>
          <w:p>
            <w:pPr>
              <w:rPr>
                <w:color w:val="auto"/>
                <w:szCs w:val="21"/>
              </w:rPr>
            </w:pPr>
          </w:p>
          <w:p>
            <w:pPr>
              <w:rPr>
                <w:color w:val="auto"/>
                <w:szCs w:val="21"/>
              </w:rPr>
            </w:pPr>
          </w:p>
          <w:p>
            <w:pPr>
              <w:rPr>
                <w:color w:val="auto"/>
                <w:szCs w:val="21"/>
              </w:rPr>
            </w:pPr>
          </w:p>
          <w:p>
            <w:pPr>
              <w:rPr>
                <w:color w:val="auto"/>
                <w:szCs w:val="21"/>
              </w:rPr>
            </w:pPr>
            <w:r>
              <w:rPr>
                <w:rFonts w:hint="eastAsia"/>
                <w:color w:val="auto"/>
                <w:szCs w:val="21"/>
              </w:rPr>
              <w:t xml:space="preserve">                               机构质控员签名：</w:t>
            </w:r>
          </w:p>
          <w:p>
            <w:pPr>
              <w:rPr>
                <w:color w:val="auto"/>
                <w:szCs w:val="21"/>
              </w:rPr>
            </w:pPr>
            <w:r>
              <w:rPr>
                <w:rFonts w:hint="eastAsia"/>
                <w:color w:val="auto"/>
                <w:szCs w:val="21"/>
              </w:rPr>
              <w:t xml:space="preserve">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2390" w:type="dxa"/>
          </w:tcPr>
          <w:p>
            <w:pPr>
              <w:rPr>
                <w:color w:val="auto"/>
                <w:szCs w:val="21"/>
              </w:rPr>
            </w:pPr>
          </w:p>
          <w:p>
            <w:pPr>
              <w:rPr>
                <w:color w:val="auto"/>
                <w:szCs w:val="21"/>
              </w:rPr>
            </w:pPr>
          </w:p>
          <w:p>
            <w:pPr>
              <w:jc w:val="center"/>
              <w:rPr>
                <w:color w:val="auto"/>
                <w:szCs w:val="21"/>
              </w:rPr>
            </w:pPr>
            <w:r>
              <w:rPr>
                <w:rFonts w:hint="eastAsia"/>
                <w:color w:val="auto"/>
                <w:szCs w:val="21"/>
                <w:lang w:val="en-US" w:eastAsia="zh-CN"/>
              </w:rPr>
              <w:t>药物/医疗器械</w:t>
            </w:r>
            <w:r>
              <w:rPr>
                <w:rFonts w:hint="eastAsia"/>
                <w:color w:val="auto"/>
                <w:szCs w:val="21"/>
              </w:rPr>
              <w:t>临床试验机构办公室主任意见</w:t>
            </w:r>
          </w:p>
        </w:tc>
        <w:tc>
          <w:tcPr>
            <w:tcW w:w="6132" w:type="dxa"/>
            <w:gridSpan w:val="2"/>
          </w:tcPr>
          <w:p>
            <w:pPr>
              <w:rPr>
                <w:color w:val="auto"/>
                <w:szCs w:val="21"/>
              </w:rPr>
            </w:pPr>
          </w:p>
          <w:p>
            <w:pPr>
              <w:rPr>
                <w:color w:val="auto"/>
                <w:szCs w:val="21"/>
              </w:rPr>
            </w:pPr>
          </w:p>
          <w:p>
            <w:pPr>
              <w:rPr>
                <w:color w:val="auto"/>
                <w:szCs w:val="21"/>
              </w:rPr>
            </w:pPr>
          </w:p>
          <w:p>
            <w:pPr>
              <w:rPr>
                <w:color w:val="auto"/>
                <w:szCs w:val="21"/>
              </w:rPr>
            </w:pPr>
          </w:p>
          <w:p>
            <w:pPr>
              <w:rPr>
                <w:color w:val="auto"/>
                <w:szCs w:val="21"/>
              </w:rPr>
            </w:pPr>
          </w:p>
          <w:p>
            <w:pPr>
              <w:rPr>
                <w:color w:val="auto"/>
                <w:szCs w:val="21"/>
              </w:rPr>
            </w:pPr>
            <w:r>
              <w:rPr>
                <w:rFonts w:hint="eastAsia"/>
                <w:color w:val="auto"/>
                <w:szCs w:val="21"/>
              </w:rPr>
              <w:t xml:space="preserve">                                         签名：</w:t>
            </w:r>
          </w:p>
          <w:p>
            <w:pPr>
              <w:rPr>
                <w:color w:val="auto"/>
                <w:szCs w:val="21"/>
              </w:rPr>
            </w:pPr>
            <w:r>
              <w:rPr>
                <w:rFonts w:hint="eastAsia"/>
                <w:color w:val="auto"/>
                <w:szCs w:val="21"/>
              </w:rPr>
              <w:t xml:space="preserve">                                         日期：</w:t>
            </w:r>
          </w:p>
        </w:tc>
      </w:tr>
    </w:tbl>
    <w:p>
      <w:pPr>
        <w:rPr>
          <w:color w:val="auto"/>
          <w:szCs w:val="21"/>
        </w:rPr>
      </w:pPr>
      <w:r>
        <w:rPr>
          <w:rFonts w:hint="eastAsia"/>
          <w:color w:val="auto"/>
          <w:szCs w:val="21"/>
        </w:rPr>
        <w:t xml:space="preserve">                              </w:t>
      </w:r>
    </w:p>
    <w:p>
      <w:pPr>
        <w:tabs>
          <w:tab w:val="left" w:pos="2910"/>
        </w:tabs>
        <w:spacing w:line="500" w:lineRule="exact"/>
        <w:ind w:firstLine="1897" w:firstLineChars="900"/>
        <w:rPr>
          <w:rFonts w:ascii="黑体" w:hAnsi="黑体" w:eastAsia="黑体" w:cs="黑体"/>
          <w:b/>
          <w:bCs/>
          <w:color w:val="auto"/>
          <w:szCs w:val="21"/>
        </w:rPr>
      </w:pPr>
    </w:p>
    <w:p>
      <w:pPr>
        <w:tabs>
          <w:tab w:val="left" w:pos="2910"/>
        </w:tabs>
        <w:spacing w:line="500" w:lineRule="exact"/>
        <w:ind w:firstLine="2530" w:firstLineChars="900"/>
        <w:rPr>
          <w:rFonts w:ascii="黑体" w:hAnsi="黑体" w:eastAsia="黑体" w:cs="黑体"/>
          <w:b/>
          <w:bCs/>
          <w:color w:val="auto"/>
          <w:sz w:val="28"/>
        </w:rPr>
        <w:sectPr>
          <w:headerReference r:id="rId154" w:type="default"/>
          <w:footerReference r:id="rId155"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tabs>
          <w:tab w:val="left" w:pos="2910"/>
        </w:tabs>
        <w:spacing w:line="500" w:lineRule="exact"/>
        <w:jc w:val="center"/>
        <w:rPr>
          <w:rFonts w:ascii="黑体" w:hAnsi="黑体" w:eastAsia="黑体" w:cs="黑体"/>
          <w:b/>
          <w:bCs/>
          <w:color w:val="auto"/>
          <w:sz w:val="28"/>
        </w:rPr>
      </w:pPr>
      <w:r>
        <w:rPr>
          <w:rFonts w:hint="eastAsia" w:ascii="黑体" w:hAnsi="黑体" w:eastAsia="黑体" w:cs="黑体"/>
          <w:b/>
          <w:bCs/>
          <w:color w:val="auto"/>
          <w:sz w:val="28"/>
        </w:rPr>
        <w:t>临床试验质量控制的SOP</w:t>
      </w:r>
    </w:p>
    <w:p>
      <w:pPr>
        <w:numPr>
          <w:ilvl w:val="0"/>
          <w:numId w:val="70"/>
        </w:numPr>
        <w:spacing w:line="360" w:lineRule="auto"/>
        <w:rPr>
          <w:rFonts w:ascii="宋体" w:hAnsi="宋体"/>
          <w:color w:val="auto"/>
          <w:sz w:val="24"/>
        </w:rPr>
      </w:pPr>
      <w:r>
        <w:rPr>
          <w:rFonts w:hint="eastAsia" w:ascii="宋体" w:hAnsi="宋体"/>
          <w:color w:val="auto"/>
          <w:sz w:val="24"/>
        </w:rPr>
        <w:t>目的：</w:t>
      </w:r>
    </w:p>
    <w:p>
      <w:pPr>
        <w:spacing w:line="360" w:lineRule="auto"/>
        <w:ind w:firstLine="480" w:firstLineChars="200"/>
        <w:rPr>
          <w:rFonts w:ascii="宋体" w:hAnsi="宋体"/>
          <w:color w:val="auto"/>
          <w:sz w:val="24"/>
        </w:rPr>
      </w:pPr>
      <w:r>
        <w:rPr>
          <w:rFonts w:hint="eastAsia" w:ascii="宋体" w:hAnsi="宋体"/>
          <w:color w:val="auto"/>
          <w:sz w:val="24"/>
        </w:rPr>
        <w:t>建立机构质量控制标准操作规程，对临床试验机构内部的各项工作实施质量保证。</w:t>
      </w:r>
    </w:p>
    <w:p>
      <w:pPr>
        <w:spacing w:line="360" w:lineRule="auto"/>
        <w:rPr>
          <w:rFonts w:ascii="宋体" w:hAnsi="宋体"/>
          <w:b/>
          <w:bCs/>
          <w:color w:val="auto"/>
          <w:sz w:val="24"/>
        </w:rPr>
      </w:pPr>
      <w:r>
        <w:rPr>
          <w:rFonts w:hint="eastAsia" w:ascii="宋体" w:hAnsi="宋体"/>
          <w:color w:val="auto"/>
          <w:sz w:val="24"/>
        </w:rPr>
        <w:t>二、范围</w:t>
      </w:r>
      <w:r>
        <w:rPr>
          <w:rFonts w:hint="eastAsia" w:ascii="宋体" w:hAnsi="宋体"/>
          <w:b/>
          <w:bCs/>
          <w:color w:val="auto"/>
          <w:sz w:val="24"/>
        </w:rPr>
        <w:t>：</w:t>
      </w:r>
    </w:p>
    <w:p>
      <w:pPr>
        <w:spacing w:line="360" w:lineRule="auto"/>
        <w:ind w:firstLine="480" w:firstLineChars="200"/>
        <w:rPr>
          <w:rFonts w:ascii="宋体" w:hAnsi="宋体"/>
          <w:color w:val="auto"/>
          <w:sz w:val="24"/>
        </w:rPr>
      </w:pPr>
      <w:r>
        <w:rPr>
          <w:rFonts w:hint="eastAsia" w:ascii="宋体" w:hAnsi="宋体"/>
          <w:color w:val="auto"/>
          <w:sz w:val="24"/>
        </w:rPr>
        <w:t>适用于机构办公室、药物</w:t>
      </w:r>
      <w:r>
        <w:rPr>
          <w:rFonts w:hint="eastAsia" w:ascii="宋体" w:hAnsi="宋体"/>
          <w:color w:val="auto"/>
          <w:sz w:val="24"/>
          <w:lang w:val="en-US" w:eastAsia="zh-CN"/>
        </w:rPr>
        <w:t>和医疗器械</w:t>
      </w:r>
      <w:r>
        <w:rPr>
          <w:rFonts w:hint="eastAsia" w:ascii="宋体" w:hAnsi="宋体"/>
          <w:color w:val="auto"/>
          <w:sz w:val="24"/>
        </w:rPr>
        <w:t>临床试验各专业科室及相关部门。</w:t>
      </w:r>
    </w:p>
    <w:p>
      <w:pPr>
        <w:spacing w:line="360" w:lineRule="auto"/>
        <w:rPr>
          <w:rFonts w:ascii="宋体" w:hAnsi="宋体"/>
          <w:color w:val="auto"/>
          <w:sz w:val="24"/>
        </w:rPr>
      </w:pPr>
      <w:r>
        <w:rPr>
          <w:rFonts w:hint="eastAsia" w:ascii="宋体" w:hAnsi="宋体"/>
          <w:color w:val="auto"/>
          <w:sz w:val="24"/>
        </w:rPr>
        <w:t>三、规程：</w:t>
      </w:r>
    </w:p>
    <w:p>
      <w:pPr>
        <w:spacing w:line="360" w:lineRule="auto"/>
        <w:ind w:firstLine="480" w:firstLineChars="200"/>
        <w:rPr>
          <w:rFonts w:asciiTheme="minorEastAsia" w:hAnsiTheme="minorEastAsia" w:cstheme="minorEastAsia"/>
          <w:bCs/>
          <w:color w:val="auto"/>
          <w:sz w:val="24"/>
        </w:rPr>
      </w:pPr>
      <w:r>
        <w:rPr>
          <w:rFonts w:hint="eastAsia" w:asciiTheme="minorEastAsia" w:hAnsiTheme="minorEastAsia" w:cstheme="minorEastAsia"/>
          <w:bCs/>
          <w:color w:val="auto"/>
          <w:sz w:val="24"/>
        </w:rPr>
        <w:t>质量保证(Quality Assurance,QA)：为保证试验的进行和数据的产生、记录以及报告都符合GCP和适用管理要求所建立的有计划的活动。</w:t>
      </w:r>
    </w:p>
    <w:p>
      <w:pPr>
        <w:spacing w:line="360" w:lineRule="auto"/>
        <w:ind w:firstLine="480" w:firstLineChars="200"/>
        <w:rPr>
          <w:rFonts w:hint="eastAsia" w:asciiTheme="minorEastAsia" w:hAnsiTheme="minorEastAsia" w:cstheme="minorEastAsia"/>
          <w:color w:val="auto"/>
          <w:sz w:val="24"/>
        </w:rPr>
      </w:pPr>
      <w:r>
        <w:rPr>
          <w:rFonts w:hint="eastAsia" w:asciiTheme="minorEastAsia" w:hAnsiTheme="minorEastAsia" w:cstheme="minorEastAsia"/>
          <w:color w:val="auto"/>
          <w:sz w:val="24"/>
        </w:rPr>
        <w:t>质量控制(Quality Control,QC) ：指在质量保证系统内所采取的操作技术和活动，以查证与试验相关的活动都符合质量要求。</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（一）保证体系：</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1.临床试验质量的落实：</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（1）合格的研究机构与研究人员：</w:t>
      </w:r>
    </w:p>
    <w:p>
      <w:pPr>
        <w:pStyle w:val="22"/>
        <w:spacing w:line="360" w:lineRule="auto"/>
        <w:ind w:right="0" w:rightChars="0" w:firstLine="480" w:firstLineChars="20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临床试验机构的设施与条件应满足安全有效地进行临床试验的需要。所有研究者都应具备承担该项临床试验的专长、资格和能力，经过培训，熟悉GCP、并遵守国家有关法律、法规和道德规范。</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（2）严格的管理制度和明确的职责：</w:t>
      </w:r>
    </w:p>
    <w:p>
      <w:pPr>
        <w:pStyle w:val="14"/>
        <w:spacing w:before="0" w:beforeAutospacing="0" w:after="0" w:afterAutospacing="0" w:line="360" w:lineRule="auto"/>
        <w:ind w:firstLine="480" w:firstLineChars="200"/>
        <w:rPr>
          <w:rFonts w:asciiTheme="minorEastAsia" w:hAnsiTheme="minorEastAsia" w:cstheme="minorEastAsia"/>
          <w:color w:val="auto"/>
        </w:rPr>
      </w:pPr>
      <w:r>
        <w:rPr>
          <w:rFonts w:hint="eastAsia" w:asciiTheme="minorEastAsia" w:hAnsiTheme="minorEastAsia" w:cstheme="minorEastAsia"/>
          <w:color w:val="auto"/>
        </w:rPr>
        <w:t>组织建立完善的、符合GCP管理规范的各项管理制度并根据各项管理制度对所承接的临床试验实施统一管理。</w:t>
      </w:r>
    </w:p>
    <w:p>
      <w:pPr>
        <w:spacing w:line="360" w:lineRule="auto"/>
        <w:ind w:firstLine="480" w:firstLineChars="200"/>
        <w:rPr>
          <w:rFonts w:asciiTheme="minorEastAsia" w:hAnsiTheme="minorEastAsia" w:cstheme="minorEastAsia"/>
          <w:color w:val="auto"/>
          <w:sz w:val="24"/>
        </w:rPr>
      </w:pPr>
      <w:r>
        <w:rPr>
          <w:rFonts w:hint="eastAsia" w:asciiTheme="minorEastAsia" w:hAnsiTheme="minorEastAsia" w:cstheme="minorEastAsia"/>
          <w:color w:val="auto"/>
          <w:sz w:val="24"/>
        </w:rPr>
        <w:t>明确规定临床试验各类人员的职责要求。各类人员共同的职责是保证临床试验高质量且符合伦理原则的计划、开展、分析和报告，其责任和分工各有不同或侧重。所有人员都要按照GCP的要求，各司其职，各尽其责。</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（3）科学的试验设计及方案的实施：</w:t>
      </w:r>
    </w:p>
    <w:p>
      <w:pPr>
        <w:pStyle w:val="14"/>
        <w:spacing w:before="0" w:beforeAutospacing="0" w:after="0" w:afterAutospacing="0" w:line="360" w:lineRule="auto"/>
        <w:ind w:firstLine="480" w:firstLineChars="200"/>
        <w:rPr>
          <w:rFonts w:asciiTheme="minorEastAsia" w:hAnsiTheme="minorEastAsia" w:cstheme="minorEastAsia"/>
          <w:color w:val="auto"/>
          <w:szCs w:val="24"/>
        </w:rPr>
      </w:pPr>
      <w:r>
        <w:rPr>
          <w:rFonts w:hint="eastAsia" w:asciiTheme="minorEastAsia" w:hAnsiTheme="minorEastAsia" w:cstheme="minorEastAsia"/>
          <w:color w:val="auto"/>
          <w:szCs w:val="24"/>
        </w:rPr>
        <w:t>制订科学、周密、清楚、适用的试验方案，严格按照经药品监督管理部门和伦理委员会批准的试验方案进行临床试验。严格遵循试验方案以降低各种操作变异和试验误差。</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（4）标准的操作规程的制订和操作：</w:t>
      </w:r>
    </w:p>
    <w:p>
      <w:pPr>
        <w:pStyle w:val="14"/>
        <w:spacing w:before="0" w:beforeAutospacing="0" w:after="0" w:afterAutospacing="0" w:line="360" w:lineRule="auto"/>
        <w:ind w:firstLine="480" w:firstLineChars="200"/>
        <w:rPr>
          <w:rFonts w:asciiTheme="minorEastAsia" w:hAnsiTheme="minorEastAsia" w:cstheme="minorEastAsia"/>
          <w:color w:val="auto"/>
          <w:szCs w:val="24"/>
        </w:rPr>
      </w:pPr>
      <w:r>
        <w:rPr>
          <w:rFonts w:hint="eastAsia" w:asciiTheme="minorEastAsia" w:hAnsiTheme="minorEastAsia" w:cstheme="minorEastAsia"/>
          <w:color w:val="auto"/>
          <w:szCs w:val="24"/>
        </w:rPr>
        <w:t>制订标准的操作规程，严格控制临床试验中存在或出现的各种影响试验结果的主、客观因素，降低误差或偏差，确保得到真实可靠的研究资料，提高临床试验各项结果的评价质量。按照SOP进行标准化操作，使各种操作、制度、职责有据可依，各项工作有序开展。</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2.  临床试验质量控制：</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（1）仪器设备运行状态和质量控制：机构具有与研究方向配套的系统，完备的专用或共享仪器设备。</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（2）实验方法操作规程和质量控制：</w:t>
      </w:r>
    </w:p>
    <w:p>
      <w:pPr>
        <w:pStyle w:val="10"/>
        <w:spacing w:line="360" w:lineRule="auto"/>
        <w:ind w:left="0" w:leftChars="0" w:firstLine="480" w:firstLineChars="20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规定检查的观测项目、测定的次数、观测时点等；严格按照试验方案收集样品，避免样品分析和处理的延误。标准操作规程有关变更情况应当记入档案保存。标准操作规程应存放于各有关场所；标准操作规程应写明操作程序，其内容应明确、详细。</w:t>
      </w:r>
    </w:p>
    <w:p>
      <w:pPr>
        <w:pStyle w:val="14"/>
        <w:spacing w:before="0" w:beforeAutospacing="0" w:after="0" w:afterAutospacing="0" w:line="360" w:lineRule="auto"/>
        <w:rPr>
          <w:rFonts w:asciiTheme="minorEastAsia" w:hAnsiTheme="minorEastAsia" w:cstheme="minorEastAsia"/>
          <w:color w:val="auto"/>
        </w:rPr>
      </w:pPr>
      <w:r>
        <w:rPr>
          <w:rFonts w:hint="eastAsia" w:asciiTheme="minorEastAsia" w:hAnsiTheme="minorEastAsia" w:cstheme="minorEastAsia"/>
          <w:color w:val="auto"/>
        </w:rPr>
        <w:t>（3）试验进程的质量控制：</w:t>
      </w:r>
      <w:r>
        <w:rPr>
          <w:rFonts w:hint="eastAsia" w:asciiTheme="minorEastAsia" w:hAnsiTheme="minorEastAsia" w:cstheme="minorEastAsia"/>
          <w:color w:val="auto"/>
          <w:szCs w:val="24"/>
        </w:rPr>
        <w:t>所有人员严格按照各项SOP和试验方</w:t>
      </w:r>
      <w:r>
        <w:rPr>
          <w:rFonts w:hint="eastAsia" w:asciiTheme="minorEastAsia" w:hAnsiTheme="minorEastAsia" w:cstheme="minorEastAsia"/>
          <w:color w:val="auto"/>
        </w:rPr>
        <w:t>案进行操作。</w:t>
      </w:r>
    </w:p>
    <w:p>
      <w:pPr>
        <w:pStyle w:val="14"/>
        <w:spacing w:before="0" w:beforeAutospacing="0" w:after="0" w:afterAutospacing="0" w:line="360" w:lineRule="auto"/>
        <w:ind w:firstLine="240" w:firstLineChars="100"/>
        <w:rPr>
          <w:rFonts w:asciiTheme="minorEastAsia" w:hAnsiTheme="minorEastAsia" w:cstheme="minorEastAsia"/>
          <w:color w:val="auto"/>
        </w:rPr>
      </w:pPr>
      <w:r>
        <w:rPr>
          <w:rFonts w:hint="eastAsia" w:asciiTheme="minorEastAsia" w:hAnsiTheme="minorEastAsia" w:cstheme="minorEastAsia"/>
          <w:color w:val="auto"/>
        </w:rPr>
        <w:t>1）试验方案的质量控制：临床试验方案</w:t>
      </w:r>
      <w:r>
        <w:rPr>
          <w:rFonts w:hint="eastAsia" w:asciiTheme="minorEastAsia" w:hAnsiTheme="minorEastAsia" w:cstheme="minorEastAsia"/>
          <w:color w:val="auto"/>
          <w:highlight w:val="none"/>
        </w:rPr>
        <w:t>由主要研究者、申办者、统计学专家共同参与起草，由机构办公室组织审核，以保障其科学性。审核后的方案要获得伦理委员会的批准，确保受试者权益及安全得到保障。必须严格按照试验方案进行临床试验，入选合格的受试者，按正确的试验程序进行试验。确保研究者将试验药物仅用</w:t>
      </w:r>
      <w:r>
        <w:rPr>
          <w:rFonts w:hint="eastAsia" w:asciiTheme="minorEastAsia" w:hAnsiTheme="minorEastAsia" w:cstheme="minorEastAsia"/>
          <w:color w:val="auto"/>
        </w:rPr>
        <w:t>于合格的受试者，使用剂量符合试验方案中的规定。试验方案的修改要记录在案并得到伦理委员会的批准，较大的修改还要得到药品监督管理部门的批准。</w:t>
      </w:r>
    </w:p>
    <w:p>
      <w:pPr>
        <w:pStyle w:val="14"/>
        <w:spacing w:before="0" w:beforeAutospacing="0" w:after="0" w:afterAutospacing="0" w:line="360" w:lineRule="auto"/>
        <w:ind w:firstLine="240" w:firstLineChars="100"/>
        <w:rPr>
          <w:rFonts w:asciiTheme="minorEastAsia" w:hAnsiTheme="minorEastAsia" w:cstheme="minorEastAsia"/>
          <w:color w:val="auto"/>
        </w:rPr>
      </w:pPr>
      <w:r>
        <w:rPr>
          <w:rFonts w:hint="eastAsia" w:asciiTheme="minorEastAsia" w:hAnsiTheme="minorEastAsia" w:cstheme="minorEastAsia"/>
          <w:color w:val="auto"/>
        </w:rPr>
        <w:t>2）标准操作规程的质量控制：</w:t>
      </w:r>
    </w:p>
    <w:p>
      <w:pPr>
        <w:widowControl/>
        <w:spacing w:line="360" w:lineRule="auto"/>
        <w:ind w:firstLine="480" w:firstLineChars="200"/>
        <w:jc w:val="left"/>
        <w:rPr>
          <w:rFonts w:asciiTheme="minorEastAsia" w:hAnsiTheme="minorEastAsia" w:cstheme="minorEastAsia"/>
          <w:color w:val="auto"/>
          <w:sz w:val="24"/>
          <w:szCs w:val="20"/>
        </w:rPr>
      </w:pPr>
      <w:r>
        <w:rPr>
          <w:rFonts w:hint="eastAsia" w:asciiTheme="minorEastAsia" w:hAnsiTheme="minorEastAsia" w:cstheme="minorEastAsia"/>
          <w:color w:val="auto"/>
          <w:sz w:val="24"/>
          <w:szCs w:val="20"/>
        </w:rPr>
        <w:t>SOP一定由熟悉业务的工作人员撰写，特别是一线操作人员一定要参与撰写；SOP的撰写人员要经GCP学习和培训，熟悉本专业的技术和业务，掌握SOP文件撰写的基本要求。SOP 文件起草后，编写小组对样稿进行广泛的讨论和审查。初稿确立后交机构办公室组织审核。审查/审核要点为实用性（可操作性）、规范性、准确性、通俗性。SOP文件经机构办公室审核人签名后交机构负责人或法定委托人批准。SOP一经生效，必须严格执行。参与临床试验的所有人员都必须阅读和熟悉与他们工作职责有关的SOP，并在各自的具体工作中严格遵守。SOP制订生效后应对有关人员进行培训。对新调入或更换工作岗位的人员必须经有关SOP培训才能上岗。SOP的放置地点要方便有关人员随时查阅参考。任何偏离行为都要经机构负责人或法定委托人和质量控制小组批准，并在原始资料中记录。SOP的制订、修改、批准、颁发、执行日期及分发、销毁情况都应记录并存档备查。</w:t>
      </w:r>
    </w:p>
    <w:p>
      <w:pPr>
        <w:pStyle w:val="14"/>
        <w:spacing w:before="0" w:beforeAutospacing="0" w:after="0" w:afterAutospacing="0" w:line="360" w:lineRule="auto"/>
        <w:rPr>
          <w:rFonts w:asciiTheme="minorEastAsia" w:hAnsiTheme="minorEastAsia" w:cstheme="minorEastAsia"/>
          <w:color w:val="auto"/>
        </w:rPr>
      </w:pPr>
      <w:r>
        <w:rPr>
          <w:rFonts w:hint="eastAsia" w:asciiTheme="minorEastAsia" w:hAnsiTheme="minorEastAsia" w:cstheme="minorEastAsia"/>
          <w:color w:val="auto"/>
        </w:rPr>
        <w:t>3、试验数据的质量控制：</w:t>
      </w:r>
    </w:p>
    <w:p>
      <w:pPr>
        <w:pStyle w:val="16"/>
        <w:spacing w:line="360" w:lineRule="auto"/>
        <w:ind w:left="0" w:leftChars="0" w:firstLine="480" w:firstLineChars="20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数据的记录要及时、准确、直接、清楚，签名并注明日期，试验数据的更正应按照规定的方法进行。</w:t>
      </w:r>
    </w:p>
    <w:p>
      <w:pPr>
        <w:pStyle w:val="16"/>
        <w:spacing w:line="360" w:lineRule="auto"/>
        <w:ind w:left="0" w:leftChars="0" w:firstLine="240" w:firstLineChars="1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试验数据采集和记录的质量控制：</w:t>
      </w:r>
    </w:p>
    <w:p>
      <w:pPr>
        <w:spacing w:line="360" w:lineRule="auto"/>
        <w:rPr>
          <w:rFonts w:hint="eastAsia" w:asciiTheme="minorEastAsia" w:hAnsiTheme="minorEastAsia" w:cstheme="minorEastAsia"/>
          <w:color w:val="auto"/>
          <w:sz w:val="24"/>
        </w:rPr>
      </w:pPr>
      <w:r>
        <w:rPr>
          <w:rFonts w:hint="eastAsia" w:asciiTheme="minorEastAsia" w:hAnsiTheme="minorEastAsia" w:cstheme="minorEastAsia"/>
          <w:color w:val="auto"/>
          <w:sz w:val="24"/>
        </w:rPr>
        <w:t>(1)要保证所有收集数据的人员熟悉使用的方法。在使用非常规的评价方法时，需要对有关人员进行培训和训练，以保证操作的一致性。尽量保证人员的恒定。设计可操作性强的观察表格，尽量采用剂量化的指标。</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(2)所有数据要在规定的时间和日期内被记录于医疗档案，避免补记时由于回忆所造成的误差。</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(3)收集所有研究对象的全部数据，包括临床观察表格要求的全部填写数据和全部研究对象的资料并记录（在正常范围内的数据也应记录）。剔除的病例也应保留原始记录。</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(4)对显著偏离或在临床可接受范围以外的数据须加以核实，由研究者作必要的说明。各检测项目必须注明所采用的计量单位。</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(5)对于自觉症状的描述应当客观，切勿诱导或暗示，对于所规定的客观指标，应当按方案规定的时点、间隔和方法进行观察或检测，并按检测日期先后粘贴检验原始报告单。</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(6)对所有不良事件，包括入组前正常、入组后异常并具有临床意义的实验室数据，填写不良事件表并随访至恢复正常或病情稳定。</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(7)要经常自查试验数据记录的准确性、完整性，更正错误时要按照规定的方法进行。数据管理员根据临床试验方案对病例报告表进行检查，如有疑问，填写质疑表（query list），由研究者对质疑表的问题进行书面解答并签名，交回数据管理员。质疑表应妥善保管。自查后，要有详细的记录，确保临床研究数据记录及时、准确、规范、完整。</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 xml:space="preserve">(8)机构及专业科室质控人员参加临床研究启动会，熟悉了解临床试验方案。 </w:t>
      </w:r>
    </w:p>
    <w:p>
      <w:pPr>
        <w:spacing w:line="360" w:lineRule="auto"/>
        <w:ind w:firstLine="360" w:firstLineChars="15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专业科室质控人员对在研项目至少在研究早期、中期及后期分别进行检查，时间分别在试验准备阶段及入组第一例受试者后、研究进度达到三分之一和三分之二以及研究结束前。</w:t>
      </w:r>
      <w:r>
        <w:rPr>
          <w:rFonts w:hint="eastAsia" w:asciiTheme="minorEastAsia" w:hAnsiTheme="minorEastAsia" w:cstheme="minorEastAsia"/>
          <w:color w:val="auto"/>
          <w:sz w:val="24"/>
          <w:szCs w:val="24"/>
          <w:highlight w:val="none"/>
        </w:rPr>
        <w:t>机构质控员按照质控检查计划对项目开展质控检查，包括早期和</w:t>
      </w:r>
      <w:r>
        <w:rPr>
          <w:rFonts w:hint="eastAsia" w:asciiTheme="minorEastAsia" w:hAnsiTheme="minorEastAsia" w:cstheme="minorEastAsia"/>
          <w:color w:val="auto"/>
          <w:sz w:val="24"/>
          <w:szCs w:val="24"/>
          <w:highlight w:val="none"/>
          <w:lang w:val="en-US" w:eastAsia="zh-CN"/>
        </w:rPr>
        <w:t>中</w:t>
      </w:r>
      <w:r>
        <w:rPr>
          <w:rFonts w:hint="eastAsia" w:asciiTheme="minorEastAsia" w:hAnsiTheme="minorEastAsia" w:cstheme="minorEastAsia"/>
          <w:color w:val="auto"/>
          <w:sz w:val="24"/>
          <w:szCs w:val="24"/>
          <w:highlight w:val="none"/>
        </w:rPr>
        <w:t>后期质控，早期质控一般在入组2-3例时开展，中后期质控时间根据项目进展情况决定，按入组病例数的一定比例进行抽查，发现问题再扩大检查；对于风险高的项目应加强检查；</w:t>
      </w:r>
      <w:r>
        <w:rPr>
          <w:rFonts w:hint="eastAsia" w:asciiTheme="minorEastAsia" w:hAnsiTheme="minorEastAsia" w:cstheme="minorEastAsia"/>
          <w:color w:val="auto"/>
          <w:sz w:val="24"/>
          <w:highlight w:val="none"/>
        </w:rPr>
        <w:t xml:space="preserve">检查前由机构办通知研究者做好检查前准备，准备资料包括研究者档案、原始病历、CRF等。 </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对 CRF进行抽查，比例为 10－20％，如总例数少于 5 例则全部检查，如在检查中发现较多问题则增加 CRF检查数，并注意取证。 </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按照质控检查表进行检查并填写质控检查表。</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如日常工作中发现某些项目存在较严重问题，可安排有因检查。 </w:t>
      </w:r>
    </w:p>
    <w:p>
      <w:pPr>
        <w:spacing w:line="360" w:lineRule="auto"/>
        <w:ind w:firstLine="480" w:firstLineChars="200"/>
        <w:rPr>
          <w:rFonts w:hint="eastAsia" w:asciiTheme="minorEastAsia" w:hAnsiTheme="minorEastAsia" w:cstheme="minorEastAsia"/>
          <w:color w:val="auto"/>
          <w:sz w:val="24"/>
        </w:rPr>
      </w:pPr>
      <w:r>
        <w:rPr>
          <w:rFonts w:hint="eastAsia" w:asciiTheme="minorEastAsia" w:hAnsiTheme="minorEastAsia" w:cstheme="minorEastAsia"/>
          <w:color w:val="auto"/>
          <w:sz w:val="24"/>
          <w:highlight w:val="none"/>
        </w:rPr>
        <w:t>质控人员将对既往检查中的问题整改情况进</w:t>
      </w:r>
      <w:r>
        <w:rPr>
          <w:rFonts w:hint="eastAsia" w:asciiTheme="minorEastAsia" w:hAnsiTheme="minorEastAsia" w:cstheme="minorEastAsia"/>
          <w:color w:val="auto"/>
          <w:sz w:val="24"/>
        </w:rPr>
        <w:t>行追踪。</w:t>
      </w:r>
    </w:p>
    <w:p>
      <w:pPr>
        <w:pStyle w:val="14"/>
        <w:spacing w:before="0" w:beforeAutospacing="0" w:after="0" w:afterAutospacing="0" w:line="360" w:lineRule="auto"/>
        <w:rPr>
          <w:rFonts w:hint="eastAsia" w:asciiTheme="minorEastAsia" w:hAnsiTheme="minorEastAsia" w:cstheme="minorEastAsia"/>
          <w:color w:val="auto"/>
        </w:rPr>
      </w:pPr>
      <w:r>
        <w:rPr>
          <w:rFonts w:hint="eastAsia" w:asciiTheme="minorEastAsia" w:hAnsiTheme="minorEastAsia" w:cstheme="minorEastAsia"/>
          <w:color w:val="auto"/>
        </w:rPr>
        <w:t>4.临床试验数据处理的质量控制：</w:t>
      </w:r>
    </w:p>
    <w:p>
      <w:pPr>
        <w:pStyle w:val="9"/>
        <w:ind w:firstLine="480" w:firstLineChars="200"/>
        <w:rPr>
          <w:rFonts w:asciiTheme="minorEastAsia" w:hAnsiTheme="minorEastAsia" w:cstheme="minorEastAsia"/>
          <w:color w:val="auto"/>
        </w:rPr>
      </w:pPr>
      <w:r>
        <w:rPr>
          <w:rFonts w:hint="eastAsia" w:asciiTheme="minorEastAsia" w:hAnsiTheme="minorEastAsia" w:cstheme="minorEastAsia"/>
          <w:color w:val="auto"/>
        </w:rPr>
        <w:t>临床试验的各个阶段，均需具有资格的生物统计学人员参与，在临床试验方案制定同时制定统计分析计划书。试验数据的统计处理采用经验证的、可靠的统计软件和规范的统计学方法，数据的输入采用有效的质控措施，采用双份录入等方法，电脑与人工核对、检查，盲态审核，锁定数据库，进行一级揭盲和二级揭盲。具有数据管理的系统化程序，且所有实际操作步骤均被记录在案。组长单位负责建立数据库，具有保证数据库有效性和保密性的标准操作规程及计算机程序。</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（二）机构的质量控制</w:t>
      </w:r>
    </w:p>
    <w:p>
      <w:pPr>
        <w:pStyle w:val="9"/>
        <w:ind w:firstLine="480" w:firstLineChars="200"/>
        <w:rPr>
          <w:rFonts w:asciiTheme="minorEastAsia" w:hAnsiTheme="minorEastAsia" w:cstheme="minorEastAsia"/>
          <w:color w:val="auto"/>
        </w:rPr>
      </w:pPr>
      <w:r>
        <w:rPr>
          <w:rFonts w:hint="eastAsia" w:asciiTheme="minorEastAsia" w:hAnsiTheme="minorEastAsia" w:cstheme="minorEastAsia"/>
          <w:color w:val="auto"/>
        </w:rPr>
        <w:t>机构成立专门的临床试验质量控制小组，设立质量管理员，质量控制小组和质量管理员在办公室的领导下进行工作，负责对药物临床试验实施过程的各个环节进行质量控制。</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（1）伦理委员会负责对临床试验过程中受试者权益的保障进行跟踪审查。</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（2）机构办公室负责对各专业科室执行管理制度和操作规程的情况进行质量控制。</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（3）项目负责人和质量监督员负责对试验方案执行情况进行质量检查。</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（4）质量控制小组应制订年度计划；定期检查机构所属各部门、科室各项制度、SOP及质量保证措施的执行情况。</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（5）质量控制小组需及时作好检查记录，包括日期、存在问题、建议和意见、检查者姓名等，发现重大问题及时报告。</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（6）质量管理员是临床试验机构质量控制和质量保证系统的重要环节，负责对临床试验的实施进行督察。</w:t>
      </w:r>
    </w:p>
    <w:p>
      <w:pPr>
        <w:spacing w:line="360" w:lineRule="auto"/>
        <w:outlineLvl w:val="0"/>
        <w:rPr>
          <w:rFonts w:asciiTheme="minorEastAsia" w:hAnsiTheme="minorEastAsia" w:cstheme="minorEastAsia"/>
          <w:color w:val="auto"/>
          <w:sz w:val="24"/>
        </w:rPr>
      </w:pPr>
      <w:r>
        <w:rPr>
          <w:rFonts w:hint="eastAsia" w:asciiTheme="minorEastAsia" w:hAnsiTheme="minorEastAsia" w:cstheme="minorEastAsia"/>
          <w:color w:val="auto"/>
          <w:sz w:val="24"/>
        </w:rPr>
        <w:t>质量控制项目</w:t>
      </w:r>
    </w:p>
    <w:p>
      <w:pPr>
        <w:spacing w:line="360" w:lineRule="auto"/>
        <w:outlineLvl w:val="0"/>
        <w:rPr>
          <w:rFonts w:asciiTheme="minorEastAsia" w:hAnsiTheme="minorEastAsia" w:cstheme="minorEastAsia"/>
          <w:color w:val="auto"/>
          <w:sz w:val="24"/>
        </w:rPr>
      </w:pPr>
      <w:r>
        <w:rPr>
          <w:rFonts w:hint="eastAsia" w:asciiTheme="minorEastAsia" w:hAnsiTheme="minorEastAsia" w:cstheme="minorEastAsia"/>
          <w:color w:val="auto"/>
          <w:sz w:val="24"/>
        </w:rPr>
        <w:t>（三）临床专业科室</w:t>
      </w:r>
    </w:p>
    <w:p>
      <w:pPr>
        <w:tabs>
          <w:tab w:val="left" w:pos="840"/>
        </w:tabs>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1、临床试验的准备：</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专业科室的设施与条件符合安全有效地进行临床试验的需要。</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研究者均具备承担该项临床试验的专业特长、资格和能力并经过GCP培训。</w:t>
      </w:r>
    </w:p>
    <w:p>
      <w:pPr>
        <w:tabs>
          <w:tab w:val="left" w:pos="840"/>
        </w:tabs>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2、研究者职责：</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熟悉临床试验方案内容并严格按照方案和GCP的规定执行。</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了解并熟悉试验用</w:t>
      </w:r>
      <w:r>
        <w:rPr>
          <w:rFonts w:hint="eastAsia" w:asciiTheme="minorEastAsia" w:hAnsiTheme="minorEastAsia" w:cstheme="minorEastAsia"/>
          <w:color w:val="auto"/>
          <w:sz w:val="24"/>
          <w:lang w:val="en-US" w:eastAsia="zh-CN"/>
        </w:rPr>
        <w:t>药物/医疗器械</w:t>
      </w:r>
      <w:r>
        <w:rPr>
          <w:rFonts w:hint="eastAsia" w:asciiTheme="minorEastAsia" w:hAnsiTheme="minorEastAsia" w:cstheme="minorEastAsia"/>
          <w:color w:val="auto"/>
          <w:sz w:val="24"/>
        </w:rPr>
        <w:t>的性质、作用、疗效及安全性。</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掌握试验期间发现的所有与该药品</w:t>
      </w:r>
      <w:r>
        <w:rPr>
          <w:rFonts w:hint="eastAsia" w:asciiTheme="minorEastAsia" w:hAnsiTheme="minorEastAsia" w:cstheme="minorEastAsia"/>
          <w:color w:val="auto"/>
          <w:sz w:val="24"/>
          <w:lang w:val="en-US" w:eastAsia="zh-CN"/>
        </w:rPr>
        <w:t>/医疗器械</w:t>
      </w:r>
      <w:r>
        <w:rPr>
          <w:rFonts w:hint="eastAsia" w:asciiTheme="minorEastAsia" w:hAnsiTheme="minorEastAsia" w:cstheme="minorEastAsia"/>
          <w:color w:val="auto"/>
          <w:sz w:val="24"/>
        </w:rPr>
        <w:t>有关的新信息。</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具备处理紧急情况的必要条件。</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实施标准操作规程以保证实验室检查结果正确可靠。</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保证有足够数量并符合试验入选标准的受试者进入临床试验。</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保证受试者在试验期间出现不良事件时均能得到适当的治疗。</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如发生严重不良事件立即对受试者采取适当的治疗措施并及时报告。</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病历记录及时、准确、完整、规范、真实。病例报告表填写正确。</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接受申办者派遣的监查员或稽查员的监查和稽查。</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接受省、国家药品监督管理部门的</w:t>
      </w:r>
      <w:r>
        <w:rPr>
          <w:rFonts w:hint="eastAsia" w:asciiTheme="minorEastAsia" w:hAnsiTheme="minorEastAsia" w:cstheme="minorEastAsia"/>
          <w:color w:val="auto"/>
          <w:sz w:val="24"/>
          <w:lang w:val="en-US" w:eastAsia="zh-CN"/>
        </w:rPr>
        <w:t>检查</w:t>
      </w:r>
      <w:r>
        <w:rPr>
          <w:rFonts w:hint="eastAsia" w:asciiTheme="minorEastAsia" w:hAnsiTheme="minorEastAsia" w:cstheme="minorEastAsia"/>
          <w:color w:val="auto"/>
          <w:sz w:val="24"/>
        </w:rPr>
        <w:t>。</w:t>
      </w:r>
    </w:p>
    <w:p>
      <w:pPr>
        <w:tabs>
          <w:tab w:val="left" w:pos="840"/>
        </w:tabs>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3、记录与报告：</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研究者的任何观察与发现均及时、准确、完整、规范、真实地记录于病例报告表上。</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所有病例报告表填写正确并与原始资料一致，且有记录者签名。</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所有错误或遗漏均已改正或注明，且经研究者签名并注明日期。</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每一受试者的剂量改变、治疗变更、合并用药等情况均有记录。</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受试者任何原因的退出与失访，均在病例报告表中有详细说明。</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所有不良事件均被记录在案。</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严重不良事件在规定时间内报告。</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临床试验中所有实验室数据均记录于病例报告表上。</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对显著偏离或在临床可接受范围外的数据均被核实且有研究者说明。</w:t>
      </w:r>
    </w:p>
    <w:p>
      <w:pPr>
        <w:tabs>
          <w:tab w:val="left" w:pos="840"/>
        </w:tabs>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4、试验用药品</w:t>
      </w:r>
      <w:r>
        <w:rPr>
          <w:rFonts w:hint="eastAsia" w:asciiTheme="minorEastAsia" w:hAnsiTheme="minorEastAsia" w:cstheme="minorEastAsia"/>
          <w:color w:val="auto"/>
          <w:sz w:val="24"/>
          <w:lang w:val="en-US" w:eastAsia="zh-CN"/>
        </w:rPr>
        <w:t>/医疗器械</w:t>
      </w:r>
      <w:r>
        <w:rPr>
          <w:rFonts w:hint="eastAsia" w:asciiTheme="minorEastAsia" w:hAnsiTheme="minorEastAsia" w:cstheme="minorEastAsia"/>
          <w:color w:val="auto"/>
          <w:sz w:val="24"/>
        </w:rPr>
        <w:t>的管理：</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试验用药品</w:t>
      </w:r>
      <w:r>
        <w:rPr>
          <w:rFonts w:hint="eastAsia" w:asciiTheme="minorEastAsia" w:hAnsiTheme="minorEastAsia" w:cstheme="minorEastAsia"/>
          <w:color w:val="auto"/>
          <w:sz w:val="24"/>
          <w:lang w:val="en-US" w:eastAsia="zh-CN"/>
        </w:rPr>
        <w:t>/医疗器械</w:t>
      </w:r>
      <w:r>
        <w:rPr>
          <w:rFonts w:hint="eastAsia" w:asciiTheme="minorEastAsia" w:hAnsiTheme="minorEastAsia" w:cstheme="minorEastAsia"/>
          <w:color w:val="auto"/>
          <w:sz w:val="24"/>
        </w:rPr>
        <w:t>的使用记录包括数量、运送、接受、分配、应用及回收等信息。</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试验用药品</w:t>
      </w:r>
      <w:r>
        <w:rPr>
          <w:rFonts w:hint="eastAsia" w:asciiTheme="minorEastAsia" w:hAnsiTheme="minorEastAsia" w:cstheme="minorEastAsia"/>
          <w:color w:val="auto"/>
          <w:sz w:val="24"/>
          <w:lang w:val="en-US" w:eastAsia="zh-CN"/>
        </w:rPr>
        <w:t>/医疗器械</w:t>
      </w:r>
      <w:r>
        <w:rPr>
          <w:rFonts w:hint="eastAsia" w:asciiTheme="minorEastAsia" w:hAnsiTheme="minorEastAsia" w:cstheme="minorEastAsia"/>
          <w:color w:val="auto"/>
          <w:sz w:val="24"/>
        </w:rPr>
        <w:t>的使用由研究者专人负责，所有试验用药</w:t>
      </w:r>
      <w:r>
        <w:rPr>
          <w:rFonts w:hint="eastAsia" w:asciiTheme="minorEastAsia" w:hAnsiTheme="minorEastAsia" w:cstheme="minorEastAsia"/>
          <w:color w:val="auto"/>
          <w:sz w:val="24"/>
          <w:lang w:val="en-US" w:eastAsia="zh-CN"/>
        </w:rPr>
        <w:t>/医疗器械</w:t>
      </w:r>
      <w:r>
        <w:rPr>
          <w:rFonts w:hint="eastAsia" w:asciiTheme="minorEastAsia" w:hAnsiTheme="minorEastAsia" w:cstheme="minorEastAsia"/>
          <w:color w:val="auto"/>
          <w:sz w:val="24"/>
        </w:rPr>
        <w:t>仅用于该试验受试者。</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剩余试验用药品</w:t>
      </w:r>
      <w:r>
        <w:rPr>
          <w:rFonts w:hint="eastAsia" w:asciiTheme="minorEastAsia" w:hAnsiTheme="minorEastAsia" w:cstheme="minorEastAsia"/>
          <w:color w:val="auto"/>
          <w:sz w:val="24"/>
          <w:lang w:val="en-US" w:eastAsia="zh-CN"/>
        </w:rPr>
        <w:t>/医疗器械</w:t>
      </w:r>
      <w:r>
        <w:rPr>
          <w:rFonts w:hint="eastAsia" w:asciiTheme="minorEastAsia" w:hAnsiTheme="minorEastAsia" w:cstheme="minorEastAsia"/>
          <w:color w:val="auto"/>
          <w:sz w:val="24"/>
        </w:rPr>
        <w:t>均退回申办者并记录在案。</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lang w:val="en-US" w:eastAsia="zh-CN"/>
        </w:rPr>
        <w:t>使用方法</w:t>
      </w:r>
      <w:r>
        <w:rPr>
          <w:rFonts w:hint="eastAsia" w:asciiTheme="minorEastAsia" w:hAnsiTheme="minorEastAsia" w:cstheme="minorEastAsia"/>
          <w:color w:val="auto"/>
          <w:sz w:val="24"/>
        </w:rPr>
        <w:t>符合试验方案的规定。</w:t>
      </w:r>
    </w:p>
    <w:p>
      <w:pPr>
        <w:tabs>
          <w:tab w:val="left" w:pos="840"/>
        </w:tabs>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5、临床试验质量保证：</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研究者采用标准操作规程，以保证临床试验的质量控制和质量保证的实施。</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数据处理的每一阶段均采用了质量控制，以保证所有数据可靠且处理正确。</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（四）机构办公室（自查）</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1、临床试验方案：</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临床试验方案由研究者与申办者共同商定并签字。</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临床试验方案所包含的内容满足GCP的要求。</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规定了在临床试验中必要时对试验方案进行修正的操作规程。</w:t>
      </w:r>
    </w:p>
    <w:p>
      <w:pPr>
        <w:spacing w:line="360" w:lineRule="auto"/>
        <w:rPr>
          <w:rFonts w:asciiTheme="minorEastAsia" w:hAnsiTheme="minorEastAsia" w:cstheme="minorEastAsia"/>
          <w:color w:val="auto"/>
          <w:sz w:val="24"/>
        </w:rPr>
      </w:pPr>
      <w:r>
        <w:rPr>
          <w:rFonts w:hint="eastAsia" w:asciiTheme="minorEastAsia" w:hAnsiTheme="minorEastAsia" w:cstheme="minorEastAsia"/>
          <w:color w:val="auto"/>
          <w:sz w:val="24"/>
        </w:rPr>
        <w:t>2、多中心临床试验：</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临床试验方案由各中心主要研究者共同制定，申办者同意且获伦理委员会批准。</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在临床试验开始时及进行的中期应组织研究者会议。</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各中心同期进行临床试验。</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各中心临床试验样本量符合统计学要求。</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根据同一试验方案培训参加该试验的研究者。</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建立了疗效及安全性评价的标准化方法。</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各中心的实验室检测及临床评价方法均有统一的质量控制。</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数据资料集中管理与分析。</w:t>
      </w:r>
    </w:p>
    <w:p>
      <w:pPr>
        <w:numPr>
          <w:ilvl w:val="2"/>
          <w:numId w:val="71"/>
        </w:numPr>
        <w:spacing w:line="360" w:lineRule="auto"/>
        <w:ind w:left="397" w:firstLine="0"/>
        <w:rPr>
          <w:rFonts w:asciiTheme="minorEastAsia" w:hAnsiTheme="minorEastAsia" w:cstheme="minorEastAsia"/>
          <w:color w:val="auto"/>
          <w:sz w:val="24"/>
        </w:rPr>
      </w:pPr>
      <w:r>
        <w:rPr>
          <w:rFonts w:hint="eastAsia" w:asciiTheme="minorEastAsia" w:hAnsiTheme="minorEastAsia" w:cstheme="minorEastAsia"/>
          <w:color w:val="auto"/>
          <w:sz w:val="24"/>
        </w:rPr>
        <w:t>明确监查员的职能，以保证各中心研究者遵从试验方案。</w:t>
      </w:r>
    </w:p>
    <w:p>
      <w:pPr>
        <w:pStyle w:val="9"/>
        <w:ind w:firstLine="480" w:firstLineChars="200"/>
        <w:rPr>
          <w:rFonts w:hint="eastAsia"/>
          <w:color w:val="auto"/>
          <w:sz w:val="24"/>
          <w:szCs w:val="24"/>
        </w:rPr>
      </w:pPr>
      <w:r>
        <w:rPr>
          <w:rFonts w:hint="eastAsia" w:asciiTheme="minorEastAsia" w:hAnsiTheme="minorEastAsia" w:cstheme="minorEastAsia"/>
          <w:color w:val="auto"/>
          <w:sz w:val="24"/>
        </w:rPr>
        <w:t>建立协调委员会，协调整个试验的实施，</w:t>
      </w:r>
      <w:r>
        <w:rPr>
          <w:rFonts w:hint="eastAsia"/>
          <w:color w:val="auto"/>
          <w:sz w:val="24"/>
          <w:szCs w:val="24"/>
        </w:rPr>
        <w:t>并与国家食品药品监督管理局保持联系。</w:t>
      </w:r>
    </w:p>
    <w:p>
      <w:pPr>
        <w:spacing w:line="360" w:lineRule="auto"/>
        <w:rPr>
          <w:rFonts w:hint="eastAsia"/>
          <w:color w:val="auto"/>
          <w:sz w:val="24"/>
          <w:szCs w:val="24"/>
        </w:rPr>
      </w:pPr>
      <w:r>
        <w:rPr>
          <w:rFonts w:hint="eastAsia"/>
          <w:color w:val="auto"/>
          <w:sz w:val="24"/>
          <w:szCs w:val="24"/>
        </w:rPr>
        <w:t>（五）资料档案室</w:t>
      </w:r>
    </w:p>
    <w:p>
      <w:pPr>
        <w:pStyle w:val="9"/>
        <w:ind w:firstLine="480" w:firstLineChars="200"/>
        <w:rPr>
          <w:rFonts w:asciiTheme="minorEastAsia" w:hAnsiTheme="minorEastAsia" w:cstheme="minorEastAsia"/>
          <w:color w:val="auto"/>
          <w:sz w:val="24"/>
          <w:highlight w:val="none"/>
        </w:rPr>
      </w:pPr>
      <w:r>
        <w:rPr>
          <w:rFonts w:hint="eastAsia"/>
          <w:color w:val="auto"/>
          <w:sz w:val="24"/>
          <w:szCs w:val="24"/>
        </w:rPr>
        <w:t>研究者</w:t>
      </w:r>
      <w:r>
        <w:rPr>
          <w:rFonts w:hint="eastAsia"/>
          <w:color w:val="auto"/>
          <w:sz w:val="24"/>
          <w:szCs w:val="24"/>
          <w:lang w:val="en-US" w:eastAsia="zh-CN"/>
        </w:rPr>
        <w:t>按照《档案管理制度》和《临床试验档案管理的SOP》的规定保存试验资</w:t>
      </w:r>
      <w:r>
        <w:rPr>
          <w:rFonts w:hint="eastAsia" w:asciiTheme="minorEastAsia" w:hAnsiTheme="minorEastAsia" w:cstheme="minorEastAsia"/>
          <w:color w:val="auto"/>
          <w:sz w:val="24"/>
          <w:highlight w:val="none"/>
          <w:lang w:val="en-US" w:eastAsia="zh-CN"/>
        </w:rPr>
        <w:t>料</w:t>
      </w:r>
      <w:r>
        <w:rPr>
          <w:rFonts w:hint="eastAsia" w:asciiTheme="minorEastAsia" w:hAnsiTheme="minorEastAsia" w:cstheme="minorEastAsia"/>
          <w:color w:val="auto"/>
          <w:sz w:val="24"/>
          <w:highlight w:val="none"/>
        </w:rPr>
        <w:t>。</w:t>
      </w:r>
    </w:p>
    <w:p>
      <w:pPr>
        <w:spacing w:line="360" w:lineRule="auto"/>
        <w:rPr>
          <w:rFonts w:hint="default" w:asciiTheme="minorEastAsia" w:hAnsiTheme="minorEastAsia" w:eastAsiaTheme="minorEastAsia" w:cstheme="minorEastAsia"/>
          <w:color w:val="auto"/>
          <w:lang w:val="en-US" w:eastAsia="zh-CN"/>
        </w:rPr>
      </w:pPr>
      <w:r>
        <w:rPr>
          <w:rFonts w:hint="eastAsia" w:asciiTheme="minorEastAsia" w:hAnsiTheme="minorEastAsia" w:cstheme="minorEastAsia"/>
          <w:color w:val="auto"/>
          <w:highlight w:val="none"/>
        </w:rPr>
        <w:t>（</w:t>
      </w:r>
      <w:r>
        <w:rPr>
          <w:rFonts w:hint="eastAsia" w:asciiTheme="minorEastAsia" w:hAnsiTheme="minorEastAsia" w:cstheme="minorEastAsia"/>
          <w:color w:val="auto"/>
        </w:rPr>
        <w:t>六）临床试验机构</w:t>
      </w:r>
      <w:r>
        <w:rPr>
          <w:rFonts w:hint="eastAsia" w:asciiTheme="minorEastAsia" w:hAnsiTheme="minorEastAsia" w:cstheme="minorEastAsia"/>
          <w:color w:val="auto"/>
          <w:lang w:val="en-US" w:eastAsia="zh-CN"/>
        </w:rPr>
        <w:t>GCP</w:t>
      </w:r>
      <w:r>
        <w:rPr>
          <w:rFonts w:hint="eastAsia" w:asciiTheme="minorEastAsia" w:hAnsiTheme="minorEastAsia" w:cstheme="minorEastAsia"/>
          <w:color w:val="auto"/>
        </w:rPr>
        <w:t>中心药房</w:t>
      </w:r>
    </w:p>
    <w:p>
      <w:pPr>
        <w:numPr>
          <w:ilvl w:val="2"/>
          <w:numId w:val="71"/>
        </w:numPr>
        <w:spacing w:line="360" w:lineRule="auto"/>
        <w:ind w:left="397" w:firstLine="0"/>
        <w:rPr>
          <w:rFonts w:ascii="宋体" w:hAnsi="宋体"/>
          <w:color w:val="auto"/>
          <w:sz w:val="24"/>
        </w:rPr>
      </w:pPr>
      <w:r>
        <w:rPr>
          <w:rFonts w:hint="eastAsia" w:ascii="宋体" w:hAnsi="宋体"/>
          <w:color w:val="auto"/>
          <w:sz w:val="24"/>
        </w:rPr>
        <w:t>试验用药品</w:t>
      </w:r>
      <w:r>
        <w:rPr>
          <w:rFonts w:hint="eastAsia" w:asciiTheme="minorEastAsia" w:hAnsiTheme="minorEastAsia" w:cstheme="minorEastAsia"/>
          <w:color w:val="auto"/>
          <w:sz w:val="24"/>
          <w:lang w:val="en-US" w:eastAsia="zh-CN"/>
        </w:rPr>
        <w:t>/医疗器械</w:t>
      </w:r>
      <w:r>
        <w:rPr>
          <w:rFonts w:hint="eastAsia" w:ascii="宋体" w:hAnsi="宋体"/>
          <w:color w:val="auto"/>
          <w:sz w:val="24"/>
        </w:rPr>
        <w:t>的接收、核对、计数、发放、回收、销毁符合标准操作规程。</w:t>
      </w:r>
    </w:p>
    <w:p>
      <w:pPr>
        <w:numPr>
          <w:ilvl w:val="2"/>
          <w:numId w:val="71"/>
        </w:numPr>
        <w:spacing w:line="360" w:lineRule="auto"/>
        <w:ind w:left="397" w:firstLine="0"/>
        <w:rPr>
          <w:rFonts w:ascii="宋体" w:hAnsi="宋体"/>
          <w:color w:val="auto"/>
          <w:sz w:val="24"/>
        </w:rPr>
      </w:pPr>
      <w:r>
        <w:rPr>
          <w:rFonts w:hint="eastAsia" w:ascii="宋体" w:hAnsi="宋体"/>
          <w:color w:val="auto"/>
          <w:sz w:val="24"/>
        </w:rPr>
        <w:t>试验用药品</w:t>
      </w:r>
      <w:r>
        <w:rPr>
          <w:rFonts w:hint="eastAsia" w:asciiTheme="minorEastAsia" w:hAnsiTheme="minorEastAsia" w:cstheme="minorEastAsia"/>
          <w:color w:val="auto"/>
          <w:sz w:val="24"/>
          <w:lang w:val="en-US" w:eastAsia="zh-CN"/>
        </w:rPr>
        <w:t>/医疗器械</w:t>
      </w:r>
      <w:r>
        <w:rPr>
          <w:rFonts w:hint="eastAsia" w:ascii="宋体" w:hAnsi="宋体"/>
          <w:color w:val="auto"/>
          <w:sz w:val="24"/>
        </w:rPr>
        <w:t>的保管、保存符合要求。</w:t>
      </w:r>
    </w:p>
    <w:p>
      <w:pPr>
        <w:spacing w:line="360" w:lineRule="auto"/>
        <w:rPr>
          <w:rFonts w:hint="eastAsia" w:ascii="宋体" w:hAnsi="宋体" w:eastAsiaTheme="minorEastAsia"/>
          <w:color w:val="auto"/>
          <w:sz w:val="24"/>
          <w:lang w:val="en-US" w:eastAsia="zh-CN"/>
        </w:rPr>
      </w:pPr>
      <w:r>
        <w:rPr>
          <w:rFonts w:hint="eastAsia" w:ascii="宋体" w:hAnsi="宋体"/>
          <w:color w:val="auto"/>
          <w:sz w:val="24"/>
        </w:rPr>
        <w:t>（七）监查、稽查和</w:t>
      </w:r>
      <w:r>
        <w:rPr>
          <w:rFonts w:hint="eastAsia" w:ascii="宋体" w:hAnsi="宋体"/>
          <w:color w:val="auto"/>
          <w:sz w:val="24"/>
          <w:lang w:val="en-US" w:eastAsia="zh-CN"/>
        </w:rPr>
        <w:t>检查</w:t>
      </w:r>
    </w:p>
    <w:p>
      <w:pPr>
        <w:pStyle w:val="8"/>
        <w:spacing w:line="360" w:lineRule="auto"/>
        <w:rPr>
          <w:rFonts w:ascii="宋体" w:hAnsi="宋体"/>
          <w:color w:val="auto"/>
        </w:rPr>
      </w:pPr>
      <w:r>
        <w:rPr>
          <w:rFonts w:hint="eastAsia" w:ascii="宋体" w:hAnsi="宋体"/>
          <w:color w:val="auto"/>
        </w:rPr>
        <w:t>1、监查</w:t>
      </w:r>
    </w:p>
    <w:p>
      <w:pPr>
        <w:pStyle w:val="8"/>
        <w:spacing w:line="360" w:lineRule="auto"/>
        <w:ind w:firstLine="480" w:firstLineChars="200"/>
        <w:rPr>
          <w:rFonts w:ascii="宋体" w:hAnsi="宋体"/>
          <w:color w:val="auto"/>
        </w:rPr>
      </w:pPr>
      <w:r>
        <w:rPr>
          <w:rFonts w:hint="eastAsia" w:ascii="宋体" w:hAnsi="宋体"/>
          <w:color w:val="auto"/>
        </w:rPr>
        <w:t>临床试验过程中，机构接受申办者委派的监查员来对临床试验的过程进行监查。监查员是对申办者负责的具备相关知识的人员。其主要任务是监查和报告试验的进行情况，核实试验数据，并作为申办者与研究者之间的主要联系人。监查的目的是保证临床试验中受试者的权益受到保护，试验记录与报告数据准确、完整并与原始资料一致，确保试验遵循试验方案、SOP、GCP及现行有关法规。</w:t>
      </w:r>
    </w:p>
    <w:p>
      <w:pPr>
        <w:pStyle w:val="8"/>
        <w:spacing w:line="360" w:lineRule="auto"/>
        <w:ind w:firstLine="480" w:firstLineChars="200"/>
        <w:rPr>
          <w:rFonts w:ascii="宋体" w:hAnsi="宋体"/>
          <w:color w:val="auto"/>
        </w:rPr>
      </w:pPr>
      <w:r>
        <w:rPr>
          <w:rFonts w:hint="eastAsia" w:ascii="宋体" w:hAnsi="宋体"/>
          <w:color w:val="auto"/>
        </w:rPr>
        <w:t>监查员的职责：监查员应在临床试验前、试验进行过程中和试验结束后持续对各个试验中心进行深入的讨论和沟通，确保临床试验中受试者的权益得到保护并获得完整、准确和可靠的试验资料，从而最大程度的保证临床试验的质量。</w:t>
      </w:r>
    </w:p>
    <w:p>
      <w:pPr>
        <w:pStyle w:val="8"/>
        <w:spacing w:line="360" w:lineRule="auto"/>
        <w:jc w:val="left"/>
        <w:rPr>
          <w:rFonts w:ascii="宋体" w:hAnsi="宋体"/>
          <w:color w:val="auto"/>
        </w:rPr>
      </w:pPr>
      <w:r>
        <w:rPr>
          <w:rFonts w:hint="eastAsia" w:ascii="宋体" w:hAnsi="宋体"/>
          <w:color w:val="auto"/>
        </w:rPr>
        <w:t>监查员的工作内容：</w:t>
      </w:r>
    </w:p>
    <w:p>
      <w:pPr>
        <w:pStyle w:val="8"/>
        <w:spacing w:line="360" w:lineRule="auto"/>
        <w:rPr>
          <w:rFonts w:ascii="宋体" w:hAnsi="宋体"/>
          <w:color w:val="auto"/>
          <w:sz w:val="24"/>
          <w:szCs w:val="24"/>
        </w:rPr>
      </w:pPr>
      <w:r>
        <w:rPr>
          <w:rFonts w:hint="eastAsia" w:ascii="宋体" w:hAnsi="宋体"/>
          <w:color w:val="auto"/>
          <w:sz w:val="24"/>
          <w:szCs w:val="24"/>
        </w:rPr>
        <w:t>（1）试验前的准备工作：选择研究者、协助制订试验文件、准备试验用药和材料、组织研究者会议材料。</w:t>
      </w:r>
    </w:p>
    <w:p>
      <w:pPr>
        <w:pStyle w:val="8"/>
        <w:spacing w:line="360" w:lineRule="auto"/>
        <w:rPr>
          <w:rFonts w:ascii="宋体" w:hAnsi="宋体"/>
          <w:color w:val="auto"/>
          <w:sz w:val="24"/>
          <w:szCs w:val="24"/>
        </w:rPr>
      </w:pPr>
      <w:r>
        <w:rPr>
          <w:rFonts w:hint="eastAsia" w:ascii="宋体" w:hAnsi="宋体"/>
          <w:color w:val="auto"/>
          <w:sz w:val="24"/>
          <w:szCs w:val="24"/>
        </w:rPr>
        <w:t>（2）试验过程的监查：定期监查；试验用药和材料的供应；试验进度；知情同意书；遵守试验方案；核查原始资料；病例报告表的检查；试验用药的管理；盲表的保管；不良事件的记录和报告；试验文档；监查报告。</w:t>
      </w:r>
    </w:p>
    <w:p>
      <w:pPr>
        <w:pStyle w:val="8"/>
        <w:spacing w:line="360" w:lineRule="auto"/>
        <w:rPr>
          <w:rFonts w:ascii="宋体" w:hAnsi="宋体"/>
          <w:color w:val="auto"/>
          <w:sz w:val="24"/>
          <w:szCs w:val="24"/>
        </w:rPr>
      </w:pPr>
      <w:r>
        <w:rPr>
          <w:rFonts w:hint="eastAsia" w:ascii="宋体" w:hAnsi="宋体"/>
          <w:color w:val="auto"/>
          <w:sz w:val="24"/>
          <w:szCs w:val="24"/>
        </w:rPr>
        <w:t>（3）试验结束时的工作：终期访视；报告试验结果；回收试验用药和材料；保存试验资料。</w:t>
      </w:r>
    </w:p>
    <w:p>
      <w:pPr>
        <w:pStyle w:val="8"/>
        <w:spacing w:line="360" w:lineRule="auto"/>
        <w:ind w:firstLine="480" w:firstLineChars="200"/>
        <w:rPr>
          <w:rFonts w:ascii="宋体" w:hAnsi="宋体"/>
          <w:color w:val="auto"/>
          <w:sz w:val="24"/>
          <w:szCs w:val="24"/>
        </w:rPr>
      </w:pPr>
      <w:r>
        <w:rPr>
          <w:rFonts w:hint="eastAsia" w:ascii="宋体" w:hAnsi="宋体"/>
          <w:color w:val="auto"/>
          <w:sz w:val="24"/>
          <w:szCs w:val="24"/>
        </w:rPr>
        <w:t>监查的程序主要包括：计划与准备；实施与讨论；报告与跟踪。</w:t>
      </w:r>
    </w:p>
    <w:p>
      <w:pPr>
        <w:pStyle w:val="8"/>
        <w:spacing w:line="360" w:lineRule="auto"/>
        <w:rPr>
          <w:rFonts w:ascii="宋体" w:hAnsi="宋体"/>
          <w:color w:val="auto"/>
          <w:sz w:val="24"/>
          <w:szCs w:val="24"/>
        </w:rPr>
      </w:pPr>
      <w:r>
        <w:rPr>
          <w:rFonts w:hint="eastAsia" w:ascii="宋体" w:hAnsi="宋体"/>
          <w:color w:val="auto"/>
          <w:sz w:val="24"/>
          <w:szCs w:val="24"/>
        </w:rPr>
        <w:t>2、稽查</w:t>
      </w:r>
    </w:p>
    <w:p>
      <w:pPr>
        <w:pStyle w:val="8"/>
        <w:spacing w:line="360" w:lineRule="auto"/>
        <w:ind w:firstLine="480" w:firstLineChars="200"/>
        <w:rPr>
          <w:rFonts w:ascii="宋体" w:hAnsi="宋体"/>
          <w:color w:val="auto"/>
          <w:sz w:val="24"/>
          <w:szCs w:val="24"/>
        </w:rPr>
      </w:pPr>
      <w:r>
        <w:rPr>
          <w:rFonts w:hint="eastAsia" w:ascii="宋体" w:hAnsi="宋体"/>
          <w:color w:val="auto"/>
          <w:sz w:val="24"/>
          <w:szCs w:val="24"/>
        </w:rPr>
        <w:t>临床试验过程中，机构接受申办者委托的其质量保证部门或第三方对临床试验机构和项目进行的稽查。稽查是指由不直接涉及试验的人员(稽查员)对临床试验相关行为和文件所进行的系统而独立的检查。目的是评价临床试验的运行及其数据的收集、记录、分析和报告是否遵循试验方案、申办者的SOP、GCP和相关法规要求，报告的数据是否与试验机构内的记录一致，即病例报告表内报告或记录的数据是否与病历和其他原始记录一致。</w:t>
      </w:r>
    </w:p>
    <w:p>
      <w:pPr>
        <w:pStyle w:val="8"/>
        <w:spacing w:line="360" w:lineRule="auto"/>
        <w:ind w:firstLine="480" w:firstLineChars="200"/>
        <w:rPr>
          <w:rFonts w:ascii="宋体" w:hAnsi="宋体"/>
          <w:color w:val="auto"/>
          <w:sz w:val="24"/>
          <w:szCs w:val="24"/>
        </w:rPr>
      </w:pPr>
      <w:r>
        <w:rPr>
          <w:rFonts w:hint="eastAsia" w:ascii="宋体" w:hAnsi="宋体"/>
          <w:color w:val="auto"/>
          <w:sz w:val="24"/>
          <w:szCs w:val="24"/>
        </w:rPr>
        <w:t>稽查内容包括研究项目(检查试验方案和病历记录、申办者按GCP保存的文件、临床试验中心等)、试验设备、数据库、统计系统等。</w:t>
      </w:r>
    </w:p>
    <w:p>
      <w:pPr>
        <w:pStyle w:val="8"/>
        <w:spacing w:line="360" w:lineRule="auto"/>
        <w:ind w:firstLine="480" w:firstLineChars="200"/>
        <w:rPr>
          <w:rFonts w:ascii="宋体" w:hAnsi="宋体"/>
          <w:color w:val="auto"/>
          <w:sz w:val="24"/>
          <w:szCs w:val="24"/>
        </w:rPr>
      </w:pPr>
      <w:r>
        <w:rPr>
          <w:rFonts w:hint="eastAsia" w:ascii="宋体" w:hAnsi="宋体"/>
          <w:color w:val="auto"/>
          <w:sz w:val="24"/>
          <w:szCs w:val="24"/>
        </w:rPr>
        <w:t>稽查的种类：试验机构稽查；研究稽查；系统稽查等。</w:t>
      </w:r>
    </w:p>
    <w:p>
      <w:pPr>
        <w:pStyle w:val="8"/>
        <w:spacing w:line="360" w:lineRule="auto"/>
        <w:ind w:firstLine="480" w:firstLineChars="200"/>
        <w:rPr>
          <w:rFonts w:ascii="宋体" w:hAnsi="宋体"/>
          <w:color w:val="auto"/>
          <w:sz w:val="24"/>
          <w:szCs w:val="24"/>
        </w:rPr>
      </w:pPr>
      <w:r>
        <w:rPr>
          <w:rFonts w:hint="eastAsia" w:ascii="宋体" w:hAnsi="宋体"/>
          <w:color w:val="auto"/>
          <w:sz w:val="24"/>
          <w:szCs w:val="24"/>
        </w:rPr>
        <w:t>稽查的程序包括：准备与计划；启动会议；查看试验资料和有关文献；现场查看；询问有关人员；结束会议和答辩；稽查报告和跟踪；文件保存。</w:t>
      </w:r>
    </w:p>
    <w:p>
      <w:pPr>
        <w:pStyle w:val="9"/>
        <w:ind w:firstLine="480" w:firstLineChars="200"/>
        <w:rPr>
          <w:rFonts w:hint="eastAsia" w:ascii="宋体" w:hAnsi="宋体" w:eastAsiaTheme="minorEastAsia"/>
          <w:color w:val="auto"/>
          <w:sz w:val="24"/>
          <w:szCs w:val="24"/>
          <w:lang w:eastAsia="zh-CN"/>
        </w:rPr>
      </w:pPr>
      <w:r>
        <w:rPr>
          <w:rFonts w:hint="eastAsia" w:ascii="宋体" w:hAnsi="宋体"/>
          <w:color w:val="auto"/>
          <w:sz w:val="24"/>
          <w:szCs w:val="24"/>
        </w:rPr>
        <w:t xml:space="preserve">3、 </w:t>
      </w:r>
      <w:r>
        <w:rPr>
          <w:rFonts w:hint="eastAsia" w:ascii="宋体" w:hAnsi="宋体"/>
          <w:color w:val="auto"/>
          <w:sz w:val="24"/>
          <w:szCs w:val="24"/>
          <w:lang w:val="en-US" w:eastAsia="zh-CN"/>
        </w:rPr>
        <w:t>检查</w:t>
      </w:r>
    </w:p>
    <w:p>
      <w:pPr>
        <w:spacing w:line="360" w:lineRule="auto"/>
        <w:ind w:firstLine="480" w:firstLineChars="200"/>
        <w:jc w:val="left"/>
        <w:rPr>
          <w:rStyle w:val="41"/>
          <w:rFonts w:ascii="宋体" w:hAnsi="宋体"/>
          <w:color w:val="auto"/>
          <w:sz w:val="24"/>
          <w:szCs w:val="24"/>
        </w:rPr>
      </w:pPr>
      <w:r>
        <w:rPr>
          <w:rFonts w:hint="eastAsia" w:ascii="宋体" w:hAnsi="宋体"/>
          <w:color w:val="auto"/>
          <w:sz w:val="24"/>
          <w:szCs w:val="24"/>
        </w:rPr>
        <w:t>检查，指药品监督管理部门对临床试验的有关文件、设施、记录和其他方面进行审核检查的行为，检查可以在试验现场、申办者或者合同研究组织所在地，以及药品监督管理部门认为必要的其他场所进行。</w:t>
      </w:r>
    </w:p>
    <w:p>
      <w:pPr>
        <w:pStyle w:val="9"/>
        <w:ind w:firstLine="480" w:firstLineChars="200"/>
        <w:rPr>
          <w:rFonts w:hint="eastAsia"/>
          <w:color w:val="auto"/>
          <w:sz w:val="24"/>
          <w:szCs w:val="24"/>
        </w:rPr>
      </w:pPr>
      <w:r>
        <w:rPr>
          <w:rFonts w:hint="eastAsia" w:ascii="宋体" w:hAnsi="宋体"/>
          <w:color w:val="auto"/>
          <w:sz w:val="24"/>
          <w:szCs w:val="24"/>
        </w:rPr>
        <w:t>4、 稽查和检查中研究者注</w:t>
      </w:r>
      <w:r>
        <w:rPr>
          <w:rFonts w:hint="eastAsia"/>
          <w:color w:val="auto"/>
          <w:sz w:val="24"/>
          <w:szCs w:val="24"/>
        </w:rPr>
        <w:t>意事项</w:t>
      </w:r>
    </w:p>
    <w:p>
      <w:pPr>
        <w:pStyle w:val="9"/>
        <w:ind w:firstLine="480" w:firstLineChars="200"/>
        <w:rPr>
          <w:rFonts w:hint="eastAsia"/>
          <w:color w:val="auto"/>
          <w:sz w:val="24"/>
          <w:szCs w:val="24"/>
        </w:rPr>
      </w:pPr>
      <w:r>
        <w:rPr>
          <w:rFonts w:hint="eastAsia"/>
          <w:color w:val="auto"/>
          <w:sz w:val="24"/>
          <w:szCs w:val="24"/>
        </w:rPr>
        <w:t>研究者应在认识上提高对稽查和视察的</w:t>
      </w:r>
      <w:r>
        <w:rPr>
          <w:rFonts w:hint="eastAsia"/>
          <w:color w:val="auto"/>
          <w:sz w:val="24"/>
          <w:szCs w:val="24"/>
        </w:rPr>
        <w:t>重视程度，稽查和检查是提高临床试验的规范程度、保证试验质量必不可少的重要环节。研究者应当视</w:t>
      </w:r>
      <w:r>
        <w:rPr>
          <w:rFonts w:hint="eastAsia"/>
          <w:color w:val="auto"/>
          <w:sz w:val="24"/>
          <w:szCs w:val="24"/>
        </w:rPr>
        <w:t>每次稽查或检查既为一次发现问题、解决问题的机会，同时也是一次学习、培训和提高的机会。因此，应当对稽查或检查工作极好的配合并提供必要的条件。同时，应做一些准备工作。</w:t>
      </w:r>
    </w:p>
    <w:p>
      <w:pPr>
        <w:pStyle w:val="9"/>
        <w:ind w:firstLine="480" w:firstLineChars="200"/>
        <w:rPr>
          <w:rFonts w:hint="eastAsia"/>
          <w:color w:val="auto"/>
          <w:sz w:val="24"/>
          <w:szCs w:val="24"/>
        </w:rPr>
      </w:pPr>
      <w:r>
        <w:rPr>
          <w:rFonts w:hint="eastAsia"/>
          <w:color w:val="auto"/>
          <w:sz w:val="24"/>
          <w:szCs w:val="24"/>
        </w:rPr>
        <w:t>1）准备阶段：</w:t>
      </w:r>
    </w:p>
    <w:p>
      <w:pPr>
        <w:pStyle w:val="9"/>
        <w:ind w:firstLine="480" w:firstLineChars="200"/>
        <w:rPr>
          <w:rFonts w:hint="eastAsia" w:ascii="宋体" w:hAnsi="宋体"/>
          <w:color w:val="auto"/>
          <w:sz w:val="24"/>
          <w:szCs w:val="24"/>
        </w:rPr>
      </w:pPr>
      <w:r>
        <w:rPr>
          <w:rFonts w:hint="eastAsia"/>
          <w:color w:val="auto"/>
          <w:sz w:val="24"/>
          <w:szCs w:val="24"/>
        </w:rPr>
        <w:t>研究者应明确稽查/检查的目的，尽可能做好相应的准备；通知申办者或临床研究合同组织在视察/检查前安排访视；召开有关人员会议；整个团队应当对试验方案、SOP、CRF、原始数据、研究文件等进行一次全面的复习或自查，及时发现问题并考虑相应的整改措施；为稽查/检查人员提供足够的设施或必要的工作空间，保证所有必要的文件资料到位，保证所有有关人员在稽查/检查进行</w:t>
      </w:r>
      <w:r>
        <w:rPr>
          <w:rFonts w:hint="eastAsia" w:ascii="宋体" w:hAnsi="宋体"/>
          <w:color w:val="auto"/>
          <w:sz w:val="24"/>
          <w:szCs w:val="24"/>
        </w:rPr>
        <w:t>日在场。</w:t>
      </w:r>
    </w:p>
    <w:p>
      <w:pPr>
        <w:tabs>
          <w:tab w:val="left" w:pos="181"/>
        </w:tabs>
        <w:spacing w:line="360" w:lineRule="auto"/>
        <w:rPr>
          <w:rFonts w:ascii="宋体" w:hAnsi="宋体"/>
          <w:color w:val="auto"/>
          <w:sz w:val="24"/>
          <w:szCs w:val="24"/>
        </w:rPr>
      </w:pPr>
      <w:r>
        <w:rPr>
          <w:rFonts w:hint="eastAsia" w:ascii="宋体" w:hAnsi="宋体"/>
          <w:color w:val="auto"/>
          <w:sz w:val="24"/>
          <w:szCs w:val="24"/>
        </w:rPr>
        <w:t>2）稽察与</w:t>
      </w:r>
      <w:r>
        <w:rPr>
          <w:rFonts w:hint="eastAsia" w:ascii="宋体" w:hAnsi="宋体"/>
          <w:color w:val="auto"/>
          <w:sz w:val="24"/>
          <w:szCs w:val="24"/>
          <w:lang w:val="en-US" w:eastAsia="zh-CN"/>
        </w:rPr>
        <w:t>检查</w:t>
      </w:r>
      <w:r>
        <w:rPr>
          <w:rFonts w:hint="eastAsia" w:ascii="宋体" w:hAnsi="宋体"/>
          <w:color w:val="auto"/>
          <w:sz w:val="24"/>
          <w:szCs w:val="24"/>
        </w:rPr>
        <w:t>中：</w:t>
      </w:r>
    </w:p>
    <w:p>
      <w:pPr>
        <w:tabs>
          <w:tab w:val="left" w:pos="181"/>
          <w:tab w:val="left" w:pos="720"/>
        </w:tabs>
        <w:spacing w:line="360" w:lineRule="auto"/>
        <w:ind w:firstLine="480" w:firstLineChars="200"/>
        <w:rPr>
          <w:rFonts w:hint="eastAsia" w:ascii="宋体" w:hAnsi="宋体"/>
          <w:color w:val="auto"/>
          <w:sz w:val="24"/>
          <w:szCs w:val="24"/>
          <w:lang w:val="en-US" w:eastAsia="zh-CN"/>
        </w:rPr>
      </w:pPr>
      <w:r>
        <w:rPr>
          <w:rFonts w:hint="eastAsia" w:ascii="宋体" w:hAnsi="宋体"/>
          <w:color w:val="auto"/>
          <w:sz w:val="24"/>
          <w:szCs w:val="24"/>
        </w:rPr>
        <w:t>主要研究者或试验的研究者应在</w:t>
      </w:r>
      <w:r>
        <w:rPr>
          <w:rFonts w:hint="eastAsia" w:ascii="宋体" w:hAnsi="宋体"/>
          <w:color w:val="auto"/>
          <w:sz w:val="24"/>
          <w:szCs w:val="24"/>
          <w:lang w:val="en-US" w:eastAsia="zh-CN"/>
        </w:rPr>
        <w:t>检查</w:t>
      </w:r>
      <w:r>
        <w:rPr>
          <w:rFonts w:hint="eastAsia" w:ascii="宋体" w:hAnsi="宋体"/>
          <w:color w:val="auto"/>
          <w:sz w:val="24"/>
          <w:szCs w:val="24"/>
        </w:rPr>
        <w:t>/稽查的初始阶段与</w:t>
      </w:r>
      <w:r>
        <w:rPr>
          <w:rFonts w:hint="eastAsia" w:ascii="宋体" w:hAnsi="宋体"/>
          <w:color w:val="auto"/>
          <w:sz w:val="24"/>
          <w:szCs w:val="24"/>
          <w:lang w:val="en-US" w:eastAsia="zh-CN"/>
        </w:rPr>
        <w:t>检查</w:t>
      </w:r>
      <w:r>
        <w:rPr>
          <w:rFonts w:hint="eastAsia" w:ascii="宋体" w:hAnsi="宋体"/>
          <w:color w:val="auto"/>
          <w:sz w:val="24"/>
          <w:szCs w:val="24"/>
        </w:rPr>
        <w:t>员/稽查员交流；保证有时间回答问题并解决问题，如遇</w:t>
      </w:r>
      <w:r>
        <w:rPr>
          <w:rFonts w:hint="eastAsia" w:ascii="宋体" w:hAnsi="宋体"/>
          <w:color w:val="auto"/>
          <w:sz w:val="24"/>
          <w:szCs w:val="24"/>
          <w:lang w:val="en-US" w:eastAsia="zh-CN"/>
        </w:rPr>
        <w:t>到不合理的要求应给予拒绝并及时与申办者联系；向检查/稽查员介绍研究背景、解释试验目的、计划受试者人数、试验方法及步骤；检查结束后给申办者提供报告。在整个过程中至少有一位研究者随时陪同检查员，提</w:t>
      </w:r>
      <w:r>
        <w:rPr>
          <w:rFonts w:hint="eastAsia" w:ascii="宋体" w:hAnsi="宋体"/>
          <w:color w:val="auto"/>
          <w:sz w:val="24"/>
          <w:szCs w:val="24"/>
          <w:highlight w:val="none"/>
          <w:lang w:val="en-US" w:eastAsia="zh-CN"/>
        </w:rPr>
        <w:t>供视察员需要的相应文件，记录每一个意见、顾虑及问题，回答问题不要涉及问题之外的内容</w:t>
      </w:r>
      <w:r>
        <w:rPr>
          <w:rFonts w:hint="eastAsia" w:ascii="宋体" w:hAnsi="宋体"/>
          <w:color w:val="auto"/>
          <w:sz w:val="24"/>
          <w:szCs w:val="24"/>
          <w:lang w:val="en-US" w:eastAsia="zh-CN"/>
        </w:rPr>
        <w:t>。</w:t>
      </w:r>
    </w:p>
    <w:p>
      <w:pPr>
        <w:tabs>
          <w:tab w:val="left" w:pos="181"/>
        </w:tabs>
        <w:spacing w:line="360" w:lineRule="auto"/>
        <w:rPr>
          <w:rFonts w:ascii="宋体" w:hAnsi="宋体"/>
          <w:color w:val="auto"/>
          <w:sz w:val="24"/>
          <w:szCs w:val="24"/>
        </w:rPr>
      </w:pPr>
      <w:r>
        <w:rPr>
          <w:rFonts w:hint="eastAsia" w:ascii="宋体" w:hAnsi="宋体"/>
          <w:color w:val="auto"/>
          <w:sz w:val="24"/>
          <w:szCs w:val="24"/>
        </w:rPr>
        <w:t>3）稽查或</w:t>
      </w:r>
      <w:r>
        <w:rPr>
          <w:rFonts w:hint="eastAsia" w:ascii="宋体" w:hAnsi="宋体"/>
          <w:color w:val="auto"/>
          <w:sz w:val="24"/>
          <w:szCs w:val="24"/>
          <w:lang w:val="en-US" w:eastAsia="zh-CN"/>
        </w:rPr>
        <w:t>检查</w:t>
      </w:r>
      <w:r>
        <w:rPr>
          <w:rFonts w:hint="eastAsia" w:ascii="宋体" w:hAnsi="宋体"/>
          <w:color w:val="auto"/>
          <w:sz w:val="24"/>
          <w:szCs w:val="24"/>
        </w:rPr>
        <w:t>结果：</w:t>
      </w:r>
    </w:p>
    <w:p>
      <w:pPr>
        <w:tabs>
          <w:tab w:val="left" w:pos="181"/>
        </w:tabs>
        <w:spacing w:line="360" w:lineRule="auto"/>
        <w:ind w:firstLine="480" w:firstLineChars="200"/>
        <w:rPr>
          <w:rFonts w:ascii="宋体" w:hAnsi="宋体"/>
          <w:color w:val="auto"/>
          <w:sz w:val="24"/>
          <w:szCs w:val="24"/>
        </w:rPr>
      </w:pPr>
      <w:r>
        <w:rPr>
          <w:rFonts w:hint="eastAsia" w:ascii="宋体" w:hAnsi="宋体"/>
          <w:color w:val="auto"/>
          <w:sz w:val="24"/>
          <w:szCs w:val="24"/>
        </w:rPr>
        <w:t>按照GCP实施临床试验是每个研究者义不容辞的责任。若违背GCP就可能会出现：不能提供所需的原始资料；研究者违背试验方案；临床试验涉嫌违规。得到国家法规部门的处理结果可能为：不批准或延迟批准；已批准品种撤销批件；对研究者及申办者加以限制；取消研究者的研究资格。</w:t>
      </w:r>
    </w:p>
    <w:p>
      <w:pPr>
        <w:tabs>
          <w:tab w:val="left" w:pos="181"/>
        </w:tabs>
        <w:spacing w:line="360" w:lineRule="auto"/>
        <w:rPr>
          <w:rFonts w:ascii="宋体" w:hAnsi="宋体"/>
          <w:color w:val="auto"/>
          <w:sz w:val="24"/>
          <w:szCs w:val="24"/>
        </w:rPr>
      </w:pPr>
      <w:r>
        <w:rPr>
          <w:rFonts w:hint="eastAsia" w:ascii="宋体" w:hAnsi="宋体"/>
          <w:color w:val="auto"/>
          <w:sz w:val="24"/>
          <w:szCs w:val="24"/>
        </w:rPr>
        <w:t>（八）结论：</w:t>
      </w:r>
    </w:p>
    <w:p>
      <w:pPr>
        <w:tabs>
          <w:tab w:val="left" w:pos="181"/>
        </w:tabs>
        <w:spacing w:line="360" w:lineRule="auto"/>
        <w:rPr>
          <w:rFonts w:hint="eastAsia" w:ascii="宋体" w:hAnsi="宋体"/>
          <w:color w:val="auto"/>
          <w:sz w:val="24"/>
          <w:szCs w:val="24"/>
        </w:rPr>
      </w:pPr>
      <w:r>
        <w:rPr>
          <w:rFonts w:hint="eastAsia" w:ascii="宋体" w:hAnsi="宋体"/>
          <w:color w:val="auto"/>
          <w:sz w:val="24"/>
          <w:szCs w:val="24"/>
        </w:rPr>
        <w:t>1、 实施GCP就是要在临床试验从准备、方案设计、实施到数据处理和总结报告的全过程中，消除各种影响数据真实、可靠的因素，保证药物有效性和安全性临床评价数据的质量，为此必须建立严格的质量管理体系和质量监督制度。</w:t>
      </w:r>
    </w:p>
    <w:p>
      <w:pPr>
        <w:tabs>
          <w:tab w:val="left" w:pos="181"/>
        </w:tabs>
        <w:spacing w:line="360" w:lineRule="auto"/>
        <w:rPr>
          <w:rFonts w:ascii="宋体" w:hAnsi="宋体"/>
          <w:color w:val="auto"/>
          <w:sz w:val="24"/>
          <w:szCs w:val="24"/>
        </w:rPr>
      </w:pPr>
      <w:r>
        <w:rPr>
          <w:rFonts w:hint="eastAsia" w:ascii="宋体" w:hAnsi="宋体"/>
          <w:color w:val="auto"/>
          <w:sz w:val="24"/>
          <w:szCs w:val="24"/>
        </w:rPr>
        <w:t>2、 质量控制、监查、稽查和</w:t>
      </w:r>
      <w:r>
        <w:rPr>
          <w:rFonts w:hint="eastAsia" w:ascii="宋体" w:hAnsi="宋体"/>
          <w:color w:val="auto"/>
          <w:sz w:val="24"/>
          <w:szCs w:val="24"/>
          <w:lang w:val="en-US" w:eastAsia="zh-CN"/>
        </w:rPr>
        <w:t>检查</w:t>
      </w:r>
      <w:r>
        <w:rPr>
          <w:rFonts w:hint="eastAsia" w:ascii="宋体" w:hAnsi="宋体"/>
          <w:color w:val="auto"/>
          <w:sz w:val="24"/>
          <w:szCs w:val="24"/>
        </w:rPr>
        <w:t>是保证药物临床试验数据质量的四个重要环节，后边的环节主要对前面一个环节负责，环环相扣，构成了保证临床试验的有机整体。</w:t>
      </w:r>
    </w:p>
    <w:p>
      <w:pPr>
        <w:tabs>
          <w:tab w:val="left" w:pos="181"/>
        </w:tabs>
        <w:spacing w:line="360" w:lineRule="auto"/>
        <w:rPr>
          <w:rFonts w:ascii="宋体" w:hAnsi="宋体"/>
          <w:color w:val="auto"/>
          <w:sz w:val="24"/>
          <w:szCs w:val="24"/>
        </w:rPr>
      </w:pPr>
      <w:r>
        <w:rPr>
          <w:rFonts w:hint="eastAsia" w:ascii="宋体" w:hAnsi="宋体"/>
          <w:color w:val="auto"/>
          <w:sz w:val="24"/>
          <w:szCs w:val="24"/>
        </w:rPr>
        <w:t>3、 在质量保证体系中，试验的质量是核心，质量控制是关键，监查、稽查和</w:t>
      </w:r>
      <w:r>
        <w:rPr>
          <w:rFonts w:hint="eastAsia" w:ascii="宋体" w:hAnsi="宋体"/>
          <w:color w:val="auto"/>
          <w:sz w:val="24"/>
          <w:szCs w:val="24"/>
          <w:lang w:val="en-US" w:eastAsia="zh-CN"/>
        </w:rPr>
        <w:t>检查</w:t>
      </w:r>
      <w:r>
        <w:rPr>
          <w:rFonts w:hint="eastAsia" w:ascii="宋体" w:hAnsi="宋体"/>
          <w:color w:val="auto"/>
          <w:sz w:val="24"/>
          <w:szCs w:val="24"/>
        </w:rPr>
        <w:t>是保障。同时所有的环节中涉及的人员及行为都应当遵循SOP,并且必须有认真的书面记录。</w:t>
      </w:r>
    </w:p>
    <w:p>
      <w:pPr>
        <w:pStyle w:val="36"/>
        <w:keepNext w:val="0"/>
        <w:keepLines w:val="0"/>
        <w:pageBreakBefore w:val="0"/>
        <w:widowControl w:val="0"/>
        <w:tabs>
          <w:tab w:val="left" w:pos="2790"/>
        </w:tabs>
        <w:kinsoku/>
        <w:wordWrap/>
        <w:overflowPunct/>
        <w:topLinePunct w:val="0"/>
        <w:autoSpaceDE/>
        <w:autoSpaceDN/>
        <w:bidi w:val="0"/>
        <w:adjustRightInd/>
        <w:snapToGrid/>
        <w:spacing w:line="360" w:lineRule="auto"/>
        <w:ind w:left="0" w:firstLine="0" w:firstLineChars="0"/>
        <w:textAlignment w:val="auto"/>
        <w:outlineLvl w:val="9"/>
        <w:rPr>
          <w:rFonts w:hint="eastAsia" w:asciiTheme="minorEastAsia" w:hAnsiTheme="minorEastAsia"/>
          <w:b w:val="0"/>
          <w:bCs w:val="0"/>
          <w:color w:val="auto"/>
          <w:sz w:val="24"/>
          <w:szCs w:val="24"/>
          <w:lang w:val="en-US" w:eastAsia="zh-CN"/>
        </w:rPr>
      </w:pPr>
      <w:r>
        <w:rPr>
          <w:rFonts w:hint="eastAsia" w:asciiTheme="minorEastAsia" w:hAnsiTheme="minorEastAsia"/>
          <w:b w:val="0"/>
          <w:bCs w:val="0"/>
          <w:color w:val="auto"/>
          <w:sz w:val="24"/>
          <w:szCs w:val="24"/>
          <w:lang w:val="en-US" w:eastAsia="zh-CN"/>
        </w:rPr>
        <w:t>四、参考文献</w:t>
      </w:r>
    </w:p>
    <w:p>
      <w:pPr>
        <w:pStyle w:val="36"/>
        <w:keepNext w:val="0"/>
        <w:keepLines w:val="0"/>
        <w:pageBreakBefore w:val="0"/>
        <w:widowControl w:val="0"/>
        <w:numPr>
          <w:ilvl w:val="0"/>
          <w:numId w:val="72"/>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72"/>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 xml:space="preserve">国家药品监督管理局，国家卫生健康委员会. 关于发布《医疗器械临床试验质量管理规范》的公告（2022年第28号）.[2022-03-31]. </w:t>
      </w:r>
      <w:r>
        <w:rPr>
          <w:rFonts w:hint="eastAsia" w:asciiTheme="minorEastAsia" w:hAnsiTheme="minorEastAsia"/>
          <w:color w:val="auto"/>
          <w:sz w:val="24"/>
          <w:szCs w:val="24"/>
          <w:u w:val="none"/>
          <w:lang w:val="en-US" w:eastAsia="zh-CN"/>
        </w:rPr>
        <w:t>https://www.nmpa.gov.cn/xxgk/ggtg/qtggtg/20220331144903101.html.</w:t>
      </w:r>
    </w:p>
    <w:p>
      <w:pPr>
        <w:pStyle w:val="36"/>
        <w:keepNext w:val="0"/>
        <w:keepLines w:val="0"/>
        <w:pageBreakBefore w:val="0"/>
        <w:widowControl w:val="0"/>
        <w:numPr>
          <w:ilvl w:val="0"/>
          <w:numId w:val="72"/>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国家药监局. 关于发布药物临床试验必备文件保存指导原则的通告（2020年第37号）.[2020-06-08]. https://www.nmpa.gov.cn/yaopin/ypggtg/ypqtgg/20200608094301326.html.</w:t>
      </w:r>
    </w:p>
    <w:p>
      <w:pPr>
        <w:pStyle w:val="36"/>
        <w:keepNext w:val="0"/>
        <w:keepLines w:val="0"/>
        <w:pageBreakBefore w:val="0"/>
        <w:widowControl w:val="0"/>
        <w:numPr>
          <w:ilvl w:val="0"/>
          <w:numId w:val="72"/>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color w:val="auto"/>
          <w:sz w:val="24"/>
          <w:szCs w:val="24"/>
          <w:lang w:val="en-US" w:eastAsia="zh-CN"/>
        </w:rPr>
      </w:pPr>
      <w:r>
        <w:rPr>
          <w:rFonts w:hint="default" w:asciiTheme="minorEastAsia" w:hAnsiTheme="minorEastAsia"/>
          <w:color w:val="auto"/>
          <w:sz w:val="24"/>
          <w:szCs w:val="24"/>
          <w:lang w:val="en-US" w:eastAsia="zh-CN"/>
        </w:rPr>
        <w:t>国家食品药品监督管理总局关于发布药物临床试验数据现场核查要点的公告（2015年第228号）</w:t>
      </w:r>
      <w:r>
        <w:rPr>
          <w:rFonts w:hint="eastAsia" w:asciiTheme="minorEastAsia" w:hAnsiTheme="minorEastAsia"/>
          <w:color w:val="auto"/>
          <w:sz w:val="24"/>
          <w:szCs w:val="24"/>
          <w:lang w:val="en-US" w:eastAsia="zh-CN"/>
        </w:rPr>
        <w:t>[EB/OL].[2015-11-10]. https://www.nmpa.gov.cn/xxgk/ggtg/qtggtg/20151110203701981.html.</w:t>
      </w:r>
    </w:p>
    <w:p>
      <w:pPr>
        <w:pStyle w:val="36"/>
        <w:keepNext w:val="0"/>
        <w:keepLines w:val="0"/>
        <w:pageBreakBefore w:val="0"/>
        <w:widowControl w:val="0"/>
        <w:numPr>
          <w:ilvl w:val="0"/>
          <w:numId w:val="72"/>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default" w:asciiTheme="minorEastAsia" w:hAnsiTheme="minorEastAsia" w:eastAsiaTheme="minorEastAsia"/>
          <w:b w:val="0"/>
          <w:bCs/>
          <w:color w:val="auto"/>
          <w:sz w:val="24"/>
          <w:szCs w:val="24"/>
          <w:lang w:val="en-US" w:eastAsia="zh-CN"/>
        </w:rPr>
      </w:pPr>
      <w:r>
        <w:rPr>
          <w:rFonts w:hint="eastAsia" w:asciiTheme="minorEastAsia" w:hAnsiTheme="minorEastAsia"/>
          <w:b w:val="0"/>
          <w:bCs/>
          <w:color w:val="auto"/>
          <w:sz w:val="24"/>
          <w:szCs w:val="24"/>
          <w:lang w:val="en-US" w:eastAsia="zh-CN"/>
        </w:rPr>
        <w:t>曹玉，元唯安. 药物临床试验实践 [M].北京：中国医药科技出版社，2021.</w:t>
      </w:r>
    </w:p>
    <w:p>
      <w:pPr>
        <w:widowControl/>
        <w:shd w:val="clear" w:color="auto" w:fill="FFFFFF"/>
        <w:spacing w:line="360" w:lineRule="auto"/>
        <w:jc w:val="left"/>
        <w:outlineLvl w:val="2"/>
        <w:rPr>
          <w:rStyle w:val="41"/>
          <w:rFonts w:ascii="宋体" w:hAnsi="宋体" w:cs="Arial"/>
          <w:color w:val="auto"/>
          <w:kern w:val="0"/>
          <w:sz w:val="24"/>
          <w:szCs w:val="24"/>
        </w:rPr>
      </w:pPr>
      <w:r>
        <w:rPr>
          <w:rFonts w:hint="eastAsia" w:ascii="宋体" w:hAnsi="宋体" w:cs="Arial"/>
          <w:bCs/>
          <w:color w:val="auto"/>
          <w:kern w:val="0"/>
          <w:sz w:val="24"/>
          <w:szCs w:val="24"/>
          <w:lang w:val="en-US" w:eastAsia="zh-CN"/>
        </w:rPr>
        <w:t>五</w:t>
      </w:r>
      <w:r>
        <w:rPr>
          <w:rFonts w:hint="eastAsia" w:ascii="宋体" w:hAnsi="宋体" w:cs="Arial"/>
          <w:bCs/>
          <w:color w:val="auto"/>
          <w:kern w:val="0"/>
          <w:sz w:val="24"/>
          <w:szCs w:val="24"/>
        </w:rPr>
        <w:t>、附件</w:t>
      </w:r>
      <w:r>
        <w:rPr>
          <w:rFonts w:hint="eastAsia" w:ascii="宋体" w:hAnsi="宋体" w:cs="Arial"/>
          <w:color w:val="auto"/>
          <w:kern w:val="0"/>
          <w:sz w:val="24"/>
          <w:szCs w:val="24"/>
        </w:rPr>
        <w:t xml:space="preserve">            </w:t>
      </w:r>
      <w:r>
        <w:rPr>
          <w:rFonts w:hint="eastAsia" w:cs="Arial"/>
          <w:color w:val="auto"/>
          <w:kern w:val="0"/>
          <w:sz w:val="24"/>
          <w:szCs w:val="24"/>
        </w:rPr>
        <w:t xml:space="preserve"> </w:t>
      </w:r>
      <w:r>
        <w:rPr>
          <w:rStyle w:val="41"/>
          <w:rFonts w:hint="eastAsia" w:ascii="宋体" w:hAnsi="宋体"/>
          <w:b/>
          <w:bCs/>
          <w:color w:val="auto"/>
          <w:sz w:val="24"/>
          <w:szCs w:val="24"/>
        </w:rPr>
        <w:t xml:space="preserve"> </w:t>
      </w:r>
    </w:p>
    <w:p>
      <w:pPr>
        <w:widowControl/>
        <w:shd w:val="clear" w:color="auto" w:fill="FFFFFF"/>
        <w:spacing w:line="360" w:lineRule="auto"/>
        <w:jc w:val="left"/>
        <w:outlineLvl w:val="2"/>
        <w:rPr>
          <w:rFonts w:ascii="宋体" w:hAnsi="宋体" w:cs="Arial"/>
          <w:color w:val="auto"/>
          <w:kern w:val="0"/>
          <w:sz w:val="24"/>
          <w:szCs w:val="24"/>
        </w:rPr>
      </w:pPr>
      <w:r>
        <w:rPr>
          <w:rFonts w:hint="eastAsia" w:ascii="宋体" w:hAnsi="宋体" w:cs="Arial"/>
          <w:color w:val="auto"/>
          <w:kern w:val="0"/>
          <w:sz w:val="24"/>
          <w:szCs w:val="24"/>
          <w:lang w:val="en-US" w:eastAsia="zh-CN"/>
        </w:rPr>
        <w:t>附件1</w:t>
      </w:r>
      <w:r>
        <w:rPr>
          <w:rFonts w:hint="eastAsia" w:ascii="宋体" w:hAnsi="宋体" w:cs="Arial"/>
          <w:color w:val="auto"/>
          <w:kern w:val="0"/>
          <w:sz w:val="24"/>
          <w:szCs w:val="24"/>
        </w:rPr>
        <w:t xml:space="preserve">、临床试验机构质量保证体系运行简图  </w:t>
      </w:r>
    </w:p>
    <w:p>
      <w:pPr>
        <w:rPr>
          <w:rFonts w:hint="eastAsia"/>
          <w:color w:val="auto"/>
        </w:rPr>
        <w:sectPr>
          <w:headerReference r:id="rId156" w:type="default"/>
          <w:footerReference r:id="rId157"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tabs>
          <w:tab w:val="left" w:pos="5085"/>
        </w:tabs>
        <w:jc w:val="center"/>
        <w:rPr>
          <w:rFonts w:ascii="宋体" w:hAnsi="宋体"/>
          <w:b/>
          <w:bCs/>
          <w:color w:val="auto"/>
          <w:sz w:val="28"/>
          <w:szCs w:val="28"/>
        </w:rPr>
      </w:pPr>
      <w:r>
        <w:rPr>
          <w:rFonts w:hint="eastAsia" w:asciiTheme="minorEastAsia" w:hAnsiTheme="minorEastAsia" w:cstheme="minorEastAsia"/>
          <w:b/>
          <w:bCs/>
          <w:color w:val="auto"/>
          <w:sz w:val="24"/>
          <w:szCs w:val="24"/>
        </w:rPr>
        <w:t>附件1、临床试验机构质量保证体系运行简图</w:t>
      </w:r>
    </w:p>
    <w:p>
      <w:pPr>
        <w:tabs>
          <w:tab w:val="left" w:pos="2070"/>
        </w:tabs>
        <w:rPr>
          <w:rFonts w:ascii="楷体_GB2312" w:eastAsia="楷体_GB2312"/>
          <w:color w:val="auto"/>
        </w:rPr>
      </w:pPr>
      <w:r>
        <w:rPr>
          <w:rFonts w:ascii="楷体_GB2312" w:eastAsia="楷体_GB2312"/>
          <w:color w:val="auto"/>
          <w:sz w:val="20"/>
        </w:rPr>
        <mc:AlternateContent>
          <mc:Choice Requires="wps">
            <w:drawing>
              <wp:anchor distT="0" distB="0" distL="114300" distR="114300" simplePos="0" relativeHeight="251717632" behindDoc="0" locked="0" layoutInCell="1" allowOverlap="1">
                <wp:simplePos x="0" y="0"/>
                <wp:positionH relativeFrom="column">
                  <wp:posOffset>4114800</wp:posOffset>
                </wp:positionH>
                <wp:positionV relativeFrom="paragraph">
                  <wp:posOffset>99060</wp:posOffset>
                </wp:positionV>
                <wp:extent cx="1257300" cy="594360"/>
                <wp:effectExtent l="4445" t="4445" r="18415" b="10795"/>
                <wp:wrapNone/>
                <wp:docPr id="62" name="自选图形 14"/>
                <wp:cNvGraphicFramePr/>
                <a:graphic xmlns:a="http://schemas.openxmlformats.org/drawingml/2006/main">
                  <a:graphicData uri="http://schemas.microsoft.com/office/word/2010/wordprocessingShape">
                    <wps:wsp>
                      <wps:cNvSpPr/>
                      <wps:spPr>
                        <a:xfrm>
                          <a:off x="0" y="0"/>
                          <a:ext cx="12573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4"/>
                              <w:rPr>
                                <w:rFonts w:ascii="宋体" w:hAnsi="宋体" w:eastAsia="宋体"/>
                                <w:bCs w:val="0"/>
                                <w:sz w:val="28"/>
                                <w:szCs w:val="28"/>
                              </w:rPr>
                            </w:pPr>
                            <w:r>
                              <w:rPr>
                                <w:rFonts w:hint="eastAsia" w:ascii="宋体" w:hAnsi="宋体" w:eastAsia="宋体"/>
                                <w:bCs w:val="0"/>
                                <w:sz w:val="28"/>
                                <w:szCs w:val="28"/>
                              </w:rPr>
                              <w:t>NMPA</w:t>
                            </w:r>
                          </w:p>
                        </w:txbxContent>
                      </wps:txbx>
                      <wps:bodyPr upright="1"/>
                    </wps:wsp>
                  </a:graphicData>
                </a:graphic>
              </wp:anchor>
            </w:drawing>
          </mc:Choice>
          <mc:Fallback>
            <w:pict>
              <v:roundrect id="自选图形 14" o:spid="_x0000_s1026" o:spt="2" style="position:absolute;left:0pt;margin-left:324pt;margin-top:7.8pt;height:46.8pt;width:99pt;z-index:251717632;mso-width-relative:page;mso-height-relative:page;" fillcolor="#FFFFFF" filled="t" stroked="t" coordsize="21600,21600" arcsize="0.166666666666667" o:gfxdata="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o0AQdYAAAAKAQAADwAAAAAAAAABACAAAAAiAAAAZHJzL2Rvd25yZXYueG1sUEsBAhQA&#10;FAAAAAgAh07iQH6Mm7ctAgAAZgQAAA4AAAAAAAAAAQAgAAAAJQEAAGRycy9lMm9Eb2MueG1sUEsF&#10;BgAAAAAGAAYAWQEAAMQFAAAAAA==&#10;">
                <v:fill on="t" focussize="0,0"/>
                <v:stroke color="#000000" joinstyle="round"/>
                <v:imagedata o:title=""/>
                <o:lock v:ext="edit" aspectratio="f"/>
                <v:textbox>
                  <w:txbxContent>
                    <w:p>
                      <w:pPr>
                        <w:pStyle w:val="4"/>
                        <w:rPr>
                          <w:rFonts w:ascii="宋体" w:hAnsi="宋体" w:eastAsia="宋体"/>
                          <w:bCs w:val="0"/>
                          <w:sz w:val="28"/>
                          <w:szCs w:val="28"/>
                        </w:rPr>
                      </w:pPr>
                      <w:r>
                        <w:rPr>
                          <w:rFonts w:hint="eastAsia" w:ascii="宋体" w:hAnsi="宋体" w:eastAsia="宋体"/>
                          <w:bCs w:val="0"/>
                          <w:sz w:val="28"/>
                          <w:szCs w:val="28"/>
                        </w:rPr>
                        <w:t>NMPA</w:t>
                      </w:r>
                    </w:p>
                  </w:txbxContent>
                </v:textbox>
              </v:roundrect>
            </w:pict>
          </mc:Fallback>
        </mc:AlternateContent>
      </w:r>
    </w:p>
    <w:p>
      <w:pPr>
        <w:tabs>
          <w:tab w:val="left" w:pos="3165"/>
        </w:tabs>
        <w:rPr>
          <w:rFonts w:hint="eastAsia" w:ascii="宋体" w:hAnsi="宋体" w:eastAsia="楷体_GB2312"/>
          <w:color w:val="auto"/>
          <w:szCs w:val="21"/>
          <w:lang w:val="en-US" w:eastAsia="zh-CN"/>
        </w:rPr>
      </w:pPr>
      <w:r>
        <w:rPr>
          <w:rFonts w:ascii="楷体_GB2312" w:eastAsia="楷体_GB2312"/>
          <w:color w:val="auto"/>
          <w:sz w:val="20"/>
        </w:rPr>
        <mc:AlternateContent>
          <mc:Choice Requires="wps">
            <w:drawing>
              <wp:anchor distT="0" distB="0" distL="114300" distR="114300" simplePos="0" relativeHeight="251718656" behindDoc="0" locked="0" layoutInCell="1" allowOverlap="1">
                <wp:simplePos x="0" y="0"/>
                <wp:positionH relativeFrom="column">
                  <wp:posOffset>-228600</wp:posOffset>
                </wp:positionH>
                <wp:positionV relativeFrom="paragraph">
                  <wp:posOffset>0</wp:posOffset>
                </wp:positionV>
                <wp:extent cx="1257300" cy="594360"/>
                <wp:effectExtent l="4445" t="4445" r="18415" b="10795"/>
                <wp:wrapNone/>
                <wp:docPr id="63" name="自选图形 15"/>
                <wp:cNvGraphicFramePr/>
                <a:graphic xmlns:a="http://schemas.openxmlformats.org/drawingml/2006/main">
                  <a:graphicData uri="http://schemas.microsoft.com/office/word/2010/wordprocessingShape">
                    <wps:wsp>
                      <wps:cNvSpPr/>
                      <wps:spPr>
                        <a:xfrm>
                          <a:off x="0" y="0"/>
                          <a:ext cx="12573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4"/>
                              <w:rPr>
                                <w:rFonts w:ascii="宋体" w:hAnsi="宋体" w:eastAsia="宋体"/>
                                <w:bCs w:val="0"/>
                                <w:sz w:val="28"/>
                                <w:szCs w:val="28"/>
                              </w:rPr>
                            </w:pPr>
                            <w:r>
                              <w:rPr>
                                <w:rFonts w:hint="eastAsia" w:ascii="宋体" w:hAnsi="宋体" w:eastAsia="宋体"/>
                                <w:bCs w:val="0"/>
                                <w:sz w:val="28"/>
                                <w:szCs w:val="28"/>
                              </w:rPr>
                              <w:t>申办者</w:t>
                            </w:r>
                          </w:p>
                        </w:txbxContent>
                      </wps:txbx>
                      <wps:bodyPr upright="1"/>
                    </wps:wsp>
                  </a:graphicData>
                </a:graphic>
              </wp:anchor>
            </w:drawing>
          </mc:Choice>
          <mc:Fallback>
            <w:pict>
              <v:roundrect id="自选图形 15" o:spid="_x0000_s1026" o:spt="2" style="position:absolute;left:0pt;margin-left:-18pt;margin-top:0pt;height:46.8pt;width:99pt;z-index:251718656;mso-width-relative:page;mso-height-relative:page;" fillcolor="#FFFFFF" filled="t" stroked="t" coordsize="21600,21600" arcsize="0.166666666666667" o:gfxdata="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zkRXtQAAAAHAQAADwAAAAAAAAABACAAAAAiAAAAZHJzL2Rvd25yZXYueG1sUEsBAhQAFAAA&#10;AAgAh07iQPKZWDcsAgAAZgQAAA4AAAAAAAAAAQAgAAAAIwEAAGRycy9lMm9Eb2MueG1sUEsFBgAA&#10;AAAGAAYAWQEAAMEFAAAAAA==&#10;">
                <v:fill on="t" focussize="0,0"/>
                <v:stroke color="#000000" joinstyle="round"/>
                <v:imagedata o:title=""/>
                <o:lock v:ext="edit" aspectratio="f"/>
                <v:textbox>
                  <w:txbxContent>
                    <w:p>
                      <w:pPr>
                        <w:pStyle w:val="4"/>
                        <w:rPr>
                          <w:rFonts w:ascii="宋体" w:hAnsi="宋体" w:eastAsia="宋体"/>
                          <w:bCs w:val="0"/>
                          <w:sz w:val="28"/>
                          <w:szCs w:val="28"/>
                        </w:rPr>
                      </w:pPr>
                      <w:r>
                        <w:rPr>
                          <w:rFonts w:hint="eastAsia" w:ascii="宋体" w:hAnsi="宋体" w:eastAsia="宋体"/>
                          <w:bCs w:val="0"/>
                          <w:sz w:val="28"/>
                          <w:szCs w:val="28"/>
                        </w:rPr>
                        <w:t>申办者</w:t>
                      </w:r>
                    </w:p>
                  </w:txbxContent>
                </v:textbox>
              </v:roundrect>
            </w:pict>
          </mc:Fallback>
        </mc:AlternateContent>
      </w:r>
      <w:r>
        <w:rPr>
          <w:rFonts w:ascii="楷体_GB2312" w:eastAsia="楷体_GB2312"/>
          <w:color w:val="auto"/>
        </w:rPr>
        <w:tab/>
      </w:r>
      <w:r>
        <w:rPr>
          <w:rFonts w:hint="eastAsia" w:ascii="楷体_GB2312" w:eastAsia="楷体_GB2312"/>
          <w:color w:val="auto"/>
          <w:lang w:val="en-US" w:eastAsia="zh-CN"/>
        </w:rPr>
        <w:t xml:space="preserve">   </w:t>
      </w:r>
      <w:r>
        <w:rPr>
          <w:rFonts w:hint="eastAsia" w:ascii="楷体_GB2312" w:eastAsia="楷体_GB2312"/>
          <w:color w:val="auto"/>
          <w:sz w:val="24"/>
          <w:lang w:val="en-US" w:eastAsia="zh-CN"/>
        </w:rPr>
        <w:t xml:space="preserve">  检查</w:t>
      </w:r>
    </w:p>
    <w:p>
      <w:pPr>
        <w:rPr>
          <w:rFonts w:ascii="楷体_GB2312" w:eastAsia="楷体_GB2312"/>
          <w:color w:val="auto"/>
        </w:rPr>
      </w:pPr>
      <w:r>
        <w:rPr>
          <w:rFonts w:ascii="楷体_GB2312" w:eastAsia="楷体_GB2312"/>
          <w:color w:val="auto"/>
          <w:sz w:val="20"/>
        </w:rPr>
        <mc:AlternateContent>
          <mc:Choice Requires="wps">
            <w:drawing>
              <wp:anchor distT="0" distB="0" distL="114300" distR="114300" simplePos="0" relativeHeight="251711488" behindDoc="0" locked="0" layoutInCell="1" allowOverlap="1">
                <wp:simplePos x="0" y="0"/>
                <wp:positionH relativeFrom="column">
                  <wp:posOffset>2971800</wp:posOffset>
                </wp:positionH>
                <wp:positionV relativeFrom="paragraph">
                  <wp:posOffset>0</wp:posOffset>
                </wp:positionV>
                <wp:extent cx="0" cy="594360"/>
                <wp:effectExtent l="4445" t="0" r="10795" b="0"/>
                <wp:wrapNone/>
                <wp:docPr id="51" name="直线 16"/>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6" o:spid="_x0000_s1026" o:spt="20" style="position:absolute;left:0pt;margin-left:234pt;margin-top:0pt;height:46.8pt;width:0pt;z-index:251711488;mso-width-relative:page;mso-height-relative:page;" filled="f" stroked="t" coordsize="21600,21600" o:gfxdata="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S&#10;Np9p1QAAAAcBAAAPAAAAAAAAAAEAIAAAACIAAABkcnMvZG93bnJldi54bWxQSwECFAAUAAAACACH&#10;TuJAdtwi0+4BAADqAwAADgAAAAAAAAABACAAAAAkAQAAZHJzL2Uyb0RvYy54bWxQSwUGAAAAAAYA&#10;BgBZAQAAhAU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708416" behindDoc="0" locked="0" layoutInCell="1" allowOverlap="1">
                <wp:simplePos x="0" y="0"/>
                <wp:positionH relativeFrom="column">
                  <wp:posOffset>1028700</wp:posOffset>
                </wp:positionH>
                <wp:positionV relativeFrom="paragraph">
                  <wp:posOffset>0</wp:posOffset>
                </wp:positionV>
                <wp:extent cx="114300" cy="0"/>
                <wp:effectExtent l="0" t="38100" r="7620" b="38100"/>
                <wp:wrapNone/>
                <wp:docPr id="46" name="直线 17"/>
                <wp:cNvGraphicFramePr/>
                <a:graphic xmlns:a="http://schemas.openxmlformats.org/drawingml/2006/main">
                  <a:graphicData uri="http://schemas.microsoft.com/office/word/2010/wordprocessingShape">
                    <wps:wsp>
                      <wps:cNvCnPr/>
                      <wps:spPr>
                        <a:xfrm flipH="1">
                          <a:off x="0" y="0"/>
                          <a:ext cx="1143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7" o:spid="_x0000_s1026" o:spt="20" style="position:absolute;left:0pt;flip:x;margin-left:81pt;margin-top:0pt;height:0pt;width:9pt;z-index:251708416;mso-width-relative:page;mso-height-relative:page;" filled="f" stroked="t" coordsize="21600,21600" o:gfxdata="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7sNTLUAAAABQEAAA8AAAAAAAAAAQAgAAAAIgAAAGRycy9kb3ducmV2Lnht&#10;bFBLAQIUABQAAAAIAIdO4kArNkLq/QEAAPgDAAAOAAAAAAAAAAEAIAAAACMBAABkcnMvZTJvRG9j&#10;LnhtbFBLBQYAAAAABgAGAFkBAACSBQAAAAA=&#10;">
                <v:fill on="f" focussize="0,0"/>
                <v:stroke color="#000000" joinstyle="round" endarrow="block"/>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685888" behindDoc="0" locked="0" layoutInCell="1" allowOverlap="1">
                <wp:simplePos x="0" y="0"/>
                <wp:positionH relativeFrom="column">
                  <wp:posOffset>1028700</wp:posOffset>
                </wp:positionH>
                <wp:positionV relativeFrom="paragraph">
                  <wp:posOffset>0</wp:posOffset>
                </wp:positionV>
                <wp:extent cx="685800" cy="0"/>
                <wp:effectExtent l="0" t="0" r="0" b="0"/>
                <wp:wrapNone/>
                <wp:docPr id="31" name="直线 18"/>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8" o:spid="_x0000_s1026" o:spt="20" style="position:absolute;left:0pt;margin-left:81pt;margin-top:0pt;height:0pt;width:54pt;z-index:251685888;mso-width-relative:page;mso-height-relative:page;" filled="f" stroked="t" coordsize="21600,21600" o:gfxdata="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meK&#10;E9MAAAAFAQAADwAAAAAAAAABACAAAAAiAAAAZHJzL2Rvd25yZXYueG1sUEsBAhQAFAAAAAgAh07i&#10;QCc2NILuAQAA6gMAAA4AAAAAAAAAAQAgAAAAIgEAAGRycy9lMm9Eb2MueG1sUEsFBgAAAAAGAAYA&#10;WQEAAIIFA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687936" behindDoc="0" locked="0" layoutInCell="1" allowOverlap="1">
                <wp:simplePos x="0" y="0"/>
                <wp:positionH relativeFrom="column">
                  <wp:posOffset>1714500</wp:posOffset>
                </wp:positionH>
                <wp:positionV relativeFrom="paragraph">
                  <wp:posOffset>0</wp:posOffset>
                </wp:positionV>
                <wp:extent cx="800100" cy="0"/>
                <wp:effectExtent l="0" t="0" r="0" b="0"/>
                <wp:wrapNone/>
                <wp:docPr id="32" name="直线 19"/>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9" o:spid="_x0000_s1026" o:spt="20" style="position:absolute;left:0pt;margin-left:135pt;margin-top:0pt;height:0pt;width:63pt;z-index:251687936;mso-width-relative:page;mso-height-relative:page;" filled="f" stroked="t" coordsize="21600,21600" o:gfxdata="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3Rp&#10;MNQAAAAFAQAADwAAAAAAAAABACAAAAAiAAAAZHJzL2Rvd25yZXYueG1sUEsBAhQAFAAAAAgAh07i&#10;QCI2zRPtAQAA6gMAAA4AAAAAAAAAAQAgAAAAIwEAAGRycy9lMm9Eb2MueG1sUEsFBgAAAAAGAAYA&#10;WQEAAIIFA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686912" behindDoc="0" locked="0" layoutInCell="1" allowOverlap="1">
                <wp:simplePos x="0" y="0"/>
                <wp:positionH relativeFrom="column">
                  <wp:posOffset>2514600</wp:posOffset>
                </wp:positionH>
                <wp:positionV relativeFrom="paragraph">
                  <wp:posOffset>0</wp:posOffset>
                </wp:positionV>
                <wp:extent cx="1600200" cy="0"/>
                <wp:effectExtent l="0" t="0" r="0" b="0"/>
                <wp:wrapNone/>
                <wp:docPr id="33" name="直线 20"/>
                <wp:cNvGraphicFramePr/>
                <a:graphic xmlns:a="http://schemas.openxmlformats.org/drawingml/2006/main">
                  <a:graphicData uri="http://schemas.microsoft.com/office/word/2010/wordprocessingShape">
                    <wps:wsp>
                      <wps:cNvCnPr/>
                      <wps:spPr>
                        <a:xfrm>
                          <a:off x="0" y="0"/>
                          <a:ext cx="16002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20" o:spid="_x0000_s1026" o:spt="20" style="position:absolute;left:0pt;margin-left:198pt;margin-top:0pt;height:0pt;width:126pt;z-index:251686912;mso-width-relative:page;mso-height-relative:page;" filled="f" stroked="t" coordsize="21600,21600" o:gfxdata="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pau&#10;s9QAAAAFAQAADwAAAAAAAAABACAAAAAiAAAAZHJzL2Rvd25yZXYueG1sUEsBAhQAFAAAAAgAh07i&#10;QAIvHuPtAQAA6wMAAA4AAAAAAAAAAQAgAAAAIwEAAGRycy9lMm9Eb2MueG1sUEsFBgAAAAAGAAYA&#10;WQEAAIIFAAAAAA==&#10;">
                <v:fill on="f" focussize="0,0"/>
                <v:stroke color="#000000" joinstyle="round"/>
                <v:imagedata o:title=""/>
                <o:lock v:ext="edit" aspectratio="f"/>
              </v:line>
            </w:pict>
          </mc:Fallback>
        </mc:AlternateContent>
      </w:r>
    </w:p>
    <w:p>
      <w:pPr>
        <w:tabs>
          <w:tab w:val="left" w:pos="2070"/>
        </w:tabs>
        <w:rPr>
          <w:rFonts w:ascii="楷体_GB2312" w:eastAsia="楷体_GB2312"/>
          <w:color w:val="auto"/>
          <w:sz w:val="24"/>
        </w:rPr>
      </w:pPr>
      <w:r>
        <w:rPr>
          <w:rFonts w:ascii="楷体_GB2312" w:eastAsia="楷体_GB2312"/>
          <w:color w:val="auto"/>
          <w:sz w:val="20"/>
        </w:rPr>
        <mc:AlternateContent>
          <mc:Choice Requires="wps">
            <w:drawing>
              <wp:anchor distT="0" distB="0" distL="114300" distR="114300" simplePos="0" relativeHeight="251688960" behindDoc="0" locked="0" layoutInCell="1" allowOverlap="1">
                <wp:simplePos x="0" y="0"/>
                <wp:positionH relativeFrom="column">
                  <wp:posOffset>2514600</wp:posOffset>
                </wp:positionH>
                <wp:positionV relativeFrom="paragraph">
                  <wp:posOffset>0</wp:posOffset>
                </wp:positionV>
                <wp:extent cx="0" cy="396240"/>
                <wp:effectExtent l="4445" t="0" r="10795" b="0"/>
                <wp:wrapNone/>
                <wp:docPr id="34" name="直线 2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21" o:spid="_x0000_s1026" o:spt="20" style="position:absolute;left:0pt;margin-left:198pt;margin-top:0pt;height:31.2pt;width:0pt;z-index:251688960;mso-width-relative:page;mso-height-relative:page;" filled="f" stroked="t" coordsize="21600,21600" o:gfxdata="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T&#10;My9J1QAAAAcBAAAPAAAAAAAAAAEAIAAAACIAAABkcnMvZG93bnJldi54bWxQSwECFAAUAAAACACH&#10;TuJArdi2be4BAADqAwAADgAAAAAAAAABACAAAAAkAQAAZHJzL2Uyb0RvYy54bWxQSwUGAAAAAAYA&#10;BgBZAQAAhAU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710464" behindDoc="0" locked="0" layoutInCell="1" allowOverlap="1">
                <wp:simplePos x="0" y="0"/>
                <wp:positionH relativeFrom="column">
                  <wp:posOffset>1028700</wp:posOffset>
                </wp:positionH>
                <wp:positionV relativeFrom="paragraph">
                  <wp:posOffset>0</wp:posOffset>
                </wp:positionV>
                <wp:extent cx="1485900" cy="0"/>
                <wp:effectExtent l="0" t="0" r="0" b="0"/>
                <wp:wrapNone/>
                <wp:docPr id="50" name="直线 22"/>
                <wp:cNvGraphicFramePr/>
                <a:graphic xmlns:a="http://schemas.openxmlformats.org/drawingml/2006/main">
                  <a:graphicData uri="http://schemas.microsoft.com/office/word/2010/wordprocessingShape">
                    <wps:wsp>
                      <wps:cNvCnPr/>
                      <wps:spPr>
                        <a:xfrm>
                          <a:off x="0" y="0"/>
                          <a:ext cx="14859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22" o:spid="_x0000_s1026" o:spt="20" style="position:absolute;left:0pt;margin-left:81pt;margin-top:0pt;height:0pt;width:117pt;z-index:251710464;mso-width-relative:page;mso-height-relative:page;" filled="f" stroked="t" coordsize="21600,21600" o:gfxdata="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8w6&#10;U9MAAAAFAQAADwAAAAAAAAABACAAAAAiAAAAZHJzL2Rvd25yZXYueG1sUEsBAhQAFAAAAAgAh07i&#10;QMwkLKnuAQAA6wMAAA4AAAAAAAAAAQAgAAAAIgEAAGRycy9lMm9Eb2MueG1sUEsFBgAAAAAGAAYA&#10;WQEAAIIFA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691008" behindDoc="0" locked="0" layoutInCell="1" allowOverlap="1">
                <wp:simplePos x="0" y="0"/>
                <wp:positionH relativeFrom="column">
                  <wp:posOffset>3429000</wp:posOffset>
                </wp:positionH>
                <wp:positionV relativeFrom="paragraph">
                  <wp:posOffset>1882140</wp:posOffset>
                </wp:positionV>
                <wp:extent cx="635" cy="0"/>
                <wp:effectExtent l="0" t="0" r="0" b="0"/>
                <wp:wrapNone/>
                <wp:docPr id="37" name="直线 24"/>
                <wp:cNvGraphicFramePr/>
                <a:graphic xmlns:a="http://schemas.openxmlformats.org/drawingml/2006/main">
                  <a:graphicData uri="http://schemas.microsoft.com/office/word/2010/wordprocessingShape">
                    <wps:wsp>
                      <wps:cNvCnPr/>
                      <wps:spPr>
                        <a:xfrm flipH="1">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24" o:spid="_x0000_s1026" o:spt="20" style="position:absolute;left:0pt;flip:x;margin-left:270pt;margin-top:148.2pt;height:0pt;width:0.05pt;z-index:251691008;mso-width-relative:page;mso-height-relative:page;" filled="f" stroked="t" coordsize="21600,21600" o:gfxdata="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jMJ+j1gAAAAsBAAAPAAAAAAAAAAEAIAAAACIAAABkcnMvZG93bnJldi54bWxQSwECFAAU&#10;AAAACACHTuJADvYRZvMBAADxAwAADgAAAAAAAAABACAAAAAlAQAAZHJzL2Uyb0RvYy54bWxQSwUG&#10;AAAAAAYABgBZAQAAigU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689984" behindDoc="0" locked="0" layoutInCell="1" allowOverlap="1">
                <wp:simplePos x="0" y="0"/>
                <wp:positionH relativeFrom="column">
                  <wp:posOffset>2514600</wp:posOffset>
                </wp:positionH>
                <wp:positionV relativeFrom="paragraph">
                  <wp:posOffset>891540</wp:posOffset>
                </wp:positionV>
                <wp:extent cx="0" cy="297180"/>
                <wp:effectExtent l="4445" t="0" r="10795" b="7620"/>
                <wp:wrapNone/>
                <wp:docPr id="38" name="直线 2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25" o:spid="_x0000_s1026" o:spt="20" style="position:absolute;left:0pt;margin-left:198pt;margin-top:70.2pt;height:23.4pt;width:0pt;z-index:251689984;mso-width-relative:page;mso-height-relative:page;" filled="f" stroked="t" coordsize="21600,21600" o:gfxdata="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cUHr9cAAAALAQAADwAAAAAAAAABACAAAAAiAAAAZHJzL2Rvd25yZXYueG1sUEsBAhQAFAAAAAgA&#10;h07iQPE20PrtAQAA6gMAAA4AAAAAAAAAAQAgAAAAJgEAAGRycy9lMm9Eb2MueG1sUEsFBgAAAAAG&#10;AAYAWQEAAIUFAAAAAA==&#10;">
                <v:fill on="f" focussize="0,0"/>
                <v:stroke color="#000000" joinstyle="round"/>
                <v:imagedata o:title=""/>
                <o:lock v:ext="edit" aspectratio="f"/>
              </v:line>
            </w:pict>
          </mc:Fallback>
        </mc:AlternateContent>
      </w:r>
      <w:r>
        <w:rPr>
          <w:rFonts w:ascii="楷体_GB2312" w:eastAsia="楷体_GB2312"/>
          <w:color w:val="auto"/>
        </w:rPr>
        <w:tab/>
      </w:r>
      <w:r>
        <w:rPr>
          <w:rFonts w:hint="eastAsia" w:ascii="宋体" w:hAnsi="宋体"/>
          <w:color w:val="auto"/>
          <w:szCs w:val="21"/>
        </w:rPr>
        <w:t>监查、稽查</w:t>
      </w:r>
      <w:r>
        <w:rPr>
          <w:rFonts w:hint="eastAsia" w:ascii="楷体_GB2312" w:eastAsia="楷体_GB2312"/>
          <w:color w:val="auto"/>
          <w:sz w:val="24"/>
        </w:rPr>
        <w:t xml:space="preserve">              </w:t>
      </w:r>
      <w:r>
        <w:rPr>
          <w:rFonts w:hint="eastAsia" w:ascii="宋体" w:hAnsi="宋体"/>
          <w:color w:val="auto"/>
          <w:szCs w:val="21"/>
        </w:rPr>
        <w:t>稽查</w:t>
      </w:r>
    </w:p>
    <w:p>
      <w:pPr>
        <w:rPr>
          <w:rFonts w:ascii="楷体_GB2312" w:eastAsia="楷体_GB2312"/>
          <w:color w:val="auto"/>
        </w:rPr>
      </w:pPr>
      <w:r>
        <w:rPr>
          <w:rFonts w:ascii="楷体_GB2312" w:eastAsia="楷体_GB2312"/>
          <w:color w:val="auto"/>
          <w:sz w:val="20"/>
        </w:rPr>
        <mc:AlternateContent>
          <mc:Choice Requires="wps">
            <w:drawing>
              <wp:anchor distT="0" distB="0" distL="114300" distR="114300" simplePos="0" relativeHeight="251712512" behindDoc="0" locked="0" layoutInCell="1" allowOverlap="1">
                <wp:simplePos x="0" y="0"/>
                <wp:positionH relativeFrom="column">
                  <wp:posOffset>2971800</wp:posOffset>
                </wp:positionH>
                <wp:positionV relativeFrom="paragraph">
                  <wp:posOffset>99060</wp:posOffset>
                </wp:positionV>
                <wp:extent cx="0" cy="99060"/>
                <wp:effectExtent l="38100" t="0" r="38100" b="7620"/>
                <wp:wrapNone/>
                <wp:docPr id="53" name="直线 26"/>
                <wp:cNvGraphicFramePr/>
                <a:graphic xmlns:a="http://schemas.openxmlformats.org/drawingml/2006/main">
                  <a:graphicData uri="http://schemas.microsoft.com/office/word/2010/wordprocessingShape">
                    <wps:wsp>
                      <wps:cNvCnPr/>
                      <wps:spPr>
                        <a:xfrm>
                          <a:off x="0" y="0"/>
                          <a:ext cx="0" cy="99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26" o:spid="_x0000_s1026" o:spt="20" style="position:absolute;left:0pt;margin-left:234pt;margin-top:7.8pt;height:7.8pt;width:0pt;z-index:251712512;mso-width-relative:page;mso-height-relative:page;" filled="f" stroked="t" coordsize="21600,21600" o:gfxdata="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g6g0n2AAAAAkBAAAPAAAAAAAAAAEAIAAAACIAAABkcnMvZG93bnJldi54bWxQSwEC&#10;FAAUAAAACACHTuJAXxm8wvQBAADtAwAADgAAAAAAAAABACAAAAAnAQAAZHJzL2Uyb0RvYy54bWxQ&#10;SwUGAAAAAAYABgBZAQAAjQUAAAAA&#10;">
                <v:fill on="f" focussize="0,0"/>
                <v:stroke color="#000000" joinstyle="round" endarrow="block"/>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709440" behindDoc="0" locked="0" layoutInCell="1" allowOverlap="1">
                <wp:simplePos x="0" y="0"/>
                <wp:positionH relativeFrom="column">
                  <wp:posOffset>2514600</wp:posOffset>
                </wp:positionH>
                <wp:positionV relativeFrom="paragraph">
                  <wp:posOffset>99060</wp:posOffset>
                </wp:positionV>
                <wp:extent cx="0" cy="99060"/>
                <wp:effectExtent l="38100" t="0" r="38100" b="7620"/>
                <wp:wrapNone/>
                <wp:docPr id="48" name="直线 27"/>
                <wp:cNvGraphicFramePr/>
                <a:graphic xmlns:a="http://schemas.openxmlformats.org/drawingml/2006/main">
                  <a:graphicData uri="http://schemas.microsoft.com/office/word/2010/wordprocessingShape">
                    <wps:wsp>
                      <wps:cNvCnPr/>
                      <wps:spPr>
                        <a:xfrm>
                          <a:off x="0" y="0"/>
                          <a:ext cx="0" cy="990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27" o:spid="_x0000_s1026" o:spt="20" style="position:absolute;left:0pt;margin-left:198pt;margin-top:7.8pt;height:7.8pt;width:0pt;z-index:251709440;mso-width-relative:page;mso-height-relative:page;" filled="f" stroked="t" coordsize="21600,21600" o:gfxdata="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050uM2AAAAAkBAAAPAAAAAAAAAAEAIAAAACIAAABkcnMvZG93bnJldi54bWxQSwEC&#10;FAAUAAAACACHTuJASTqj4/QBAADtAwAADgAAAAAAAAABACAAAAAnAQAAZHJzL2Uyb0RvYy54bWxQ&#10;SwUGAAAAAAYABgBZAQAAjQUAAAAA&#10;">
                <v:fill on="f" focussize="0,0"/>
                <v:stroke color="#000000" joinstyle="round" endarrow="block"/>
                <v:imagedata o:title=""/>
                <o:lock v:ext="edit" aspectratio="f"/>
              </v:line>
            </w:pict>
          </mc:Fallback>
        </mc:AlternateContent>
      </w:r>
    </w:p>
    <w:p>
      <w:pPr>
        <w:pStyle w:val="42"/>
        <w:adjustRightInd/>
        <w:spacing w:before="0" w:after="0" w:line="240" w:lineRule="auto"/>
        <w:textAlignment w:val="auto"/>
        <w:rPr>
          <w:rFonts w:ascii="楷体_GB2312" w:eastAsia="楷体_GB2312"/>
          <w:color w:val="auto"/>
          <w:kern w:val="2"/>
          <w:szCs w:val="24"/>
        </w:rPr>
      </w:pPr>
      <w:r>
        <w:rPr>
          <w:rFonts w:ascii="楷体_GB2312" w:eastAsia="楷体_GB2312"/>
          <w:color w:val="auto"/>
          <w:sz w:val="20"/>
        </w:rPr>
        <mc:AlternateContent>
          <mc:Choice Requires="wps">
            <w:drawing>
              <wp:anchor distT="0" distB="0" distL="114300" distR="114300" simplePos="0" relativeHeight="251719680" behindDoc="0" locked="0" layoutInCell="1" allowOverlap="1">
                <wp:simplePos x="0" y="0"/>
                <wp:positionH relativeFrom="column">
                  <wp:posOffset>1714500</wp:posOffset>
                </wp:positionH>
                <wp:positionV relativeFrom="paragraph">
                  <wp:posOffset>0</wp:posOffset>
                </wp:positionV>
                <wp:extent cx="1828800" cy="495300"/>
                <wp:effectExtent l="4445" t="4445" r="10795" b="18415"/>
                <wp:wrapNone/>
                <wp:docPr id="64" name="自选图形 28"/>
                <wp:cNvGraphicFramePr/>
                <a:graphic xmlns:a="http://schemas.openxmlformats.org/drawingml/2006/main">
                  <a:graphicData uri="http://schemas.microsoft.com/office/word/2010/wordprocessingShape">
                    <wps:wsp>
                      <wps:cNvSpPr/>
                      <wps:spPr>
                        <a:xfrm>
                          <a:off x="0" y="0"/>
                          <a:ext cx="18288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4"/>
                              <w:rPr>
                                <w:rFonts w:ascii="宋体" w:hAnsi="宋体" w:eastAsia="宋体"/>
                                <w:bCs w:val="0"/>
                                <w:sz w:val="28"/>
                                <w:szCs w:val="28"/>
                              </w:rPr>
                            </w:pPr>
                            <w:r>
                              <w:rPr>
                                <w:rFonts w:hint="eastAsia" w:ascii="宋体" w:hAnsi="宋体" w:eastAsia="宋体"/>
                                <w:bCs w:val="0"/>
                                <w:sz w:val="28"/>
                                <w:szCs w:val="28"/>
                              </w:rPr>
                              <w:t>临床试验机构</w:t>
                            </w:r>
                          </w:p>
                        </w:txbxContent>
                      </wps:txbx>
                      <wps:bodyPr upright="1"/>
                    </wps:wsp>
                  </a:graphicData>
                </a:graphic>
              </wp:anchor>
            </w:drawing>
          </mc:Choice>
          <mc:Fallback>
            <w:pict>
              <v:roundrect id="自选图形 28" o:spid="_x0000_s1026" o:spt="2" style="position:absolute;left:0pt;margin-left:135pt;margin-top:0pt;height:39pt;width:144pt;z-index:251719680;mso-width-relative:page;mso-height-relative:page;" fillcolor="#FFFFFF" filled="t" stroked="t" coordsize="21600,21600" arcsize="0.166666666666667" o:gfxdata="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KmrGDTAAAABwEAAA8AAAAAAAAAAQAgAAAAIgAAAGRycy9kb3ducmV2LnhtbFBLAQIUABQAAAAI&#10;AIdO4kDileW3KwIAAGYEAAAOAAAAAAAAAAEAIAAAACIBAABkcnMvZTJvRG9jLnhtbFBLBQYAAAAA&#10;BgAGAFkBAAC/BQAAAAA=&#10;">
                <v:fill on="t" focussize="0,0"/>
                <v:stroke color="#000000" joinstyle="round"/>
                <v:imagedata o:title=""/>
                <o:lock v:ext="edit" aspectratio="f"/>
                <v:textbox>
                  <w:txbxContent>
                    <w:p>
                      <w:pPr>
                        <w:pStyle w:val="4"/>
                        <w:rPr>
                          <w:rFonts w:ascii="宋体" w:hAnsi="宋体" w:eastAsia="宋体"/>
                          <w:bCs w:val="0"/>
                          <w:sz w:val="28"/>
                          <w:szCs w:val="28"/>
                        </w:rPr>
                      </w:pPr>
                      <w:r>
                        <w:rPr>
                          <w:rFonts w:hint="eastAsia" w:ascii="宋体" w:hAnsi="宋体" w:eastAsia="宋体"/>
                          <w:bCs w:val="0"/>
                          <w:sz w:val="28"/>
                          <w:szCs w:val="28"/>
                        </w:rPr>
                        <w:t>临床试验机构</w:t>
                      </w:r>
                    </w:p>
                  </w:txbxContent>
                </v:textbox>
              </v:roundrect>
            </w:pict>
          </mc:Fallback>
        </mc:AlternateContent>
      </w:r>
      <w:r>
        <w:rPr>
          <w:rFonts w:hint="eastAsia" w:ascii="楷体_GB2312" w:eastAsia="楷体_GB2312"/>
          <w:color w:val="auto"/>
          <w:kern w:val="2"/>
          <w:szCs w:val="24"/>
        </w:rPr>
        <w:t xml:space="preserve">                                                                  </w:t>
      </w:r>
    </w:p>
    <w:p>
      <w:pPr>
        <w:pStyle w:val="42"/>
        <w:adjustRightInd/>
        <w:spacing w:before="0" w:after="0" w:line="240" w:lineRule="auto"/>
        <w:textAlignment w:val="auto"/>
        <w:rPr>
          <w:rFonts w:ascii="楷体_GB2312" w:eastAsia="楷体_GB2312"/>
          <w:color w:val="auto"/>
          <w:kern w:val="2"/>
          <w:szCs w:val="24"/>
        </w:rPr>
      </w:pPr>
      <w:r>
        <w:rPr>
          <w:rFonts w:ascii="楷体_GB2312" w:eastAsia="楷体_GB2312"/>
          <w:color w:val="auto"/>
          <w:kern w:val="2"/>
          <w:sz w:val="20"/>
          <w:szCs w:val="24"/>
        </w:rPr>
        <mc:AlternateContent>
          <mc:Choice Requires="wps">
            <w:drawing>
              <wp:anchor distT="0" distB="0" distL="114300" distR="114300" simplePos="0" relativeHeight="251701248" behindDoc="0" locked="0" layoutInCell="1" allowOverlap="1">
                <wp:simplePos x="0" y="0"/>
                <wp:positionH relativeFrom="column">
                  <wp:posOffset>4686300</wp:posOffset>
                </wp:positionH>
                <wp:positionV relativeFrom="paragraph">
                  <wp:posOffset>99060</wp:posOffset>
                </wp:positionV>
                <wp:extent cx="0" cy="1981200"/>
                <wp:effectExtent l="4445" t="0" r="10795" b="0"/>
                <wp:wrapNone/>
                <wp:docPr id="42" name="直线 29"/>
                <wp:cNvGraphicFramePr/>
                <a:graphic xmlns:a="http://schemas.openxmlformats.org/drawingml/2006/main">
                  <a:graphicData uri="http://schemas.microsoft.com/office/word/2010/wordprocessingShape">
                    <wps:wsp>
                      <wps:cNvCnPr/>
                      <wps:spPr>
                        <a:xfrm>
                          <a:off x="0" y="0"/>
                          <a:ext cx="0" cy="19812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29" o:spid="_x0000_s1026" o:spt="20" style="position:absolute;left:0pt;margin-left:369pt;margin-top:7.8pt;height:156pt;width:0pt;z-index:251701248;mso-width-relative:page;mso-height-relative:page;" filled="f" stroked="t" coordsize="21600,21600" o:gfxdata="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O4&#10;tN3XAAAACgEAAA8AAAAAAAAAAQAgAAAAIgAAAGRycy9kb3ducmV2LnhtbFBLAQIUABQAAAAIAIdO&#10;4kCS1gvz6wEAAOsDAAAOAAAAAAAAAAEAIAAAACYBAABkcnMvZTJvRG9jLnhtbFBLBQYAAAAABgAG&#10;AFkBAACDBQAAAAA=&#10;">
                <v:fill on="f" focussize="0,0"/>
                <v:stroke color="#000000" joinstyle="round"/>
                <v:imagedata o:title=""/>
                <o:lock v:ext="edit" aspectratio="f"/>
              </v:line>
            </w:pict>
          </mc:Fallback>
        </mc:AlternateContent>
      </w:r>
      <w:r>
        <w:rPr>
          <w:rFonts w:ascii="楷体_GB2312" w:eastAsia="楷体_GB2312"/>
          <w:color w:val="auto"/>
          <w:kern w:val="2"/>
          <w:sz w:val="20"/>
          <w:szCs w:val="24"/>
        </w:rPr>
        <mc:AlternateContent>
          <mc:Choice Requires="wps">
            <w:drawing>
              <wp:anchor distT="0" distB="0" distL="114300" distR="114300" simplePos="0" relativeHeight="251700224" behindDoc="0" locked="0" layoutInCell="1" allowOverlap="1">
                <wp:simplePos x="0" y="0"/>
                <wp:positionH relativeFrom="column">
                  <wp:posOffset>3429000</wp:posOffset>
                </wp:positionH>
                <wp:positionV relativeFrom="paragraph">
                  <wp:posOffset>99060</wp:posOffset>
                </wp:positionV>
                <wp:extent cx="1257300" cy="0"/>
                <wp:effectExtent l="0" t="0" r="0" b="0"/>
                <wp:wrapNone/>
                <wp:docPr id="43" name="直线 30"/>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30" o:spid="_x0000_s1026" o:spt="20" style="position:absolute;left:0pt;margin-left:270pt;margin-top:7.8pt;height:0pt;width:99pt;z-index:251700224;mso-width-relative:page;mso-height-relative:page;" filled="f" stroked="t" coordsize="21600,21600" o:gfxdata="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e&#10;53bn1gAAAAkBAAAPAAAAAAAAAAEAIAAAACIAAABkcnMvZG93bnJldi54bWxQSwECFAAUAAAACACH&#10;TuJA+5l5Pe0BAADrAwAADgAAAAAAAAABACAAAAAlAQAAZHJzL2Uyb0RvYy54bWxQSwUGAAAAAAYA&#10;BgBZAQAAhAUAAAAA&#10;">
                <v:fill on="f" focussize="0,0"/>
                <v:stroke color="#000000" joinstyle="round"/>
                <v:imagedata o:title=""/>
                <o:lock v:ext="edit" aspectratio="f"/>
              </v:line>
            </w:pict>
          </mc:Fallback>
        </mc:AlternateContent>
      </w:r>
      <w:r>
        <w:rPr>
          <w:rFonts w:hint="eastAsia" w:ascii="楷体_GB2312" w:eastAsia="楷体_GB2312"/>
          <w:color w:val="auto"/>
          <w:kern w:val="2"/>
          <w:szCs w:val="24"/>
        </w:rPr>
        <w:t xml:space="preserve">    </w:t>
      </w:r>
    </w:p>
    <w:p>
      <w:pPr>
        <w:rPr>
          <w:rFonts w:ascii="楷体_GB2312" w:eastAsia="楷体_GB2312"/>
          <w:color w:val="auto"/>
        </w:rPr>
      </w:pPr>
    </w:p>
    <w:p>
      <w:pPr>
        <w:rPr>
          <w:rFonts w:ascii="宋体" w:hAnsi="宋体"/>
          <w:color w:val="auto"/>
          <w:szCs w:val="21"/>
        </w:rPr>
      </w:pPr>
      <w:r>
        <w:rPr>
          <w:rFonts w:ascii="楷体_GB2312" w:eastAsia="楷体_GB2312"/>
          <w:color w:val="auto"/>
          <w:sz w:val="20"/>
        </w:rPr>
        <mc:AlternateContent>
          <mc:Choice Requires="wps">
            <w:drawing>
              <wp:anchor distT="0" distB="0" distL="114300" distR="114300" simplePos="0" relativeHeight="251713536" behindDoc="0" locked="0" layoutInCell="1" allowOverlap="1">
                <wp:simplePos x="0" y="0"/>
                <wp:positionH relativeFrom="column">
                  <wp:posOffset>2514600</wp:posOffset>
                </wp:positionH>
                <wp:positionV relativeFrom="paragraph">
                  <wp:posOffset>0</wp:posOffset>
                </wp:positionV>
                <wp:extent cx="0" cy="198120"/>
                <wp:effectExtent l="38100" t="0" r="38100" b="0"/>
                <wp:wrapNone/>
                <wp:docPr id="58" name="直线 3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31" o:spid="_x0000_s1026" o:spt="20" style="position:absolute;left:0pt;margin-left:198pt;margin-top:0pt;height:15.6pt;width:0pt;z-index:251713536;mso-width-relative:page;mso-height-relative:page;" filled="f" stroked="t" coordsize="21600,21600" o:gfxdata="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ZQnpV1wAAAAcBAAAPAAAAAAAAAAEAIAAAACIAAABkcnMvZG93bnJldi54bWxQSwEC&#10;FAAUAAAACACHTuJA7gosr/UBAADuAwAADgAAAAAAAAABACAAAAAmAQAAZHJzL2Uyb0RvYy54bWxQ&#10;SwUGAAAAAAYABgBZAQAAjQUAAAAA&#10;">
                <v:fill on="f" focussize="0,0"/>
                <v:stroke color="#000000" joinstyle="round" endarrow="block"/>
                <v:imagedata o:title=""/>
                <o:lock v:ext="edit" aspectratio="f"/>
              </v:line>
            </w:pict>
          </mc:Fallback>
        </mc:AlternateContent>
      </w:r>
      <w:r>
        <w:rPr>
          <w:rFonts w:hint="eastAsia" w:ascii="楷体_GB2312" w:eastAsia="楷体_GB2312"/>
          <w:color w:val="auto"/>
        </w:rPr>
        <w:t xml:space="preserve">                                                               </w:t>
      </w:r>
      <w:r>
        <w:rPr>
          <w:rFonts w:hint="eastAsia" w:ascii="楷体_GB2312" w:eastAsia="楷体_GB2312"/>
          <w:color w:val="auto"/>
          <w:sz w:val="24"/>
        </w:rPr>
        <w:t xml:space="preserve">    </w:t>
      </w:r>
      <w:r>
        <w:rPr>
          <w:rFonts w:hint="eastAsia" w:ascii="宋体" w:hAnsi="宋体"/>
          <w:color w:val="auto"/>
          <w:szCs w:val="21"/>
        </w:rPr>
        <w:t>质</w:t>
      </w:r>
    </w:p>
    <w:p>
      <w:pPr>
        <w:rPr>
          <w:rFonts w:ascii="楷体_GB2312" w:eastAsia="楷体_GB2312"/>
          <w:color w:val="auto"/>
          <w:sz w:val="24"/>
        </w:rPr>
      </w:pPr>
      <w:r>
        <w:rPr>
          <w:rFonts w:ascii="楷体_GB2312" w:eastAsia="楷体_GB2312"/>
          <w:color w:val="auto"/>
          <w:sz w:val="20"/>
        </w:rPr>
        <mc:AlternateContent>
          <mc:Choice Requires="wps">
            <w:drawing>
              <wp:anchor distT="0" distB="0" distL="114300" distR="114300" simplePos="0" relativeHeight="251720704" behindDoc="0" locked="0" layoutInCell="1" allowOverlap="1">
                <wp:simplePos x="0" y="0"/>
                <wp:positionH relativeFrom="column">
                  <wp:posOffset>1714500</wp:posOffset>
                </wp:positionH>
                <wp:positionV relativeFrom="paragraph">
                  <wp:posOffset>0</wp:posOffset>
                </wp:positionV>
                <wp:extent cx="1828800" cy="495300"/>
                <wp:effectExtent l="4445" t="4445" r="10795" b="18415"/>
                <wp:wrapNone/>
                <wp:docPr id="65" name="自选图形 32"/>
                <wp:cNvGraphicFramePr/>
                <a:graphic xmlns:a="http://schemas.openxmlformats.org/drawingml/2006/main">
                  <a:graphicData uri="http://schemas.microsoft.com/office/word/2010/wordprocessingShape">
                    <wps:wsp>
                      <wps:cNvSpPr/>
                      <wps:spPr>
                        <a:xfrm>
                          <a:off x="0" y="0"/>
                          <a:ext cx="1828800" cy="49530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pStyle w:val="4"/>
                              <w:rPr>
                                <w:rFonts w:ascii="宋体" w:hAnsi="宋体" w:eastAsia="宋体"/>
                                <w:bCs w:val="0"/>
                                <w:sz w:val="28"/>
                                <w:szCs w:val="28"/>
                              </w:rPr>
                            </w:pPr>
                            <w:r>
                              <w:rPr>
                                <w:rFonts w:hint="eastAsia" w:ascii="宋体" w:hAnsi="宋体" w:eastAsia="宋体"/>
                                <w:bCs w:val="0"/>
                                <w:sz w:val="28"/>
                                <w:szCs w:val="28"/>
                              </w:rPr>
                              <w:t>机构办公室</w:t>
                            </w:r>
                          </w:p>
                        </w:txbxContent>
                      </wps:txbx>
                      <wps:bodyPr upright="1"/>
                    </wps:wsp>
                  </a:graphicData>
                </a:graphic>
              </wp:anchor>
            </w:drawing>
          </mc:Choice>
          <mc:Fallback>
            <w:pict>
              <v:roundrect id="自选图形 32" o:spid="_x0000_s1026" o:spt="2" style="position:absolute;left:0pt;margin-left:135pt;margin-top:0pt;height:39pt;width:144pt;z-index:251720704;mso-width-relative:page;mso-height-relative:page;" fillcolor="#FFFFFF" filled="t" stroked="t" coordsize="21600,21600" arcsize="0.166666666666667" o:gfxdata="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KmrGDTAAAABwEAAA8AAAAAAAAAAQAgAAAAIgAAAGRycy9kb3ducmV2LnhtbFBLAQIUABQAAAAI&#10;AIdO4kCngtc9KwIAAGYEAAAOAAAAAAAAAAEAIAAAACIBAABkcnMvZTJvRG9jLnhtbFBLBQYAAAAA&#10;BgAGAFkBAAC/BQAAAAA=&#10;">
                <v:fill on="t" focussize="0,0"/>
                <v:stroke color="#000000" joinstyle="round"/>
                <v:imagedata o:title=""/>
                <o:lock v:ext="edit" aspectratio="f"/>
                <v:textbox>
                  <w:txbxContent>
                    <w:p>
                      <w:pPr>
                        <w:pStyle w:val="4"/>
                        <w:rPr>
                          <w:rFonts w:ascii="宋体" w:hAnsi="宋体" w:eastAsia="宋体"/>
                          <w:bCs w:val="0"/>
                          <w:sz w:val="28"/>
                          <w:szCs w:val="28"/>
                        </w:rPr>
                      </w:pPr>
                      <w:r>
                        <w:rPr>
                          <w:rFonts w:hint="eastAsia" w:ascii="宋体" w:hAnsi="宋体" w:eastAsia="宋体"/>
                          <w:bCs w:val="0"/>
                          <w:sz w:val="28"/>
                          <w:szCs w:val="28"/>
                        </w:rPr>
                        <w:t>机构办公室</w:t>
                      </w:r>
                    </w:p>
                  </w:txbxContent>
                </v:textbox>
              </v:roundrect>
            </w:pict>
          </mc:Fallback>
        </mc:AlternateContent>
      </w:r>
      <w:r>
        <w:rPr>
          <w:rFonts w:hint="eastAsia" w:ascii="楷体_GB2312" w:eastAsia="楷体_GB2312"/>
          <w:color w:val="auto"/>
          <w:sz w:val="24"/>
        </w:rPr>
        <w:t xml:space="preserve">               </w:t>
      </w:r>
    </w:p>
    <w:p>
      <w:pPr>
        <w:jc w:val="center"/>
        <w:rPr>
          <w:rFonts w:ascii="宋体" w:hAnsi="宋体"/>
          <w:color w:val="auto"/>
          <w:szCs w:val="21"/>
        </w:rPr>
      </w:pPr>
      <w:r>
        <w:rPr>
          <w:rFonts w:ascii="楷体_GB2312" w:eastAsia="楷体_GB2312"/>
          <w:color w:val="auto"/>
          <w:sz w:val="24"/>
        </w:rPr>
        <mc:AlternateContent>
          <mc:Choice Requires="wps">
            <w:drawing>
              <wp:anchor distT="0" distB="0" distL="114300" distR="114300" simplePos="0" relativeHeight="251714560" behindDoc="0" locked="0" layoutInCell="1" allowOverlap="1">
                <wp:simplePos x="0" y="0"/>
                <wp:positionH relativeFrom="column">
                  <wp:posOffset>800100</wp:posOffset>
                </wp:positionH>
                <wp:positionV relativeFrom="paragraph">
                  <wp:posOffset>0</wp:posOffset>
                </wp:positionV>
                <wp:extent cx="0" cy="297180"/>
                <wp:effectExtent l="38100" t="0" r="38100" b="7620"/>
                <wp:wrapNone/>
                <wp:docPr id="59" name="直线 3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33" o:spid="_x0000_s1026" o:spt="20" style="position:absolute;left:0pt;margin-left:63pt;margin-top:0pt;height:23.4pt;width:0pt;z-index:251714560;mso-width-relative:page;mso-height-relative:page;" filled="f" stroked="t" coordsize="21600,21600" o:gfxdata="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Wysy71gAAAAcBAAAPAAAAAAAAAAEAIAAAACIAAABkcnMvZG93bnJldi54bWxQSwEC&#10;FAAUAAAACACHTuJAnxzB+/YBAADuAwAADgAAAAAAAAABACAAAAAlAQAAZHJzL2Uyb0RvYy54bWxQ&#10;SwUGAAAAAAYABgBZAQAAjQUAAAAA&#10;">
                <v:fill on="f" focussize="0,0"/>
                <v:stroke color="#000000" joinstyle="round" endarrow="block"/>
                <v:imagedata o:title=""/>
                <o:lock v:ext="edit" aspectratio="f"/>
              </v:line>
            </w:pict>
          </mc:Fallback>
        </mc:AlternateContent>
      </w:r>
      <w:r>
        <w:rPr>
          <w:rFonts w:ascii="楷体_GB2312" w:eastAsia="楷体_GB2312"/>
          <w:color w:val="auto"/>
          <w:sz w:val="24"/>
        </w:rPr>
        <mc:AlternateContent>
          <mc:Choice Requires="wps">
            <w:drawing>
              <wp:anchor distT="0" distB="0" distL="114300" distR="114300" simplePos="0" relativeHeight="251698176" behindDoc="0" locked="0" layoutInCell="1" allowOverlap="1">
                <wp:simplePos x="0" y="0"/>
                <wp:positionH relativeFrom="column">
                  <wp:posOffset>800100</wp:posOffset>
                </wp:positionH>
                <wp:positionV relativeFrom="paragraph">
                  <wp:posOffset>0</wp:posOffset>
                </wp:positionV>
                <wp:extent cx="914400" cy="0"/>
                <wp:effectExtent l="0" t="0" r="0" b="0"/>
                <wp:wrapNone/>
                <wp:docPr id="47" name="直线 34"/>
                <wp:cNvGraphicFramePr/>
                <a:graphic xmlns:a="http://schemas.openxmlformats.org/drawingml/2006/main">
                  <a:graphicData uri="http://schemas.microsoft.com/office/word/2010/wordprocessingShape">
                    <wps:wsp>
                      <wps:cNvCnPr/>
                      <wps:spPr>
                        <a:xfrm>
                          <a:off x="0" y="0"/>
                          <a:ext cx="9144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34" o:spid="_x0000_s1026" o:spt="20" style="position:absolute;left:0pt;margin-left:63pt;margin-top:0pt;height:0pt;width:72pt;z-index:251698176;mso-width-relative:page;mso-height-relative:page;" filled="f" stroked="t" coordsize="21600,21600" o:gfxdata="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zMEPs&#10;0wAAAAUBAAAPAAAAAAAAAAEAIAAAACIAAABkcnMvZG93bnJldi54bWxQSwECFAAUAAAACACHTuJA&#10;WO+6me0BAADqAwAADgAAAAAAAAABACAAAAAiAQAAZHJzL2Uyb0RvYy54bWxQSwUGAAAAAAYABgBZ&#10;AQAAgQUAAAAA&#10;">
                <v:fill on="f" focussize="0,0"/>
                <v:stroke color="#000000" joinstyle="round"/>
                <v:imagedata o:title=""/>
                <o:lock v:ext="edit" aspectratio="f"/>
              </v:line>
            </w:pict>
          </mc:Fallback>
        </mc:AlternateContent>
      </w:r>
      <w:r>
        <w:rPr>
          <w:rFonts w:hint="eastAsia" w:ascii="楷体_GB2312" w:eastAsia="楷体_GB2312"/>
          <w:color w:val="auto"/>
          <w:sz w:val="24"/>
        </w:rPr>
        <w:t xml:space="preserve">                    </w:t>
      </w:r>
      <w:r>
        <w:rPr>
          <w:rFonts w:hint="eastAsia" w:ascii="宋体" w:hAnsi="宋体"/>
          <w:color w:val="auto"/>
          <w:szCs w:val="21"/>
        </w:rPr>
        <w:t>自查</w:t>
      </w:r>
    </w:p>
    <w:p>
      <w:pPr>
        <w:tabs>
          <w:tab w:val="left" w:pos="7015"/>
        </w:tabs>
        <w:rPr>
          <w:rFonts w:ascii="宋体" w:hAnsi="宋体"/>
          <w:color w:val="auto"/>
          <w:szCs w:val="21"/>
        </w:rPr>
      </w:pPr>
      <w:r>
        <w:rPr>
          <w:rFonts w:ascii="楷体_GB2312" w:eastAsia="楷体_GB2312"/>
          <w:color w:val="auto"/>
          <w:sz w:val="20"/>
        </w:rPr>
        <mc:AlternateContent>
          <mc:Choice Requires="wps">
            <w:drawing>
              <wp:anchor distT="0" distB="0" distL="114300" distR="114300" simplePos="0" relativeHeight="251721728" behindDoc="0" locked="0" layoutInCell="1" allowOverlap="1">
                <wp:simplePos x="0" y="0"/>
                <wp:positionH relativeFrom="column">
                  <wp:posOffset>226695</wp:posOffset>
                </wp:positionH>
                <wp:positionV relativeFrom="paragraph">
                  <wp:posOffset>100965</wp:posOffset>
                </wp:positionV>
                <wp:extent cx="1257300" cy="396240"/>
                <wp:effectExtent l="4445" t="4445" r="18415" b="10795"/>
                <wp:wrapNone/>
                <wp:docPr id="66" name="自选图形 35"/>
                <wp:cNvGraphicFramePr/>
                <a:graphic xmlns:a="http://schemas.openxmlformats.org/drawingml/2006/main">
                  <a:graphicData uri="http://schemas.microsoft.com/office/word/2010/wordprocessingShape">
                    <wps:wsp>
                      <wps:cNvSpPr/>
                      <wps:spPr>
                        <a:xfrm>
                          <a:off x="0" y="0"/>
                          <a:ext cx="12573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b/>
                                <w:szCs w:val="21"/>
                              </w:rPr>
                            </w:pPr>
                            <w:r>
                              <w:rPr>
                                <w:rFonts w:hint="eastAsia" w:ascii="宋体" w:hAnsi="宋体"/>
                                <w:b/>
                                <w:szCs w:val="21"/>
                              </w:rPr>
                              <w:t>质量控制小组</w:t>
                            </w:r>
                          </w:p>
                        </w:txbxContent>
                      </wps:txbx>
                      <wps:bodyPr lIns="91440" tIns="82800" rIns="91440" bIns="45720" upright="1"/>
                    </wps:wsp>
                  </a:graphicData>
                </a:graphic>
              </wp:anchor>
            </w:drawing>
          </mc:Choice>
          <mc:Fallback>
            <w:pict>
              <v:roundrect id="自选图形 35" o:spid="_x0000_s1026" o:spt="2" style="position:absolute;left:0pt;margin-left:17.85pt;margin-top:7.95pt;height:31.2pt;width:99pt;z-index:251721728;mso-width-relative:page;mso-height-relative:page;" fillcolor="#FFFFFF" filled="t" stroked="t" coordsize="21600,21600" arcsize="0.166666666666667" o:gfxdata="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XGx262AAAAAgBAAAPAAAAAAAAAAEA&#10;IAAAACIAAABkcnMvZG93bnJldi54bWxQSwECFAAUAAAACACHTuJAUk9MKEgCAACaBAAADgAAAAAA&#10;AAABACAAAAAnAQAAZHJzL2Uyb0RvYy54bWxQSwUGAAAAAAYABgBZAQAA4QUAAAAA&#10;">
                <v:fill on="t" focussize="0,0"/>
                <v:stroke color="#000000" joinstyle="round"/>
                <v:imagedata o:title=""/>
                <o:lock v:ext="edit" aspectratio="f"/>
                <v:textbox inset="2.54mm,2.3mm,2.54mm,1.27mm">
                  <w:txbxContent>
                    <w:p>
                      <w:pPr>
                        <w:jc w:val="center"/>
                        <w:rPr>
                          <w:rFonts w:ascii="宋体" w:hAnsi="宋体"/>
                          <w:b/>
                          <w:szCs w:val="21"/>
                        </w:rPr>
                      </w:pPr>
                      <w:r>
                        <w:rPr>
                          <w:rFonts w:hint="eastAsia" w:ascii="宋体" w:hAnsi="宋体"/>
                          <w:b/>
                          <w:szCs w:val="21"/>
                        </w:rPr>
                        <w:t>质量控制小组</w:t>
                      </w:r>
                    </w:p>
                  </w:txbxContent>
                </v:textbox>
              </v:roundrect>
            </w:pict>
          </mc:Fallback>
        </mc:AlternateContent>
      </w:r>
      <w:r>
        <w:rPr>
          <w:rFonts w:ascii="楷体_GB2312" w:eastAsia="楷体_GB2312"/>
          <w:color w:val="auto"/>
          <w:sz w:val="24"/>
        </w:rPr>
        <w:tab/>
      </w:r>
      <w:r>
        <w:rPr>
          <w:rFonts w:hint="eastAsia" w:ascii="宋体" w:hAnsi="宋体"/>
          <w:color w:val="auto"/>
          <w:szCs w:val="21"/>
        </w:rPr>
        <w:t>控</w:t>
      </w:r>
    </w:p>
    <w:p>
      <w:pPr>
        <w:rPr>
          <w:rFonts w:ascii="楷体_GB2312" w:eastAsia="楷体_GB2312"/>
          <w:color w:val="auto"/>
        </w:rPr>
      </w:pPr>
      <w:r>
        <w:rPr>
          <w:rFonts w:hint="eastAsia" w:ascii="楷体_GB2312" w:eastAsia="楷体_GB2312"/>
          <w:color w:val="auto"/>
        </w:rPr>
        <w:t xml:space="preserve">               </w:t>
      </w:r>
    </w:p>
    <w:p>
      <w:pPr>
        <w:rPr>
          <w:rFonts w:ascii="楷体_GB2312" w:eastAsia="楷体_GB2312"/>
          <w:color w:val="auto"/>
        </w:rPr>
      </w:pPr>
      <w:r>
        <w:rPr>
          <w:rFonts w:ascii="楷体_GB2312" w:eastAsia="楷体_GB2312"/>
          <w:color w:val="auto"/>
          <w:sz w:val="20"/>
        </w:rPr>
        <mc:AlternateContent>
          <mc:Choice Requires="wps">
            <w:drawing>
              <wp:anchor distT="0" distB="0" distL="114300" distR="114300" simplePos="0" relativeHeight="251699200" behindDoc="0" locked="0" layoutInCell="1" allowOverlap="1">
                <wp:simplePos x="0" y="0"/>
                <wp:positionH relativeFrom="column">
                  <wp:posOffset>4686300</wp:posOffset>
                </wp:positionH>
                <wp:positionV relativeFrom="paragraph">
                  <wp:posOffset>0</wp:posOffset>
                </wp:positionV>
                <wp:extent cx="0" cy="594360"/>
                <wp:effectExtent l="4445" t="0" r="10795" b="0"/>
                <wp:wrapNone/>
                <wp:docPr id="49" name="直线 36"/>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36" o:spid="_x0000_s1026" o:spt="20" style="position:absolute;left:0pt;margin-left:369pt;margin-top:0pt;height:46.8pt;width:0pt;z-index:251699200;mso-width-relative:page;mso-height-relative:page;" filled="f" stroked="t" coordsize="21600,21600" o:gfxdata="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A8UpNUAAAAHAQAADwAAAAAAAAABACAAAAAiAAAAZHJzL2Rvd25yZXYueG1sUEsBAhQAFAAAAAgA&#10;h07iQEjzmWvvAQAA6gMAAA4AAAAAAAAAAQAgAAAAJAEAAGRycy9lMm9Eb2MueG1sUEsFBgAAAAAG&#10;AAYAWQEAAIUFA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715584" behindDoc="0" locked="0" layoutInCell="1" allowOverlap="1">
                <wp:simplePos x="0" y="0"/>
                <wp:positionH relativeFrom="column">
                  <wp:posOffset>800100</wp:posOffset>
                </wp:positionH>
                <wp:positionV relativeFrom="paragraph">
                  <wp:posOffset>99060</wp:posOffset>
                </wp:positionV>
                <wp:extent cx="0" cy="594360"/>
                <wp:effectExtent l="4445" t="0" r="10795" b="0"/>
                <wp:wrapNone/>
                <wp:docPr id="60" name="直线 37"/>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37" o:spid="_x0000_s1026" o:spt="20" style="position:absolute;left:0pt;margin-left:63pt;margin-top:7.8pt;height:46.8pt;width:0pt;z-index:251715584;mso-width-relative:page;mso-height-relative:page;" filled="f" stroked="t" coordsize="21600,21600" o:gfxdata="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JcirXU&#10;AAAACgEAAA8AAAAAAAAAAQAgAAAAIgAAAGRycy9kb3ducmV2LnhtbFBLAQIUABQAAAAIAIdO4kDl&#10;TZOG6wEAAOoDAAAOAAAAAAAAAAEAIAAAACMBAABkcnMvZTJvRG9jLnhtbFBLBQYAAAAABgAGAFkB&#10;AACABQAAAAA=&#10;">
                <v:fill on="f" focussize="0,0"/>
                <v:stroke color="#000000" joinstyle="round"/>
                <v:imagedata o:title=""/>
                <o:lock v:ext="edit" aspectratio="f"/>
              </v:line>
            </w:pict>
          </mc:Fallback>
        </mc:AlternateContent>
      </w:r>
    </w:p>
    <w:p>
      <w:pPr>
        <w:rPr>
          <w:rFonts w:ascii="宋体" w:hAnsi="宋体"/>
          <w:color w:val="auto"/>
        </w:rPr>
      </w:pPr>
      <w:r>
        <w:rPr>
          <w:rFonts w:hint="eastAsia" w:ascii="楷体_GB2312" w:eastAsia="楷体_GB2312"/>
          <w:color w:val="auto"/>
        </w:rPr>
        <w:t xml:space="preserve">     </w:t>
      </w:r>
      <w:r>
        <w:rPr>
          <w:rFonts w:hint="eastAsia" w:ascii="宋体" w:hAnsi="宋体"/>
          <w:color w:val="auto"/>
        </w:rPr>
        <w:t xml:space="preserve"> 　  质控                                                  </w:t>
      </w:r>
    </w:p>
    <w:p>
      <w:pPr>
        <w:rPr>
          <w:rFonts w:ascii="楷体_GB2312" w:eastAsia="楷体_GB2312"/>
          <w:color w:val="auto"/>
        </w:rPr>
      </w:pPr>
      <w:r>
        <w:rPr>
          <w:rFonts w:ascii="楷体_GB2312" w:eastAsia="楷体_GB2312"/>
          <w:color w:val="auto"/>
          <w:sz w:val="20"/>
        </w:rPr>
        <mc:AlternateContent>
          <mc:Choice Requires="wps">
            <w:drawing>
              <wp:anchor distT="0" distB="0" distL="114300" distR="114300" simplePos="0" relativeHeight="251716608" behindDoc="0" locked="0" layoutInCell="1" allowOverlap="1">
                <wp:simplePos x="0" y="0"/>
                <wp:positionH relativeFrom="column">
                  <wp:posOffset>4686300</wp:posOffset>
                </wp:positionH>
                <wp:positionV relativeFrom="paragraph">
                  <wp:posOffset>0</wp:posOffset>
                </wp:positionV>
                <wp:extent cx="0" cy="297180"/>
                <wp:effectExtent l="38100" t="0" r="38100" b="7620"/>
                <wp:wrapNone/>
                <wp:docPr id="61" name="直线 3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38" o:spid="_x0000_s1026" o:spt="20" style="position:absolute;left:0pt;margin-left:369pt;margin-top:0pt;height:23.4pt;width:0pt;z-index:251716608;mso-width-relative:page;mso-height-relative:page;" filled="f" stroked="t" coordsize="21600,21600" o:gfxdata="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PcxENcAAAAHAQAADwAAAAAAAAABACAAAAAiAAAAZHJzL2Rvd25yZXYueG1sUEsB&#10;AhQAFAAAAAgAh07iQIG7Tpn2AQAA7gMAAA4AAAAAAAAAAQAgAAAAJgEAAGRycy9lMm9Eb2MueG1s&#10;UEsFBgAAAAAGAAYAWQEAAI4FAAAAAA==&#10;">
                <v:fill on="f" focussize="0,0"/>
                <v:stroke color="#000000" joinstyle="round" endarrow="block"/>
                <v:imagedata o:title=""/>
                <o:lock v:ext="edit" aspectratio="f"/>
              </v:line>
            </w:pict>
          </mc:Fallback>
        </mc:AlternateContent>
      </w:r>
    </w:p>
    <w:p>
      <w:pPr>
        <w:rPr>
          <w:rFonts w:ascii="楷体_GB2312" w:eastAsia="楷体_GB2312"/>
          <w:color w:val="auto"/>
        </w:rPr>
      </w:pPr>
      <w:r>
        <w:rPr>
          <w:rFonts w:ascii="楷体_GB2312" w:eastAsia="楷体_GB2312"/>
          <w:color w:val="auto"/>
          <w:sz w:val="20"/>
        </w:rPr>
        <mc:AlternateContent>
          <mc:Choice Requires="wps">
            <w:drawing>
              <wp:anchor distT="0" distB="0" distL="114300" distR="114300" simplePos="0" relativeHeight="251697152" behindDoc="0" locked="0" layoutInCell="1" allowOverlap="1">
                <wp:simplePos x="0" y="0"/>
                <wp:positionH relativeFrom="column">
                  <wp:posOffset>5772150</wp:posOffset>
                </wp:positionH>
                <wp:positionV relativeFrom="paragraph">
                  <wp:posOffset>99060</wp:posOffset>
                </wp:positionV>
                <wp:extent cx="0" cy="495300"/>
                <wp:effectExtent l="4445" t="0" r="10795" b="7620"/>
                <wp:wrapNone/>
                <wp:docPr id="41" name="直线 4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43" o:spid="_x0000_s1026" o:spt="20" style="position:absolute;left:0pt;margin-left:454.5pt;margin-top:7.8pt;height:39pt;width:0pt;z-index:251697152;mso-width-relative:page;mso-height-relative:page;" filled="f" stroked="t" coordsize="21600,21600" o:gfxdata="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Ny2S9YAAAAJAQAADwAAAAAAAAABACAAAAAiAAAAZHJzL2Rvd25yZXYueG1sUEsBAhQAFAAAAAgA&#10;h07iQP9DcuXuAQAA6gMAAA4AAAAAAAAAAQAgAAAAJQEAAGRycy9lMm9Eb2MueG1sUEsFBgAAAAAG&#10;AAYAWQEAAIUFA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692032" behindDoc="0" locked="0" layoutInCell="1" allowOverlap="1">
                <wp:simplePos x="0" y="0"/>
                <wp:positionH relativeFrom="column">
                  <wp:posOffset>-104775</wp:posOffset>
                </wp:positionH>
                <wp:positionV relativeFrom="paragraph">
                  <wp:posOffset>99060</wp:posOffset>
                </wp:positionV>
                <wp:extent cx="5869940" cy="635"/>
                <wp:effectExtent l="0" t="0" r="0" b="0"/>
                <wp:wrapNone/>
                <wp:docPr id="36" name="直线 23"/>
                <wp:cNvGraphicFramePr/>
                <a:graphic xmlns:a="http://schemas.openxmlformats.org/drawingml/2006/main">
                  <a:graphicData uri="http://schemas.microsoft.com/office/word/2010/wordprocessingShape">
                    <wps:wsp>
                      <wps:cNvCnPr/>
                      <wps:spPr>
                        <a:xfrm>
                          <a:off x="0" y="0"/>
                          <a:ext cx="4572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23" o:spid="_x0000_s1026" o:spt="20" style="position:absolute;left:0pt;margin-left:-8.25pt;margin-top:7.8pt;height:0.05pt;width:462.2pt;z-index:251692032;mso-width-relative:page;mso-height-relative:page;" filled="f" stroked="t" coordsize="21600,21600" o:gfxdata="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qnj/vXAAAACQEAAA8AAAAAAAAAAQAgAAAAIgAAAGRycy9kb3ducmV2LnhtbFBLAQIUABQAAAAI&#10;AIdO4kDz2/nK7gEAAOsDAAAOAAAAAAAAAAEAIAAAACYBAABkcnMvZTJvRG9jLnhtbFBLBQYAAAAA&#10;BgAGAFkBAACGBQ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693056" behindDoc="0" locked="0" layoutInCell="1" allowOverlap="1">
                <wp:simplePos x="0" y="0"/>
                <wp:positionH relativeFrom="column">
                  <wp:posOffset>-99060</wp:posOffset>
                </wp:positionH>
                <wp:positionV relativeFrom="paragraph">
                  <wp:posOffset>99060</wp:posOffset>
                </wp:positionV>
                <wp:extent cx="0" cy="495300"/>
                <wp:effectExtent l="4445" t="0" r="10795" b="7620"/>
                <wp:wrapNone/>
                <wp:docPr id="35" name="直线 4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41" o:spid="_x0000_s1026" o:spt="20" style="position:absolute;left:0pt;margin-left:-7.8pt;margin-top:7.8pt;height:39pt;width:0pt;z-index:251693056;mso-width-relative:page;mso-height-relative:page;" filled="f" stroked="t" coordsize="21600,21600" o:gfxdata="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oZbPdYAAAAJAQAADwAAAAAAAAABACAAAAAiAAAAZHJzL2Rvd25yZXYueG1sUEsBAhQAFAAAAAgA&#10;h07iQL+FpH/uAQAA6gMAAA4AAAAAAAAAAQAgAAAAJQEAAGRycy9lMm9Eb2MueG1sUEsFBgAAAAAG&#10;AAYAWQEAAIUFA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695104" behindDoc="0" locked="0" layoutInCell="1" allowOverlap="1">
                <wp:simplePos x="0" y="0"/>
                <wp:positionH relativeFrom="column">
                  <wp:posOffset>4343400</wp:posOffset>
                </wp:positionH>
                <wp:positionV relativeFrom="paragraph">
                  <wp:posOffset>99060</wp:posOffset>
                </wp:positionV>
                <wp:extent cx="0" cy="495300"/>
                <wp:effectExtent l="4445" t="0" r="10795" b="7620"/>
                <wp:wrapNone/>
                <wp:docPr id="39" name="直线 40"/>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40" o:spid="_x0000_s1026" o:spt="20" style="position:absolute;left:0pt;margin-left:342pt;margin-top:7.8pt;height:39pt;width:0pt;z-index:251695104;mso-width-relative:page;mso-height-relative:page;" filled="f" stroked="t" coordsize="21600,21600" o:gfxdata="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s&#10;LNJO1gAAAAkBAAAPAAAAAAAAAAEAIAAAACIAAABkcnMvZG93bnJldi54bWxQSwECFAAUAAAACACH&#10;TuJARJ/YIO0BAADqAwAADgAAAAAAAAABACAAAAAlAQAAZHJzL2Uyb0RvYy54bWxQSwUGAAAAAAYA&#10;BgBZAQAAhAU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725824" behindDoc="0" locked="0" layoutInCell="1" allowOverlap="1">
                <wp:simplePos x="0" y="0"/>
                <wp:positionH relativeFrom="column">
                  <wp:posOffset>2887980</wp:posOffset>
                </wp:positionH>
                <wp:positionV relativeFrom="paragraph">
                  <wp:posOffset>99060</wp:posOffset>
                </wp:positionV>
                <wp:extent cx="0" cy="495300"/>
                <wp:effectExtent l="4445" t="0" r="10795" b="7620"/>
                <wp:wrapNone/>
                <wp:docPr id="70" name="直线 3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39" o:spid="_x0000_s1026" o:spt="20" style="position:absolute;left:0pt;margin-left:227.4pt;margin-top:7.8pt;height:39pt;width:0pt;z-index:251725824;mso-width-relative:page;mso-height-relative:page;" filled="f" stroked="t" coordsize="21600,21600" o:gfxdata="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rLWJdYAAAAJAQAADwAAAAAAAAABACAAAAAiAAAAZHJzL2Rvd25yZXYueG1sUEsBAhQAFAAAAAgA&#10;h07iQLnucJjuAQAA6gMAAA4AAAAAAAAAAQAgAAAAJQEAAGRycy9lMm9Eb2MueG1sUEsFBgAAAAAG&#10;AAYAWQEAAIUFA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694080" behindDoc="0" locked="0" layoutInCell="1" allowOverlap="1">
                <wp:simplePos x="0" y="0"/>
                <wp:positionH relativeFrom="column">
                  <wp:posOffset>1333500</wp:posOffset>
                </wp:positionH>
                <wp:positionV relativeFrom="paragraph">
                  <wp:posOffset>99060</wp:posOffset>
                </wp:positionV>
                <wp:extent cx="0" cy="495300"/>
                <wp:effectExtent l="4445" t="0" r="10795" b="7620"/>
                <wp:wrapNone/>
                <wp:docPr id="52" name="直线 3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39" o:spid="_x0000_s1026" o:spt="20" style="position:absolute;left:0pt;margin-left:105pt;margin-top:7.8pt;height:39pt;width:0pt;z-index:251694080;mso-width-relative:page;mso-height-relative:page;" filled="f" stroked="t" coordsize="21600,21600" o:gfxdata="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YNk3tYAAAAJAQAADwAAAAAAAAABACAAAAAiAAAAZHJzL2Rvd25yZXYueG1sUEsBAhQAFAAAAAgA&#10;h07iQFRV50LuAQAA6gMAAA4AAAAAAAAAAQAgAAAAJQEAAGRycy9lMm9Eb2MueG1sUEsFBgAAAAAG&#10;AAYAWQEAAIUFA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696128" behindDoc="0" locked="0" layoutInCell="1" allowOverlap="1">
                <wp:simplePos x="0" y="0"/>
                <wp:positionH relativeFrom="column">
                  <wp:posOffset>4914900</wp:posOffset>
                </wp:positionH>
                <wp:positionV relativeFrom="paragraph">
                  <wp:posOffset>99060</wp:posOffset>
                </wp:positionV>
                <wp:extent cx="228600" cy="0"/>
                <wp:effectExtent l="0" t="0" r="0" b="0"/>
                <wp:wrapNone/>
                <wp:docPr id="40" name="直线 4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42" o:spid="_x0000_s1026" o:spt="20" style="position:absolute;left:0pt;margin-left:387pt;margin-top:7.8pt;height:0pt;width:18pt;z-index:251696128;mso-width-relative:page;mso-height-relative:page;" filled="f" stroked="t" coordsize="21600,21600" o:gfxdata="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L&#10;G+EQ1gAAAAkBAAAPAAAAAAAAAAEAIAAAACIAAABkcnMvZG93bnJldi54bWxQSwECFAAUAAAACACH&#10;TuJAjfU9m+0BAADqAwAADgAAAAAAAAABACAAAAAlAQAAZHJzL2Uyb0RvYy54bWxQSwUGAAAAAAYA&#10;BgBZAQAAhAUAAAAA&#10;">
                <v:fill on="f" focussize="0,0"/>
                <v:stroke color="#000000" joinstyle="round"/>
                <v:imagedata o:title=""/>
                <o:lock v:ext="edit" aspectratio="f"/>
              </v:line>
            </w:pict>
          </mc:Fallback>
        </mc:AlternateContent>
      </w:r>
    </w:p>
    <w:p>
      <w:pPr>
        <w:rPr>
          <w:rFonts w:ascii="楷体_GB2312" w:eastAsia="楷体_GB2312"/>
          <w:color w:val="auto"/>
        </w:rPr>
      </w:pPr>
    </w:p>
    <w:p>
      <w:pPr>
        <w:rPr>
          <w:rFonts w:ascii="楷体_GB2312" w:eastAsia="楷体_GB2312"/>
          <w:color w:val="auto"/>
        </w:rPr>
      </w:pPr>
      <w:r>
        <w:rPr>
          <w:rFonts w:ascii="楷体_GB2312" w:eastAsia="楷体_GB2312"/>
          <w:color w:val="auto"/>
        </w:rPr>
        <mc:AlternateContent>
          <mc:Choice Requires="wps">
            <w:drawing>
              <wp:anchor distT="0" distB="0" distL="114300" distR="114300" simplePos="0" relativeHeight="251728896" behindDoc="0" locked="0" layoutInCell="1" allowOverlap="1">
                <wp:simplePos x="0" y="0"/>
                <wp:positionH relativeFrom="column">
                  <wp:posOffset>3886200</wp:posOffset>
                </wp:positionH>
                <wp:positionV relativeFrom="paragraph">
                  <wp:posOffset>63500</wp:posOffset>
                </wp:positionV>
                <wp:extent cx="914400" cy="2062480"/>
                <wp:effectExtent l="4445" t="4445" r="10795" b="5715"/>
                <wp:wrapNone/>
                <wp:docPr id="119" name="自选图形 45"/>
                <wp:cNvGraphicFramePr/>
                <a:graphic xmlns:a="http://schemas.openxmlformats.org/drawingml/2006/main">
                  <a:graphicData uri="http://schemas.microsoft.com/office/word/2010/wordprocessingShape">
                    <wps:wsp>
                      <wps:cNvSpPr/>
                      <wps:spPr>
                        <a:xfrm>
                          <a:off x="0" y="0"/>
                          <a:ext cx="914400" cy="20624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b/>
                              </w:rPr>
                            </w:pPr>
                            <w:r>
                              <w:rPr>
                                <w:rFonts w:hint="eastAsia"/>
                                <w:b/>
                              </w:rPr>
                              <w:t>档案室</w:t>
                            </w:r>
                          </w:p>
                          <w:p>
                            <w:pPr>
                              <w:jc w:val="center"/>
                            </w:pPr>
                          </w:p>
                          <w:p>
                            <w:pPr>
                              <w:jc w:val="center"/>
                              <w:rPr>
                                <w:rFonts w:ascii="宋体" w:hAnsi="宋体"/>
                                <w:b/>
                                <w:szCs w:val="21"/>
                              </w:rPr>
                            </w:pPr>
                          </w:p>
                          <w:p>
                            <w:pPr>
                              <w:pStyle w:val="4"/>
                              <w:ind w:firstLine="105" w:firstLineChars="50"/>
                              <w:jc w:val="both"/>
                              <w:rPr>
                                <w:rFonts w:ascii="宋体" w:hAnsi="宋体" w:eastAsia="宋体"/>
                                <w:b w:val="0"/>
                                <w:bCs w:val="0"/>
                                <w:sz w:val="21"/>
                                <w:szCs w:val="21"/>
                              </w:rPr>
                            </w:pPr>
                            <w:r>
                              <w:rPr>
                                <w:rFonts w:hint="eastAsia" w:ascii="宋体" w:hAnsi="宋体" w:eastAsia="宋体"/>
                                <w:b w:val="0"/>
                                <w:bCs w:val="0"/>
                                <w:sz w:val="21"/>
                                <w:szCs w:val="21"/>
                              </w:rPr>
                              <w:t>文件整理</w:t>
                            </w:r>
                          </w:p>
                          <w:p>
                            <w:pPr>
                              <w:pStyle w:val="4"/>
                              <w:rPr>
                                <w:rFonts w:ascii="宋体" w:hAnsi="宋体" w:eastAsia="宋体"/>
                                <w:b w:val="0"/>
                                <w:bCs w:val="0"/>
                                <w:sz w:val="21"/>
                                <w:szCs w:val="21"/>
                              </w:rPr>
                            </w:pPr>
                            <w:r>
                              <w:rPr>
                                <w:rFonts w:hint="eastAsia" w:ascii="宋体" w:hAnsi="宋体" w:eastAsia="宋体"/>
                                <w:b w:val="0"/>
                                <w:bCs w:val="0"/>
                                <w:sz w:val="21"/>
                                <w:szCs w:val="21"/>
                              </w:rPr>
                              <w:t>资料归档</w:t>
                            </w:r>
                          </w:p>
                          <w:p>
                            <w:pPr>
                              <w:jc w:val="center"/>
                            </w:pPr>
                            <w:r>
                              <w:rPr>
                                <w:rFonts w:hint="eastAsia"/>
                              </w:rPr>
                              <w:t>资料保存</w:t>
                            </w:r>
                          </w:p>
                        </w:txbxContent>
                      </wps:txbx>
                      <wps:bodyPr lIns="91440" tIns="190800" rIns="91440" bIns="45720" upright="1"/>
                    </wps:wsp>
                  </a:graphicData>
                </a:graphic>
              </wp:anchor>
            </w:drawing>
          </mc:Choice>
          <mc:Fallback>
            <w:pict>
              <v:roundrect id="自选图形 45" o:spid="_x0000_s1026" o:spt="2" style="position:absolute;left:0pt;margin-left:306pt;margin-top:5pt;height:162.4pt;width:72pt;z-index:251728896;mso-width-relative:page;mso-height-relative:page;" fillcolor="#FFFFFF" filled="t" stroked="t" coordsize="21600,21600" arcsize="0.166666666666667" o:gfxdata="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Y6T9gAAAAKAQAADwAAAAAAAAABACAA&#10;AAAiAAAAZHJzL2Rvd25yZXYueG1sUEsBAhQAFAAAAAgAh07iQFCCusxGAgAAnAQAAA4AAAAAAAAA&#10;AQAgAAAAJwEAAGRycy9lMm9Eb2MueG1sUEsFBgAAAAAGAAYAWQEAAN8FAAAAAA==&#10;">
                <v:fill on="t" focussize="0,0"/>
                <v:stroke color="#000000" joinstyle="round"/>
                <v:imagedata o:title=""/>
                <o:lock v:ext="edit" aspectratio="f"/>
                <v:textbox inset="2.54mm,5.3mm,2.54mm,1.27mm">
                  <w:txbxContent>
                    <w:p>
                      <w:pPr>
                        <w:jc w:val="center"/>
                        <w:rPr>
                          <w:b/>
                        </w:rPr>
                      </w:pPr>
                      <w:r>
                        <w:rPr>
                          <w:rFonts w:hint="eastAsia"/>
                          <w:b/>
                        </w:rPr>
                        <w:t>档案室</w:t>
                      </w:r>
                    </w:p>
                    <w:p>
                      <w:pPr>
                        <w:jc w:val="center"/>
                      </w:pPr>
                    </w:p>
                    <w:p>
                      <w:pPr>
                        <w:jc w:val="center"/>
                        <w:rPr>
                          <w:rFonts w:ascii="宋体" w:hAnsi="宋体"/>
                          <w:b/>
                          <w:szCs w:val="21"/>
                        </w:rPr>
                      </w:pPr>
                    </w:p>
                    <w:p>
                      <w:pPr>
                        <w:pStyle w:val="4"/>
                        <w:ind w:firstLine="105" w:firstLineChars="50"/>
                        <w:jc w:val="both"/>
                        <w:rPr>
                          <w:rFonts w:ascii="宋体" w:hAnsi="宋体" w:eastAsia="宋体"/>
                          <w:b w:val="0"/>
                          <w:bCs w:val="0"/>
                          <w:sz w:val="21"/>
                          <w:szCs w:val="21"/>
                        </w:rPr>
                      </w:pPr>
                      <w:r>
                        <w:rPr>
                          <w:rFonts w:hint="eastAsia" w:ascii="宋体" w:hAnsi="宋体" w:eastAsia="宋体"/>
                          <w:b w:val="0"/>
                          <w:bCs w:val="0"/>
                          <w:sz w:val="21"/>
                          <w:szCs w:val="21"/>
                        </w:rPr>
                        <w:t>文件整理</w:t>
                      </w:r>
                    </w:p>
                    <w:p>
                      <w:pPr>
                        <w:pStyle w:val="4"/>
                        <w:rPr>
                          <w:rFonts w:ascii="宋体" w:hAnsi="宋体" w:eastAsia="宋体"/>
                          <w:b w:val="0"/>
                          <w:bCs w:val="0"/>
                          <w:sz w:val="21"/>
                          <w:szCs w:val="21"/>
                        </w:rPr>
                      </w:pPr>
                      <w:r>
                        <w:rPr>
                          <w:rFonts w:hint="eastAsia" w:ascii="宋体" w:hAnsi="宋体" w:eastAsia="宋体"/>
                          <w:b w:val="0"/>
                          <w:bCs w:val="0"/>
                          <w:sz w:val="21"/>
                          <w:szCs w:val="21"/>
                        </w:rPr>
                        <w:t>资料归档</w:t>
                      </w:r>
                    </w:p>
                    <w:p>
                      <w:pPr>
                        <w:jc w:val="center"/>
                      </w:pPr>
                      <w:r>
                        <w:rPr>
                          <w:rFonts w:hint="eastAsia"/>
                        </w:rPr>
                        <w:t>资料保存</w:t>
                      </w:r>
                    </w:p>
                  </w:txbxContent>
                </v:textbox>
              </v:roundrect>
            </w:pict>
          </mc:Fallback>
        </mc:AlternateContent>
      </w:r>
      <w:r>
        <w:rPr>
          <w:rFonts w:ascii="楷体_GB2312" w:eastAsia="楷体_GB2312"/>
          <w:color w:val="auto"/>
        </w:rPr>
        <mc:AlternateContent>
          <mc:Choice Requires="wps">
            <w:drawing>
              <wp:anchor distT="0" distB="0" distL="114300" distR="114300" simplePos="0" relativeHeight="251726848" behindDoc="0" locked="0" layoutInCell="1" allowOverlap="1">
                <wp:simplePos x="0" y="0"/>
                <wp:positionH relativeFrom="column">
                  <wp:posOffset>2362835</wp:posOffset>
                </wp:positionH>
                <wp:positionV relativeFrom="paragraph">
                  <wp:posOffset>33020</wp:posOffset>
                </wp:positionV>
                <wp:extent cx="1035685" cy="2080260"/>
                <wp:effectExtent l="4445" t="4445" r="11430" b="18415"/>
                <wp:wrapNone/>
                <wp:docPr id="71" name="自选图形 46"/>
                <wp:cNvGraphicFramePr/>
                <a:graphic xmlns:a="http://schemas.openxmlformats.org/drawingml/2006/main">
                  <a:graphicData uri="http://schemas.microsoft.com/office/word/2010/wordprocessingShape">
                    <wps:wsp>
                      <wps:cNvSpPr/>
                      <wps:spPr>
                        <a:xfrm>
                          <a:off x="0" y="0"/>
                          <a:ext cx="914400" cy="208026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ascii="宋体" w:hAnsi="宋体"/>
                                <w:b/>
                                <w:szCs w:val="21"/>
                              </w:rPr>
                            </w:pPr>
                            <w:r>
                              <w:rPr>
                                <w:rFonts w:hint="eastAsia" w:ascii="宋体" w:hAnsi="宋体"/>
                                <w:b/>
                                <w:szCs w:val="21"/>
                              </w:rPr>
                              <w:t>临床试验</w:t>
                            </w:r>
                          </w:p>
                          <w:p>
                            <w:pPr>
                              <w:jc w:val="center"/>
                              <w:rPr>
                                <w:rFonts w:hint="eastAsia" w:ascii="宋体" w:hAnsi="宋体"/>
                                <w:b/>
                                <w:szCs w:val="21"/>
                              </w:rPr>
                            </w:pPr>
                            <w:r>
                              <w:rPr>
                                <w:rFonts w:hint="eastAsia" w:ascii="宋体" w:hAnsi="宋体"/>
                                <w:b/>
                                <w:szCs w:val="21"/>
                              </w:rPr>
                              <w:t>机构中心</w:t>
                            </w:r>
                          </w:p>
                          <w:p>
                            <w:pPr>
                              <w:jc w:val="center"/>
                              <w:rPr>
                                <w:rFonts w:ascii="宋体" w:hAnsi="宋体"/>
                                <w:b/>
                                <w:szCs w:val="21"/>
                              </w:rPr>
                            </w:pPr>
                            <w:r>
                              <w:rPr>
                                <w:rFonts w:hint="eastAsia" w:ascii="宋体" w:hAnsi="宋体"/>
                                <w:b/>
                                <w:szCs w:val="21"/>
                              </w:rPr>
                              <w:t>药房</w:t>
                            </w:r>
                          </w:p>
                          <w:p>
                            <w:pPr>
                              <w:pStyle w:val="4"/>
                              <w:rPr>
                                <w:rFonts w:ascii="宋体" w:hAnsi="宋体" w:eastAsia="宋体"/>
                                <w:b w:val="0"/>
                                <w:bCs w:val="0"/>
                                <w:sz w:val="18"/>
                                <w:szCs w:val="18"/>
                              </w:rPr>
                            </w:pPr>
                            <w:r>
                              <w:rPr>
                                <w:rFonts w:hint="eastAsia" w:ascii="宋体" w:hAnsi="宋体" w:eastAsia="宋体"/>
                                <w:b w:val="0"/>
                                <w:bCs w:val="0"/>
                                <w:sz w:val="18"/>
                                <w:szCs w:val="18"/>
                              </w:rPr>
                              <w:t>医疗器械接收</w:t>
                            </w:r>
                          </w:p>
                          <w:p>
                            <w:pPr>
                              <w:pStyle w:val="4"/>
                              <w:rPr>
                                <w:rFonts w:ascii="宋体" w:hAnsi="宋体" w:eastAsia="宋体"/>
                                <w:b w:val="0"/>
                                <w:bCs w:val="0"/>
                                <w:sz w:val="18"/>
                                <w:szCs w:val="18"/>
                              </w:rPr>
                            </w:pPr>
                            <w:r>
                              <w:rPr>
                                <w:rFonts w:hint="eastAsia" w:ascii="宋体" w:hAnsi="宋体" w:eastAsia="宋体"/>
                                <w:b w:val="0"/>
                                <w:bCs w:val="0"/>
                                <w:sz w:val="18"/>
                                <w:szCs w:val="18"/>
                              </w:rPr>
                              <w:t>医疗器械入库</w:t>
                            </w:r>
                          </w:p>
                          <w:p>
                            <w:pPr>
                              <w:pStyle w:val="4"/>
                              <w:rPr>
                                <w:rFonts w:hint="eastAsia" w:ascii="宋体" w:hAnsi="宋体" w:eastAsia="宋体"/>
                                <w:b w:val="0"/>
                                <w:bCs w:val="0"/>
                                <w:sz w:val="18"/>
                                <w:szCs w:val="18"/>
                              </w:rPr>
                            </w:pPr>
                            <w:r>
                              <w:rPr>
                                <w:rFonts w:hint="eastAsia" w:ascii="宋体" w:hAnsi="宋体" w:eastAsia="宋体"/>
                                <w:b w:val="0"/>
                                <w:bCs w:val="0"/>
                                <w:sz w:val="18"/>
                                <w:szCs w:val="18"/>
                              </w:rPr>
                              <w:t>医疗器械保管</w:t>
                            </w:r>
                          </w:p>
                          <w:p>
                            <w:pPr>
                              <w:pStyle w:val="4"/>
                              <w:rPr>
                                <w:rFonts w:hint="eastAsia" w:ascii="宋体" w:hAnsi="宋体" w:eastAsia="宋体"/>
                                <w:b w:val="0"/>
                                <w:bCs w:val="0"/>
                                <w:sz w:val="18"/>
                                <w:szCs w:val="18"/>
                              </w:rPr>
                            </w:pPr>
                            <w:r>
                              <w:rPr>
                                <w:rFonts w:hint="eastAsia" w:ascii="宋体" w:hAnsi="宋体" w:eastAsia="宋体"/>
                                <w:b w:val="0"/>
                                <w:bCs w:val="0"/>
                                <w:sz w:val="18"/>
                                <w:szCs w:val="18"/>
                              </w:rPr>
                              <w:t>医疗器械发放</w:t>
                            </w:r>
                          </w:p>
                          <w:p>
                            <w:pPr>
                              <w:pStyle w:val="4"/>
                              <w:rPr>
                                <w:rFonts w:hint="eastAsia" w:ascii="宋体" w:hAnsi="宋体" w:eastAsia="宋体"/>
                                <w:b w:val="0"/>
                                <w:bCs w:val="0"/>
                                <w:sz w:val="18"/>
                                <w:szCs w:val="18"/>
                              </w:rPr>
                            </w:pPr>
                            <w:r>
                              <w:rPr>
                                <w:rFonts w:hint="eastAsia" w:ascii="宋体" w:hAnsi="宋体" w:eastAsia="宋体"/>
                                <w:b w:val="0"/>
                                <w:bCs w:val="0"/>
                                <w:sz w:val="18"/>
                                <w:szCs w:val="18"/>
                              </w:rPr>
                              <w:t>医疗器械回收</w:t>
                            </w:r>
                          </w:p>
                          <w:p>
                            <w:pPr>
                              <w:pStyle w:val="4"/>
                            </w:pPr>
                            <w:r>
                              <w:rPr>
                                <w:rFonts w:hint="eastAsia" w:ascii="宋体" w:hAnsi="宋体" w:eastAsia="宋体"/>
                                <w:b w:val="0"/>
                                <w:bCs w:val="0"/>
                                <w:sz w:val="18"/>
                                <w:szCs w:val="18"/>
                              </w:rPr>
                              <w:t>医疗器械退回</w:t>
                            </w:r>
                          </w:p>
                          <w:p>
                            <w:pPr>
                              <w:jc w:val="center"/>
                            </w:pPr>
                          </w:p>
                          <w:p>
                            <w:pPr>
                              <w:jc w:val="center"/>
                            </w:pPr>
                          </w:p>
                          <w:p>
                            <w:pPr>
                              <w:jc w:val="center"/>
                            </w:pPr>
                          </w:p>
                        </w:txbxContent>
                      </wps:txbx>
                      <wps:bodyPr lIns="91440" tIns="190800" rIns="91440" bIns="45720" upright="1"/>
                    </wps:wsp>
                  </a:graphicData>
                </a:graphic>
              </wp:anchor>
            </w:drawing>
          </mc:Choice>
          <mc:Fallback>
            <w:pict>
              <v:roundrect id="自选图形 46" o:spid="_x0000_s1026" o:spt="2" style="position:absolute;left:0pt;margin-left:186.05pt;margin-top:2.6pt;height:163.8pt;width:81.55pt;z-index:251726848;mso-width-relative:page;mso-height-relative:page;" fillcolor="#FFFFFF" filled="t" stroked="t" coordsize="21600,21600" arcsize="0.166666666666667" o:gfxdata="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i22NLXAAAACQEAAA8AAAAAAAAAAQAgAAAA&#10;IgAAAGRycy9kb3ducmV2LnhtbFBLAQIUABQAAAAIAIdO4kBPUv+BRQIAAJsEAAAOAAAAAAAAAAEA&#10;IAAAACYBAABkcnMvZTJvRG9jLnhtbFBLBQYAAAAABgAGAFkBAADdBQAAAAA=&#10;">
                <v:fill on="t" focussize="0,0"/>
                <v:stroke color="#000000" joinstyle="round"/>
                <v:imagedata o:title=""/>
                <o:lock v:ext="edit" aspectratio="f"/>
                <v:textbox inset="2.54mm,5.3mm,2.54mm,1.27mm">
                  <w:txbxContent>
                    <w:p>
                      <w:pPr>
                        <w:jc w:val="center"/>
                        <w:rPr>
                          <w:rFonts w:hint="eastAsia" w:ascii="宋体" w:hAnsi="宋体"/>
                          <w:b/>
                          <w:szCs w:val="21"/>
                        </w:rPr>
                      </w:pPr>
                      <w:r>
                        <w:rPr>
                          <w:rFonts w:hint="eastAsia" w:ascii="宋体" w:hAnsi="宋体"/>
                          <w:b/>
                          <w:szCs w:val="21"/>
                        </w:rPr>
                        <w:t>临床试验</w:t>
                      </w:r>
                    </w:p>
                    <w:p>
                      <w:pPr>
                        <w:jc w:val="center"/>
                        <w:rPr>
                          <w:rFonts w:hint="eastAsia" w:ascii="宋体" w:hAnsi="宋体"/>
                          <w:b/>
                          <w:szCs w:val="21"/>
                        </w:rPr>
                      </w:pPr>
                      <w:r>
                        <w:rPr>
                          <w:rFonts w:hint="eastAsia" w:ascii="宋体" w:hAnsi="宋体"/>
                          <w:b/>
                          <w:szCs w:val="21"/>
                        </w:rPr>
                        <w:t>机构中心</w:t>
                      </w:r>
                    </w:p>
                    <w:p>
                      <w:pPr>
                        <w:jc w:val="center"/>
                        <w:rPr>
                          <w:rFonts w:ascii="宋体" w:hAnsi="宋体"/>
                          <w:b/>
                          <w:szCs w:val="21"/>
                        </w:rPr>
                      </w:pPr>
                      <w:r>
                        <w:rPr>
                          <w:rFonts w:hint="eastAsia" w:ascii="宋体" w:hAnsi="宋体"/>
                          <w:b/>
                          <w:szCs w:val="21"/>
                        </w:rPr>
                        <w:t>药房</w:t>
                      </w:r>
                    </w:p>
                    <w:p>
                      <w:pPr>
                        <w:pStyle w:val="4"/>
                        <w:rPr>
                          <w:rFonts w:ascii="宋体" w:hAnsi="宋体" w:eastAsia="宋体"/>
                          <w:b w:val="0"/>
                          <w:bCs w:val="0"/>
                          <w:sz w:val="18"/>
                          <w:szCs w:val="18"/>
                        </w:rPr>
                      </w:pPr>
                      <w:r>
                        <w:rPr>
                          <w:rFonts w:hint="eastAsia" w:ascii="宋体" w:hAnsi="宋体" w:eastAsia="宋体"/>
                          <w:b w:val="0"/>
                          <w:bCs w:val="0"/>
                          <w:sz w:val="18"/>
                          <w:szCs w:val="18"/>
                        </w:rPr>
                        <w:t>医疗器械接收</w:t>
                      </w:r>
                    </w:p>
                    <w:p>
                      <w:pPr>
                        <w:pStyle w:val="4"/>
                        <w:rPr>
                          <w:rFonts w:ascii="宋体" w:hAnsi="宋体" w:eastAsia="宋体"/>
                          <w:b w:val="0"/>
                          <w:bCs w:val="0"/>
                          <w:sz w:val="18"/>
                          <w:szCs w:val="18"/>
                        </w:rPr>
                      </w:pPr>
                      <w:r>
                        <w:rPr>
                          <w:rFonts w:hint="eastAsia" w:ascii="宋体" w:hAnsi="宋体" w:eastAsia="宋体"/>
                          <w:b w:val="0"/>
                          <w:bCs w:val="0"/>
                          <w:sz w:val="18"/>
                          <w:szCs w:val="18"/>
                        </w:rPr>
                        <w:t>医疗器械入库</w:t>
                      </w:r>
                    </w:p>
                    <w:p>
                      <w:pPr>
                        <w:pStyle w:val="4"/>
                        <w:rPr>
                          <w:rFonts w:hint="eastAsia" w:ascii="宋体" w:hAnsi="宋体" w:eastAsia="宋体"/>
                          <w:b w:val="0"/>
                          <w:bCs w:val="0"/>
                          <w:sz w:val="18"/>
                          <w:szCs w:val="18"/>
                        </w:rPr>
                      </w:pPr>
                      <w:r>
                        <w:rPr>
                          <w:rFonts w:hint="eastAsia" w:ascii="宋体" w:hAnsi="宋体" w:eastAsia="宋体"/>
                          <w:b w:val="0"/>
                          <w:bCs w:val="0"/>
                          <w:sz w:val="18"/>
                          <w:szCs w:val="18"/>
                        </w:rPr>
                        <w:t>医疗器械保管</w:t>
                      </w:r>
                    </w:p>
                    <w:p>
                      <w:pPr>
                        <w:pStyle w:val="4"/>
                        <w:rPr>
                          <w:rFonts w:hint="eastAsia" w:ascii="宋体" w:hAnsi="宋体" w:eastAsia="宋体"/>
                          <w:b w:val="0"/>
                          <w:bCs w:val="0"/>
                          <w:sz w:val="18"/>
                          <w:szCs w:val="18"/>
                        </w:rPr>
                      </w:pPr>
                      <w:r>
                        <w:rPr>
                          <w:rFonts w:hint="eastAsia" w:ascii="宋体" w:hAnsi="宋体" w:eastAsia="宋体"/>
                          <w:b w:val="0"/>
                          <w:bCs w:val="0"/>
                          <w:sz w:val="18"/>
                          <w:szCs w:val="18"/>
                        </w:rPr>
                        <w:t>医疗器械发放</w:t>
                      </w:r>
                    </w:p>
                    <w:p>
                      <w:pPr>
                        <w:pStyle w:val="4"/>
                        <w:rPr>
                          <w:rFonts w:hint="eastAsia" w:ascii="宋体" w:hAnsi="宋体" w:eastAsia="宋体"/>
                          <w:b w:val="0"/>
                          <w:bCs w:val="0"/>
                          <w:sz w:val="18"/>
                          <w:szCs w:val="18"/>
                        </w:rPr>
                      </w:pPr>
                      <w:r>
                        <w:rPr>
                          <w:rFonts w:hint="eastAsia" w:ascii="宋体" w:hAnsi="宋体" w:eastAsia="宋体"/>
                          <w:b w:val="0"/>
                          <w:bCs w:val="0"/>
                          <w:sz w:val="18"/>
                          <w:szCs w:val="18"/>
                        </w:rPr>
                        <w:t>医疗器械回收</w:t>
                      </w:r>
                    </w:p>
                    <w:p>
                      <w:pPr>
                        <w:pStyle w:val="4"/>
                      </w:pPr>
                      <w:r>
                        <w:rPr>
                          <w:rFonts w:hint="eastAsia" w:ascii="宋体" w:hAnsi="宋体" w:eastAsia="宋体"/>
                          <w:b w:val="0"/>
                          <w:bCs w:val="0"/>
                          <w:sz w:val="18"/>
                          <w:szCs w:val="18"/>
                        </w:rPr>
                        <w:t>医疗器械退回</w:t>
                      </w:r>
                    </w:p>
                    <w:p>
                      <w:pPr>
                        <w:jc w:val="center"/>
                      </w:pPr>
                    </w:p>
                    <w:p>
                      <w:pPr>
                        <w:jc w:val="center"/>
                      </w:pPr>
                    </w:p>
                    <w:p>
                      <w:pPr>
                        <w:jc w:val="center"/>
                      </w:pPr>
                    </w:p>
                  </w:txbxContent>
                </v:textbox>
              </v:roundrect>
            </w:pict>
          </mc:Fallback>
        </mc:AlternateContent>
      </w:r>
      <w:r>
        <w:rPr>
          <w:rFonts w:ascii="楷体_GB2312" w:eastAsia="楷体_GB2312"/>
          <w:color w:val="auto"/>
        </w:rPr>
        <mc:AlternateContent>
          <mc:Choice Requires="wps">
            <w:drawing>
              <wp:anchor distT="0" distB="0" distL="114300" distR="114300" simplePos="0" relativeHeight="251724800" behindDoc="0" locked="0" layoutInCell="1" allowOverlap="1">
                <wp:simplePos x="0" y="0"/>
                <wp:positionH relativeFrom="column">
                  <wp:posOffset>853440</wp:posOffset>
                </wp:positionH>
                <wp:positionV relativeFrom="paragraph">
                  <wp:posOffset>17780</wp:posOffset>
                </wp:positionV>
                <wp:extent cx="914400" cy="2080260"/>
                <wp:effectExtent l="4445" t="4445" r="10795" b="18415"/>
                <wp:wrapNone/>
                <wp:docPr id="69" name="自选图形 46"/>
                <wp:cNvGraphicFramePr/>
                <a:graphic xmlns:a="http://schemas.openxmlformats.org/drawingml/2006/main">
                  <a:graphicData uri="http://schemas.microsoft.com/office/word/2010/wordprocessingShape">
                    <wps:wsp>
                      <wps:cNvSpPr/>
                      <wps:spPr>
                        <a:xfrm>
                          <a:off x="0" y="0"/>
                          <a:ext cx="914400" cy="208026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b/>
                                <w:szCs w:val="21"/>
                              </w:rPr>
                            </w:pPr>
                            <w:r>
                              <w:rPr>
                                <w:rFonts w:hint="eastAsia" w:ascii="宋体" w:hAnsi="宋体"/>
                                <w:b/>
                                <w:szCs w:val="21"/>
                              </w:rPr>
                              <w:t>临床试验机构中心药房</w:t>
                            </w:r>
                          </w:p>
                          <w:p>
                            <w:pPr>
                              <w:pStyle w:val="4"/>
                              <w:rPr>
                                <w:rFonts w:ascii="宋体" w:hAnsi="宋体" w:eastAsia="宋体"/>
                                <w:b w:val="0"/>
                                <w:bCs w:val="0"/>
                                <w:sz w:val="21"/>
                                <w:szCs w:val="21"/>
                              </w:rPr>
                            </w:pPr>
                            <w:r>
                              <w:rPr>
                                <w:rFonts w:hint="eastAsia" w:ascii="宋体" w:hAnsi="宋体" w:eastAsia="宋体"/>
                                <w:b w:val="0"/>
                                <w:bCs w:val="0"/>
                                <w:sz w:val="21"/>
                                <w:szCs w:val="21"/>
                              </w:rPr>
                              <w:t>药品接收</w:t>
                            </w:r>
                          </w:p>
                          <w:p>
                            <w:pPr>
                              <w:pStyle w:val="4"/>
                              <w:rPr>
                                <w:rFonts w:ascii="宋体" w:hAnsi="宋体" w:eastAsia="宋体"/>
                                <w:b w:val="0"/>
                                <w:bCs w:val="0"/>
                                <w:sz w:val="21"/>
                                <w:szCs w:val="21"/>
                              </w:rPr>
                            </w:pPr>
                            <w:r>
                              <w:rPr>
                                <w:rFonts w:hint="eastAsia" w:ascii="宋体" w:hAnsi="宋体" w:eastAsia="宋体"/>
                                <w:b w:val="0"/>
                                <w:bCs w:val="0"/>
                                <w:sz w:val="21"/>
                                <w:szCs w:val="21"/>
                              </w:rPr>
                              <w:t>药品入库</w:t>
                            </w:r>
                          </w:p>
                          <w:p>
                            <w:pPr>
                              <w:jc w:val="center"/>
                            </w:pPr>
                            <w:r>
                              <w:rPr>
                                <w:rFonts w:hint="eastAsia"/>
                              </w:rPr>
                              <w:t>药品保管</w:t>
                            </w:r>
                          </w:p>
                          <w:p>
                            <w:pPr>
                              <w:jc w:val="center"/>
                            </w:pPr>
                            <w:r>
                              <w:rPr>
                                <w:rFonts w:hint="eastAsia"/>
                              </w:rPr>
                              <w:t>药品发放</w:t>
                            </w:r>
                          </w:p>
                          <w:p>
                            <w:pPr>
                              <w:jc w:val="center"/>
                            </w:pPr>
                            <w:r>
                              <w:rPr>
                                <w:rFonts w:hint="eastAsia"/>
                              </w:rPr>
                              <w:t>药品回收</w:t>
                            </w:r>
                          </w:p>
                          <w:p>
                            <w:pPr>
                              <w:jc w:val="center"/>
                            </w:pPr>
                            <w:r>
                              <w:rPr>
                                <w:rFonts w:hint="eastAsia"/>
                              </w:rPr>
                              <w:t>药品退回</w:t>
                            </w:r>
                          </w:p>
                          <w:p>
                            <w:pPr>
                              <w:jc w:val="center"/>
                            </w:pPr>
                          </w:p>
                          <w:p>
                            <w:pPr>
                              <w:jc w:val="center"/>
                            </w:pPr>
                          </w:p>
                          <w:p>
                            <w:pPr>
                              <w:jc w:val="center"/>
                            </w:pPr>
                          </w:p>
                        </w:txbxContent>
                      </wps:txbx>
                      <wps:bodyPr lIns="91440" tIns="190800" rIns="91440" bIns="45720" upright="1"/>
                    </wps:wsp>
                  </a:graphicData>
                </a:graphic>
              </wp:anchor>
            </w:drawing>
          </mc:Choice>
          <mc:Fallback>
            <w:pict>
              <v:roundrect id="自选图形 46" o:spid="_x0000_s1026" o:spt="2" style="position:absolute;left:0pt;margin-left:67.2pt;margin-top:1.4pt;height:163.8pt;width:72pt;z-index:251724800;mso-width-relative:page;mso-height-relative:page;" fillcolor="#FFFFFF" filled="t" stroked="t" coordsize="21600,21600" arcsize="0.166666666666667" o:gfxdata="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3lDal1QAAAAkBAAAPAAAAAAAAAAEAIAAAACIA&#10;AABkcnMvZG93bnJldi54bWxQSwECFAAUAAAACACHTuJAXaYwTkUCAACbBAAADgAAAAAAAAABACAA&#10;AAAkAQAAZHJzL2Uyb0RvYy54bWxQSwUGAAAAAAYABgBZAQAA2wUAAAAA&#10;">
                <v:fill on="t" focussize="0,0"/>
                <v:stroke color="#000000" joinstyle="round"/>
                <v:imagedata o:title=""/>
                <o:lock v:ext="edit" aspectratio="f"/>
                <v:textbox inset="2.54mm,5.3mm,2.54mm,1.27mm">
                  <w:txbxContent>
                    <w:p>
                      <w:pPr>
                        <w:jc w:val="center"/>
                        <w:rPr>
                          <w:rFonts w:ascii="宋体" w:hAnsi="宋体"/>
                          <w:b/>
                          <w:szCs w:val="21"/>
                        </w:rPr>
                      </w:pPr>
                      <w:r>
                        <w:rPr>
                          <w:rFonts w:hint="eastAsia" w:ascii="宋体" w:hAnsi="宋体"/>
                          <w:b/>
                          <w:szCs w:val="21"/>
                        </w:rPr>
                        <w:t>临床试验机构中心药房</w:t>
                      </w:r>
                    </w:p>
                    <w:p>
                      <w:pPr>
                        <w:pStyle w:val="4"/>
                        <w:rPr>
                          <w:rFonts w:ascii="宋体" w:hAnsi="宋体" w:eastAsia="宋体"/>
                          <w:b w:val="0"/>
                          <w:bCs w:val="0"/>
                          <w:sz w:val="21"/>
                          <w:szCs w:val="21"/>
                        </w:rPr>
                      </w:pPr>
                      <w:r>
                        <w:rPr>
                          <w:rFonts w:hint="eastAsia" w:ascii="宋体" w:hAnsi="宋体" w:eastAsia="宋体"/>
                          <w:b w:val="0"/>
                          <w:bCs w:val="0"/>
                          <w:sz w:val="21"/>
                          <w:szCs w:val="21"/>
                        </w:rPr>
                        <w:t>药品接收</w:t>
                      </w:r>
                    </w:p>
                    <w:p>
                      <w:pPr>
                        <w:pStyle w:val="4"/>
                        <w:rPr>
                          <w:rFonts w:ascii="宋体" w:hAnsi="宋体" w:eastAsia="宋体"/>
                          <w:b w:val="0"/>
                          <w:bCs w:val="0"/>
                          <w:sz w:val="21"/>
                          <w:szCs w:val="21"/>
                        </w:rPr>
                      </w:pPr>
                      <w:r>
                        <w:rPr>
                          <w:rFonts w:hint="eastAsia" w:ascii="宋体" w:hAnsi="宋体" w:eastAsia="宋体"/>
                          <w:b w:val="0"/>
                          <w:bCs w:val="0"/>
                          <w:sz w:val="21"/>
                          <w:szCs w:val="21"/>
                        </w:rPr>
                        <w:t>药品入库</w:t>
                      </w:r>
                    </w:p>
                    <w:p>
                      <w:pPr>
                        <w:jc w:val="center"/>
                      </w:pPr>
                      <w:r>
                        <w:rPr>
                          <w:rFonts w:hint="eastAsia"/>
                        </w:rPr>
                        <w:t>药品保管</w:t>
                      </w:r>
                    </w:p>
                    <w:p>
                      <w:pPr>
                        <w:jc w:val="center"/>
                      </w:pPr>
                      <w:r>
                        <w:rPr>
                          <w:rFonts w:hint="eastAsia"/>
                        </w:rPr>
                        <w:t>药品发放</w:t>
                      </w:r>
                    </w:p>
                    <w:p>
                      <w:pPr>
                        <w:jc w:val="center"/>
                      </w:pPr>
                      <w:r>
                        <w:rPr>
                          <w:rFonts w:hint="eastAsia"/>
                        </w:rPr>
                        <w:t>药品回收</w:t>
                      </w:r>
                    </w:p>
                    <w:p>
                      <w:pPr>
                        <w:jc w:val="center"/>
                      </w:pPr>
                      <w:r>
                        <w:rPr>
                          <w:rFonts w:hint="eastAsia"/>
                        </w:rPr>
                        <w:t>药品退回</w:t>
                      </w:r>
                    </w:p>
                    <w:p>
                      <w:pPr>
                        <w:jc w:val="center"/>
                      </w:pPr>
                    </w:p>
                    <w:p>
                      <w:pPr>
                        <w:jc w:val="center"/>
                      </w:pPr>
                    </w:p>
                    <w:p>
                      <w:pPr>
                        <w:jc w:val="center"/>
                      </w:pPr>
                    </w:p>
                  </w:txbxContent>
                </v:textbox>
              </v:roundrect>
            </w:pict>
          </mc:Fallback>
        </mc:AlternateContent>
      </w:r>
      <w:r>
        <w:rPr>
          <w:rFonts w:ascii="楷体_GB2312" w:eastAsia="楷体_GB2312"/>
          <w:color w:val="auto"/>
        </w:rPr>
        <mc:AlternateContent>
          <mc:Choice Requires="wps">
            <w:drawing>
              <wp:anchor distT="0" distB="0" distL="114300" distR="114300" simplePos="0" relativeHeight="251723776" behindDoc="0" locked="0" layoutInCell="1" allowOverlap="1">
                <wp:simplePos x="0" y="0"/>
                <wp:positionH relativeFrom="column">
                  <wp:posOffset>-563880</wp:posOffset>
                </wp:positionH>
                <wp:positionV relativeFrom="paragraph">
                  <wp:posOffset>2540</wp:posOffset>
                </wp:positionV>
                <wp:extent cx="914400" cy="2062480"/>
                <wp:effectExtent l="4445" t="4445" r="10795" b="5715"/>
                <wp:wrapNone/>
                <wp:docPr id="68" name="自选图形 47"/>
                <wp:cNvGraphicFramePr/>
                <a:graphic xmlns:a="http://schemas.openxmlformats.org/drawingml/2006/main">
                  <a:graphicData uri="http://schemas.microsoft.com/office/word/2010/wordprocessingShape">
                    <wps:wsp>
                      <wps:cNvSpPr/>
                      <wps:spPr>
                        <a:xfrm>
                          <a:off x="0" y="0"/>
                          <a:ext cx="914400" cy="20624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b/>
                                <w:szCs w:val="21"/>
                              </w:rPr>
                            </w:pPr>
                            <w:r>
                              <w:rPr>
                                <w:rFonts w:hint="eastAsia" w:ascii="宋体" w:hAnsi="宋体"/>
                                <w:b/>
                                <w:szCs w:val="21"/>
                              </w:rPr>
                              <w:t>专业组</w:t>
                            </w:r>
                          </w:p>
                          <w:p>
                            <w:pPr>
                              <w:rPr>
                                <w:rFonts w:ascii="宋体" w:hAnsi="宋体"/>
                                <w:szCs w:val="21"/>
                              </w:rPr>
                            </w:pPr>
                          </w:p>
                          <w:p>
                            <w:pPr>
                              <w:pStyle w:val="4"/>
                              <w:rPr>
                                <w:rFonts w:ascii="宋体" w:hAnsi="宋体" w:eastAsia="宋体"/>
                                <w:b w:val="0"/>
                                <w:bCs w:val="0"/>
                                <w:sz w:val="21"/>
                                <w:szCs w:val="21"/>
                              </w:rPr>
                            </w:pPr>
                            <w:r>
                              <w:rPr>
                                <w:rFonts w:hint="eastAsia" w:ascii="宋体" w:hAnsi="宋体" w:eastAsia="宋体"/>
                                <w:b w:val="0"/>
                                <w:bCs w:val="0"/>
                                <w:sz w:val="21"/>
                                <w:szCs w:val="21"/>
                              </w:rPr>
                              <w:t>方案设计</w:t>
                            </w:r>
                          </w:p>
                          <w:p>
                            <w:pPr>
                              <w:jc w:val="center"/>
                            </w:pPr>
                            <w:r>
                              <w:rPr>
                                <w:rFonts w:hint="eastAsia"/>
                              </w:rPr>
                              <w:t>研究培训</w:t>
                            </w:r>
                          </w:p>
                          <w:p>
                            <w:pPr>
                              <w:pStyle w:val="4"/>
                              <w:rPr>
                                <w:rFonts w:ascii="宋体" w:hAnsi="宋体" w:eastAsia="宋体"/>
                                <w:b w:val="0"/>
                                <w:bCs w:val="0"/>
                                <w:sz w:val="21"/>
                                <w:szCs w:val="21"/>
                              </w:rPr>
                            </w:pPr>
                            <w:r>
                              <w:rPr>
                                <w:rFonts w:hint="eastAsia" w:ascii="宋体" w:hAnsi="宋体" w:eastAsia="宋体"/>
                                <w:b w:val="0"/>
                                <w:bCs w:val="0"/>
                                <w:sz w:val="21"/>
                                <w:szCs w:val="21"/>
                              </w:rPr>
                              <w:t>项目实施</w:t>
                            </w:r>
                          </w:p>
                          <w:p>
                            <w:pPr>
                              <w:jc w:val="center"/>
                            </w:pPr>
                            <w:r>
                              <w:rPr>
                                <w:rFonts w:hint="eastAsia"/>
                              </w:rPr>
                              <w:t>研究总结</w:t>
                            </w:r>
                          </w:p>
                          <w:p/>
                          <w:p>
                            <w:pPr>
                              <w:jc w:val="center"/>
                            </w:pPr>
                          </w:p>
                        </w:txbxContent>
                      </wps:txbx>
                      <wps:bodyPr lIns="91440" tIns="190800" rIns="91440" bIns="45720" upright="1"/>
                    </wps:wsp>
                  </a:graphicData>
                </a:graphic>
              </wp:anchor>
            </w:drawing>
          </mc:Choice>
          <mc:Fallback>
            <w:pict>
              <v:roundrect id="自选图形 47" o:spid="_x0000_s1026" o:spt="2" style="position:absolute;left:0pt;margin-left:-44.4pt;margin-top:0.2pt;height:162.4pt;width:72pt;z-index:251723776;mso-width-relative:page;mso-height-relative:page;" fillcolor="#FFFFFF" filled="t" stroked="t" coordsize="21600,21600" arcsize="0.166666666666667" o:gfxdata="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F2gpbWAAAABwEAAA8AAAAAAAAAAQAgAAAA&#10;IgAAAGRycy9kb3ducmV2LnhtbFBLAQIUABQAAAAIAIdO4kCooWhgRgIAAJsEAAAOAAAAAAAAAAEA&#10;IAAAACUBAABkcnMvZTJvRG9jLnhtbFBLBQYAAAAABgAGAFkBAADdBQAAAAA=&#10;">
                <v:fill on="t" focussize="0,0"/>
                <v:stroke color="#000000" joinstyle="round"/>
                <v:imagedata o:title=""/>
                <o:lock v:ext="edit" aspectratio="f"/>
                <v:textbox inset="2.54mm,5.3mm,2.54mm,1.27mm">
                  <w:txbxContent>
                    <w:p>
                      <w:pPr>
                        <w:jc w:val="center"/>
                        <w:rPr>
                          <w:rFonts w:ascii="宋体" w:hAnsi="宋体"/>
                          <w:b/>
                          <w:szCs w:val="21"/>
                        </w:rPr>
                      </w:pPr>
                      <w:r>
                        <w:rPr>
                          <w:rFonts w:hint="eastAsia" w:ascii="宋体" w:hAnsi="宋体"/>
                          <w:b/>
                          <w:szCs w:val="21"/>
                        </w:rPr>
                        <w:t>专业组</w:t>
                      </w:r>
                    </w:p>
                    <w:p>
                      <w:pPr>
                        <w:rPr>
                          <w:rFonts w:ascii="宋体" w:hAnsi="宋体"/>
                          <w:szCs w:val="21"/>
                        </w:rPr>
                      </w:pPr>
                    </w:p>
                    <w:p>
                      <w:pPr>
                        <w:pStyle w:val="4"/>
                        <w:rPr>
                          <w:rFonts w:ascii="宋体" w:hAnsi="宋体" w:eastAsia="宋体"/>
                          <w:b w:val="0"/>
                          <w:bCs w:val="0"/>
                          <w:sz w:val="21"/>
                          <w:szCs w:val="21"/>
                        </w:rPr>
                      </w:pPr>
                      <w:r>
                        <w:rPr>
                          <w:rFonts w:hint="eastAsia" w:ascii="宋体" w:hAnsi="宋体" w:eastAsia="宋体"/>
                          <w:b w:val="0"/>
                          <w:bCs w:val="0"/>
                          <w:sz w:val="21"/>
                          <w:szCs w:val="21"/>
                        </w:rPr>
                        <w:t>方案设计</w:t>
                      </w:r>
                    </w:p>
                    <w:p>
                      <w:pPr>
                        <w:jc w:val="center"/>
                      </w:pPr>
                      <w:r>
                        <w:rPr>
                          <w:rFonts w:hint="eastAsia"/>
                        </w:rPr>
                        <w:t>研究培训</w:t>
                      </w:r>
                    </w:p>
                    <w:p>
                      <w:pPr>
                        <w:pStyle w:val="4"/>
                        <w:rPr>
                          <w:rFonts w:ascii="宋体" w:hAnsi="宋体" w:eastAsia="宋体"/>
                          <w:b w:val="0"/>
                          <w:bCs w:val="0"/>
                          <w:sz w:val="21"/>
                          <w:szCs w:val="21"/>
                        </w:rPr>
                      </w:pPr>
                      <w:r>
                        <w:rPr>
                          <w:rFonts w:hint="eastAsia" w:ascii="宋体" w:hAnsi="宋体" w:eastAsia="宋体"/>
                          <w:b w:val="0"/>
                          <w:bCs w:val="0"/>
                          <w:sz w:val="21"/>
                          <w:szCs w:val="21"/>
                        </w:rPr>
                        <w:t>项目实施</w:t>
                      </w:r>
                    </w:p>
                    <w:p>
                      <w:pPr>
                        <w:jc w:val="center"/>
                      </w:pPr>
                      <w:r>
                        <w:rPr>
                          <w:rFonts w:hint="eastAsia"/>
                        </w:rPr>
                        <w:t>研究总结</w:t>
                      </w:r>
                    </w:p>
                    <w:p/>
                    <w:p>
                      <w:pPr>
                        <w:jc w:val="center"/>
                      </w:pPr>
                    </w:p>
                  </w:txbxContent>
                </v:textbox>
              </v:roundrect>
            </w:pict>
          </mc:Fallback>
        </mc:AlternateContent>
      </w:r>
      <w:r>
        <w:rPr>
          <w:rFonts w:ascii="楷体_GB2312" w:eastAsia="楷体_GB2312"/>
          <w:color w:val="auto"/>
          <w:sz w:val="20"/>
        </w:rPr>
        <mc:AlternateContent>
          <mc:Choice Requires="wps">
            <w:drawing>
              <wp:anchor distT="0" distB="0" distL="114300" distR="114300" simplePos="0" relativeHeight="251722752" behindDoc="0" locked="0" layoutInCell="1" allowOverlap="1">
                <wp:simplePos x="0" y="0"/>
                <wp:positionH relativeFrom="column">
                  <wp:posOffset>5318760</wp:posOffset>
                </wp:positionH>
                <wp:positionV relativeFrom="paragraph">
                  <wp:posOffset>25400</wp:posOffset>
                </wp:positionV>
                <wp:extent cx="914400" cy="2062480"/>
                <wp:effectExtent l="4445" t="4445" r="10795" b="5715"/>
                <wp:wrapNone/>
                <wp:docPr id="67" name="自选图形 44"/>
                <wp:cNvGraphicFramePr/>
                <a:graphic xmlns:a="http://schemas.openxmlformats.org/drawingml/2006/main">
                  <a:graphicData uri="http://schemas.microsoft.com/office/word/2010/wordprocessingShape">
                    <wps:wsp>
                      <wps:cNvSpPr/>
                      <wps:spPr>
                        <a:xfrm>
                          <a:off x="0" y="0"/>
                          <a:ext cx="914400" cy="206248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宋体" w:hAnsi="宋体"/>
                                <w:b/>
                                <w:szCs w:val="21"/>
                              </w:rPr>
                            </w:pPr>
                            <w:r>
                              <w:rPr>
                                <w:rFonts w:hint="eastAsia" w:ascii="宋体" w:hAnsi="宋体"/>
                                <w:b/>
                                <w:szCs w:val="21"/>
                              </w:rPr>
                              <w:t>实验室</w:t>
                            </w:r>
                          </w:p>
                          <w:p>
                            <w:pPr>
                              <w:rPr>
                                <w:rFonts w:ascii="宋体" w:hAnsi="宋体"/>
                                <w:szCs w:val="21"/>
                              </w:rPr>
                            </w:pPr>
                          </w:p>
                          <w:p>
                            <w:pPr>
                              <w:jc w:val="center"/>
                              <w:rPr>
                                <w:rFonts w:ascii="宋体" w:hAnsi="宋体"/>
                                <w:b/>
                                <w:szCs w:val="21"/>
                              </w:rPr>
                            </w:pPr>
                          </w:p>
                          <w:p>
                            <w:pPr>
                              <w:pStyle w:val="4"/>
                              <w:ind w:firstLine="105" w:firstLineChars="50"/>
                              <w:jc w:val="both"/>
                              <w:rPr>
                                <w:rFonts w:ascii="宋体" w:hAnsi="宋体" w:eastAsia="宋体"/>
                                <w:b w:val="0"/>
                                <w:bCs w:val="0"/>
                                <w:sz w:val="21"/>
                                <w:szCs w:val="21"/>
                              </w:rPr>
                            </w:pPr>
                            <w:r>
                              <w:rPr>
                                <w:rFonts w:hint="eastAsia" w:ascii="宋体" w:hAnsi="宋体" w:eastAsia="宋体"/>
                                <w:b w:val="0"/>
                                <w:bCs w:val="0"/>
                                <w:sz w:val="21"/>
                                <w:szCs w:val="21"/>
                              </w:rPr>
                              <w:t>检测</w:t>
                            </w:r>
                          </w:p>
                          <w:p>
                            <w:pPr>
                              <w:pStyle w:val="4"/>
                              <w:ind w:firstLine="102" w:firstLineChars="49"/>
                              <w:jc w:val="both"/>
                              <w:rPr>
                                <w:rFonts w:ascii="宋体" w:hAnsi="宋体" w:eastAsia="宋体"/>
                                <w:b w:val="0"/>
                                <w:bCs w:val="0"/>
                                <w:sz w:val="21"/>
                                <w:szCs w:val="21"/>
                              </w:rPr>
                            </w:pPr>
                            <w:r>
                              <w:rPr>
                                <w:rFonts w:hint="eastAsia" w:ascii="宋体" w:hAnsi="宋体" w:eastAsia="宋体"/>
                                <w:b w:val="0"/>
                                <w:sz w:val="21"/>
                                <w:szCs w:val="21"/>
                              </w:rPr>
                              <w:t>分析</w:t>
                            </w:r>
                          </w:p>
                          <w:p>
                            <w:pPr>
                              <w:jc w:val="center"/>
                              <w:rPr>
                                <w:rFonts w:ascii="宋体" w:hAnsi="宋体"/>
                                <w:szCs w:val="21"/>
                              </w:rPr>
                            </w:pPr>
                          </w:p>
                        </w:txbxContent>
                      </wps:txbx>
                      <wps:bodyPr lIns="91440" tIns="190800" rIns="91440" bIns="45720" upright="1"/>
                    </wps:wsp>
                  </a:graphicData>
                </a:graphic>
              </wp:anchor>
            </w:drawing>
          </mc:Choice>
          <mc:Fallback>
            <w:pict>
              <v:roundrect id="自选图形 44" o:spid="_x0000_s1026" o:spt="2" style="position:absolute;left:0pt;margin-left:418.8pt;margin-top:2pt;height:162.4pt;width:72pt;z-index:251722752;mso-width-relative:page;mso-height-relative:page;" fillcolor="#FFFFFF" filled="t" stroked="t" coordsize="21600,21600" arcsize="0.166666666666667" o:gfxdata="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wAs9jXAAAACQEAAA8AAAAAAAAAAQAgAAAA&#10;IgAAAGRycy9kb3ducmV2LnhtbFBLAQIUABQAAAAIAIdO4kBAUwK+RQIAAJsEAAAOAAAAAAAAAAEA&#10;IAAAACYBAABkcnMvZTJvRG9jLnhtbFBLBQYAAAAABgAGAFkBAADdBQAAAAA=&#10;">
                <v:fill on="t" focussize="0,0"/>
                <v:stroke color="#000000" joinstyle="round"/>
                <v:imagedata o:title=""/>
                <o:lock v:ext="edit" aspectratio="f"/>
                <v:textbox inset="2.54mm,5.3mm,2.54mm,1.27mm">
                  <w:txbxContent>
                    <w:p>
                      <w:pPr>
                        <w:jc w:val="center"/>
                        <w:rPr>
                          <w:rFonts w:ascii="宋体" w:hAnsi="宋体"/>
                          <w:b/>
                          <w:szCs w:val="21"/>
                        </w:rPr>
                      </w:pPr>
                      <w:r>
                        <w:rPr>
                          <w:rFonts w:hint="eastAsia" w:ascii="宋体" w:hAnsi="宋体"/>
                          <w:b/>
                          <w:szCs w:val="21"/>
                        </w:rPr>
                        <w:t>实验室</w:t>
                      </w:r>
                    </w:p>
                    <w:p>
                      <w:pPr>
                        <w:rPr>
                          <w:rFonts w:ascii="宋体" w:hAnsi="宋体"/>
                          <w:szCs w:val="21"/>
                        </w:rPr>
                      </w:pPr>
                    </w:p>
                    <w:p>
                      <w:pPr>
                        <w:jc w:val="center"/>
                        <w:rPr>
                          <w:rFonts w:ascii="宋体" w:hAnsi="宋体"/>
                          <w:b/>
                          <w:szCs w:val="21"/>
                        </w:rPr>
                      </w:pPr>
                    </w:p>
                    <w:p>
                      <w:pPr>
                        <w:pStyle w:val="4"/>
                        <w:ind w:firstLine="105" w:firstLineChars="50"/>
                        <w:jc w:val="both"/>
                        <w:rPr>
                          <w:rFonts w:ascii="宋体" w:hAnsi="宋体" w:eastAsia="宋体"/>
                          <w:b w:val="0"/>
                          <w:bCs w:val="0"/>
                          <w:sz w:val="21"/>
                          <w:szCs w:val="21"/>
                        </w:rPr>
                      </w:pPr>
                      <w:r>
                        <w:rPr>
                          <w:rFonts w:hint="eastAsia" w:ascii="宋体" w:hAnsi="宋体" w:eastAsia="宋体"/>
                          <w:b w:val="0"/>
                          <w:bCs w:val="0"/>
                          <w:sz w:val="21"/>
                          <w:szCs w:val="21"/>
                        </w:rPr>
                        <w:t>检测</w:t>
                      </w:r>
                    </w:p>
                    <w:p>
                      <w:pPr>
                        <w:pStyle w:val="4"/>
                        <w:ind w:firstLine="102" w:firstLineChars="49"/>
                        <w:jc w:val="both"/>
                        <w:rPr>
                          <w:rFonts w:ascii="宋体" w:hAnsi="宋体" w:eastAsia="宋体"/>
                          <w:b w:val="0"/>
                          <w:bCs w:val="0"/>
                          <w:sz w:val="21"/>
                          <w:szCs w:val="21"/>
                        </w:rPr>
                      </w:pPr>
                      <w:r>
                        <w:rPr>
                          <w:rFonts w:hint="eastAsia" w:ascii="宋体" w:hAnsi="宋体" w:eastAsia="宋体"/>
                          <w:b w:val="0"/>
                          <w:sz w:val="21"/>
                          <w:szCs w:val="21"/>
                        </w:rPr>
                        <w:t>分析</w:t>
                      </w:r>
                    </w:p>
                    <w:p>
                      <w:pPr>
                        <w:jc w:val="center"/>
                        <w:rPr>
                          <w:rFonts w:ascii="宋体" w:hAnsi="宋体"/>
                          <w:szCs w:val="21"/>
                        </w:rPr>
                      </w:pPr>
                    </w:p>
                  </w:txbxContent>
                </v:textbox>
              </v:roundrect>
            </w:pict>
          </mc:Fallback>
        </mc:AlternateContent>
      </w:r>
    </w:p>
    <w:p>
      <w:pPr>
        <w:rPr>
          <w:rFonts w:ascii="楷体_GB2312" w:eastAsia="楷体_GB2312"/>
          <w:color w:val="auto"/>
        </w:rPr>
      </w:pPr>
    </w:p>
    <w:p>
      <w:pPr>
        <w:rPr>
          <w:rFonts w:ascii="楷体_GB2312" w:eastAsia="楷体_GB2312"/>
          <w:color w:val="auto"/>
        </w:rPr>
      </w:pPr>
    </w:p>
    <w:p>
      <w:pPr>
        <w:rPr>
          <w:rFonts w:ascii="楷体_GB2312" w:eastAsia="楷体_GB2312"/>
          <w:color w:val="auto"/>
        </w:rPr>
      </w:pPr>
    </w:p>
    <w:p>
      <w:pPr>
        <w:rPr>
          <w:rFonts w:ascii="楷体_GB2312" w:eastAsia="楷体_GB2312"/>
          <w:color w:val="auto"/>
        </w:rPr>
      </w:pPr>
    </w:p>
    <w:p>
      <w:pPr>
        <w:rPr>
          <w:rFonts w:ascii="楷体_GB2312" w:eastAsia="楷体_GB2312"/>
          <w:color w:val="auto"/>
        </w:rPr>
      </w:pPr>
    </w:p>
    <w:p>
      <w:pPr>
        <w:rPr>
          <w:rFonts w:ascii="楷体_GB2312" w:eastAsia="楷体_GB2312"/>
          <w:color w:val="auto"/>
        </w:rPr>
      </w:pPr>
    </w:p>
    <w:p>
      <w:pPr>
        <w:rPr>
          <w:rFonts w:ascii="楷体_GB2312" w:eastAsia="楷体_GB2312"/>
          <w:color w:val="auto"/>
        </w:rPr>
      </w:pPr>
    </w:p>
    <w:p>
      <w:pPr>
        <w:rPr>
          <w:rFonts w:ascii="楷体_GB2312" w:eastAsia="楷体_GB2312"/>
          <w:color w:val="auto"/>
        </w:rPr>
      </w:pPr>
    </w:p>
    <w:p>
      <w:pPr>
        <w:rPr>
          <w:rFonts w:ascii="楷体_GB2312" w:eastAsia="楷体_GB2312"/>
          <w:color w:val="auto"/>
        </w:rPr>
      </w:pPr>
    </w:p>
    <w:p>
      <w:pPr>
        <w:rPr>
          <w:rFonts w:ascii="楷体_GB2312" w:eastAsia="楷体_GB2312"/>
          <w:color w:val="auto"/>
        </w:rPr>
      </w:pPr>
      <w:r>
        <w:rPr>
          <w:rFonts w:ascii="楷体_GB2312" w:eastAsia="楷体_GB2312"/>
          <w:color w:val="auto"/>
          <w:sz w:val="20"/>
        </w:rPr>
        <mc:AlternateContent>
          <mc:Choice Requires="wps">
            <w:drawing>
              <wp:anchor distT="0" distB="0" distL="114300" distR="114300" simplePos="0" relativeHeight="251704320" behindDoc="0" locked="0" layoutInCell="1" allowOverlap="1">
                <wp:simplePos x="0" y="0"/>
                <wp:positionH relativeFrom="column">
                  <wp:posOffset>5780405</wp:posOffset>
                </wp:positionH>
                <wp:positionV relativeFrom="paragraph">
                  <wp:posOffset>109855</wp:posOffset>
                </wp:positionV>
                <wp:extent cx="0" cy="791845"/>
                <wp:effectExtent l="4445" t="0" r="10795" b="635"/>
                <wp:wrapNone/>
                <wp:docPr id="55" name="直线 51"/>
                <wp:cNvGraphicFramePr/>
                <a:graphic xmlns:a="http://schemas.openxmlformats.org/drawingml/2006/main">
                  <a:graphicData uri="http://schemas.microsoft.com/office/word/2010/wordprocessingShape">
                    <wps:wsp>
                      <wps:cNvCnPr/>
                      <wps:spPr>
                        <a:xfrm>
                          <a:off x="0" y="0"/>
                          <a:ext cx="0" cy="79184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51" o:spid="_x0000_s1026" o:spt="20" style="position:absolute;left:0pt;margin-left:455.15pt;margin-top:8.65pt;height:62.35pt;width:0pt;z-index:251704320;mso-width-relative:page;mso-height-relative:page;" filled="f" stroked="t" coordsize="21600,21600" o:gfxdata="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5Et&#10;BtYAAAAKAQAADwAAAAAAAAABACAAAAAiAAAAZHJzL2Rvd25yZXYueG1sUEsBAhQAFAAAAAgAh07i&#10;QACgkOfrAQAA6gMAAA4AAAAAAAAAAQAgAAAAJQEAAGRycy9lMm9Eb2MueG1sUEsFBgAAAAAGAAYA&#10;WQEAAIIFA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706368" behindDoc="0" locked="0" layoutInCell="1" allowOverlap="1">
                <wp:simplePos x="0" y="0"/>
                <wp:positionH relativeFrom="column">
                  <wp:posOffset>2884805</wp:posOffset>
                </wp:positionH>
                <wp:positionV relativeFrom="paragraph">
                  <wp:posOffset>99060</wp:posOffset>
                </wp:positionV>
                <wp:extent cx="0" cy="198120"/>
                <wp:effectExtent l="4445" t="0" r="10795" b="0"/>
                <wp:wrapNone/>
                <wp:docPr id="45" name="直线 4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49" o:spid="_x0000_s1026" o:spt="20" style="position:absolute;left:0pt;margin-left:227.15pt;margin-top:7.8pt;height:15.6pt;width:0pt;z-index:251706368;mso-width-relative:page;mso-height-relative:page;" filled="f" stroked="t" coordsize="21600,21600" o:gfxdata="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a&#10;jK631gAAAAkBAAAPAAAAAAAAAAEAIAAAACIAAABkcnMvZG93bnJldi54bWxQSwECFAAUAAAACACH&#10;TuJALkIKZe0BAADqAwAADgAAAAAAAAABACAAAAAlAQAAZHJzL2Uyb0RvYy54bWxQSwUGAAAAAAYA&#10;BgBZAQAAhAU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727872" behindDoc="0" locked="0" layoutInCell="1" allowOverlap="1">
                <wp:simplePos x="0" y="0"/>
                <wp:positionH relativeFrom="column">
                  <wp:posOffset>4338320</wp:posOffset>
                </wp:positionH>
                <wp:positionV relativeFrom="paragraph">
                  <wp:posOffset>87630</wp:posOffset>
                </wp:positionV>
                <wp:extent cx="0" cy="198120"/>
                <wp:effectExtent l="4445" t="0" r="10795" b="0"/>
                <wp:wrapNone/>
                <wp:docPr id="72" name="直线 4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49" o:spid="_x0000_s1026" o:spt="20" style="position:absolute;left:0pt;margin-left:341.6pt;margin-top:6.9pt;height:15.6pt;width:0pt;z-index:251727872;mso-width-relative:page;mso-height-relative:page;" filled="f" stroked="t" coordsize="21600,21600" o:gfxdata="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Y&#10;bB+j1QAAAAkBAAAPAAAAAAAAAAEAIAAAACIAAABkcnMvZG93bnJldi54bWxQSwECFAAUAAAACACH&#10;TuJAmgIkLO4BAADqAwAADgAAAAAAAAABACAAAAAkAQAAZHJzL2Uyb0RvYy54bWxQSwUGAAAAAAYA&#10;BgBZAQAAhAU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705344" behindDoc="0" locked="0" layoutInCell="1" allowOverlap="1">
                <wp:simplePos x="0" y="0"/>
                <wp:positionH relativeFrom="column">
                  <wp:posOffset>1311275</wp:posOffset>
                </wp:positionH>
                <wp:positionV relativeFrom="paragraph">
                  <wp:posOffset>120650</wp:posOffset>
                </wp:positionV>
                <wp:extent cx="0" cy="198120"/>
                <wp:effectExtent l="4445" t="0" r="10795" b="0"/>
                <wp:wrapNone/>
                <wp:docPr id="44" name="直线 48"/>
                <wp:cNvGraphicFramePr/>
                <a:graphic xmlns:a="http://schemas.openxmlformats.org/drawingml/2006/main">
                  <a:graphicData uri="http://schemas.microsoft.com/office/word/2010/wordprocessingShape">
                    <wps:wsp>
                      <wps:cNvCnPr/>
                      <wps:spPr>
                        <a:xfrm flipH="1">
                          <a:off x="0" y="0"/>
                          <a:ext cx="0" cy="1981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48" o:spid="_x0000_s1026" o:spt="20" style="position:absolute;left:0pt;flip:x;margin-left:103.25pt;margin-top:9.5pt;height:15.6pt;width:0pt;z-index:251705344;mso-width-relative:page;mso-height-relative:page;" filled="f" stroked="t" coordsize="21600,21600" o:gfxdata="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5u/OPVAAAACQEAAA8AAAAAAAAAAQAgAAAAIgAAAGRycy9kb3ducmV2LnhtbFBLAQIU&#10;ABQAAAAIAIdO4kC2IUfp9gEAAPQDAAAOAAAAAAAAAAEAIAAAACQBAABkcnMvZTJvRG9jLnhtbFBL&#10;BQYAAAAABgAGAFkBAACMBQAAAAA=&#10;">
                <v:fill on="f" focussize="0,0"/>
                <v:stroke color="#000000" joinstyle="round"/>
                <v:imagedata o:title=""/>
                <o:lock v:ext="edit" aspectratio="f"/>
              </v:line>
            </w:pict>
          </mc:Fallback>
        </mc:AlternateContent>
      </w:r>
      <w:r>
        <w:rPr>
          <w:rFonts w:ascii="楷体_GB2312" w:eastAsia="楷体_GB2312"/>
          <w:color w:val="auto"/>
          <w:sz w:val="20"/>
        </w:rPr>
        <mc:AlternateContent>
          <mc:Choice Requires="wps">
            <w:drawing>
              <wp:anchor distT="0" distB="0" distL="114300" distR="114300" simplePos="0" relativeHeight="251702272" behindDoc="0" locked="0" layoutInCell="1" allowOverlap="1">
                <wp:simplePos x="0" y="0"/>
                <wp:positionH relativeFrom="column">
                  <wp:posOffset>-152400</wp:posOffset>
                </wp:positionH>
                <wp:positionV relativeFrom="paragraph">
                  <wp:posOffset>99060</wp:posOffset>
                </wp:positionV>
                <wp:extent cx="0" cy="791845"/>
                <wp:effectExtent l="4445" t="0" r="10795" b="635"/>
                <wp:wrapNone/>
                <wp:docPr id="54" name="直线 50"/>
                <wp:cNvGraphicFramePr/>
                <a:graphic xmlns:a="http://schemas.openxmlformats.org/drawingml/2006/main">
                  <a:graphicData uri="http://schemas.microsoft.com/office/word/2010/wordprocessingShape">
                    <wps:wsp>
                      <wps:cNvCnPr/>
                      <wps:spPr>
                        <a:xfrm>
                          <a:off x="0" y="0"/>
                          <a:ext cx="0" cy="79184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50" o:spid="_x0000_s1026" o:spt="20" style="position:absolute;left:0pt;margin-left:-12pt;margin-top:7.8pt;height:62.35pt;width:0pt;z-index:251702272;mso-width-relative:page;mso-height-relative:page;" filled="f" stroked="t" coordsize="21600,21600" o:gfxdata="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Mqq&#10;vtYAAAAKAQAADwAAAAAAAAABACAAAAAiAAAAZHJzL2Rvd25yZXYueG1sUEsBAhQAFAAAAAgAh07i&#10;QLk/hRLrAQAA6gMAAA4AAAAAAAAAAQAgAAAAJQEAAGRycy9lMm9Eb2MueG1sUEsFBgAAAAAGAAYA&#10;WQEAAIIFAAAAAA==&#10;">
                <v:fill on="f" focussize="0,0"/>
                <v:stroke color="#000000" joinstyle="round"/>
                <v:imagedata o:title=""/>
                <o:lock v:ext="edit" aspectratio="f"/>
              </v:line>
            </w:pict>
          </mc:Fallback>
        </mc:AlternateContent>
      </w:r>
    </w:p>
    <w:p>
      <w:pPr>
        <w:rPr>
          <w:rFonts w:ascii="楷体_GB2312" w:eastAsia="楷体_GB2312"/>
          <w:color w:val="auto"/>
          <w:sz w:val="24"/>
        </w:rPr>
      </w:pPr>
      <w:r>
        <w:rPr>
          <w:rFonts w:ascii="楷体_GB2312" w:eastAsia="楷体_GB2312"/>
          <w:color w:val="auto"/>
          <w:sz w:val="20"/>
        </w:rPr>
        <mc:AlternateContent>
          <mc:Choice Requires="wps">
            <w:drawing>
              <wp:anchor distT="0" distB="0" distL="114300" distR="114300" simplePos="0" relativeHeight="251707392" behindDoc="0" locked="0" layoutInCell="1" allowOverlap="1">
                <wp:simplePos x="0" y="0"/>
                <wp:positionH relativeFrom="column">
                  <wp:posOffset>-152400</wp:posOffset>
                </wp:positionH>
                <wp:positionV relativeFrom="paragraph">
                  <wp:posOffset>99060</wp:posOffset>
                </wp:positionV>
                <wp:extent cx="5926455" cy="635"/>
                <wp:effectExtent l="0" t="0" r="0" b="0"/>
                <wp:wrapNone/>
                <wp:docPr id="56" name="直线 52"/>
                <wp:cNvGraphicFramePr/>
                <a:graphic xmlns:a="http://schemas.openxmlformats.org/drawingml/2006/main">
                  <a:graphicData uri="http://schemas.microsoft.com/office/word/2010/wordprocessingShape">
                    <wps:wsp>
                      <wps:cNvCnPr/>
                      <wps:spPr>
                        <a:xfrm>
                          <a:off x="0" y="0"/>
                          <a:ext cx="4800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52" o:spid="_x0000_s1026" o:spt="20" style="position:absolute;left:0pt;margin-left:-12pt;margin-top:7.8pt;height:0.05pt;width:466.65pt;z-index:251707392;mso-width-relative:page;mso-height-relative:page;" filled="f" stroked="t" coordsize="21600,21600" o:gfxdata="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KCiXLYAAAACQEAAA8AAAAAAAAAAQAgAAAAIgAAAGRycy9kb3ducmV2LnhtbFBLAQIUABQAAAAI&#10;AIdO4kDtEnKD7QEAAOsDAAAOAAAAAAAAAAEAIAAAACcBAABkcnMvZTJvRG9jLnhtbFBLBQYAAAAA&#10;BgAGAFkBAACGBQAAAAA=&#10;">
                <v:fill on="f" focussize="0,0"/>
                <v:stroke color="#000000" joinstyle="round"/>
                <v:imagedata o:title=""/>
                <o:lock v:ext="edit" aspectratio="f"/>
              </v:line>
            </w:pict>
          </mc:Fallback>
        </mc:AlternateContent>
      </w:r>
    </w:p>
    <w:p>
      <w:pPr>
        <w:tabs>
          <w:tab w:val="left" w:pos="2655"/>
        </w:tabs>
        <w:rPr>
          <w:rFonts w:ascii="宋体" w:hAnsi="宋体"/>
          <w:b/>
          <w:color w:val="auto"/>
          <w:sz w:val="28"/>
          <w:szCs w:val="28"/>
        </w:rPr>
      </w:pPr>
      <w:r>
        <w:rPr>
          <w:rFonts w:ascii="楷体_GB2312" w:eastAsia="楷体_GB2312"/>
          <w:color w:val="auto"/>
          <w:sz w:val="24"/>
        </w:rPr>
        <w:tab/>
      </w:r>
      <w:r>
        <w:rPr>
          <w:rFonts w:hint="eastAsia" w:ascii="宋体" w:hAnsi="宋体"/>
          <w:b/>
          <w:color w:val="auto"/>
          <w:sz w:val="28"/>
          <w:szCs w:val="28"/>
        </w:rPr>
        <w:t>严格遵循SOP，所有过程均需记录</w:t>
      </w:r>
    </w:p>
    <w:p>
      <w:pPr>
        <w:rPr>
          <w:rFonts w:ascii="宋体" w:hAnsi="宋体"/>
          <w:b/>
          <w:bCs/>
          <w:color w:val="auto"/>
          <w:sz w:val="28"/>
        </w:rPr>
      </w:pPr>
      <w:r>
        <w:rPr>
          <w:rFonts w:ascii="楷体_GB2312" w:eastAsia="楷体_GB2312"/>
          <w:color w:val="auto"/>
          <w:sz w:val="20"/>
        </w:rPr>
        <mc:AlternateContent>
          <mc:Choice Requires="wps">
            <w:drawing>
              <wp:anchor distT="0" distB="0" distL="114300" distR="114300" simplePos="0" relativeHeight="251703296" behindDoc="0" locked="0" layoutInCell="1" allowOverlap="1">
                <wp:simplePos x="0" y="0"/>
                <wp:positionH relativeFrom="column">
                  <wp:posOffset>-162560</wp:posOffset>
                </wp:positionH>
                <wp:positionV relativeFrom="paragraph">
                  <wp:posOffset>99060</wp:posOffset>
                </wp:positionV>
                <wp:extent cx="5947410" cy="635"/>
                <wp:effectExtent l="0" t="0" r="0" b="0"/>
                <wp:wrapNone/>
                <wp:docPr id="57" name="直线 53"/>
                <wp:cNvGraphicFramePr/>
                <a:graphic xmlns:a="http://schemas.openxmlformats.org/drawingml/2006/main">
                  <a:graphicData uri="http://schemas.microsoft.com/office/word/2010/wordprocessingShape">
                    <wps:wsp>
                      <wps:cNvCnPr/>
                      <wps:spPr>
                        <a:xfrm>
                          <a:off x="0" y="0"/>
                          <a:ext cx="4800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53" o:spid="_x0000_s1026" o:spt="20" style="position:absolute;left:0pt;margin-left:-12.8pt;margin-top:7.8pt;height:0.05pt;width:468.3pt;z-index:251703296;mso-width-relative:page;mso-height-relative:page;" filled="f" stroked="t" coordsize="21600,21600" o:gfxdata="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SfT8NYAAAAJAQAADwAAAAAAAAABACAAAAAiAAAAZHJzL2Rvd25yZXYueG1sUEsBAhQAFAAAAAgA&#10;h07iQFoMOjHuAQAA6wMAAA4AAAAAAAAAAQAgAAAAJQEAAGRycy9lMm9Eb2MueG1sUEsFBgAAAAAG&#10;AAYAWQEAAIUFAAAAAA==&#10;">
                <v:fill on="f" focussize="0,0"/>
                <v:stroke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906"/>
        <w:gridCol w:w="915"/>
        <w:gridCol w:w="3072"/>
        <w:gridCol w:w="2715"/>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36"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90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3072"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2715"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217"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3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0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3.0</w:t>
            </w:r>
          </w:p>
        </w:tc>
        <w:tc>
          <w:tcPr>
            <w:tcW w:w="91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3072"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1.根据最新版GCP的要求，修订临床试验资料存档时间的规定。</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2.为确保制度的严谨性，新增参考文献。</w:t>
            </w:r>
          </w:p>
        </w:tc>
        <w:tc>
          <w:tcPr>
            <w:tcW w:w="27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1.修订规程第（五）条为“研究者按照《档案管理制度》和《临床试验档案管理的SOP》的规定保存试验资料。”。</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2.新增参考文献。</w:t>
            </w:r>
          </w:p>
        </w:tc>
        <w:tc>
          <w:tcPr>
            <w:tcW w:w="1217" w:type="dxa"/>
            <w:vAlign w:val="center"/>
          </w:tcPr>
          <w:p>
            <w:pPr>
              <w:rPr>
                <w:rFonts w:hint="eastAsia" w:ascii="宋体" w:hAnsi="宋体" w:eastAsia="宋体" w:cs="宋体"/>
                <w:color w:val="auto"/>
                <w:lang w:val="en-US" w:eastAsia="zh-CN"/>
              </w:rPr>
            </w:pPr>
          </w:p>
        </w:tc>
      </w:tr>
    </w:tbl>
    <w:p>
      <w:pPr>
        <w:spacing w:line="360" w:lineRule="auto"/>
        <w:ind w:firstLine="2249" w:firstLineChars="800"/>
        <w:rPr>
          <w:rFonts w:hint="eastAsia" w:ascii="黑体" w:hAnsi="黑体" w:eastAsia="黑体" w:cs="黑体"/>
          <w:b/>
          <w:bCs/>
          <w:color w:val="auto"/>
          <w:sz w:val="28"/>
          <w:szCs w:val="28"/>
        </w:rPr>
        <w:sectPr>
          <w:pgSz w:w="11906" w:h="16838"/>
          <w:pgMar w:top="1417" w:right="1191" w:bottom="1474" w:left="1474" w:header="0" w:footer="992" w:gutter="0"/>
          <w:pgBorders>
            <w:top w:val="none" w:sz="0" w:space="0"/>
            <w:left w:val="none" w:sz="0" w:space="0"/>
            <w:bottom w:val="none" w:sz="0" w:space="0"/>
            <w:right w:val="none" w:sz="0" w:space="0"/>
          </w:pgBorders>
          <w:pgNumType w:fmt="decimal"/>
          <w:cols w:space="0" w:num="1"/>
          <w:docGrid w:type="lines" w:linePitch="312" w:charSpace="0"/>
        </w:sectPr>
      </w:pPr>
    </w:p>
    <w:p>
      <w:pPr>
        <w:tabs>
          <w:tab w:val="left" w:pos="2159"/>
        </w:tabs>
        <w:spacing w:line="360" w:lineRule="auto"/>
        <w:jc w:val="center"/>
        <w:rPr>
          <w:rFonts w:ascii="黑体" w:hAnsi="黑体" w:eastAsia="黑体" w:cs="黑体"/>
          <w:b/>
          <w:bCs/>
          <w:color w:val="auto"/>
          <w:sz w:val="28"/>
          <w:szCs w:val="28"/>
        </w:rPr>
      </w:pPr>
      <w:r>
        <w:rPr>
          <w:rFonts w:hint="eastAsia" w:ascii="黑体" w:hAnsi="黑体" w:eastAsia="黑体" w:cs="黑体"/>
          <w:b/>
          <w:bCs/>
          <w:color w:val="auto"/>
          <w:sz w:val="28"/>
          <w:szCs w:val="28"/>
          <w:lang w:val="en-US" w:eastAsia="zh-CN"/>
        </w:rPr>
        <w:t>机构</w:t>
      </w:r>
      <w:r>
        <w:rPr>
          <w:rFonts w:hint="eastAsia" w:ascii="黑体" w:hAnsi="黑体" w:eastAsia="黑体" w:cs="黑体"/>
          <w:b/>
          <w:bCs/>
          <w:color w:val="auto"/>
          <w:sz w:val="28"/>
          <w:szCs w:val="28"/>
        </w:rPr>
        <w:t>对各专业临床试验质量控制的SOP</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一、目的</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为规范</w:t>
      </w:r>
      <w:r>
        <w:rPr>
          <w:rFonts w:hint="eastAsia" w:asciiTheme="minorEastAsia" w:hAnsiTheme="minorEastAsia" w:cstheme="minorEastAsia"/>
          <w:color w:val="auto"/>
          <w:sz w:val="24"/>
          <w:szCs w:val="24"/>
          <w:lang w:val="en-US" w:eastAsia="zh-CN"/>
        </w:rPr>
        <w:t>药物和医疗器械</w:t>
      </w:r>
      <w:r>
        <w:rPr>
          <w:rFonts w:hint="eastAsia" w:asciiTheme="minorEastAsia" w:hAnsiTheme="minorEastAsia" w:cstheme="minorEastAsia"/>
          <w:color w:val="auto"/>
          <w:sz w:val="24"/>
          <w:szCs w:val="24"/>
        </w:rPr>
        <w:t>临床试验质量管理工作，加强机构对药物</w:t>
      </w:r>
      <w:r>
        <w:rPr>
          <w:rFonts w:hint="eastAsia" w:asciiTheme="minorEastAsia" w:hAnsiTheme="minorEastAsia" w:cstheme="minorEastAsia"/>
          <w:color w:val="auto"/>
          <w:sz w:val="24"/>
          <w:szCs w:val="24"/>
          <w:lang w:val="en-US" w:eastAsia="zh-CN"/>
        </w:rPr>
        <w:t>和医疗器械</w:t>
      </w:r>
      <w:r>
        <w:rPr>
          <w:rFonts w:hint="eastAsia" w:asciiTheme="minorEastAsia" w:hAnsiTheme="minorEastAsia" w:cstheme="minorEastAsia"/>
          <w:color w:val="auto"/>
          <w:sz w:val="24"/>
          <w:szCs w:val="24"/>
        </w:rPr>
        <w:t>临床试验项目的质量管理。</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二、适用范围</w:t>
      </w:r>
    </w:p>
    <w:p>
      <w:pPr>
        <w:spacing w:line="360" w:lineRule="auto"/>
        <w:ind w:firstLine="420"/>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本院所有的药物</w:t>
      </w:r>
      <w:r>
        <w:rPr>
          <w:rFonts w:hint="eastAsia" w:asciiTheme="minorEastAsia" w:hAnsiTheme="minorEastAsia" w:cstheme="minorEastAsia"/>
          <w:color w:val="auto"/>
          <w:sz w:val="24"/>
          <w:szCs w:val="24"/>
          <w:lang w:val="en-US" w:eastAsia="zh-CN"/>
        </w:rPr>
        <w:t>和医疗器</w:t>
      </w:r>
      <w:r>
        <w:rPr>
          <w:rFonts w:hint="eastAsia" w:asciiTheme="minorEastAsia" w:hAnsiTheme="minorEastAsia" w:cstheme="minorEastAsia"/>
          <w:color w:val="auto"/>
          <w:sz w:val="24"/>
          <w:szCs w:val="24"/>
        </w:rPr>
        <w:t>临床试验。</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三、程序</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（一）试验前期（启动期）；</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1、在药物</w:t>
      </w:r>
      <w:r>
        <w:rPr>
          <w:rFonts w:hint="eastAsia" w:asciiTheme="minorEastAsia" w:hAnsiTheme="minorEastAsia" w:cstheme="minorEastAsia"/>
          <w:color w:val="auto"/>
          <w:sz w:val="24"/>
          <w:szCs w:val="24"/>
          <w:lang w:val="en-US" w:eastAsia="zh-CN"/>
        </w:rPr>
        <w:t>或医疗器械</w:t>
      </w:r>
      <w:r>
        <w:rPr>
          <w:rFonts w:hint="eastAsia" w:asciiTheme="minorEastAsia" w:hAnsiTheme="minorEastAsia" w:cstheme="minorEastAsia"/>
          <w:color w:val="auto"/>
          <w:sz w:val="24"/>
          <w:szCs w:val="24"/>
        </w:rPr>
        <w:t>临床试验开始前，确认试验承担项目组是否有充分的时间、资源、设备以及合格的研究人员投入到所进行的临床试验项目中。</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2、研究团队资格的保证；</w:t>
      </w:r>
      <w:r>
        <w:rPr>
          <w:rFonts w:hint="eastAsia" w:asciiTheme="minorEastAsia" w:hAnsiTheme="minorEastAsia" w:cstheme="minorEastAsia"/>
          <w:color w:val="auto"/>
          <w:sz w:val="24"/>
          <w:szCs w:val="24"/>
          <w:lang w:val="en-US" w:eastAsia="zh-CN"/>
        </w:rPr>
        <w:t>药物或医疗器械</w:t>
      </w:r>
      <w:r>
        <w:rPr>
          <w:rFonts w:hint="eastAsia" w:asciiTheme="minorEastAsia" w:hAnsiTheme="minorEastAsia" w:cstheme="minorEastAsia"/>
          <w:color w:val="auto"/>
          <w:sz w:val="24"/>
          <w:szCs w:val="24"/>
        </w:rPr>
        <w:t>临床试验项目负责人应具有本科以上学历和副主任医师以上职称，具有试验方案中所要求的专业知识和经验，熟悉申办方提供的与试验有关的资料和文献，具有较好的组织协调能力和组织开展临床试验所需要的研究团队，组织合理，分工明确。</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专业组科室设施的保证：各专业组应具有一定的住院人数和门诊量；具有必要的抢救设备和防范事故的SOP，包括对不良反应的急救措施，配备急救推车、急救药品以及吸引器等；实验室具备与试验相关的诊断检验仪器，建立并定期更新试验方案和设备的SOP，专人负责仪器的维修保管；确保临床试验能安全有效地进行。</w:t>
      </w:r>
    </w:p>
    <w:p>
      <w:pPr>
        <w:spacing w:line="360" w:lineRule="auto"/>
        <w:jc w:val="left"/>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4、在药物</w:t>
      </w:r>
      <w:r>
        <w:rPr>
          <w:rFonts w:hint="eastAsia" w:asciiTheme="minorEastAsia" w:hAnsiTheme="minorEastAsia" w:cstheme="minorEastAsia"/>
          <w:color w:val="auto"/>
          <w:sz w:val="24"/>
          <w:szCs w:val="24"/>
          <w:lang w:val="en-US" w:eastAsia="zh-CN"/>
        </w:rPr>
        <w:t>或医疗器械</w:t>
      </w:r>
      <w:r>
        <w:rPr>
          <w:rFonts w:hint="eastAsia" w:asciiTheme="minorEastAsia" w:hAnsiTheme="minorEastAsia" w:cstheme="minorEastAsia"/>
          <w:color w:val="auto"/>
          <w:sz w:val="24"/>
          <w:szCs w:val="24"/>
        </w:rPr>
        <w:t>临床试验开始前项目负责人组织召开本中心的启动会，对项目组成员进行适合本专业特色的SOP和试验方案等的培训、授权并进行人员分工。</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5、机构质控员根据项目研究方案制定具体的质控检查计划表（附件1），在参加分中心启动会时书面提交给PI和申办方，并对项目组成员进行GCP培训。</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（二）试验中期（运行期）；</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1、试验过程中要求各专业组必须严格按照试验方案和相关制度/SOP开展临床试验。</w:t>
      </w:r>
    </w:p>
    <w:p>
      <w:pPr>
        <w:spacing w:line="360" w:lineRule="auto"/>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rPr>
        <w:t>2、在试验过程中机构质控员按照质控检查计划对项目开展质控检查，包括早期和</w:t>
      </w:r>
      <w:r>
        <w:rPr>
          <w:rFonts w:hint="eastAsia" w:asciiTheme="minorEastAsia" w:hAnsiTheme="minorEastAsia" w:cstheme="minorEastAsia"/>
          <w:color w:val="auto"/>
          <w:sz w:val="24"/>
          <w:szCs w:val="24"/>
          <w:lang w:val="en-US" w:eastAsia="zh-CN"/>
        </w:rPr>
        <w:t>中</w:t>
      </w:r>
      <w:r>
        <w:rPr>
          <w:rFonts w:hint="eastAsia" w:asciiTheme="minorEastAsia" w:hAnsiTheme="minorEastAsia" w:cstheme="minorEastAsia"/>
          <w:color w:val="auto"/>
          <w:sz w:val="24"/>
          <w:szCs w:val="24"/>
        </w:rPr>
        <w:t>后期质控，早期质控一般在入组2-3例时开展，中后期质控时间根据项目进展情况决定，按入组病例数的一定比例进行抽查，发现问题再扩大检查；对于风险高的项目应加强检查；另外还可根据项目执行过程中存在的问题进行针对性的有因检查。检查内容包括（但不限于）：受试者知情与权益、方案执行情况、抽查CRF与数据溯源、监查稽查情况、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管理以及资料管理等</w:t>
      </w:r>
      <w:r>
        <w:rPr>
          <w:rFonts w:hint="eastAsia" w:asciiTheme="minorEastAsia" w:hAnsiTheme="minorEastAsia" w:cstheme="minorEastAsia"/>
          <w:color w:val="auto"/>
          <w:sz w:val="24"/>
          <w:szCs w:val="24"/>
          <w:lang w:eastAsia="zh-CN"/>
        </w:rPr>
        <w:t>。</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3、机构质控员每月对GCP药房</w:t>
      </w:r>
      <w:r>
        <w:rPr>
          <w:rFonts w:hint="eastAsia" w:asciiTheme="minorEastAsia" w:hAnsiTheme="minorEastAsia" w:cstheme="minorEastAsia"/>
          <w:color w:val="auto"/>
          <w:sz w:val="24"/>
          <w:szCs w:val="24"/>
          <w:lang w:val="en-US" w:eastAsia="zh-CN"/>
        </w:rPr>
        <w:t>/机构医疗器械保管室</w:t>
      </w:r>
      <w:r>
        <w:rPr>
          <w:rFonts w:hint="eastAsia" w:asciiTheme="minorEastAsia" w:hAnsiTheme="minorEastAsia" w:cstheme="minorEastAsia"/>
          <w:color w:val="auto"/>
          <w:sz w:val="24"/>
          <w:szCs w:val="24"/>
        </w:rPr>
        <w:t>进行质控检查，每次最少抽查2个在研项目。对于病房发放的药物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需到科室对试验药物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的进行现场检查。</w:t>
      </w:r>
    </w:p>
    <w:p>
      <w:pPr>
        <w:spacing w:line="360" w:lineRule="auto"/>
        <w:jc w:val="both"/>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4、质控检查前机构质控员通知项目组和/或药物</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rPr>
        <w:t>管理员和提前准备相关文件，机构质控员现场根据《药物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临床试验质控检查表》（附件</w:t>
      </w:r>
      <w:r>
        <w:rPr>
          <w:rFonts w:hint="eastAsia" w:asciiTheme="minorEastAsia" w:hAnsiTheme="minorEastAsia" w:cstheme="minorEastAsia"/>
          <w:color w:val="auto"/>
          <w:sz w:val="24"/>
          <w:szCs w:val="24"/>
          <w:lang w:val="en-US" w:eastAsia="zh-CN"/>
        </w:rPr>
        <w:t>2-3</w:t>
      </w:r>
      <w:r>
        <w:rPr>
          <w:rFonts w:hint="eastAsia" w:asciiTheme="minorEastAsia" w:hAnsiTheme="minorEastAsia" w:cstheme="minorEastAsia"/>
          <w:color w:val="auto"/>
          <w:sz w:val="24"/>
          <w:szCs w:val="24"/>
        </w:rPr>
        <w:t>）和/或《试验用药物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质控检查表》（附件5</w:t>
      </w:r>
      <w:r>
        <w:rPr>
          <w:rFonts w:hint="eastAsia" w:asciiTheme="minorEastAsia" w:hAnsiTheme="minorEastAsia" w:cstheme="minorEastAsia"/>
          <w:color w:val="auto"/>
          <w:sz w:val="24"/>
          <w:szCs w:val="24"/>
          <w:lang w:val="en-US" w:eastAsia="zh-CN"/>
        </w:rPr>
        <w:t>或附件6</w:t>
      </w:r>
      <w:r>
        <w:rPr>
          <w:rFonts w:hint="eastAsia" w:asciiTheme="minorEastAsia" w:hAnsiTheme="minorEastAsia" w:cstheme="minorEastAsia"/>
          <w:color w:val="auto"/>
          <w:sz w:val="24"/>
          <w:szCs w:val="24"/>
        </w:rPr>
        <w:t>）内容进行质控检查，并现场填写《药物/医疗器械临床试验质控检查表》）和/或《试验用药物/医疗器械质控检查表》。对发现的问题，填写《药物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临床试验质控检查结果反馈表》（附件</w:t>
      </w:r>
      <w:r>
        <w:rPr>
          <w:rFonts w:hint="eastAsia" w:asciiTheme="minorEastAsia" w:hAnsiTheme="minorEastAsia" w:cstheme="minorEastAsia"/>
          <w:color w:val="auto"/>
          <w:sz w:val="24"/>
          <w:szCs w:val="24"/>
          <w:lang w:val="en-US" w:eastAsia="zh-CN"/>
        </w:rPr>
        <w:t>4</w:t>
      </w:r>
      <w:r>
        <w:rPr>
          <w:rFonts w:hint="eastAsia" w:asciiTheme="minorEastAsia" w:hAnsiTheme="minorEastAsia" w:cstheme="minorEastAsia"/>
          <w:color w:val="auto"/>
          <w:sz w:val="24"/>
          <w:szCs w:val="24"/>
        </w:rPr>
        <w:t>）并交予项目负责人，要求于质控检查后一周内对质控检查中发现的问题进行反馈或改正，《药物/医疗器械临床试验质控检查表》、《试验用药物/医疗器械质控检查表》以及《药物/医疗器械临床试验质控检查结果反馈表》由临床试验机构办公室保存。</w:t>
      </w:r>
    </w:p>
    <w:p>
      <w:pPr>
        <w:spacing w:line="360" w:lineRule="auto"/>
        <w:jc w:val="both"/>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5、机构质控人员将对既往质控检查中发现的问题的落实情况进行追踪。规定时间内对质控检查发现的问题尚未解决的，机构有权暂停该项目组的入组，待问题解决并经机构评估后可重新启动。</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6、对于在质控检查中发现弄虚作假，机构将取消该项目组开展药物临床试验的资格，并按照医院相关条例给予项目负责人和相关人员相应的处罚。</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（三）试验后期（结束期）：</w:t>
      </w:r>
    </w:p>
    <w:p>
      <w:pPr>
        <w:spacing w:line="360" w:lineRule="auto"/>
        <w:ind w:firstLine="480" w:firstLineChars="200"/>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参照《临床试验结题的标准操作规程》管理</w:t>
      </w:r>
    </w:p>
    <w:p>
      <w:pPr>
        <w:pStyle w:val="24"/>
        <w:spacing w:before="0" w:beforeAutospacing="0" w:after="0" w:afterAutospacing="0" w:line="450" w:lineRule="atLeast"/>
        <w:rPr>
          <w:rFonts w:hint="eastAsia" w:asciiTheme="minorEastAsia" w:hAnsiTheme="minorEastAsia" w:eastAsiaTheme="minorEastAsia" w:cstheme="minorEastAsia"/>
          <w:b w:val="0"/>
          <w:bCs w:val="0"/>
          <w:color w:val="auto"/>
          <w:shd w:val="clear" w:color="auto" w:fill="FFFFFF"/>
        </w:rPr>
      </w:pPr>
      <w:r>
        <w:rPr>
          <w:rFonts w:hint="eastAsia" w:asciiTheme="minorEastAsia" w:hAnsiTheme="minorEastAsia" w:eastAsiaTheme="minorEastAsia" w:cstheme="minorEastAsia"/>
          <w:b w:val="0"/>
          <w:bCs w:val="0"/>
          <w:color w:val="auto"/>
          <w:shd w:val="clear" w:color="auto" w:fill="FFFFFF"/>
          <w:lang w:val="en-US" w:eastAsia="zh-CN"/>
        </w:rPr>
        <w:t>四、</w:t>
      </w:r>
      <w:r>
        <w:rPr>
          <w:rFonts w:hint="eastAsia" w:asciiTheme="minorEastAsia" w:hAnsiTheme="minorEastAsia" w:eastAsiaTheme="minorEastAsia" w:cstheme="minorEastAsia"/>
          <w:b w:val="0"/>
          <w:bCs w:val="0"/>
          <w:color w:val="auto"/>
          <w:shd w:val="clear" w:color="auto" w:fill="FFFFFF"/>
        </w:rPr>
        <w:t>参考文献</w:t>
      </w:r>
    </w:p>
    <w:p>
      <w:pPr>
        <w:pStyle w:val="24"/>
        <w:keepNext w:val="0"/>
        <w:keepLines w:val="0"/>
        <w:pageBreakBefore w:val="0"/>
        <w:widowControl/>
        <w:numPr>
          <w:ilvl w:val="0"/>
          <w:numId w:val="73"/>
        </w:numPr>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 xml:space="preserve">国家药品监督管理局，国家卫生健康委员会. 关于发布《医疗器械临床试验质量管理规范》的公告（2022年第28号）.[2022-03-31]. </w:t>
      </w:r>
      <w:r>
        <w:rPr>
          <w:rFonts w:hint="eastAsia" w:asciiTheme="minorEastAsia" w:hAnsiTheme="minorEastAsia" w:eastAsiaTheme="minorEastAsia" w:cstheme="minorEastAsia"/>
          <w:color w:val="auto"/>
          <w:u w:val="none"/>
          <w:shd w:val="clear" w:color="auto" w:fill="FFFFFF"/>
        </w:rPr>
        <w:t>https://www.nmpa.gov.cn/xxgk/ggtg/qtggtg/20220331144903101.html.</w:t>
      </w:r>
    </w:p>
    <w:p>
      <w:pPr>
        <w:pStyle w:val="24"/>
        <w:keepNext w:val="0"/>
        <w:keepLines w:val="0"/>
        <w:pageBreakBefore w:val="0"/>
        <w:widowControl/>
        <w:numPr>
          <w:ilvl w:val="0"/>
          <w:numId w:val="73"/>
        </w:numPr>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lang w:val="en-US" w:eastAsia="zh-CN"/>
        </w:rPr>
      </w:pPr>
      <w:r>
        <w:rPr>
          <w:rFonts w:hint="eastAsia" w:asciiTheme="minorEastAsia" w:hAnsiTheme="minorEastAsia" w:eastAsiaTheme="minorEastAsia" w:cstheme="minorEastAsia"/>
          <w:color w:val="auto"/>
          <w:shd w:val="clear" w:color="auto" w:fill="FFFFFF"/>
        </w:rPr>
        <w:t>中华人民共和国国务院</w:t>
      </w:r>
      <w:r>
        <w:rPr>
          <w:rFonts w:hint="eastAsia" w:asciiTheme="minorEastAsia" w:hAnsiTheme="minorEastAsia" w:eastAsiaTheme="minorEastAsia" w:cstheme="minorEastAsia"/>
          <w:color w:val="auto"/>
          <w:shd w:val="clear" w:color="auto" w:fill="FFFFFF"/>
          <w:lang w:val="en-US" w:eastAsia="zh-CN"/>
        </w:rPr>
        <w:t xml:space="preserve">. </w:t>
      </w:r>
      <w:r>
        <w:rPr>
          <w:rFonts w:hint="eastAsia" w:asciiTheme="minorEastAsia" w:hAnsiTheme="minorEastAsia" w:eastAsiaTheme="minorEastAsia" w:cstheme="minorEastAsia"/>
          <w:color w:val="auto"/>
          <w:shd w:val="clear" w:color="auto" w:fill="FFFFFF"/>
        </w:rPr>
        <w:t>医疗器械监督管理条例</w:t>
      </w:r>
      <w:r>
        <w:rPr>
          <w:rFonts w:hint="eastAsia" w:asciiTheme="minorEastAsia" w:hAnsiTheme="minorEastAsia" w:eastAsiaTheme="minorEastAsia" w:cstheme="minorEastAsia"/>
          <w:color w:val="auto"/>
          <w:shd w:val="clear" w:color="auto" w:fill="FFFFFF"/>
          <w:lang w:val="en-US" w:eastAsia="zh-CN"/>
        </w:rPr>
        <w:t xml:space="preserve">（中华人民共和国国务院令第739号）. </w:t>
      </w:r>
      <w:r>
        <w:rPr>
          <w:rFonts w:hint="eastAsia" w:asciiTheme="minorEastAsia" w:hAnsiTheme="minorEastAsia" w:eastAsiaTheme="minorEastAsia" w:cstheme="minorEastAsia"/>
          <w:color w:val="auto"/>
          <w:shd w:val="clear" w:color="auto" w:fill="FFFFFF"/>
        </w:rPr>
        <w:t>[202</w:t>
      </w:r>
      <w:r>
        <w:rPr>
          <w:rFonts w:hint="eastAsia" w:asciiTheme="minorEastAsia" w:hAnsiTheme="minorEastAsia" w:eastAsiaTheme="minorEastAsia" w:cstheme="minorEastAsia"/>
          <w:color w:val="auto"/>
          <w:shd w:val="clear" w:color="auto" w:fill="FFFFFF"/>
          <w:lang w:val="en-US" w:eastAsia="zh-CN"/>
        </w:rPr>
        <w:t>1</w:t>
      </w:r>
      <w:r>
        <w:rPr>
          <w:rFonts w:hint="eastAsia" w:asciiTheme="minorEastAsia" w:hAnsiTheme="minorEastAsia" w:eastAsiaTheme="minorEastAsia" w:cstheme="minorEastAsia"/>
          <w:color w:val="auto"/>
          <w:shd w:val="clear" w:color="auto" w:fill="FFFFFF"/>
        </w:rPr>
        <w:t>-03-</w:t>
      </w:r>
      <w:r>
        <w:rPr>
          <w:rFonts w:hint="eastAsia" w:asciiTheme="minorEastAsia" w:hAnsiTheme="minorEastAsia" w:eastAsiaTheme="minorEastAsia" w:cstheme="minorEastAsia"/>
          <w:color w:val="auto"/>
          <w:shd w:val="clear" w:color="auto" w:fill="FFFFFF"/>
          <w:lang w:val="en-US" w:eastAsia="zh-CN"/>
        </w:rPr>
        <w:t>18</w:t>
      </w:r>
      <w:r>
        <w:rPr>
          <w:rFonts w:hint="eastAsia" w:asciiTheme="minorEastAsia" w:hAnsiTheme="minorEastAsia" w:eastAsiaTheme="minorEastAsia" w:cstheme="minorEastAsia"/>
          <w:color w:val="auto"/>
          <w:shd w:val="clear" w:color="auto" w:fill="FFFFFF"/>
        </w:rPr>
        <w:t>]</w:t>
      </w:r>
      <w:r>
        <w:rPr>
          <w:rFonts w:hint="eastAsia" w:asciiTheme="minorEastAsia" w:hAnsiTheme="minorEastAsia" w:eastAsiaTheme="minorEastAsia" w:cstheme="minorEastAsia"/>
          <w:color w:val="auto"/>
          <w:shd w:val="clear" w:color="auto" w:fill="FFFFFF"/>
          <w:lang w:val="en-US" w:eastAsia="zh-CN"/>
        </w:rPr>
        <w:t xml:space="preserve">. </w:t>
      </w:r>
      <w:r>
        <w:rPr>
          <w:rFonts w:hint="eastAsia" w:asciiTheme="minorEastAsia" w:hAnsiTheme="minorEastAsia" w:eastAsiaTheme="minorEastAsia" w:cstheme="minorEastAsia"/>
          <w:color w:val="auto"/>
          <w:u w:val="none"/>
          <w:shd w:val="clear" w:color="auto" w:fill="FFFFFF"/>
          <w:lang w:val="en-US" w:eastAsia="zh-CN"/>
        </w:rPr>
        <w:t>https://www.gov.cn/zhengce/content/2021-03/18/content_5593739.htm</w:t>
      </w:r>
    </w:p>
    <w:p>
      <w:pPr>
        <w:pStyle w:val="24"/>
        <w:keepNext w:val="0"/>
        <w:keepLines w:val="0"/>
        <w:pageBreakBefore w:val="0"/>
        <w:widowControl/>
        <w:numPr>
          <w:ilvl w:val="0"/>
          <w:numId w:val="73"/>
        </w:numPr>
        <w:kinsoku/>
        <w:wordWrap w:val="0"/>
        <w:overflowPunct/>
        <w:topLinePunct w:val="0"/>
        <w:autoSpaceDE/>
        <w:autoSpaceDN/>
        <w:bidi w:val="0"/>
        <w:adjustRightInd/>
        <w:snapToGrid/>
        <w:spacing w:before="0" w:beforeAutospacing="0" w:after="0" w:afterAutospacing="0" w:line="450" w:lineRule="atLeast"/>
        <w:textAlignment w:val="auto"/>
        <w:rPr>
          <w:rFonts w:hint="eastAsia" w:asciiTheme="minorEastAsia" w:hAnsiTheme="minorEastAsia" w:eastAsiaTheme="minorEastAsia" w:cstheme="minorEastAsia"/>
          <w:color w:val="auto"/>
          <w:shd w:val="clear" w:color="auto" w:fill="FFFFFF"/>
          <w:lang w:val="en-US" w:eastAsia="zh-CN"/>
        </w:rPr>
      </w:pPr>
      <w:r>
        <w:rPr>
          <w:rFonts w:hint="eastAsia" w:asciiTheme="minorEastAsia" w:hAnsiTheme="minorEastAsia" w:eastAsiaTheme="minorEastAsia" w:cstheme="minorEastAsia"/>
          <w:color w:val="auto"/>
          <w:shd w:val="clear" w:color="auto" w:fill="FFFFFF"/>
          <w:lang w:val="en-US" w:eastAsia="zh-CN"/>
        </w:rPr>
        <w:t>曹玉，元唯安. 药物临床试验实践 [M].北京：中国医药科技出版社，2021.</w:t>
      </w:r>
    </w:p>
    <w:p>
      <w:pPr>
        <w:pStyle w:val="24"/>
        <w:spacing w:before="0" w:beforeAutospacing="0" w:after="0" w:afterAutospacing="0" w:line="450" w:lineRule="atLeast"/>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w:t>
      </w:r>
      <w:r>
        <w:rPr>
          <w:rFonts w:hint="eastAsia" w:asciiTheme="minorEastAsia" w:hAnsiTheme="minorEastAsia" w:eastAsiaTheme="minorEastAsia" w:cstheme="minorEastAsia"/>
          <w:color w:val="auto"/>
          <w:shd w:val="clear" w:color="auto" w:fill="FFFFFF"/>
          <w:lang w:val="en-US" w:eastAsia="zh-CN"/>
        </w:rPr>
        <w:t>4</w:t>
      </w:r>
      <w:r>
        <w:rPr>
          <w:rFonts w:hint="eastAsia" w:asciiTheme="minorEastAsia" w:hAnsiTheme="minorEastAsia" w:eastAsiaTheme="minorEastAsia" w:cstheme="minorEastAsia"/>
          <w:color w:val="auto"/>
          <w:shd w:val="clear" w:color="auto" w:fill="FFFFFF"/>
        </w:rPr>
        <w:t>]王白璐</w:t>
      </w:r>
      <w:r>
        <w:rPr>
          <w:rFonts w:hint="eastAsia" w:asciiTheme="minorEastAsia" w:hAnsiTheme="minorEastAsia" w:eastAsiaTheme="minorEastAsia" w:cstheme="minorEastAsia"/>
          <w:color w:val="auto"/>
          <w:shd w:val="clear" w:color="auto" w:fill="FFFFFF"/>
          <w:lang w:val="en-US" w:eastAsia="zh-CN"/>
        </w:rPr>
        <w:t xml:space="preserve">. </w:t>
      </w:r>
      <w:r>
        <w:rPr>
          <w:rFonts w:hint="eastAsia" w:asciiTheme="minorEastAsia" w:hAnsiTheme="minorEastAsia" w:eastAsiaTheme="minorEastAsia" w:cstheme="minorEastAsia"/>
          <w:color w:val="auto"/>
          <w:shd w:val="clear" w:color="auto" w:fill="FFFFFF"/>
        </w:rPr>
        <w:t>医疗器械临床试验机构操作手册 [M]. 北京：人民卫生出版社，2022.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rPr>
          <w:color w:val="auto"/>
        </w:rPr>
      </w:pP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lang w:val="en-US" w:eastAsia="zh-CN"/>
        </w:rPr>
        <w:t>五</w:t>
      </w:r>
      <w:r>
        <w:rPr>
          <w:rFonts w:hint="eastAsia" w:asciiTheme="minorEastAsia" w:hAnsiTheme="minorEastAsia" w:cstheme="minorEastAsia"/>
          <w:color w:val="auto"/>
          <w:sz w:val="24"/>
          <w:szCs w:val="24"/>
        </w:rPr>
        <w:t>、附件</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附件1</w:t>
      </w:r>
      <w:r>
        <w:rPr>
          <w:rFonts w:hint="eastAsia" w:asciiTheme="minorEastAsia" w:hAnsiTheme="minorEastAsia" w:cstheme="minorEastAsia"/>
          <w:color w:val="auto"/>
          <w:sz w:val="24"/>
          <w:szCs w:val="24"/>
          <w:lang w:eastAsia="zh-CN"/>
        </w:rPr>
        <w:t>：YYH-SOP-CTC-02</w:t>
      </w:r>
      <w:r>
        <w:rPr>
          <w:rFonts w:hint="eastAsia" w:asciiTheme="minorEastAsia" w:hAnsiTheme="minorEastAsia" w:cstheme="minorEastAsia"/>
          <w:color w:val="auto"/>
          <w:sz w:val="24"/>
          <w:szCs w:val="24"/>
          <w:lang w:val="en-US" w:eastAsia="zh-CN"/>
        </w:rPr>
        <w:t>5</w:t>
      </w:r>
      <w:r>
        <w:rPr>
          <w:rFonts w:hint="eastAsia" w:asciiTheme="minorEastAsia" w:hAnsiTheme="minorEastAsia" w:cstheme="minorEastAsia"/>
          <w:color w:val="auto"/>
          <w:sz w:val="24"/>
          <w:szCs w:val="24"/>
          <w:lang w:eastAsia="zh-CN"/>
        </w:rPr>
        <w:t>-3.1-A01</w:t>
      </w:r>
      <w:r>
        <w:rPr>
          <w:rFonts w:hint="eastAsia" w:asciiTheme="minorEastAsia" w:hAnsiTheme="minorEastAsia" w:cstheme="minorEastAsia"/>
          <w:color w:val="auto"/>
          <w:sz w:val="24"/>
          <w:szCs w:val="24"/>
        </w:rPr>
        <w:t>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临床试验质控检查计划表</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附件2</w:t>
      </w:r>
      <w:r>
        <w:rPr>
          <w:rFonts w:hint="eastAsia" w:asciiTheme="minorEastAsia" w:hAnsiTheme="minorEastAsia" w:cstheme="minorEastAsia"/>
          <w:color w:val="auto"/>
          <w:sz w:val="24"/>
          <w:szCs w:val="24"/>
          <w:lang w:eastAsia="zh-CN"/>
        </w:rPr>
        <w:t>：YYH-SOP-CTC-02</w:t>
      </w:r>
      <w:r>
        <w:rPr>
          <w:rFonts w:hint="eastAsia" w:asciiTheme="minorEastAsia" w:hAnsiTheme="minorEastAsia" w:cstheme="minorEastAsia"/>
          <w:color w:val="auto"/>
          <w:sz w:val="24"/>
          <w:szCs w:val="24"/>
          <w:lang w:val="en-US" w:eastAsia="zh-CN"/>
        </w:rPr>
        <w:t>5</w:t>
      </w:r>
      <w:r>
        <w:rPr>
          <w:rFonts w:hint="eastAsia" w:asciiTheme="minorEastAsia" w:hAnsiTheme="minorEastAsia" w:cstheme="minorEastAsia"/>
          <w:color w:val="auto"/>
          <w:sz w:val="24"/>
          <w:szCs w:val="24"/>
          <w:lang w:eastAsia="zh-CN"/>
        </w:rPr>
        <w:t>-3.1-A0</w:t>
      </w:r>
      <w:r>
        <w:rPr>
          <w:rFonts w:hint="eastAsia" w:asciiTheme="minorEastAsia" w:hAnsiTheme="minorEastAsia" w:cstheme="minorEastAsia"/>
          <w:color w:val="auto"/>
          <w:sz w:val="24"/>
          <w:szCs w:val="24"/>
          <w:lang w:val="en-US" w:eastAsia="zh-CN"/>
        </w:rPr>
        <w:t>2</w:t>
      </w:r>
      <w:r>
        <w:rPr>
          <w:rFonts w:hint="eastAsia" w:asciiTheme="minorEastAsia" w:hAnsiTheme="minorEastAsia" w:cstheme="minorEastAsia"/>
          <w:color w:val="auto"/>
          <w:sz w:val="24"/>
          <w:szCs w:val="24"/>
        </w:rPr>
        <w:t>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临床试验质控检查表（早期）</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附件3</w:t>
      </w:r>
      <w:r>
        <w:rPr>
          <w:rFonts w:hint="eastAsia" w:asciiTheme="minorEastAsia" w:hAnsiTheme="minorEastAsia" w:cstheme="minorEastAsia"/>
          <w:color w:val="auto"/>
          <w:sz w:val="24"/>
          <w:szCs w:val="24"/>
          <w:lang w:eastAsia="zh-CN"/>
        </w:rPr>
        <w:t>：YYH-SOP-CTC-02</w:t>
      </w:r>
      <w:r>
        <w:rPr>
          <w:rFonts w:hint="eastAsia" w:asciiTheme="minorEastAsia" w:hAnsiTheme="minorEastAsia" w:cstheme="minorEastAsia"/>
          <w:color w:val="auto"/>
          <w:sz w:val="24"/>
          <w:szCs w:val="24"/>
          <w:lang w:val="en-US" w:eastAsia="zh-CN"/>
        </w:rPr>
        <w:t>5</w:t>
      </w:r>
      <w:r>
        <w:rPr>
          <w:rFonts w:hint="eastAsia" w:asciiTheme="minorEastAsia" w:hAnsiTheme="minorEastAsia" w:cstheme="minorEastAsia"/>
          <w:color w:val="auto"/>
          <w:sz w:val="24"/>
          <w:szCs w:val="24"/>
          <w:lang w:eastAsia="zh-CN"/>
        </w:rPr>
        <w:t>-3.1-A0</w:t>
      </w:r>
      <w:r>
        <w:rPr>
          <w:rFonts w:hint="eastAsia" w:asciiTheme="minorEastAsia" w:hAnsiTheme="minorEastAsia" w:cstheme="minorEastAsia"/>
          <w:color w:val="auto"/>
          <w:sz w:val="24"/>
          <w:szCs w:val="24"/>
          <w:lang w:val="en-US" w:eastAsia="zh-CN"/>
        </w:rPr>
        <w:t>3</w:t>
      </w:r>
      <w:r>
        <w:rPr>
          <w:rFonts w:hint="eastAsia" w:asciiTheme="minorEastAsia" w:hAnsiTheme="minorEastAsia" w:cstheme="minorEastAsia"/>
          <w:color w:val="auto"/>
          <w:sz w:val="24"/>
          <w:szCs w:val="24"/>
        </w:rPr>
        <w:t>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临床试验质控检查表（中后期）</w:t>
      </w:r>
    </w:p>
    <w:p>
      <w:pPr>
        <w:spacing w:line="360" w:lineRule="auto"/>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附件4</w:t>
      </w:r>
      <w:r>
        <w:rPr>
          <w:rFonts w:hint="eastAsia" w:asciiTheme="minorEastAsia" w:hAnsiTheme="minorEastAsia" w:cstheme="minorEastAsia"/>
          <w:color w:val="auto"/>
          <w:sz w:val="24"/>
          <w:szCs w:val="24"/>
          <w:lang w:eastAsia="zh-CN"/>
        </w:rPr>
        <w:t>：YYH-SOP-CTC-02</w:t>
      </w:r>
      <w:r>
        <w:rPr>
          <w:rFonts w:hint="eastAsia" w:asciiTheme="minorEastAsia" w:hAnsiTheme="minorEastAsia" w:cstheme="minorEastAsia"/>
          <w:color w:val="auto"/>
          <w:sz w:val="24"/>
          <w:szCs w:val="24"/>
          <w:lang w:val="en-US" w:eastAsia="zh-CN"/>
        </w:rPr>
        <w:t>5</w:t>
      </w:r>
      <w:r>
        <w:rPr>
          <w:rFonts w:hint="eastAsia" w:asciiTheme="minorEastAsia" w:hAnsiTheme="minorEastAsia" w:cstheme="minorEastAsia"/>
          <w:color w:val="auto"/>
          <w:sz w:val="24"/>
          <w:szCs w:val="24"/>
          <w:lang w:eastAsia="zh-CN"/>
        </w:rPr>
        <w:t>-3.1-A</w:t>
      </w:r>
      <w:r>
        <w:rPr>
          <w:rFonts w:hint="eastAsia" w:asciiTheme="minorEastAsia" w:hAnsiTheme="minorEastAsia" w:cstheme="minorEastAsia"/>
          <w:color w:val="auto"/>
          <w:sz w:val="24"/>
          <w:szCs w:val="24"/>
          <w:lang w:val="en-US" w:eastAsia="zh-CN"/>
        </w:rPr>
        <w:t>04</w:t>
      </w:r>
      <w:r>
        <w:rPr>
          <w:rFonts w:hint="eastAsia" w:asciiTheme="minorEastAsia" w:hAnsiTheme="minorEastAsia" w:cstheme="minorEastAsia"/>
          <w:color w:val="auto"/>
          <w:sz w:val="24"/>
          <w:szCs w:val="24"/>
        </w:rPr>
        <w:t>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临床试验质控检查结果反馈表</w:t>
      </w:r>
    </w:p>
    <w:p>
      <w:pPr>
        <w:spacing w:line="360" w:lineRule="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rPr>
        <w:t>附件5</w:t>
      </w:r>
      <w:r>
        <w:rPr>
          <w:rFonts w:hint="eastAsia" w:asciiTheme="minorEastAsia" w:hAnsiTheme="minorEastAsia" w:cstheme="minorEastAsia"/>
          <w:color w:val="auto"/>
          <w:sz w:val="24"/>
          <w:szCs w:val="24"/>
          <w:lang w:eastAsia="zh-CN"/>
        </w:rPr>
        <w:t>：YYH-SOP-CTC-02</w:t>
      </w:r>
      <w:r>
        <w:rPr>
          <w:rFonts w:hint="eastAsia" w:asciiTheme="minorEastAsia" w:hAnsiTheme="minorEastAsia" w:cstheme="minorEastAsia"/>
          <w:color w:val="auto"/>
          <w:sz w:val="24"/>
          <w:szCs w:val="24"/>
          <w:lang w:val="en-US" w:eastAsia="zh-CN"/>
        </w:rPr>
        <w:t>5</w:t>
      </w:r>
      <w:r>
        <w:rPr>
          <w:rFonts w:hint="eastAsia" w:asciiTheme="minorEastAsia" w:hAnsiTheme="minorEastAsia" w:cstheme="minorEastAsia"/>
          <w:color w:val="auto"/>
          <w:sz w:val="24"/>
          <w:szCs w:val="24"/>
          <w:lang w:eastAsia="zh-CN"/>
        </w:rPr>
        <w:t>-3.1-A0</w:t>
      </w:r>
      <w:r>
        <w:rPr>
          <w:rFonts w:hint="eastAsia" w:asciiTheme="minorEastAsia" w:hAnsiTheme="minorEastAsia" w:cstheme="minorEastAsia"/>
          <w:color w:val="auto"/>
          <w:sz w:val="24"/>
          <w:szCs w:val="24"/>
          <w:lang w:val="en-US" w:eastAsia="zh-CN"/>
        </w:rPr>
        <w:t>5</w:t>
      </w:r>
      <w:r>
        <w:rPr>
          <w:rFonts w:hint="eastAsia" w:asciiTheme="minorEastAsia" w:hAnsiTheme="minorEastAsia" w:cstheme="minorEastAsia"/>
          <w:color w:val="auto"/>
          <w:sz w:val="24"/>
          <w:szCs w:val="24"/>
        </w:rPr>
        <w:t>试验用药物质控检查表</w:t>
      </w:r>
    </w:p>
    <w:p>
      <w:pPr>
        <w:spacing w:line="360" w:lineRule="auto"/>
        <w:rPr>
          <w:rFonts w:hint="eastAsia" w:asciiTheme="minorEastAsia" w:hAnsiTheme="minorEastAsia" w:cstheme="minorEastAsia"/>
          <w:color w:val="auto"/>
          <w:sz w:val="24"/>
          <w:szCs w:val="24"/>
        </w:rPr>
      </w:pPr>
      <w:r>
        <w:rPr>
          <w:rFonts w:hint="eastAsia" w:asciiTheme="minorEastAsia" w:hAnsiTheme="minorEastAsia" w:cstheme="minorEastAsia"/>
          <w:color w:val="auto"/>
          <w:sz w:val="24"/>
          <w:szCs w:val="24"/>
          <w:lang w:val="en-US" w:eastAsia="zh-CN"/>
        </w:rPr>
        <w:t>附件6：</w:t>
      </w:r>
      <w:r>
        <w:rPr>
          <w:rFonts w:hint="eastAsia" w:asciiTheme="minorEastAsia" w:hAnsiTheme="minorEastAsia" w:cstheme="minorEastAsia"/>
          <w:color w:val="auto"/>
          <w:sz w:val="24"/>
          <w:szCs w:val="24"/>
          <w:lang w:eastAsia="zh-CN"/>
        </w:rPr>
        <w:t>YYH-SOP-CTC-02</w:t>
      </w:r>
      <w:r>
        <w:rPr>
          <w:rFonts w:hint="eastAsia" w:asciiTheme="minorEastAsia" w:hAnsiTheme="minorEastAsia" w:cstheme="minorEastAsia"/>
          <w:color w:val="auto"/>
          <w:sz w:val="24"/>
          <w:szCs w:val="24"/>
          <w:lang w:val="en-US" w:eastAsia="zh-CN"/>
        </w:rPr>
        <w:t>5</w:t>
      </w:r>
      <w:r>
        <w:rPr>
          <w:rFonts w:hint="eastAsia" w:asciiTheme="minorEastAsia" w:hAnsiTheme="minorEastAsia" w:cstheme="minorEastAsia"/>
          <w:color w:val="auto"/>
          <w:sz w:val="24"/>
          <w:szCs w:val="24"/>
          <w:lang w:eastAsia="zh-CN"/>
        </w:rPr>
        <w:t>-3.1-A0</w:t>
      </w:r>
      <w:r>
        <w:rPr>
          <w:rFonts w:hint="eastAsia" w:asciiTheme="minorEastAsia" w:hAnsiTheme="minorEastAsia" w:cstheme="minorEastAsia"/>
          <w:color w:val="auto"/>
          <w:sz w:val="24"/>
          <w:szCs w:val="24"/>
          <w:lang w:val="en-US" w:eastAsia="zh-CN"/>
        </w:rPr>
        <w:t>6</w:t>
      </w:r>
      <w:r>
        <w:rPr>
          <w:rFonts w:hint="eastAsia" w:asciiTheme="minorEastAsia" w:hAnsiTheme="minorEastAsia" w:cstheme="minorEastAsia"/>
          <w:color w:val="auto"/>
          <w:sz w:val="24"/>
          <w:szCs w:val="24"/>
        </w:rPr>
        <w:t>试验用</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质控检查表</w:t>
      </w:r>
    </w:p>
    <w:p>
      <w:pPr>
        <w:spacing w:line="360" w:lineRule="auto"/>
        <w:rPr>
          <w:rFonts w:hint="default" w:asciiTheme="minorEastAsia" w:hAnsiTheme="minorEastAsia" w:eastAsiaTheme="minorEastAsia" w:cstheme="minorEastAsia"/>
          <w:color w:val="auto"/>
          <w:sz w:val="24"/>
          <w:szCs w:val="24"/>
          <w:lang w:val="en-US" w:eastAsia="zh-CN"/>
        </w:rPr>
      </w:pPr>
    </w:p>
    <w:p>
      <w:pPr>
        <w:spacing w:line="360" w:lineRule="auto"/>
        <w:ind w:left="239" w:leftChars="114"/>
        <w:rPr>
          <w:rFonts w:asciiTheme="minorEastAsia" w:hAnsiTheme="minorEastAsia" w:cstheme="minorEastAsia"/>
          <w:color w:val="auto"/>
          <w:sz w:val="24"/>
          <w:szCs w:val="24"/>
        </w:rPr>
      </w:pPr>
    </w:p>
    <w:p>
      <w:pPr>
        <w:widowControl/>
        <w:shd w:val="clear" w:color="auto" w:fill="FFFFFF"/>
        <w:spacing w:before="100" w:beforeAutospacing="1" w:after="100" w:afterAutospacing="1" w:line="360" w:lineRule="auto"/>
        <w:rPr>
          <w:rFonts w:asciiTheme="minorEastAsia" w:hAnsiTheme="minorEastAsia" w:cstheme="minorEastAsia"/>
          <w:b/>
          <w:bCs/>
          <w:color w:val="auto"/>
          <w:kern w:val="0"/>
          <w:sz w:val="24"/>
        </w:rPr>
      </w:pPr>
    </w:p>
    <w:p>
      <w:pPr>
        <w:pStyle w:val="33"/>
        <w:rPr>
          <w:rFonts w:asciiTheme="minorEastAsia" w:hAnsiTheme="minorEastAsia" w:cstheme="minorEastAsia"/>
          <w:b/>
          <w:bCs/>
          <w:color w:val="auto"/>
          <w:kern w:val="0"/>
          <w:sz w:val="24"/>
        </w:rPr>
      </w:pPr>
    </w:p>
    <w:p>
      <w:pPr>
        <w:rPr>
          <w:rFonts w:asciiTheme="minorEastAsia" w:hAnsiTheme="minorEastAsia" w:cstheme="minorEastAsia"/>
          <w:b/>
          <w:bCs/>
          <w:color w:val="auto"/>
          <w:kern w:val="0"/>
          <w:sz w:val="24"/>
        </w:rPr>
      </w:pPr>
    </w:p>
    <w:p>
      <w:pPr>
        <w:pStyle w:val="33"/>
        <w:rPr>
          <w:rFonts w:asciiTheme="minorEastAsia" w:hAnsiTheme="minorEastAsia" w:cstheme="minorEastAsia"/>
          <w:b/>
          <w:bCs/>
          <w:color w:val="auto"/>
          <w:kern w:val="0"/>
          <w:sz w:val="24"/>
        </w:rPr>
      </w:pPr>
    </w:p>
    <w:p>
      <w:pPr>
        <w:rPr>
          <w:rFonts w:asciiTheme="minorEastAsia" w:hAnsiTheme="minorEastAsia" w:cstheme="minorEastAsia"/>
          <w:b/>
          <w:bCs/>
          <w:color w:val="auto"/>
          <w:kern w:val="0"/>
          <w:sz w:val="24"/>
        </w:rPr>
      </w:pPr>
    </w:p>
    <w:p>
      <w:pPr>
        <w:pStyle w:val="33"/>
        <w:rPr>
          <w:rFonts w:asciiTheme="minorEastAsia" w:hAnsiTheme="minorEastAsia" w:cstheme="minorEastAsia"/>
          <w:b/>
          <w:bCs/>
          <w:color w:val="auto"/>
          <w:kern w:val="0"/>
          <w:sz w:val="24"/>
        </w:rPr>
      </w:pPr>
    </w:p>
    <w:p>
      <w:pPr>
        <w:rPr>
          <w:rFonts w:asciiTheme="minorEastAsia" w:hAnsiTheme="minorEastAsia" w:cstheme="minorEastAsia"/>
          <w:b/>
          <w:bCs/>
          <w:color w:val="auto"/>
          <w:kern w:val="0"/>
          <w:sz w:val="24"/>
        </w:rPr>
      </w:pPr>
    </w:p>
    <w:p>
      <w:pPr>
        <w:pStyle w:val="33"/>
        <w:rPr>
          <w:rFonts w:asciiTheme="minorEastAsia" w:hAnsiTheme="minorEastAsia" w:cstheme="minorEastAsia"/>
          <w:b/>
          <w:bCs/>
          <w:color w:val="auto"/>
          <w:kern w:val="0"/>
          <w:sz w:val="24"/>
        </w:rPr>
      </w:pPr>
    </w:p>
    <w:p>
      <w:pPr>
        <w:rPr>
          <w:rFonts w:asciiTheme="minorEastAsia" w:hAnsiTheme="minorEastAsia" w:cstheme="minorEastAsia"/>
          <w:b/>
          <w:bCs/>
          <w:color w:val="auto"/>
          <w:kern w:val="0"/>
          <w:sz w:val="24"/>
        </w:rPr>
      </w:pPr>
    </w:p>
    <w:p>
      <w:pPr>
        <w:pStyle w:val="33"/>
        <w:rPr>
          <w:rFonts w:asciiTheme="minorEastAsia" w:hAnsiTheme="minorEastAsia" w:cstheme="minorEastAsia"/>
          <w:b/>
          <w:bCs/>
          <w:color w:val="auto"/>
          <w:kern w:val="0"/>
          <w:sz w:val="24"/>
        </w:rPr>
      </w:pPr>
    </w:p>
    <w:p>
      <w:pPr>
        <w:rPr>
          <w:rFonts w:asciiTheme="minorEastAsia" w:hAnsiTheme="minorEastAsia" w:cstheme="minorEastAsia"/>
          <w:b/>
          <w:bCs/>
          <w:color w:val="auto"/>
          <w:kern w:val="0"/>
          <w:sz w:val="24"/>
        </w:rPr>
      </w:pPr>
    </w:p>
    <w:p>
      <w:pPr>
        <w:pStyle w:val="33"/>
        <w:rPr>
          <w:rFonts w:asciiTheme="minorEastAsia" w:hAnsiTheme="minorEastAsia" w:cstheme="minorEastAsia"/>
          <w:b/>
          <w:bCs/>
          <w:color w:val="auto"/>
          <w:kern w:val="0"/>
          <w:sz w:val="24"/>
        </w:rPr>
      </w:pPr>
    </w:p>
    <w:p>
      <w:pPr>
        <w:rPr>
          <w:rFonts w:asciiTheme="minorEastAsia" w:hAnsiTheme="minorEastAsia" w:cstheme="minorEastAsia"/>
          <w:b/>
          <w:bCs/>
          <w:color w:val="auto"/>
          <w:kern w:val="0"/>
          <w:sz w:val="24"/>
        </w:rPr>
      </w:pPr>
    </w:p>
    <w:p>
      <w:pPr>
        <w:pStyle w:val="33"/>
        <w:rPr>
          <w:rFonts w:asciiTheme="minorEastAsia" w:hAnsiTheme="minorEastAsia" w:cstheme="minorEastAsia"/>
          <w:b/>
          <w:bCs/>
          <w:color w:val="auto"/>
          <w:kern w:val="0"/>
          <w:sz w:val="24"/>
        </w:rPr>
      </w:pPr>
    </w:p>
    <w:p>
      <w:pPr>
        <w:rPr>
          <w:rFonts w:asciiTheme="minorEastAsia" w:hAnsiTheme="minorEastAsia" w:cstheme="minorEastAsia"/>
          <w:b/>
          <w:bCs/>
          <w:color w:val="auto"/>
          <w:kern w:val="0"/>
          <w:sz w:val="24"/>
        </w:rPr>
      </w:pPr>
    </w:p>
    <w:p>
      <w:pPr>
        <w:pStyle w:val="33"/>
        <w:rPr>
          <w:rFonts w:asciiTheme="minorEastAsia" w:hAnsiTheme="minorEastAsia" w:cstheme="minorEastAsia"/>
          <w:b/>
          <w:bCs/>
          <w:color w:val="auto"/>
          <w:kern w:val="0"/>
          <w:sz w:val="24"/>
        </w:rPr>
      </w:pPr>
    </w:p>
    <w:p>
      <w:pPr>
        <w:rPr>
          <w:rFonts w:asciiTheme="minorEastAsia" w:hAnsiTheme="minorEastAsia" w:cstheme="minorEastAsia"/>
          <w:b/>
          <w:bCs/>
          <w:color w:val="auto"/>
          <w:kern w:val="0"/>
          <w:sz w:val="24"/>
        </w:rPr>
      </w:pPr>
    </w:p>
    <w:p>
      <w:pPr>
        <w:pStyle w:val="33"/>
        <w:rPr>
          <w:rFonts w:asciiTheme="minorEastAsia" w:hAnsiTheme="minorEastAsia" w:cstheme="minorEastAsia"/>
          <w:b/>
          <w:bCs/>
          <w:color w:val="auto"/>
          <w:kern w:val="0"/>
          <w:sz w:val="24"/>
        </w:rPr>
      </w:pPr>
    </w:p>
    <w:p>
      <w:pPr>
        <w:rPr>
          <w:color w:val="auto"/>
        </w:rPr>
      </w:pP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textAlignment w:val="auto"/>
        <w:rPr>
          <w:rFonts w:hint="eastAsia" w:asciiTheme="minorEastAsia" w:hAnsiTheme="minorEastAsia" w:cstheme="minorEastAsia"/>
          <w:b/>
          <w:bCs/>
          <w:color w:val="auto"/>
          <w:kern w:val="0"/>
          <w:sz w:val="24"/>
        </w:rPr>
      </w:pPr>
      <w:r>
        <w:rPr>
          <w:rFonts w:hint="eastAsia" w:asciiTheme="minorEastAsia" w:hAnsiTheme="minorEastAsia" w:cstheme="minorEastAsia"/>
          <w:b/>
          <w:bCs/>
          <w:color w:val="auto"/>
          <w:kern w:val="0"/>
          <w:sz w:val="24"/>
        </w:rPr>
        <w:t>附件</w:t>
      </w:r>
      <w:r>
        <w:rPr>
          <w:rFonts w:hint="eastAsia" w:asciiTheme="minorEastAsia" w:hAnsiTheme="minorEastAsia" w:cstheme="minorEastAsia"/>
          <w:b/>
          <w:bCs/>
          <w:color w:val="auto"/>
          <w:kern w:val="0"/>
          <w:sz w:val="24"/>
          <w:lang w:val="en-US" w:eastAsia="zh-CN"/>
        </w:rPr>
        <w:t>1：YYH-SOP-CTC-025-3.1-A01药物/医疗器械</w:t>
      </w:r>
      <w:r>
        <w:rPr>
          <w:rFonts w:hint="eastAsia" w:asciiTheme="minorEastAsia" w:hAnsiTheme="minorEastAsia" w:cstheme="minorEastAsia"/>
          <w:b/>
          <w:bCs/>
          <w:color w:val="auto"/>
          <w:kern w:val="0"/>
          <w:sz w:val="24"/>
        </w:rPr>
        <w:t>临床试验质控检查计划表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color w:val="auto"/>
          <w:sz w:val="24"/>
          <w:szCs w:val="24"/>
          <w:lang w:val="en-US" w:eastAsia="zh-CN"/>
        </w:rPr>
      </w:pPr>
      <w:r>
        <w:rPr>
          <w:rFonts w:hint="eastAsia" w:ascii="黑体" w:hAnsi="黑体" w:eastAsia="黑体" w:cs="黑体"/>
          <w:b/>
          <w:color w:val="auto"/>
          <w:sz w:val="24"/>
          <w:szCs w:val="24"/>
          <w:lang w:val="en-US" w:eastAsia="zh-CN"/>
        </w:rPr>
        <w:t>药物/医疗器械临床试验质控检查计划表</w:t>
      </w:r>
    </w:p>
    <w:tbl>
      <w:tblPr>
        <w:tblStyle w:val="28"/>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0"/>
        <w:gridCol w:w="1963"/>
        <w:gridCol w:w="1227"/>
        <w:gridCol w:w="3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0" w:type="dxa"/>
            <w:gridSpan w:val="4"/>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3" w:type="dxa"/>
            <w:gridSpan w:val="2"/>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科室：</w:t>
            </w:r>
          </w:p>
        </w:tc>
        <w:tc>
          <w:tcPr>
            <w:tcW w:w="4417" w:type="dxa"/>
            <w:gridSpan w:val="2"/>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3" w:type="dxa"/>
            <w:gridSpan w:val="2"/>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申办方：</w:t>
            </w:r>
          </w:p>
        </w:tc>
        <w:tc>
          <w:tcPr>
            <w:tcW w:w="4417" w:type="dxa"/>
            <w:gridSpan w:val="2"/>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启动时间：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3" w:type="dxa"/>
            <w:gridSpan w:val="2"/>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计划入组人数（试验/本机构）：</w:t>
            </w:r>
          </w:p>
        </w:tc>
        <w:tc>
          <w:tcPr>
            <w:tcW w:w="4417" w:type="dxa"/>
            <w:gridSpan w:val="2"/>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组长单位：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3" w:type="dxa"/>
            <w:gridSpan w:val="2"/>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CRA（电话）：</w:t>
            </w:r>
          </w:p>
        </w:tc>
        <w:tc>
          <w:tcPr>
            <w:tcW w:w="4417" w:type="dxa"/>
            <w:gridSpan w:val="2"/>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CRC（电话）：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3" w:type="dxa"/>
            <w:gridSpan w:val="2"/>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CRO：</w:t>
            </w:r>
          </w:p>
        </w:tc>
        <w:tc>
          <w:tcPr>
            <w:tcW w:w="4417" w:type="dxa"/>
            <w:gridSpan w:val="2"/>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SMO: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widowControl/>
              <w:spacing w:before="100" w:beforeAutospacing="1" w:after="100" w:afterAutospacing="1" w:line="360" w:lineRule="auto"/>
              <w:ind w:firstLine="210" w:firstLineChars="100"/>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试验阶段</w:t>
            </w:r>
          </w:p>
        </w:tc>
        <w:tc>
          <w:tcPr>
            <w:tcW w:w="3190" w:type="dxa"/>
            <w:gridSpan w:val="2"/>
          </w:tcPr>
          <w:p>
            <w:pPr>
              <w:widowControl/>
              <w:spacing w:before="100" w:beforeAutospacing="1" w:after="100" w:afterAutospacing="1" w:line="360" w:lineRule="auto"/>
              <w:ind w:firstLine="630" w:firstLineChars="300"/>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核查内容</w:t>
            </w:r>
          </w:p>
        </w:tc>
        <w:tc>
          <w:tcPr>
            <w:tcW w:w="3190" w:type="dxa"/>
          </w:tcPr>
          <w:p>
            <w:pPr>
              <w:widowControl/>
              <w:spacing w:before="100" w:beforeAutospacing="1" w:after="100" w:afterAutospacing="1" w:line="360" w:lineRule="auto"/>
              <w:ind w:firstLine="420" w:firstLineChars="200"/>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预计实施时间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trPr>
        <w:tc>
          <w:tcPr>
            <w:tcW w:w="3190" w:type="dxa"/>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项目早期</w:t>
            </w:r>
          </w:p>
        </w:tc>
        <w:tc>
          <w:tcPr>
            <w:tcW w:w="3190" w:type="dxa"/>
            <w:gridSpan w:val="2"/>
          </w:tcPr>
          <w:p>
            <w:pPr>
              <w:widowControl/>
              <w:numPr>
                <w:ilvl w:val="0"/>
                <w:numId w:val="74"/>
              </w:numPr>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机构质控员现场根据《药物临床试验质控检查表（早期）》内容进行质控检查，并当场填写《药物临床试验质控检查表（早期）》</w:t>
            </w:r>
          </w:p>
          <w:p>
            <w:pPr>
              <w:widowControl/>
              <w:numPr>
                <w:ilvl w:val="0"/>
                <w:numId w:val="74"/>
              </w:numPr>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如发现问题，填写《药物临床试验质控检查结果反馈表》。</w:t>
            </w:r>
          </w:p>
        </w:tc>
        <w:tc>
          <w:tcPr>
            <w:tcW w:w="3190" w:type="dxa"/>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第二例受试者入组后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3" w:hRule="atLeast"/>
        </w:trPr>
        <w:tc>
          <w:tcPr>
            <w:tcW w:w="3190" w:type="dxa"/>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项目中期</w:t>
            </w:r>
          </w:p>
        </w:tc>
        <w:tc>
          <w:tcPr>
            <w:tcW w:w="3190" w:type="dxa"/>
            <w:gridSpan w:val="2"/>
          </w:tcPr>
          <w:p>
            <w:pPr>
              <w:widowControl/>
              <w:numPr>
                <w:ilvl w:val="0"/>
                <w:numId w:val="74"/>
              </w:numPr>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机构质控员现场根据《药物临床试验质控检查表（中后期）》内容进行质控检查，并当场填写《药物临床试验质控检查表（中后期）》2、如发现问题，填写《药物临床试验质控检查结果反馈表》</w:t>
            </w:r>
          </w:p>
        </w:tc>
        <w:tc>
          <w:tcPr>
            <w:tcW w:w="3190" w:type="dxa"/>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核查次数根据项目进展情况具体制定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0" w:type="dxa"/>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项目结束</w:t>
            </w:r>
          </w:p>
        </w:tc>
        <w:tc>
          <w:tcPr>
            <w:tcW w:w="3190" w:type="dxa"/>
            <w:gridSpan w:val="2"/>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机构质控员现场根据《药物临床试验质控检查表（结题）》内容进行质控检查，并当场填写《药物临床试验质控检查表（结题）》2、如发现问题，填写《药物临床试验质控检查结果反馈表》</w:t>
            </w:r>
          </w:p>
        </w:tc>
        <w:tc>
          <w:tcPr>
            <w:tcW w:w="3190" w:type="dxa"/>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分中心小结提交后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3" w:hRule="atLeast"/>
        </w:trPr>
        <w:tc>
          <w:tcPr>
            <w:tcW w:w="3190" w:type="dxa"/>
          </w:tcPr>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备注</w:t>
            </w:r>
          </w:p>
        </w:tc>
        <w:tc>
          <w:tcPr>
            <w:tcW w:w="6380" w:type="dxa"/>
            <w:gridSpan w:val="3"/>
          </w:tcPr>
          <w:p>
            <w:pPr>
              <w:widowControl/>
              <w:spacing w:before="100" w:beforeAutospacing="1" w:after="100" w:afterAutospacing="1" w:line="360" w:lineRule="auto"/>
              <w:ind w:firstLine="420" w:firstLineChars="200"/>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本计划从项目启动日起生效，请项目组根据以上计划提前准备相关文件配合机构质控员完成项目各期的质量管理。本计划表一式两份，分别由项目组和临床试验机构办公室保存。</w:t>
            </w:r>
          </w:p>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机构质控员：               日期：</w:t>
            </w:r>
          </w:p>
          <w:p>
            <w:pPr>
              <w:widowControl/>
              <w:spacing w:before="100" w:beforeAutospacing="1" w:after="100" w:afterAutospacing="1" w:line="360" w:lineRule="auto"/>
              <w:rPr>
                <w:rFonts w:asciiTheme="minorEastAsia" w:hAnsiTheme="minorEastAsia" w:cstheme="minorEastAsia"/>
                <w:color w:val="auto"/>
                <w:kern w:val="0"/>
                <w:szCs w:val="21"/>
              </w:rPr>
            </w:pPr>
            <w:r>
              <w:rPr>
                <w:rFonts w:hint="eastAsia" w:asciiTheme="minorEastAsia" w:hAnsiTheme="minorEastAsia" w:cstheme="minorEastAsia"/>
                <w:color w:val="auto"/>
                <w:kern w:val="0"/>
                <w:szCs w:val="21"/>
              </w:rPr>
              <w:t>项目负责人：               日期：</w:t>
            </w:r>
          </w:p>
        </w:tc>
      </w:tr>
    </w:tbl>
    <w:p>
      <w:pPr>
        <w:widowControl/>
        <w:shd w:val="clear" w:color="auto" w:fill="FFFFFF"/>
        <w:spacing w:before="100" w:beforeAutospacing="1" w:after="100" w:afterAutospacing="1" w:line="360" w:lineRule="auto"/>
        <w:rPr>
          <w:rFonts w:hint="eastAsia" w:ascii="宋体" w:hAnsi="宋体"/>
          <w:b/>
          <w:bCs/>
          <w:color w:val="auto"/>
          <w:kern w:val="0"/>
          <w:sz w:val="24"/>
          <w:lang w:eastAsia="zh-CN"/>
        </w:rPr>
      </w:pPr>
    </w:p>
    <w:p>
      <w:pPr>
        <w:widowControl/>
        <w:shd w:val="clear" w:color="auto" w:fill="FFFFFF"/>
        <w:spacing w:before="100" w:beforeAutospacing="1" w:after="100" w:afterAutospacing="1" w:line="360" w:lineRule="auto"/>
        <w:rPr>
          <w:rFonts w:hint="eastAsia" w:ascii="宋体" w:hAnsi="宋体"/>
          <w:b/>
          <w:bCs/>
          <w:color w:val="auto"/>
          <w:kern w:val="0"/>
          <w:sz w:val="24"/>
          <w:lang w:eastAsia="zh-CN"/>
        </w:rPr>
      </w:pPr>
    </w:p>
    <w:p>
      <w:pPr>
        <w:widowControl/>
        <w:shd w:val="clear" w:color="auto" w:fill="FFFFFF"/>
        <w:spacing w:before="100" w:beforeAutospacing="1" w:after="100" w:afterAutospacing="1" w:line="360" w:lineRule="auto"/>
        <w:rPr>
          <w:rFonts w:hint="eastAsia" w:ascii="宋体" w:hAnsi="宋体"/>
          <w:b/>
          <w:bCs/>
          <w:color w:val="auto"/>
          <w:kern w:val="0"/>
          <w:sz w:val="24"/>
          <w:lang w:eastAsia="zh-CN"/>
        </w:rPr>
      </w:pPr>
    </w:p>
    <w:p>
      <w:pPr>
        <w:widowControl/>
        <w:shd w:val="clear" w:color="auto" w:fill="FFFFFF"/>
        <w:spacing w:before="100" w:beforeAutospacing="1" w:after="100" w:afterAutospacing="1" w:line="360" w:lineRule="auto"/>
        <w:rPr>
          <w:rFonts w:hint="eastAsia" w:ascii="宋体" w:hAnsi="宋体"/>
          <w:b/>
          <w:bCs/>
          <w:color w:val="auto"/>
          <w:kern w:val="0"/>
          <w:sz w:val="24"/>
          <w:lang w:eastAsia="zh-CN"/>
        </w:rPr>
      </w:pPr>
    </w:p>
    <w:p>
      <w:pPr>
        <w:widowControl/>
        <w:shd w:val="clear" w:color="auto" w:fill="FFFFFF"/>
        <w:spacing w:before="100" w:beforeAutospacing="1" w:after="100" w:afterAutospacing="1" w:line="360" w:lineRule="auto"/>
        <w:rPr>
          <w:rFonts w:hint="eastAsia" w:ascii="宋体" w:hAnsi="宋体"/>
          <w:b/>
          <w:bCs/>
          <w:color w:val="auto"/>
          <w:kern w:val="0"/>
          <w:sz w:val="24"/>
          <w:lang w:eastAsia="zh-CN"/>
        </w:rPr>
      </w:pPr>
    </w:p>
    <w:p>
      <w:pPr>
        <w:widowControl/>
        <w:shd w:val="clear" w:color="auto" w:fill="FFFFFF"/>
        <w:spacing w:before="100" w:beforeAutospacing="1" w:after="100" w:afterAutospacing="1" w:line="360" w:lineRule="auto"/>
        <w:rPr>
          <w:rFonts w:hint="eastAsia" w:ascii="宋体" w:hAnsi="宋体"/>
          <w:b/>
          <w:bCs/>
          <w:color w:val="auto"/>
          <w:kern w:val="0"/>
          <w:sz w:val="24"/>
          <w:lang w:eastAsia="zh-CN"/>
        </w:rPr>
      </w:pPr>
    </w:p>
    <w:p>
      <w:pPr>
        <w:widowControl/>
        <w:shd w:val="clear" w:color="auto" w:fill="FFFFFF"/>
        <w:spacing w:before="100" w:beforeAutospacing="1" w:after="100" w:afterAutospacing="1" w:line="360" w:lineRule="auto"/>
        <w:rPr>
          <w:rFonts w:hint="eastAsia" w:ascii="宋体" w:hAnsi="宋体"/>
          <w:b/>
          <w:bCs/>
          <w:color w:val="auto"/>
          <w:kern w:val="0"/>
          <w:sz w:val="24"/>
          <w:lang w:eastAsia="zh-CN"/>
        </w:rPr>
      </w:pPr>
    </w:p>
    <w:p>
      <w:pPr>
        <w:widowControl/>
        <w:shd w:val="clear" w:color="auto" w:fill="FFFFFF"/>
        <w:spacing w:before="100" w:beforeAutospacing="1" w:after="100" w:afterAutospacing="1" w:line="360" w:lineRule="auto"/>
        <w:rPr>
          <w:rFonts w:hint="eastAsia" w:ascii="宋体" w:hAnsi="宋体"/>
          <w:b/>
          <w:bCs/>
          <w:color w:val="auto"/>
          <w:kern w:val="0"/>
          <w:sz w:val="24"/>
          <w:lang w:eastAsia="zh-CN"/>
        </w:rPr>
      </w:pPr>
    </w:p>
    <w:p>
      <w:pPr>
        <w:widowControl/>
        <w:shd w:val="clear" w:color="auto" w:fill="FFFFFF"/>
        <w:spacing w:before="100" w:beforeAutospacing="1" w:after="100" w:afterAutospacing="1" w:line="360" w:lineRule="auto"/>
        <w:rPr>
          <w:rFonts w:hint="eastAsia" w:ascii="宋体" w:hAnsi="宋体"/>
          <w:b/>
          <w:bCs/>
          <w:color w:val="auto"/>
          <w:kern w:val="0"/>
          <w:sz w:val="24"/>
          <w:lang w:eastAsia="zh-CN"/>
        </w:rPr>
      </w:pPr>
    </w:p>
    <w:p>
      <w:pPr>
        <w:widowControl/>
        <w:shd w:val="clear" w:color="auto" w:fill="FFFFFF"/>
        <w:spacing w:before="100" w:beforeAutospacing="1" w:after="100" w:afterAutospacing="1" w:line="360" w:lineRule="auto"/>
        <w:rPr>
          <w:rFonts w:hint="eastAsia" w:ascii="宋体" w:hAnsi="宋体"/>
          <w:b/>
          <w:bCs/>
          <w:color w:val="auto"/>
          <w:kern w:val="0"/>
          <w:sz w:val="24"/>
          <w:lang w:eastAsia="zh-CN"/>
        </w:rPr>
      </w:pPr>
    </w:p>
    <w:p>
      <w:pPr>
        <w:widowControl/>
        <w:shd w:val="clear" w:color="auto" w:fill="FFFFFF"/>
        <w:spacing w:before="100" w:beforeAutospacing="1" w:after="100" w:afterAutospacing="1" w:line="360" w:lineRule="auto"/>
        <w:rPr>
          <w:rFonts w:hint="eastAsia" w:ascii="宋体" w:hAnsi="宋体"/>
          <w:b/>
          <w:bCs/>
          <w:color w:val="auto"/>
          <w:kern w:val="0"/>
          <w:sz w:val="24"/>
          <w:lang w:eastAsia="zh-CN"/>
        </w:rPr>
      </w:pPr>
    </w:p>
    <w:p>
      <w:pPr>
        <w:widowControl/>
        <w:shd w:val="clear" w:color="auto" w:fill="FFFFFF"/>
        <w:spacing w:before="100" w:beforeAutospacing="1" w:after="100" w:afterAutospacing="1" w:line="360" w:lineRule="auto"/>
        <w:rPr>
          <w:rFonts w:hint="eastAsia" w:ascii="宋体" w:hAnsi="宋体"/>
          <w:b/>
          <w:bCs/>
          <w:color w:val="auto"/>
          <w:kern w:val="0"/>
          <w:sz w:val="24"/>
          <w:lang w:eastAsia="zh-CN"/>
        </w:rPr>
      </w:pPr>
    </w:p>
    <w:p>
      <w:pPr>
        <w:widowControl/>
        <w:shd w:val="clear" w:color="auto" w:fill="FFFFFF"/>
        <w:spacing w:before="100" w:beforeAutospacing="1" w:after="100" w:afterAutospacing="1" w:line="360" w:lineRule="auto"/>
        <w:rPr>
          <w:rFonts w:hint="eastAsia" w:ascii="宋体" w:hAnsi="宋体"/>
          <w:b/>
          <w:bCs/>
          <w:color w:val="auto"/>
          <w:kern w:val="0"/>
          <w:sz w:val="24"/>
          <w:lang w:eastAsia="zh-CN"/>
        </w:rPr>
      </w:pPr>
    </w:p>
    <w:p>
      <w:pPr>
        <w:widowControl/>
        <w:shd w:val="clear" w:color="auto" w:fill="FFFFFF"/>
        <w:spacing w:before="100" w:beforeAutospacing="1" w:after="100" w:afterAutospacing="1" w:line="360" w:lineRule="auto"/>
        <w:rPr>
          <w:rFonts w:hint="eastAsia" w:ascii="宋体" w:hAnsi="宋体"/>
          <w:b/>
          <w:bCs/>
          <w:color w:val="auto"/>
          <w:kern w:val="0"/>
          <w:sz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before="100" w:beforeAutospacing="0" w:after="100" w:afterAutospacing="0" w:line="240" w:lineRule="auto"/>
        <w:textAlignment w:val="auto"/>
        <w:outlineLvl w:val="9"/>
        <w:rPr>
          <w:rFonts w:ascii="宋体" w:hAnsi="宋体"/>
          <w:b/>
          <w:bCs/>
          <w:color w:val="auto"/>
          <w:kern w:val="0"/>
          <w:sz w:val="24"/>
        </w:rPr>
      </w:pPr>
      <w:r>
        <w:rPr>
          <w:rFonts w:hint="eastAsia" w:ascii="宋体" w:hAnsi="宋体"/>
          <w:b/>
          <w:bCs/>
          <w:color w:val="auto"/>
          <w:kern w:val="0"/>
          <w:sz w:val="24"/>
        </w:rPr>
        <w:t>附件</w:t>
      </w:r>
      <w:r>
        <w:rPr>
          <w:rFonts w:hint="eastAsia" w:ascii="宋体" w:hAnsi="宋体"/>
          <w:b/>
          <w:bCs/>
          <w:color w:val="auto"/>
          <w:kern w:val="0"/>
          <w:sz w:val="24"/>
          <w:lang w:val="en-US" w:eastAsia="zh-CN"/>
        </w:rPr>
        <w:t>2</w:t>
      </w:r>
      <w:r>
        <w:rPr>
          <w:rFonts w:hint="eastAsia" w:asciiTheme="minorEastAsia" w:hAnsiTheme="minorEastAsia" w:cstheme="minorEastAsia"/>
          <w:b/>
          <w:bCs/>
          <w:color w:val="auto"/>
          <w:kern w:val="0"/>
          <w:sz w:val="24"/>
          <w:lang w:val="en-US" w:eastAsia="zh-CN"/>
        </w:rPr>
        <w:t>：YYH-SOP-CTC-025-3.1-A02</w:t>
      </w:r>
      <w:r>
        <w:rPr>
          <w:rFonts w:hint="eastAsia" w:ascii="宋体" w:hAnsi="宋体"/>
          <w:b/>
          <w:bCs/>
          <w:color w:val="auto"/>
          <w:kern w:val="0"/>
          <w:sz w:val="24"/>
        </w:rPr>
        <w:t>药物</w:t>
      </w:r>
      <w:r>
        <w:rPr>
          <w:rFonts w:hint="eastAsia" w:ascii="宋体" w:hAnsi="宋体"/>
          <w:b/>
          <w:bCs/>
          <w:color w:val="auto"/>
          <w:kern w:val="0"/>
          <w:sz w:val="24"/>
          <w:lang w:val="en-US" w:eastAsia="zh-CN"/>
        </w:rPr>
        <w:t>/医疗器械</w:t>
      </w:r>
      <w:r>
        <w:rPr>
          <w:rFonts w:hint="eastAsia" w:ascii="宋体" w:hAnsi="宋体"/>
          <w:b/>
          <w:bCs/>
          <w:color w:val="auto"/>
          <w:kern w:val="0"/>
          <w:sz w:val="24"/>
        </w:rPr>
        <w:t>临床试验质控检查表（早期）</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color w:val="auto"/>
          <w:sz w:val="24"/>
          <w:szCs w:val="24"/>
          <w:lang w:val="en-US" w:eastAsia="zh-CN"/>
        </w:rPr>
      </w:pPr>
      <w:r>
        <w:rPr>
          <w:rFonts w:hint="eastAsia" w:ascii="黑体" w:hAnsi="黑体" w:eastAsia="黑体" w:cs="黑体"/>
          <w:b/>
          <w:color w:val="auto"/>
          <w:sz w:val="24"/>
          <w:szCs w:val="24"/>
          <w:lang w:val="en-US" w:eastAsia="zh-CN"/>
        </w:rPr>
        <w:t>药物/医疗器械临床试验质控检查表（早期）</w:t>
      </w:r>
    </w:p>
    <w:tbl>
      <w:tblPr>
        <w:tblStyle w:val="2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1134"/>
        <w:gridCol w:w="3755"/>
        <w:gridCol w:w="1348"/>
        <w:gridCol w:w="577"/>
        <w:gridCol w:w="577"/>
        <w:gridCol w:w="579"/>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jc w:val="center"/>
        </w:trPr>
        <w:tc>
          <w:tcPr>
            <w:tcW w:w="9639" w:type="dxa"/>
            <w:gridSpan w:val="7"/>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jc w:val="center"/>
        </w:trPr>
        <w:tc>
          <w:tcPr>
            <w:tcW w:w="4889"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科室：</w:t>
            </w:r>
          </w:p>
        </w:tc>
        <w:tc>
          <w:tcPr>
            <w:tcW w:w="4750" w:type="dxa"/>
            <w:gridSpan w:val="5"/>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jc w:val="center"/>
        </w:trPr>
        <w:tc>
          <w:tcPr>
            <w:tcW w:w="4889"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申办方：</w:t>
            </w:r>
          </w:p>
        </w:tc>
        <w:tc>
          <w:tcPr>
            <w:tcW w:w="4750" w:type="dxa"/>
            <w:gridSpan w:val="5"/>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启动时间：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jc w:val="center"/>
        </w:trPr>
        <w:tc>
          <w:tcPr>
            <w:tcW w:w="4889"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筛选人数：</w:t>
            </w:r>
          </w:p>
        </w:tc>
        <w:tc>
          <w:tcPr>
            <w:tcW w:w="4750" w:type="dxa"/>
            <w:gridSpan w:val="5"/>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入组人数：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jc w:val="center"/>
        </w:trPr>
        <w:tc>
          <w:tcPr>
            <w:tcW w:w="4889"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脱落人数：</w:t>
            </w:r>
          </w:p>
        </w:tc>
        <w:tc>
          <w:tcPr>
            <w:tcW w:w="4750" w:type="dxa"/>
            <w:gridSpan w:val="5"/>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严重不良事件例数：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jc w:val="center"/>
        </w:trPr>
        <w:tc>
          <w:tcPr>
            <w:tcW w:w="4889"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CRA（电话）：</w:t>
            </w:r>
          </w:p>
        </w:tc>
        <w:tc>
          <w:tcPr>
            <w:tcW w:w="4750" w:type="dxa"/>
            <w:gridSpan w:val="5"/>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CRC（电话）：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jc w:val="center"/>
        </w:trPr>
        <w:tc>
          <w:tcPr>
            <w:tcW w:w="4889"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机构质控员：</w:t>
            </w:r>
          </w:p>
        </w:tc>
        <w:tc>
          <w:tcPr>
            <w:tcW w:w="4750" w:type="dxa"/>
            <w:gridSpan w:val="5"/>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检查时间：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jc w:val="center"/>
        </w:trPr>
        <w:tc>
          <w:tcPr>
            <w:tcW w:w="1134" w:type="dxa"/>
            <w:vAlign w:val="center"/>
          </w:tcPr>
          <w:p>
            <w:pPr>
              <w:widowControl/>
              <w:wordWrap/>
              <w:autoSpaceDE/>
              <w:autoSpaceDN/>
              <w:spacing w:before="20" w:after="20"/>
              <w:jc w:val="center"/>
              <w:rPr>
                <w:rFonts w:hint="eastAsia" w:ascii="宋体" w:hAnsi="宋体" w:eastAsia="宋体" w:cs="Arial"/>
                <w:b/>
                <w:bCs/>
                <w:color w:val="auto"/>
                <w:kern w:val="0"/>
                <w:sz w:val="21"/>
                <w:szCs w:val="21"/>
              </w:rPr>
            </w:pPr>
            <w:r>
              <w:rPr>
                <w:rFonts w:hint="eastAsia" w:ascii="宋体" w:hAnsi="宋体" w:eastAsia="宋体" w:cs="Arial"/>
                <w:b/>
                <w:bCs/>
                <w:color w:val="auto"/>
                <w:kern w:val="0"/>
                <w:sz w:val="21"/>
                <w:szCs w:val="21"/>
                <w:lang w:eastAsia="zh-CN"/>
              </w:rPr>
              <w:t>序号</w:t>
            </w:r>
          </w:p>
        </w:tc>
        <w:tc>
          <w:tcPr>
            <w:tcW w:w="5103" w:type="dxa"/>
            <w:gridSpan w:val="2"/>
            <w:vAlign w:val="center"/>
          </w:tcPr>
          <w:p>
            <w:pPr>
              <w:widowControl/>
              <w:wordWrap/>
              <w:autoSpaceDE/>
              <w:autoSpaceDN/>
              <w:spacing w:before="20" w:after="20"/>
              <w:jc w:val="center"/>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项目</w:t>
            </w:r>
          </w:p>
        </w:tc>
        <w:tc>
          <w:tcPr>
            <w:tcW w:w="577" w:type="dxa"/>
            <w:vAlign w:val="center"/>
          </w:tcPr>
          <w:p>
            <w:pPr>
              <w:widowControl/>
              <w:wordWrap/>
              <w:autoSpaceDE/>
              <w:autoSpaceDN/>
              <w:spacing w:before="20" w:after="20"/>
              <w:jc w:val="center"/>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是</w:t>
            </w:r>
          </w:p>
        </w:tc>
        <w:tc>
          <w:tcPr>
            <w:tcW w:w="577" w:type="dxa"/>
            <w:vAlign w:val="center"/>
          </w:tcPr>
          <w:p>
            <w:pPr>
              <w:widowControl/>
              <w:wordWrap/>
              <w:autoSpaceDE/>
              <w:autoSpaceDN/>
              <w:spacing w:before="20" w:after="20"/>
              <w:jc w:val="center"/>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否</w:t>
            </w:r>
          </w:p>
        </w:tc>
        <w:tc>
          <w:tcPr>
            <w:tcW w:w="579" w:type="dxa"/>
            <w:vAlign w:val="center"/>
          </w:tcPr>
          <w:p>
            <w:pPr>
              <w:widowControl/>
              <w:wordWrap/>
              <w:autoSpaceDE/>
              <w:autoSpaceDN/>
              <w:spacing w:before="20" w:after="20"/>
              <w:jc w:val="center"/>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NA</w:t>
            </w:r>
          </w:p>
        </w:tc>
        <w:tc>
          <w:tcPr>
            <w:tcW w:w="1669" w:type="dxa"/>
            <w:vAlign w:val="center"/>
          </w:tcPr>
          <w:p>
            <w:pPr>
              <w:widowControl/>
              <w:wordWrap/>
              <w:autoSpaceDE/>
              <w:autoSpaceDN/>
              <w:spacing w:before="20" w:after="20"/>
              <w:jc w:val="center"/>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1</w:t>
            </w:r>
          </w:p>
        </w:tc>
        <w:tc>
          <w:tcPr>
            <w:tcW w:w="8505"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试验设备设施及管理文件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bottom"/>
          </w:tcPr>
          <w:p>
            <w:pPr>
              <w:widowControl/>
              <w:wordWrap/>
              <w:autoSpaceDE/>
              <w:autoSpaceDN/>
              <w:spacing w:before="20" w:after="20"/>
              <w:ind w:firstLine="210" w:firstLineChars="100"/>
              <w:jc w:val="right"/>
              <w:rPr>
                <w:rFonts w:hint="default"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1.1</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试验设施是否满足试验要求</w:t>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0" w:firstLineChars="100"/>
              <w:jc w:val="right"/>
              <w:rPr>
                <w:rFonts w:hint="eastAsia" w:ascii="宋体" w:hAnsi="宋体" w:eastAsia="宋体" w:cs="Arial"/>
                <w:b w:val="0"/>
                <w:bCs w:val="0"/>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1.2</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val="0"/>
                <w:bCs w:val="0"/>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试验所需设备是否齐全</w:t>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0" w:firstLineChars="100"/>
              <w:jc w:val="right"/>
              <w:rPr>
                <w:rFonts w:hint="eastAsia" w:ascii="宋体" w:hAnsi="宋体" w:eastAsia="宋体" w:cs="Arial"/>
                <w:b w:val="0"/>
                <w:bCs w:val="0"/>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1.3</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试验所需设备是否运行正常</w:t>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39" w:hRule="atLeast"/>
          <w:tblHeader/>
          <w:jc w:val="center"/>
        </w:trPr>
        <w:tc>
          <w:tcPr>
            <w:tcW w:w="1134" w:type="dxa"/>
            <w:vAlign w:val="bottom"/>
          </w:tcPr>
          <w:p>
            <w:pPr>
              <w:widowControl/>
              <w:wordWrap w:val="0"/>
              <w:autoSpaceDE/>
              <w:autoSpaceDN/>
              <w:spacing w:before="20" w:after="20"/>
              <w:ind w:firstLine="210" w:firstLineChars="100"/>
              <w:jc w:val="right"/>
              <w:rPr>
                <w:rFonts w:hint="default" w:ascii="宋体" w:hAnsi="宋体" w:eastAsia="宋体" w:cs="Arial"/>
                <w:b w:val="0"/>
                <w:bCs w:val="0"/>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1.4</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试验所需设备是否有校验证书</w:t>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val="0"/>
              <w:autoSpaceDE/>
              <w:autoSpaceDN/>
              <w:spacing w:before="20" w:after="20"/>
              <w:ind w:firstLine="210" w:firstLineChars="100"/>
              <w:jc w:val="right"/>
              <w:rPr>
                <w:rFonts w:hint="default" w:ascii="宋体" w:hAnsi="宋体" w:eastAsia="宋体" w:cs="Arial"/>
                <w:b w:val="0"/>
                <w:bCs w:val="0"/>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1.5</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试验所需设备是否在校验期内</w:t>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bottom"/>
          </w:tcPr>
          <w:p>
            <w:pPr>
              <w:widowControl/>
              <w:wordWrap w:val="0"/>
              <w:autoSpaceDE/>
              <w:autoSpaceDN/>
              <w:spacing w:before="20" w:after="20"/>
              <w:ind w:firstLine="210" w:firstLineChars="100"/>
              <w:jc w:val="right"/>
              <w:rPr>
                <w:rFonts w:hint="default"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1.6</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制定并执行适合本专业特色的SOP</w:t>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2</w:t>
            </w:r>
          </w:p>
        </w:tc>
        <w:tc>
          <w:tcPr>
            <w:tcW w:w="8505"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1"/>
                <w:szCs w:val="21"/>
                <w:lang w:val="en-US" w:eastAsia="zh-CN"/>
              </w:rPr>
            </w:pPr>
            <w:r>
              <w:rPr>
                <w:rFonts w:hint="eastAsia" w:ascii="宋体" w:hAnsi="宋体" w:eastAsia="宋体" w:cs="Arial"/>
                <w:b/>
                <w:bCs/>
                <w:color w:val="auto"/>
                <w:kern w:val="0"/>
                <w:sz w:val="21"/>
                <w:szCs w:val="21"/>
                <w:lang w:val="en-US" w:eastAsia="zh-CN"/>
              </w:rPr>
              <w:t>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Merge w:val="restart"/>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2.1</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default" w:eastAsia="宋体"/>
                <w:color w:val="auto"/>
                <w:sz w:val="21"/>
                <w:szCs w:val="21"/>
                <w:lang w:val="en-US" w:eastAsia="zh-CN"/>
              </w:rPr>
              <w:t>临床试验机构与申办者</w:t>
            </w:r>
            <w:r>
              <w:rPr>
                <w:rFonts w:hint="eastAsia" w:eastAsia="宋体"/>
                <w:color w:val="auto"/>
                <w:sz w:val="21"/>
                <w:szCs w:val="21"/>
                <w:lang w:val="en-US" w:eastAsia="zh-CN"/>
              </w:rPr>
              <w:t>是否</w:t>
            </w:r>
            <w:r>
              <w:rPr>
                <w:rFonts w:hint="default" w:eastAsia="宋体"/>
                <w:color w:val="auto"/>
                <w:sz w:val="21"/>
                <w:szCs w:val="21"/>
                <w:lang w:val="en-US" w:eastAsia="zh-CN"/>
              </w:rPr>
              <w:t>签署</w:t>
            </w:r>
            <w:r>
              <w:rPr>
                <w:rFonts w:hint="eastAsia" w:eastAsia="宋体"/>
                <w:color w:val="auto"/>
                <w:sz w:val="21"/>
                <w:szCs w:val="21"/>
                <w:lang w:val="en-US" w:eastAsia="zh-CN"/>
              </w:rPr>
              <w:t>合同</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Merge w:val="continue"/>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rPr>
            </w:pPr>
          </w:p>
        </w:tc>
        <w:tc>
          <w:tcPr>
            <w:tcW w:w="6836"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olor w:val="auto"/>
                <w:sz w:val="21"/>
                <w:szCs w:val="21"/>
              </w:rPr>
            </w:pPr>
            <w:r>
              <w:rPr>
                <w:rFonts w:hint="eastAsia" w:asciiTheme="minorEastAsia" w:hAnsiTheme="minorEastAsia" w:cstheme="minorEastAsia"/>
                <w:color w:val="auto"/>
                <w:kern w:val="0"/>
                <w:sz w:val="21"/>
                <w:szCs w:val="21"/>
              </w:rPr>
              <w:t>签署</w:t>
            </w:r>
            <w:r>
              <w:rPr>
                <w:rFonts w:hint="eastAsia" w:eastAsia="宋体"/>
                <w:color w:val="auto"/>
                <w:sz w:val="21"/>
                <w:szCs w:val="21"/>
                <w:lang w:val="en-US" w:eastAsia="zh-CN"/>
              </w:rPr>
              <w:t>日期</w:t>
            </w:r>
            <w:r>
              <w:rPr>
                <w:rFonts w:hint="eastAsia" w:asciiTheme="minorEastAsia" w:hAnsiTheme="minorEastAsia" w:cstheme="minorEastAsia"/>
                <w:color w:val="auto"/>
                <w:kern w:val="0"/>
                <w:sz w:val="21"/>
                <w:szCs w:val="21"/>
              </w:rPr>
              <w:t>：</w:t>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Merge w:val="restart"/>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2.2</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1"/>
                <w:szCs w:val="21"/>
                <w:lang w:val="en-US" w:eastAsia="zh-CN"/>
              </w:rPr>
            </w:pPr>
            <w:r>
              <w:rPr>
                <w:rFonts w:hint="default" w:eastAsia="宋体"/>
                <w:color w:val="auto"/>
                <w:sz w:val="21"/>
                <w:szCs w:val="21"/>
                <w:lang w:val="en-US" w:eastAsia="zh-CN"/>
              </w:rPr>
              <w:t>临床试验机构与合同研究组织</w:t>
            </w:r>
            <w:r>
              <w:rPr>
                <w:rFonts w:hint="eastAsia" w:eastAsia="宋体"/>
                <w:color w:val="auto"/>
                <w:sz w:val="21"/>
                <w:szCs w:val="21"/>
                <w:lang w:val="en-US" w:eastAsia="zh-CN"/>
              </w:rPr>
              <w:t>是否</w:t>
            </w:r>
            <w:r>
              <w:rPr>
                <w:rFonts w:hint="default" w:eastAsia="宋体"/>
                <w:color w:val="auto"/>
                <w:sz w:val="21"/>
                <w:szCs w:val="21"/>
                <w:lang w:val="en-US" w:eastAsia="zh-CN"/>
              </w:rPr>
              <w:t>签署合同</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Merge w:val="continue"/>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rPr>
            </w:pPr>
          </w:p>
        </w:tc>
        <w:tc>
          <w:tcPr>
            <w:tcW w:w="6836"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olor w:val="auto"/>
                <w:sz w:val="21"/>
                <w:szCs w:val="21"/>
              </w:rPr>
            </w:pPr>
            <w:r>
              <w:rPr>
                <w:rFonts w:hint="eastAsia" w:asciiTheme="minorEastAsia" w:hAnsiTheme="minorEastAsia" w:cstheme="minorEastAsia"/>
                <w:color w:val="auto"/>
                <w:kern w:val="0"/>
                <w:sz w:val="21"/>
                <w:szCs w:val="21"/>
              </w:rPr>
              <w:t>签署日期：</w:t>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Merge w:val="restart"/>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2.3</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eastAsia="宋体"/>
                <w:color w:val="auto"/>
                <w:sz w:val="21"/>
                <w:szCs w:val="21"/>
                <w:lang w:val="en-US" w:eastAsia="zh-CN"/>
              </w:rPr>
            </w:pPr>
            <w:r>
              <w:rPr>
                <w:rFonts w:hint="default" w:eastAsia="宋体"/>
                <w:color w:val="auto"/>
                <w:sz w:val="21"/>
                <w:szCs w:val="21"/>
                <w:lang w:val="en-US" w:eastAsia="zh-CN"/>
              </w:rPr>
              <w:t>申办者与合同研究组织</w:t>
            </w:r>
            <w:r>
              <w:rPr>
                <w:rFonts w:hint="eastAsia" w:eastAsia="宋体"/>
                <w:color w:val="auto"/>
                <w:sz w:val="21"/>
                <w:szCs w:val="21"/>
                <w:lang w:val="en-US" w:eastAsia="zh-CN"/>
              </w:rPr>
              <w:t>是否</w:t>
            </w:r>
            <w:r>
              <w:rPr>
                <w:rFonts w:hint="default" w:eastAsia="宋体"/>
                <w:color w:val="auto"/>
                <w:sz w:val="21"/>
                <w:szCs w:val="21"/>
                <w:lang w:val="en-US" w:eastAsia="zh-CN"/>
              </w:rPr>
              <w:t>签署合同</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Merge w:val="continue"/>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rPr>
            </w:pPr>
          </w:p>
        </w:tc>
        <w:tc>
          <w:tcPr>
            <w:tcW w:w="6836"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olor w:val="auto"/>
                <w:sz w:val="21"/>
                <w:szCs w:val="21"/>
              </w:rPr>
            </w:pPr>
            <w:r>
              <w:rPr>
                <w:rFonts w:hint="eastAsia" w:asciiTheme="minorEastAsia" w:hAnsiTheme="minorEastAsia" w:cstheme="minorEastAsia"/>
                <w:color w:val="auto"/>
                <w:kern w:val="0"/>
                <w:sz w:val="21"/>
                <w:szCs w:val="21"/>
              </w:rPr>
              <w:t>签署</w:t>
            </w:r>
            <w:r>
              <w:rPr>
                <w:rFonts w:hint="eastAsia" w:eastAsia="宋体"/>
                <w:color w:val="auto"/>
                <w:sz w:val="21"/>
                <w:szCs w:val="21"/>
                <w:lang w:val="en-US" w:eastAsia="zh-CN"/>
              </w:rPr>
              <w:t>日期</w:t>
            </w:r>
            <w:r>
              <w:rPr>
                <w:rFonts w:hint="eastAsia" w:asciiTheme="minorEastAsia" w:hAnsiTheme="minorEastAsia" w:cstheme="minorEastAsia"/>
                <w:color w:val="auto"/>
                <w:kern w:val="0"/>
                <w:sz w:val="21"/>
                <w:szCs w:val="21"/>
              </w:rPr>
              <w:t>：</w:t>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2.4</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eastAsia="宋体"/>
                <w:color w:val="auto"/>
                <w:sz w:val="21"/>
                <w:szCs w:val="21"/>
                <w:lang w:val="en-US" w:eastAsia="zh-CN"/>
              </w:rPr>
            </w:pPr>
            <w:r>
              <w:rPr>
                <w:rFonts w:hint="eastAsia" w:eastAsia="宋体"/>
                <w:color w:val="auto"/>
                <w:sz w:val="21"/>
                <w:szCs w:val="21"/>
                <w:lang w:val="en-US" w:eastAsia="zh-CN"/>
              </w:rPr>
              <w:t>是否签署临床试验的财务合同</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2.5</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微软雅黑"/>
                <w:color w:val="auto"/>
                <w:kern w:val="0"/>
                <w:sz w:val="21"/>
                <w:szCs w:val="21"/>
                <w:lang w:val="en-US" w:eastAsia="zh-CN"/>
              </w:rPr>
            </w:pPr>
            <w:r>
              <w:rPr>
                <w:rFonts w:hint="eastAsia" w:ascii="宋体" w:hAnsi="宋体" w:eastAsia="宋体" w:cs="微软雅黑"/>
                <w:color w:val="auto"/>
                <w:kern w:val="0"/>
                <w:sz w:val="21"/>
                <w:szCs w:val="21"/>
                <w:lang w:val="en-US" w:eastAsia="zh-CN"/>
              </w:rPr>
              <w:t>保险文件（若有）</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3</w:t>
            </w:r>
          </w:p>
        </w:tc>
        <w:tc>
          <w:tcPr>
            <w:tcW w:w="8505"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研究主要文件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8"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3.1</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color w:val="auto"/>
                <w:sz w:val="21"/>
                <w:szCs w:val="21"/>
              </w:rPr>
              <w:t>药品监督管理部门对临床试验的许可</w:t>
            </w:r>
            <w:r>
              <w:rPr>
                <w:rFonts w:hint="eastAsia"/>
                <w:color w:val="auto"/>
                <w:sz w:val="21"/>
                <w:szCs w:val="21"/>
                <w:lang w:eastAsia="zh-CN"/>
              </w:rPr>
              <w:t>、</w:t>
            </w:r>
            <w:r>
              <w:rPr>
                <w:rFonts w:hint="eastAsia"/>
                <w:color w:val="auto"/>
                <w:sz w:val="21"/>
                <w:szCs w:val="21"/>
              </w:rPr>
              <w:t>备案</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8" w:hRule="atLeast"/>
          <w:tblHeader/>
          <w:jc w:val="center"/>
        </w:trPr>
        <w:tc>
          <w:tcPr>
            <w:tcW w:w="1134" w:type="dxa"/>
            <w:vMerge w:val="restart"/>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3.</w:t>
            </w:r>
            <w:r>
              <w:rPr>
                <w:rFonts w:hint="eastAsia" w:ascii="宋体" w:hAnsi="宋体" w:eastAsia="宋体" w:cs="Arial"/>
                <w:color w:val="auto"/>
                <w:kern w:val="0"/>
                <w:sz w:val="21"/>
                <w:szCs w:val="21"/>
                <w:lang w:val="en-US" w:eastAsia="zh-CN"/>
              </w:rPr>
              <w:t>2</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1"/>
                <w:szCs w:val="21"/>
                <w:lang w:eastAsia="zh-CN"/>
              </w:rPr>
            </w:pPr>
            <w:r>
              <w:rPr>
                <w:rFonts w:hint="eastAsia" w:ascii="宋体" w:hAnsi="宋体" w:eastAsia="宋体" w:cs="Arial"/>
                <w:color w:val="auto"/>
                <w:kern w:val="0"/>
                <w:sz w:val="21"/>
                <w:szCs w:val="21"/>
                <w:lang w:val="en-US" w:eastAsia="zh-CN"/>
              </w:rPr>
              <w:t>临床试验方案否经过伦理委员会的批准</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8" w:hRule="atLeast"/>
          <w:tblHeader/>
          <w:jc w:val="center"/>
        </w:trPr>
        <w:tc>
          <w:tcPr>
            <w:tcW w:w="1134" w:type="dxa"/>
            <w:vMerge w:val="continue"/>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eastAsia="zh-CN"/>
              </w:rPr>
            </w:pPr>
          </w:p>
        </w:tc>
        <w:tc>
          <w:tcPr>
            <w:tcW w:w="5103" w:type="dxa"/>
            <w:gridSpan w:val="2"/>
            <w:tcBorders>
              <w:right w:val="nil"/>
            </w:tcBorders>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1"/>
                <w:szCs w:val="21"/>
                <w:lang w:val="en-US" w:eastAsia="zh-CN"/>
              </w:rPr>
            </w:pPr>
            <w:r>
              <w:rPr>
                <w:rFonts w:hint="eastAsia" w:asciiTheme="minorEastAsia" w:hAnsiTheme="minorEastAsia" w:cstheme="minorEastAsia"/>
                <w:color w:val="auto"/>
                <w:kern w:val="0"/>
                <w:sz w:val="21"/>
                <w:szCs w:val="21"/>
              </w:rPr>
              <w:t>各个版本的临床试验方案版本号和批准日期：</w:t>
            </w:r>
          </w:p>
        </w:tc>
        <w:tc>
          <w:tcPr>
            <w:tcW w:w="1733" w:type="dxa"/>
            <w:gridSpan w:val="3"/>
            <w:tcBorders>
              <w:left w:val="nil"/>
            </w:tcBorders>
            <w:vAlign w:val="center"/>
          </w:tcPr>
          <w:p>
            <w:pPr>
              <w:widowControl/>
              <w:wordWrap/>
              <w:autoSpaceDE/>
              <w:autoSpaceDN/>
              <w:spacing w:before="20" w:after="20"/>
              <w:jc w:val="center"/>
              <w:rPr>
                <w:rFonts w:ascii="宋体" w:hAnsi="宋体" w:eastAsia="宋体"/>
                <w:color w:val="auto"/>
                <w:sz w:val="21"/>
                <w:szCs w:val="21"/>
              </w:rPr>
            </w:pP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8" w:hRule="atLeast"/>
          <w:tblHeader/>
          <w:jc w:val="center"/>
        </w:trPr>
        <w:tc>
          <w:tcPr>
            <w:tcW w:w="1134" w:type="dxa"/>
            <w:vMerge w:val="restart"/>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3.</w:t>
            </w:r>
            <w:r>
              <w:rPr>
                <w:rFonts w:hint="eastAsia" w:ascii="宋体" w:hAnsi="宋体" w:eastAsia="宋体" w:cs="Arial"/>
                <w:color w:val="auto"/>
                <w:kern w:val="0"/>
                <w:sz w:val="21"/>
                <w:szCs w:val="21"/>
                <w:lang w:val="en-US" w:eastAsia="zh-CN"/>
              </w:rPr>
              <w:t>3</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知情同意书是否经过伦理委员会批准</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8" w:hRule="atLeast"/>
          <w:tblHeader/>
          <w:jc w:val="center"/>
        </w:trPr>
        <w:tc>
          <w:tcPr>
            <w:tcW w:w="1134" w:type="dxa"/>
            <w:vMerge w:val="continue"/>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eastAsia="zh-CN"/>
              </w:rPr>
            </w:pPr>
          </w:p>
        </w:tc>
        <w:tc>
          <w:tcPr>
            <w:tcW w:w="6836"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olor w:val="auto"/>
                <w:sz w:val="21"/>
                <w:szCs w:val="21"/>
              </w:rPr>
            </w:pPr>
            <w:r>
              <w:rPr>
                <w:rFonts w:hint="eastAsia" w:asciiTheme="minorEastAsia" w:hAnsiTheme="minorEastAsia" w:cstheme="minorEastAsia"/>
                <w:color w:val="auto"/>
                <w:kern w:val="0"/>
                <w:sz w:val="21"/>
                <w:szCs w:val="21"/>
              </w:rPr>
              <w:t>各个版本的知情同意书版本号和批准日期：</w:t>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9" w:hRule="atLeast"/>
          <w:tblHeader/>
          <w:jc w:val="center"/>
        </w:trPr>
        <w:tc>
          <w:tcPr>
            <w:tcW w:w="1134"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rPr>
            </w:pPr>
            <w:r>
              <w:rPr>
                <w:rFonts w:hint="eastAsia" w:ascii="宋体" w:hAnsi="宋体" w:eastAsia="宋体" w:cs="Arial"/>
                <w:b/>
                <w:bCs/>
                <w:color w:val="auto"/>
                <w:kern w:val="0"/>
                <w:sz w:val="21"/>
                <w:szCs w:val="21"/>
                <w:lang w:eastAsia="zh-CN"/>
              </w:rPr>
              <w:t>序号</w:t>
            </w:r>
          </w:p>
        </w:tc>
        <w:tc>
          <w:tcPr>
            <w:tcW w:w="5103"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rPr>
            </w:pPr>
            <w:r>
              <w:rPr>
                <w:rFonts w:hint="eastAsia" w:ascii="宋体" w:hAnsi="宋体" w:eastAsia="宋体" w:cs="Arial"/>
                <w:b/>
                <w:bCs/>
                <w:color w:val="auto"/>
                <w:kern w:val="0"/>
                <w:sz w:val="21"/>
                <w:szCs w:val="21"/>
                <w:lang w:val="en-US" w:eastAsia="zh-CN"/>
              </w:rPr>
              <w:t>项目</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是</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否</w:t>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NA</w:t>
            </w:r>
          </w:p>
        </w:tc>
        <w:tc>
          <w:tcPr>
            <w:tcW w:w="1669"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3.4</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空白</w:t>
            </w:r>
            <w:r>
              <w:rPr>
                <w:rFonts w:hint="eastAsia" w:ascii="宋体" w:hAnsi="宋体" w:eastAsia="宋体" w:cs="Arial"/>
                <w:color w:val="auto"/>
                <w:kern w:val="0"/>
                <w:sz w:val="21"/>
                <w:szCs w:val="21"/>
                <w:lang w:val="en-US" w:eastAsia="zh-CN"/>
              </w:rPr>
              <w:t>病例报告表（</w:t>
            </w:r>
            <w:r>
              <w:rPr>
                <w:rFonts w:ascii="宋体" w:hAnsi="宋体" w:eastAsia="宋体" w:cs="Arial"/>
                <w:color w:val="auto"/>
                <w:kern w:val="0"/>
                <w:sz w:val="21"/>
                <w:szCs w:val="21"/>
              </w:rPr>
              <w:t xml:space="preserve">CRF </w:t>
            </w:r>
            <w:r>
              <w:rPr>
                <w:rFonts w:hint="eastAsia" w:ascii="宋体" w:hAnsi="宋体" w:eastAsia="宋体" w:cs="Arial"/>
                <w:color w:val="auto"/>
                <w:kern w:val="0"/>
                <w:sz w:val="21"/>
                <w:szCs w:val="21"/>
                <w:lang w:val="en-US" w:eastAsia="zh-CN"/>
              </w:rPr>
              <w:t>/eCRF）是否经过伦理委员会批准</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3.5</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招募广告及其他提供给受试者的任何书面资料是否经过伦理委员会批准</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33" w:hRule="atLeast"/>
          <w:tblHeader/>
          <w:jc w:val="center"/>
        </w:trPr>
        <w:tc>
          <w:tcPr>
            <w:tcW w:w="1134"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3.6</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是否有适用的研究者手册</w:t>
            </w:r>
          </w:p>
        </w:tc>
        <w:tc>
          <w:tcPr>
            <w:tcW w:w="577"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3.7</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是否有临床前实验室资料（医疗器械临床试验）</w:t>
            </w:r>
          </w:p>
        </w:tc>
        <w:tc>
          <w:tcPr>
            <w:tcW w:w="577"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3.8</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cs="宋体"/>
                <w:color w:val="auto"/>
                <w:kern w:val="0"/>
                <w:sz w:val="21"/>
                <w:szCs w:val="21"/>
              </w:rPr>
              <w:t>如知情同意书或方案</w:t>
            </w:r>
            <w:r>
              <w:rPr>
                <w:rFonts w:hint="eastAsia" w:ascii="宋体" w:hAnsi="宋体" w:cs="宋体"/>
                <w:color w:val="auto"/>
                <w:kern w:val="0"/>
                <w:sz w:val="21"/>
                <w:szCs w:val="21"/>
                <w:lang w:val="en-US" w:eastAsia="zh-CN"/>
              </w:rPr>
              <w:t>如</w:t>
            </w:r>
            <w:r>
              <w:rPr>
                <w:rFonts w:hint="eastAsia" w:ascii="宋体" w:hAnsi="宋体" w:cs="宋体"/>
                <w:color w:val="auto"/>
                <w:kern w:val="0"/>
                <w:sz w:val="21"/>
                <w:szCs w:val="21"/>
              </w:rPr>
              <w:t>进行了修改，</w:t>
            </w:r>
            <w:r>
              <w:rPr>
                <w:rFonts w:hint="eastAsia" w:ascii="宋体" w:hAnsi="宋体" w:cs="宋体"/>
                <w:color w:val="auto"/>
                <w:kern w:val="0"/>
                <w:sz w:val="21"/>
                <w:szCs w:val="21"/>
                <w:lang w:val="en-US" w:eastAsia="zh-CN"/>
              </w:rPr>
              <w:t>是否</w:t>
            </w:r>
            <w:r>
              <w:rPr>
                <w:rFonts w:hint="eastAsia" w:ascii="宋体" w:hAnsi="宋体" w:eastAsia="宋体" w:cs="Arial"/>
                <w:color w:val="auto"/>
                <w:kern w:val="0"/>
                <w:sz w:val="21"/>
                <w:szCs w:val="21"/>
                <w:lang w:val="en-US" w:eastAsia="zh-CN"/>
              </w:rPr>
              <w:t>经过伦理委员会批准</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3.9</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cs="宋体"/>
                <w:color w:val="auto"/>
                <w:kern w:val="0"/>
                <w:sz w:val="21"/>
                <w:szCs w:val="21"/>
              </w:rPr>
            </w:pPr>
            <w:r>
              <w:rPr>
                <w:rFonts w:hint="eastAsia" w:ascii="宋体" w:hAnsi="宋体" w:cs="宋体"/>
                <w:color w:val="auto"/>
                <w:kern w:val="0"/>
                <w:sz w:val="21"/>
                <w:szCs w:val="21"/>
              </w:rPr>
              <w:t>如知情同意书或方案</w:t>
            </w:r>
            <w:r>
              <w:rPr>
                <w:rFonts w:hint="eastAsia" w:ascii="宋体" w:hAnsi="宋体" w:cs="宋体"/>
                <w:color w:val="auto"/>
                <w:kern w:val="0"/>
                <w:sz w:val="21"/>
                <w:szCs w:val="21"/>
                <w:lang w:val="en-US" w:eastAsia="zh-CN"/>
              </w:rPr>
              <w:t>如</w:t>
            </w:r>
            <w:r>
              <w:rPr>
                <w:rFonts w:hint="eastAsia" w:ascii="宋体" w:hAnsi="宋体" w:cs="宋体"/>
                <w:color w:val="auto"/>
                <w:kern w:val="0"/>
                <w:sz w:val="21"/>
                <w:szCs w:val="21"/>
              </w:rPr>
              <w:t>进行了修改，是否进行相应的培训并记录</w:t>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211" w:firstLineChars="100"/>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4</w:t>
            </w:r>
          </w:p>
        </w:tc>
        <w:tc>
          <w:tcPr>
            <w:tcW w:w="8505"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4.1</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申办方资质是否齐全（GMP、营业执照、药品生产许可证）</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4.2</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CRO是否有资质</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4.3</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是否有符合资质的CRA（GCP、简历、身份证复印件）</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4.4</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是否有试验启动监查报告</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5</w:t>
            </w:r>
          </w:p>
        </w:tc>
        <w:tc>
          <w:tcPr>
            <w:tcW w:w="8505"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5.1</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是否有申办方/CRO对研究中心授权委托书</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5.2</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是否有申办方对CRO授权委托书</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5.3</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是否有CRO对CRA授权委托书</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bottom"/>
          </w:tcPr>
          <w:p>
            <w:pPr>
              <w:widowControl/>
              <w:wordWrap/>
              <w:autoSpaceDE/>
              <w:autoSpaceDN/>
              <w:spacing w:before="20" w:after="20"/>
              <w:ind w:firstLine="211" w:firstLineChars="100"/>
              <w:jc w:val="left"/>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6</w:t>
            </w:r>
          </w:p>
        </w:tc>
        <w:tc>
          <w:tcPr>
            <w:tcW w:w="8505"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伦理委员会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6.1</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伦理委员会批件是否齐全</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6.2</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对临床试验的跟踪审查是否及时（必要时）</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1" w:hRule="atLeast"/>
          <w:tblHeader/>
          <w:jc w:val="center"/>
        </w:trPr>
        <w:tc>
          <w:tcPr>
            <w:tcW w:w="1134" w:type="dxa"/>
            <w:vAlign w:val="bottom"/>
          </w:tcPr>
          <w:p>
            <w:pPr>
              <w:widowControl/>
              <w:wordWrap/>
              <w:autoSpaceDE/>
              <w:autoSpaceDN/>
              <w:spacing w:before="20" w:after="20"/>
              <w:jc w:val="left"/>
              <w:rPr>
                <w:rFonts w:hint="eastAsia" w:ascii="宋体" w:hAnsi="宋体" w:eastAsia="宋体" w:cs="Arial"/>
                <w:b/>
                <w:color w:val="auto"/>
                <w:kern w:val="0"/>
                <w:sz w:val="21"/>
                <w:szCs w:val="21"/>
                <w:lang w:val="en-US" w:eastAsia="zh-CN"/>
              </w:rPr>
            </w:pPr>
            <w:r>
              <w:rPr>
                <w:rFonts w:hint="eastAsia" w:ascii="宋体" w:hAnsi="宋体" w:eastAsia="宋体" w:cs="Arial"/>
                <w:b/>
                <w:bCs/>
                <w:color w:val="auto"/>
                <w:kern w:val="0"/>
                <w:sz w:val="21"/>
                <w:szCs w:val="21"/>
              </w:rPr>
              <w:t xml:space="preserve">  </w:t>
            </w:r>
            <w:r>
              <w:rPr>
                <w:rFonts w:hint="eastAsia" w:ascii="宋体" w:hAnsi="宋体" w:eastAsia="宋体" w:cs="Arial"/>
                <w:b/>
                <w:bCs/>
                <w:color w:val="auto"/>
                <w:kern w:val="0"/>
                <w:sz w:val="21"/>
                <w:szCs w:val="21"/>
                <w:lang w:val="en-US" w:eastAsia="zh-CN"/>
              </w:rPr>
              <w:t>7</w:t>
            </w:r>
          </w:p>
        </w:tc>
        <w:tc>
          <w:tcPr>
            <w:tcW w:w="8505"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color w:val="auto"/>
                <w:kern w:val="0"/>
                <w:sz w:val="21"/>
                <w:szCs w:val="21"/>
                <w:lang w:val="en-US" w:eastAsia="zh-CN"/>
              </w:rPr>
            </w:pPr>
            <w:r>
              <w:rPr>
                <w:rFonts w:hint="eastAsia" w:ascii="宋体" w:hAnsi="宋体" w:eastAsia="宋体" w:cs="Arial"/>
                <w:b/>
                <w:color w:val="auto"/>
                <w:kern w:val="0"/>
                <w:sz w:val="21"/>
                <w:szCs w:val="21"/>
                <w:lang w:eastAsia="zh-CN"/>
              </w:rPr>
              <w:t>研究参与人员信息</w:t>
            </w:r>
            <w:r>
              <w:rPr>
                <w:rFonts w:hint="eastAsia" w:ascii="宋体" w:hAnsi="宋体" w:eastAsia="宋体" w:cs="Arial"/>
                <w:b/>
                <w:color w:val="auto"/>
                <w:kern w:val="0"/>
                <w:sz w:val="21"/>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4" w:hRule="atLeast"/>
          <w:tblHeader/>
          <w:jc w:val="center"/>
        </w:trPr>
        <w:tc>
          <w:tcPr>
            <w:tcW w:w="1134"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7.</w:t>
            </w:r>
            <w:r>
              <w:rPr>
                <w:rFonts w:hint="eastAsia" w:ascii="宋体" w:hAnsi="宋体" w:eastAsia="宋体" w:cs="Arial"/>
                <w:color w:val="auto"/>
                <w:kern w:val="0"/>
                <w:sz w:val="21"/>
                <w:szCs w:val="21"/>
              </w:rPr>
              <w:t>1</w:t>
            </w:r>
          </w:p>
        </w:tc>
        <w:tc>
          <w:tcPr>
            <w:tcW w:w="6836"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项目组成员共：___人</w:t>
            </w:r>
          </w:p>
        </w:tc>
        <w:tc>
          <w:tcPr>
            <w:tcW w:w="1669"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val="0"/>
                <w:bCs w:val="0"/>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7.</w:t>
            </w:r>
            <w:r>
              <w:rPr>
                <w:rFonts w:ascii="宋体" w:hAnsi="宋体" w:eastAsia="宋体" w:cs="Arial"/>
                <w:color w:val="auto"/>
                <w:kern w:val="0"/>
                <w:sz w:val="21"/>
                <w:szCs w:val="21"/>
                <w:lang w:eastAsia="zh-CN"/>
              </w:rPr>
              <w:t>2</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PI简历及资质是否满足试验要求</w:t>
            </w:r>
          </w:p>
        </w:tc>
        <w:tc>
          <w:tcPr>
            <w:tcW w:w="577"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both"/>
              <w:textAlignment w:val="auto"/>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both"/>
              <w:textAlignment w:val="auto"/>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both"/>
              <w:textAlignment w:val="auto"/>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7.3</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研究者简历</w:t>
            </w:r>
            <w:r>
              <w:rPr>
                <w:rFonts w:hint="eastAsia" w:eastAsia="宋体"/>
                <w:color w:val="auto"/>
                <w:sz w:val="21"/>
                <w:szCs w:val="21"/>
                <w:lang w:val="en-US" w:eastAsia="zh-CN"/>
              </w:rPr>
              <w:t>及资质</w:t>
            </w:r>
            <w:r>
              <w:rPr>
                <w:rFonts w:hint="eastAsia" w:ascii="宋体" w:hAnsi="宋体" w:eastAsia="宋体" w:cs="Arial"/>
                <w:color w:val="auto"/>
                <w:kern w:val="0"/>
                <w:sz w:val="21"/>
                <w:szCs w:val="21"/>
                <w:lang w:val="en-US" w:eastAsia="zh-CN"/>
              </w:rPr>
              <w:t>是否满足试验要求</w:t>
            </w:r>
          </w:p>
        </w:tc>
        <w:tc>
          <w:tcPr>
            <w:tcW w:w="577"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both"/>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both"/>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both"/>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90" w:hRule="atLeast"/>
          <w:tblHeader/>
          <w:jc w:val="center"/>
        </w:trPr>
        <w:tc>
          <w:tcPr>
            <w:tcW w:w="1134"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7.4</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项目组成员是否有培训记录</w:t>
            </w:r>
          </w:p>
        </w:tc>
        <w:tc>
          <w:tcPr>
            <w:tcW w:w="577"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both"/>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both"/>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both"/>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190"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7.5</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研究组成员职责分工明确合理并或得PI授权</w:t>
            </w:r>
          </w:p>
        </w:tc>
        <w:tc>
          <w:tcPr>
            <w:tcW w:w="577"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both"/>
              <w:textAlignment w:val="auto"/>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both"/>
              <w:textAlignment w:val="auto"/>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both"/>
              <w:textAlignment w:val="auto"/>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190" w:hRule="atLeast"/>
          <w:tblHeader/>
          <w:jc w:val="center"/>
        </w:trPr>
        <w:tc>
          <w:tcPr>
            <w:tcW w:w="1134" w:type="dxa"/>
            <w:vMerge w:val="restart"/>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7.6</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1"/>
                <w:szCs w:val="21"/>
                <w:lang w:val="en-US" w:eastAsia="zh-CN"/>
              </w:rPr>
            </w:pPr>
            <w:r>
              <w:rPr>
                <w:rFonts w:hint="eastAsia" w:ascii="宋体" w:hAnsi="宋体" w:cs="宋体"/>
                <w:color w:val="auto"/>
                <w:kern w:val="0"/>
                <w:sz w:val="21"/>
                <w:szCs w:val="21"/>
              </w:rPr>
              <w:t>如研究组成员发生了变动是否进行相应的培训并记录</w:t>
            </w:r>
          </w:p>
        </w:tc>
        <w:tc>
          <w:tcPr>
            <w:tcW w:w="577"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both"/>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both"/>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both"/>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2" w:hRule="atLeast"/>
          <w:tblHeader/>
          <w:jc w:val="center"/>
        </w:trPr>
        <w:tc>
          <w:tcPr>
            <w:tcW w:w="1134" w:type="dxa"/>
            <w:vMerge w:val="continue"/>
            <w:vAlign w:val="center"/>
          </w:tcPr>
          <w:p>
            <w:pPr>
              <w:widowControl/>
              <w:wordWrap/>
              <w:autoSpaceDE/>
              <w:autoSpaceDN/>
              <w:spacing w:before="20" w:after="20"/>
              <w:ind w:firstLine="441" w:firstLineChars="210"/>
              <w:jc w:val="center"/>
              <w:rPr>
                <w:rFonts w:hint="default" w:ascii="宋体" w:hAnsi="宋体" w:eastAsia="宋体" w:cs="Arial"/>
                <w:color w:val="auto"/>
                <w:kern w:val="0"/>
                <w:sz w:val="21"/>
                <w:szCs w:val="21"/>
                <w:lang w:val="en-US" w:eastAsia="zh-CN"/>
              </w:rPr>
            </w:pPr>
          </w:p>
        </w:tc>
        <w:tc>
          <w:tcPr>
            <w:tcW w:w="6836"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olor w:val="auto"/>
                <w:sz w:val="21"/>
                <w:szCs w:val="21"/>
              </w:rPr>
            </w:pPr>
            <w:r>
              <w:rPr>
                <w:rFonts w:hint="eastAsia" w:ascii="宋体" w:hAnsi="宋体" w:cs="宋体"/>
                <w:color w:val="auto"/>
                <w:kern w:val="0"/>
                <w:sz w:val="21"/>
                <w:szCs w:val="21"/>
                <w:lang w:val="en-US" w:eastAsia="zh-CN"/>
              </w:rPr>
              <w:t>项目组成员人员变动情况：</w:t>
            </w:r>
          </w:p>
        </w:tc>
        <w:tc>
          <w:tcPr>
            <w:tcW w:w="1669"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cs="宋体"/>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8</w:t>
            </w:r>
          </w:p>
        </w:tc>
        <w:tc>
          <w:tcPr>
            <w:tcW w:w="8505"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启动会及培训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2" w:hRule="atLeast"/>
          <w:tblHeader/>
          <w:jc w:val="center"/>
        </w:trPr>
        <w:tc>
          <w:tcPr>
            <w:tcW w:w="1134"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8.1</w:t>
            </w:r>
          </w:p>
        </w:tc>
        <w:tc>
          <w:tcPr>
            <w:tcW w:w="6836" w:type="dxa"/>
            <w:gridSpan w:val="5"/>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b/>
                <w:bCs/>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 xml:space="preserve">启动会召开时间：     </w:t>
            </w:r>
            <w:r>
              <w:rPr>
                <w:rFonts w:hint="eastAsia" w:ascii="宋体" w:hAnsi="宋体" w:eastAsia="宋体" w:cs="Arial"/>
                <w:b/>
                <w:bCs/>
                <w:color w:val="auto"/>
                <w:kern w:val="0"/>
                <w:sz w:val="21"/>
                <w:szCs w:val="21"/>
                <w:lang w:val="en-US" w:eastAsia="zh-CN"/>
              </w:rPr>
              <w:t xml:space="preserve">     </w:t>
            </w:r>
            <w:r>
              <w:rPr>
                <w:rFonts w:hint="eastAsia" w:ascii="宋体" w:hAnsi="宋体" w:eastAsia="宋体" w:cs="Arial"/>
                <w:b w:val="0"/>
                <w:bCs w:val="0"/>
                <w:color w:val="auto"/>
                <w:kern w:val="0"/>
                <w:sz w:val="21"/>
                <w:szCs w:val="21"/>
                <w:lang w:val="en-US" w:eastAsia="zh-CN"/>
              </w:rPr>
              <w:t xml:space="preserve">主讲人： </w:t>
            </w:r>
            <w:r>
              <w:rPr>
                <w:rFonts w:hint="eastAsia" w:ascii="宋体" w:hAnsi="宋体" w:eastAsia="宋体" w:cs="Arial"/>
                <w:b/>
                <w:bCs/>
                <w:color w:val="auto"/>
                <w:kern w:val="0"/>
                <w:sz w:val="21"/>
                <w:szCs w:val="21"/>
                <w:lang w:val="en-US" w:eastAsia="zh-CN"/>
              </w:rPr>
              <w:t xml:space="preserve">         </w:t>
            </w:r>
            <w:r>
              <w:rPr>
                <w:rFonts w:hint="eastAsia" w:ascii="宋体" w:hAnsi="宋体" w:eastAsia="宋体" w:cs="Arial"/>
                <w:b w:val="0"/>
                <w:bCs w:val="0"/>
                <w:color w:val="auto"/>
                <w:kern w:val="0"/>
                <w:sz w:val="21"/>
                <w:szCs w:val="21"/>
                <w:lang w:val="en-US" w:eastAsia="zh-CN"/>
              </w:rPr>
              <w:t>参会人员：___人</w:t>
            </w:r>
          </w:p>
        </w:tc>
        <w:tc>
          <w:tcPr>
            <w:tcW w:w="1669"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val="0"/>
                <w:bCs w:val="0"/>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8.2</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default" w:ascii="宋体" w:hAnsi="宋体" w:eastAsia="宋体" w:cs="Arial"/>
                <w:color w:val="auto"/>
                <w:kern w:val="0"/>
                <w:sz w:val="21"/>
                <w:szCs w:val="21"/>
                <w:lang w:val="en-US" w:eastAsia="zh-CN"/>
              </w:rPr>
              <w:t>申办者/合同研究组织（CRO）是否召开研究启动会并进行相关记录</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43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8.3</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是否有启动会签到表</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431" w:hRule="atLeast"/>
          <w:tblHeader/>
          <w:jc w:val="center"/>
        </w:trPr>
        <w:tc>
          <w:tcPr>
            <w:tcW w:w="1134"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rPr>
            </w:pPr>
            <w:r>
              <w:rPr>
                <w:rFonts w:hint="eastAsia" w:ascii="宋体" w:hAnsi="宋体" w:eastAsia="宋体" w:cs="Arial"/>
                <w:b/>
                <w:bCs/>
                <w:color w:val="auto"/>
                <w:kern w:val="0"/>
                <w:sz w:val="21"/>
                <w:szCs w:val="21"/>
                <w:lang w:eastAsia="zh-CN"/>
              </w:rPr>
              <w:t>序号</w:t>
            </w:r>
          </w:p>
        </w:tc>
        <w:tc>
          <w:tcPr>
            <w:tcW w:w="5103"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rPr>
            </w:pPr>
            <w:r>
              <w:rPr>
                <w:rFonts w:hint="eastAsia" w:ascii="宋体" w:hAnsi="宋体" w:eastAsia="宋体" w:cs="Arial"/>
                <w:b/>
                <w:bCs/>
                <w:color w:val="auto"/>
                <w:kern w:val="0"/>
                <w:sz w:val="21"/>
                <w:szCs w:val="21"/>
                <w:lang w:val="en-US" w:eastAsia="zh-CN"/>
              </w:rPr>
              <w:t>项目</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是</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否</w:t>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NA</w:t>
            </w:r>
          </w:p>
        </w:tc>
        <w:tc>
          <w:tcPr>
            <w:tcW w:w="1669"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431" w:hRule="atLeast"/>
          <w:tblHeader/>
          <w:jc w:val="center"/>
        </w:trPr>
        <w:tc>
          <w:tcPr>
            <w:tcW w:w="1134"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8.4</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是否有启动会培训资料（如PPT）</w:t>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8.5</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bidi="ar-SA"/>
              </w:rPr>
            </w:pPr>
            <w:r>
              <w:rPr>
                <w:rFonts w:hint="default" w:ascii="宋体" w:hAnsi="宋体" w:eastAsia="宋体" w:cs="Arial"/>
                <w:color w:val="auto"/>
                <w:kern w:val="0"/>
                <w:sz w:val="21"/>
                <w:szCs w:val="21"/>
                <w:lang w:val="en-US" w:eastAsia="zh-CN"/>
              </w:rPr>
              <w:t>是否在获得伦理委员会批准、协议签订以及启动会后才开始筛选受试者</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211" w:firstLineChars="100"/>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9</w:t>
            </w:r>
          </w:p>
        </w:tc>
        <w:tc>
          <w:tcPr>
            <w:tcW w:w="8505" w:type="dxa"/>
            <w:gridSpan w:val="6"/>
            <w:vAlign w:val="center"/>
          </w:tcPr>
          <w:p>
            <w:pPr>
              <w:widowControl/>
              <w:wordWrap/>
              <w:autoSpaceDE/>
              <w:autoSpaceDN/>
              <w:spacing w:before="20" w:after="20"/>
              <w:jc w:val="left"/>
              <w:rPr>
                <w:rFonts w:ascii="宋体" w:hAnsi="宋体" w:eastAsia="宋体" w:cs="Arial"/>
                <w:color w:val="auto"/>
                <w:kern w:val="0"/>
                <w:sz w:val="21"/>
                <w:szCs w:val="21"/>
              </w:rPr>
            </w:pPr>
            <w:r>
              <w:rPr>
                <w:rFonts w:hint="eastAsia" w:ascii="宋体" w:hAnsi="宋体" w:eastAsia="宋体" w:cs="Arial"/>
                <w:b/>
                <w:bCs/>
                <w:color w:val="auto"/>
                <w:kern w:val="0"/>
                <w:sz w:val="21"/>
                <w:szCs w:val="21"/>
                <w:lang w:val="en-US" w:eastAsia="zh-CN"/>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9.1</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中心实验室资质</w:t>
            </w:r>
            <w:r>
              <w:rPr>
                <w:rFonts w:hint="eastAsia"/>
                <w:color w:val="auto"/>
                <w:sz w:val="21"/>
                <w:szCs w:val="21"/>
                <w:lang w:eastAsia="zh-CN"/>
              </w:rPr>
              <w:t>（</w:t>
            </w:r>
            <w:r>
              <w:rPr>
                <w:rFonts w:hint="eastAsia"/>
                <w:color w:val="auto"/>
                <w:sz w:val="21"/>
                <w:szCs w:val="21"/>
                <w:lang w:val="en-US" w:eastAsia="zh-CN"/>
              </w:rPr>
              <w:t>室间质评证书等</w:t>
            </w:r>
            <w:r>
              <w:rPr>
                <w:rFonts w:hint="eastAsia"/>
                <w:color w:val="auto"/>
                <w:sz w:val="21"/>
                <w:szCs w:val="21"/>
                <w:lang w:eastAsia="zh-CN"/>
              </w:rPr>
              <w:t>）（</w:t>
            </w:r>
            <w:r>
              <w:rPr>
                <w:rFonts w:hint="eastAsia"/>
                <w:color w:val="auto"/>
                <w:sz w:val="21"/>
                <w:szCs w:val="21"/>
                <w:lang w:val="en-US" w:eastAsia="zh-CN"/>
              </w:rPr>
              <w:t>若有</w:t>
            </w:r>
            <w:r>
              <w:rPr>
                <w:rFonts w:hint="eastAsia"/>
                <w:color w:val="auto"/>
                <w:sz w:val="21"/>
                <w:szCs w:val="21"/>
                <w:lang w:eastAsia="zh-CN"/>
              </w:rPr>
              <w:t>）</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9.2</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中心实验室负责人简历</w:t>
            </w:r>
            <w:r>
              <w:rPr>
                <w:rFonts w:hint="eastAsia"/>
                <w:color w:val="auto"/>
                <w:sz w:val="21"/>
                <w:szCs w:val="21"/>
                <w:lang w:eastAsia="zh-CN"/>
              </w:rPr>
              <w:t>（</w:t>
            </w:r>
            <w:r>
              <w:rPr>
                <w:rFonts w:hint="eastAsia"/>
                <w:color w:val="auto"/>
                <w:sz w:val="21"/>
                <w:szCs w:val="21"/>
                <w:lang w:val="en-US" w:eastAsia="zh-CN"/>
              </w:rPr>
              <w:t>若有</w:t>
            </w:r>
            <w:r>
              <w:rPr>
                <w:rFonts w:hint="eastAsia"/>
                <w:color w:val="auto"/>
                <w:sz w:val="21"/>
                <w:szCs w:val="21"/>
                <w:lang w:eastAsia="zh-CN"/>
              </w:rPr>
              <w:t>）</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9.3</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color w:val="auto"/>
                <w:sz w:val="21"/>
                <w:szCs w:val="21"/>
                <w:lang w:val="en-US" w:eastAsia="zh-CN"/>
              </w:rPr>
              <w:t>中心实验室</w:t>
            </w:r>
            <w:r>
              <w:rPr>
                <w:rFonts w:hint="eastAsia"/>
                <w:color w:val="auto"/>
                <w:sz w:val="21"/>
                <w:szCs w:val="21"/>
              </w:rPr>
              <w:t>在试验方案中涉及的医学、实验室、专业技术操作和相关检测的参考值和参考值范围</w:t>
            </w:r>
            <w:r>
              <w:rPr>
                <w:rFonts w:hint="eastAsia"/>
                <w:color w:val="auto"/>
                <w:sz w:val="21"/>
                <w:szCs w:val="21"/>
                <w:lang w:eastAsia="zh-CN"/>
              </w:rPr>
              <w:t>（</w:t>
            </w:r>
            <w:r>
              <w:rPr>
                <w:rFonts w:hint="eastAsia"/>
                <w:color w:val="auto"/>
                <w:sz w:val="21"/>
                <w:szCs w:val="21"/>
                <w:lang w:val="en-US" w:eastAsia="zh-CN"/>
              </w:rPr>
              <w:t>若有</w:t>
            </w:r>
            <w:r>
              <w:rPr>
                <w:rFonts w:hint="eastAsia"/>
                <w:color w:val="auto"/>
                <w:sz w:val="21"/>
                <w:szCs w:val="21"/>
                <w:lang w:eastAsia="zh-CN"/>
              </w:rPr>
              <w:t>）</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26" w:hRule="atLeast"/>
          <w:tblHeader/>
          <w:jc w:val="center"/>
        </w:trPr>
        <w:tc>
          <w:tcPr>
            <w:tcW w:w="1134"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9.4</w:t>
            </w:r>
          </w:p>
        </w:tc>
        <w:tc>
          <w:tcPr>
            <w:tcW w:w="5103" w:type="dxa"/>
            <w:gridSpan w:val="2"/>
            <w:vAlign w:val="center"/>
          </w:tcPr>
          <w:p>
            <w:pPr>
              <w:pStyle w:val="43"/>
              <w:keepNext w:val="0"/>
              <w:keepLines w:val="0"/>
              <w:pageBreakBefore w:val="0"/>
              <w:numPr>
                <w:ilvl w:val="0"/>
                <w:numId w:val="0"/>
              </w:numPr>
              <w:kinsoku/>
              <w:overflowPunct/>
              <w:topLinePunct w:val="0"/>
              <w:bidi w:val="0"/>
              <w:adjustRightInd/>
              <w:snapToGrid/>
              <w:ind w:left="105" w:leftChars="50"/>
              <w:textAlignment w:val="auto"/>
              <w:rPr>
                <w:rFonts w:ascii="宋体" w:hAnsi="宋体" w:eastAsia="宋体" w:cs="Arial"/>
                <w:color w:val="auto"/>
                <w:kern w:val="0"/>
                <w:sz w:val="21"/>
                <w:szCs w:val="21"/>
                <w:lang w:eastAsia="zh-CN"/>
              </w:rPr>
            </w:pPr>
            <w:r>
              <w:rPr>
                <w:rFonts w:hint="eastAsia" w:ascii="宋体" w:hAnsi="宋体" w:eastAsia="宋体" w:cs="Times New Roman"/>
                <w:b w:val="0"/>
                <w:bCs w:val="0"/>
                <w:color w:val="auto"/>
                <w:kern w:val="2"/>
                <w:sz w:val="21"/>
                <w:szCs w:val="21"/>
                <w:lang w:val="en-US" w:eastAsia="zh-CN" w:bidi="ar-SA"/>
              </w:rPr>
              <w:t>中心实验室物资预定、运输及确认</w:t>
            </w:r>
            <w:r>
              <w:rPr>
                <w:rFonts w:hint="eastAsia"/>
                <w:color w:val="auto"/>
                <w:sz w:val="21"/>
                <w:szCs w:val="21"/>
                <w:lang w:eastAsia="zh-CN"/>
              </w:rPr>
              <w:t>（</w:t>
            </w:r>
            <w:r>
              <w:rPr>
                <w:rFonts w:hint="eastAsia"/>
                <w:color w:val="auto"/>
                <w:sz w:val="21"/>
                <w:szCs w:val="21"/>
                <w:lang w:val="en-US" w:eastAsia="zh-CN"/>
              </w:rPr>
              <w:t>若有</w:t>
            </w:r>
            <w:r>
              <w:rPr>
                <w:rFonts w:hint="eastAsia"/>
                <w:color w:val="auto"/>
                <w:sz w:val="21"/>
                <w:szCs w:val="21"/>
                <w:lang w:eastAsia="zh-CN"/>
              </w:rPr>
              <w:t>）</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9.5</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本院实验室资质</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9.6</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本院实验室</w:t>
            </w:r>
            <w:r>
              <w:rPr>
                <w:rFonts w:hint="eastAsia"/>
                <w:color w:val="auto"/>
                <w:sz w:val="21"/>
                <w:szCs w:val="21"/>
              </w:rPr>
              <w:t>在试验方案中涉及的医学、实验室、专业技术操作和相关检测的参考值和参考值范围</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9.7</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本院实验室仪器校准证明</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9.8</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与实验室相关的其他文件</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10</w:t>
            </w:r>
          </w:p>
        </w:tc>
        <w:tc>
          <w:tcPr>
            <w:tcW w:w="8505"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eastAsia="zh-CN"/>
              </w:rPr>
            </w:pPr>
            <w:r>
              <w:rPr>
                <w:rFonts w:hint="eastAsia" w:ascii="宋体" w:hAnsi="宋体" w:eastAsia="宋体" w:cs="Arial"/>
                <w:b/>
                <w:bCs/>
                <w:color w:val="auto"/>
                <w:kern w:val="0"/>
                <w:sz w:val="21"/>
                <w:szCs w:val="21"/>
                <w:lang w:eastAsia="zh-CN"/>
              </w:rPr>
              <w:t>随机和破盲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400" w:hRule="atLeast"/>
          <w:tblHeader/>
          <w:jc w:val="center"/>
        </w:trPr>
        <w:tc>
          <w:tcPr>
            <w:tcW w:w="1134" w:type="dxa"/>
            <w:vAlign w:val="bottom"/>
          </w:tcPr>
          <w:p>
            <w:pPr>
              <w:widowControl/>
              <w:wordWrap/>
              <w:autoSpaceDE/>
              <w:autoSpaceDN/>
              <w:spacing w:before="20" w:after="20"/>
              <w:ind w:firstLine="441" w:firstLineChars="21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10.1</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随机方案是否规范</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10.2</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随机过程是否规范</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10.3</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盲法试验的揭盲程序是否规范</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0" w:hRule="atLeast"/>
          <w:tblHeader/>
          <w:jc w:val="center"/>
        </w:trPr>
        <w:tc>
          <w:tcPr>
            <w:tcW w:w="1134" w:type="dxa"/>
            <w:vAlign w:val="bottom"/>
          </w:tcPr>
          <w:p>
            <w:pPr>
              <w:widowControl/>
              <w:wordWrap/>
              <w:autoSpaceDE/>
              <w:autoSpaceDN/>
              <w:spacing w:before="20" w:after="20"/>
              <w:ind w:firstLine="441" w:firstLineChars="210"/>
              <w:jc w:val="lef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10.4</w:t>
            </w:r>
          </w:p>
        </w:tc>
        <w:tc>
          <w:tcPr>
            <w:tcW w:w="5103" w:type="dxa"/>
            <w:gridSpan w:val="2"/>
            <w:vAlign w:val="center"/>
          </w:tcPr>
          <w:p>
            <w:pPr>
              <w:widowControl/>
              <w:wordWrap/>
              <w:autoSpaceDE/>
              <w:autoSpaceDN/>
              <w:spacing w:before="20" w:after="20"/>
              <w:ind w:left="105" w:leftChars="50"/>
              <w:jc w:val="left"/>
              <w:rPr>
                <w:rFonts w:ascii="宋体" w:hAnsi="宋体" w:eastAsia="宋体" w:cs="Arial"/>
                <w:color w:val="auto"/>
                <w:kern w:val="0"/>
                <w:sz w:val="21"/>
                <w:szCs w:val="21"/>
                <w:lang w:eastAsia="zh-CN"/>
              </w:rPr>
            </w:pPr>
            <w:r>
              <w:rPr>
                <w:rFonts w:hint="eastAsia" w:ascii="宋体" w:hAnsi="宋体" w:cs="宋体"/>
                <w:color w:val="auto"/>
                <w:kern w:val="0"/>
                <w:sz w:val="21"/>
                <w:szCs w:val="21"/>
              </w:rPr>
              <w:t>盲法试验应急信封是否保存完整</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eastAsia" w:ascii="宋体" w:hAnsi="宋体" w:eastAsia="宋体" w:cs="Arial"/>
                <w:b/>
                <w:bCs/>
                <w:color w:val="auto"/>
                <w:kern w:val="0"/>
                <w:sz w:val="21"/>
                <w:szCs w:val="21"/>
                <w:lang w:val="en-US" w:eastAsia="zh-CN"/>
              </w:rPr>
            </w:pPr>
            <w:r>
              <w:rPr>
                <w:rFonts w:ascii="宋体" w:hAnsi="宋体" w:eastAsia="宋体" w:cs="Arial"/>
                <w:b/>
                <w:bCs/>
                <w:color w:val="auto"/>
                <w:kern w:val="0"/>
                <w:sz w:val="21"/>
                <w:szCs w:val="21"/>
              </w:rPr>
              <w:t>1</w:t>
            </w:r>
            <w:r>
              <w:rPr>
                <w:rFonts w:hint="eastAsia" w:ascii="宋体" w:hAnsi="宋体" w:eastAsia="宋体" w:cs="Arial"/>
                <w:b/>
                <w:bCs/>
                <w:color w:val="auto"/>
                <w:kern w:val="0"/>
                <w:sz w:val="21"/>
                <w:szCs w:val="21"/>
                <w:lang w:val="en-US" w:eastAsia="zh-CN"/>
              </w:rPr>
              <w:t>1</w:t>
            </w:r>
          </w:p>
        </w:tc>
        <w:tc>
          <w:tcPr>
            <w:tcW w:w="8505" w:type="dxa"/>
            <w:gridSpan w:val="6"/>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临床监查/稽查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1" w:hRule="atLeast"/>
          <w:tblHeader/>
          <w:jc w:val="center"/>
        </w:trPr>
        <w:tc>
          <w:tcPr>
            <w:tcW w:w="1134" w:type="dxa"/>
            <w:vAlign w:val="bottom"/>
          </w:tcPr>
          <w:p>
            <w:pPr>
              <w:widowControl/>
              <w:wordWrap/>
              <w:autoSpaceDE/>
              <w:autoSpaceDN/>
              <w:spacing w:before="20" w:after="20"/>
              <w:ind w:firstLine="441" w:firstLineChars="21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11.1</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是否有符合资质的监察员</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1" w:hRule="atLeast"/>
          <w:tblHeader/>
          <w:jc w:val="center"/>
        </w:trPr>
        <w:tc>
          <w:tcPr>
            <w:tcW w:w="1134" w:type="dxa"/>
            <w:vAlign w:val="bottom"/>
          </w:tcPr>
          <w:p>
            <w:pPr>
              <w:widowControl/>
              <w:wordWrap/>
              <w:autoSpaceDE/>
              <w:autoSpaceDN/>
              <w:spacing w:before="20" w:after="20"/>
              <w:ind w:firstLine="441" w:firstLineChars="21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11.2</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rPr>
            </w:pPr>
            <w:r>
              <w:rPr>
                <w:rFonts w:hint="eastAsia" w:ascii="宋体" w:hAnsi="宋体" w:cs="宋体"/>
                <w:color w:val="auto"/>
                <w:kern w:val="0"/>
                <w:sz w:val="21"/>
                <w:szCs w:val="21"/>
              </w:rPr>
              <w:t>监查员是否定期进行监查并有书面报告或反馈</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eastAsia" w:ascii="宋体" w:hAnsi="宋体" w:eastAsia="宋体" w:cs="Arial"/>
                <w:b/>
                <w:bCs/>
                <w:color w:val="auto"/>
                <w:kern w:val="0"/>
                <w:sz w:val="21"/>
                <w:szCs w:val="21"/>
                <w:lang w:val="en-US" w:eastAsia="zh-CN"/>
              </w:rPr>
            </w:pPr>
            <w:r>
              <w:rPr>
                <w:rFonts w:ascii="宋体" w:hAnsi="宋体" w:eastAsia="宋体" w:cs="Arial"/>
                <w:b/>
                <w:bCs/>
                <w:color w:val="auto"/>
                <w:kern w:val="0"/>
                <w:sz w:val="21"/>
                <w:szCs w:val="21"/>
              </w:rPr>
              <w:t>1</w:t>
            </w:r>
            <w:r>
              <w:rPr>
                <w:rFonts w:hint="eastAsia" w:ascii="宋体" w:hAnsi="宋体" w:eastAsia="宋体" w:cs="Arial"/>
                <w:b/>
                <w:bCs/>
                <w:color w:val="auto"/>
                <w:kern w:val="0"/>
                <w:sz w:val="21"/>
                <w:szCs w:val="21"/>
                <w:lang w:val="en-US" w:eastAsia="zh-CN"/>
              </w:rPr>
              <w:t>2</w:t>
            </w:r>
          </w:p>
        </w:tc>
        <w:tc>
          <w:tcPr>
            <w:tcW w:w="8505" w:type="dxa"/>
            <w:gridSpan w:val="6"/>
            <w:vAlign w:val="center"/>
          </w:tcPr>
          <w:p>
            <w:pPr>
              <w:widowControl/>
              <w:wordWrap/>
              <w:autoSpaceDE/>
              <w:autoSpaceDN/>
              <w:spacing w:before="20" w:after="20"/>
              <w:ind w:left="105" w:leftChars="50"/>
              <w:jc w:val="left"/>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试验物资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ascii="宋体" w:hAnsi="宋体" w:eastAsia="宋体" w:cs="Arial"/>
                <w:color w:val="auto"/>
                <w:kern w:val="0"/>
                <w:sz w:val="21"/>
                <w:szCs w:val="21"/>
                <w:lang w:eastAsia="zh-CN"/>
              </w:rPr>
            </w:pPr>
            <w:r>
              <w:rPr>
                <w:rFonts w:ascii="宋体" w:hAnsi="宋体" w:eastAsia="宋体" w:cs="Arial"/>
                <w:color w:val="auto"/>
                <w:kern w:val="0"/>
                <w:sz w:val="21"/>
                <w:szCs w:val="21"/>
                <w:lang w:eastAsia="zh-CN"/>
              </w:rPr>
              <w:t>1</w:t>
            </w:r>
            <w:r>
              <w:rPr>
                <w:rFonts w:hint="eastAsia" w:ascii="宋体" w:hAnsi="宋体" w:eastAsia="宋体" w:cs="Arial"/>
                <w:color w:val="auto"/>
                <w:kern w:val="0"/>
                <w:sz w:val="21"/>
                <w:szCs w:val="21"/>
                <w:lang w:val="en-US" w:eastAsia="zh-CN"/>
              </w:rPr>
              <w:t>2</w:t>
            </w:r>
            <w:r>
              <w:rPr>
                <w:rFonts w:ascii="宋体" w:hAnsi="宋体" w:eastAsia="宋体" w:cs="Arial"/>
                <w:color w:val="auto"/>
                <w:kern w:val="0"/>
                <w:sz w:val="21"/>
                <w:szCs w:val="21"/>
                <w:lang w:eastAsia="zh-CN"/>
              </w:rPr>
              <w:t>.1</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仪器、耗材交接</w:t>
            </w:r>
            <w:r>
              <w:rPr>
                <w:rFonts w:hint="eastAsia" w:ascii="宋体" w:hAnsi="宋体" w:eastAsia="宋体" w:cs="Arial"/>
                <w:color w:val="auto"/>
                <w:kern w:val="0"/>
                <w:sz w:val="21"/>
                <w:szCs w:val="21"/>
                <w:lang w:val="en-US" w:eastAsia="zh-CN"/>
              </w:rPr>
              <w:t>证明（若有）</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ascii="宋体" w:hAnsi="宋体" w:eastAsia="宋体" w:cs="Arial"/>
                <w:color w:val="auto"/>
                <w:kern w:val="0"/>
                <w:sz w:val="21"/>
                <w:szCs w:val="21"/>
                <w:lang w:eastAsia="zh-CN"/>
              </w:rPr>
            </w:pPr>
            <w:r>
              <w:rPr>
                <w:rFonts w:ascii="宋体" w:hAnsi="宋体" w:eastAsia="宋体" w:cs="Arial"/>
                <w:color w:val="auto"/>
                <w:kern w:val="0"/>
                <w:sz w:val="21"/>
                <w:szCs w:val="21"/>
                <w:lang w:eastAsia="zh-CN"/>
              </w:rPr>
              <w:t>1</w:t>
            </w:r>
            <w:r>
              <w:rPr>
                <w:rFonts w:hint="eastAsia" w:ascii="宋体" w:hAnsi="宋体" w:eastAsia="宋体" w:cs="Arial"/>
                <w:color w:val="auto"/>
                <w:kern w:val="0"/>
                <w:sz w:val="21"/>
                <w:szCs w:val="21"/>
                <w:lang w:val="en-US" w:eastAsia="zh-CN"/>
              </w:rPr>
              <w:t>2</w:t>
            </w:r>
            <w:r>
              <w:rPr>
                <w:rFonts w:ascii="宋体" w:hAnsi="宋体" w:eastAsia="宋体" w:cs="Arial"/>
                <w:color w:val="auto"/>
                <w:kern w:val="0"/>
                <w:sz w:val="21"/>
                <w:szCs w:val="21"/>
                <w:lang w:eastAsia="zh-CN"/>
              </w:rPr>
              <w:t>.2</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试验印刷材料交接</w:t>
            </w:r>
            <w:r>
              <w:rPr>
                <w:rFonts w:hint="eastAsia" w:ascii="宋体" w:hAnsi="宋体" w:eastAsia="宋体" w:cs="Arial"/>
                <w:color w:val="auto"/>
                <w:kern w:val="0"/>
                <w:sz w:val="21"/>
                <w:szCs w:val="21"/>
                <w:lang w:val="en-US" w:eastAsia="zh-CN"/>
              </w:rPr>
              <w:t>证明（若有）</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ascii="宋体" w:hAnsi="宋体" w:eastAsia="宋体" w:cs="Arial"/>
                <w:color w:val="auto"/>
                <w:kern w:val="0"/>
                <w:sz w:val="21"/>
                <w:szCs w:val="21"/>
                <w:lang w:eastAsia="zh-CN"/>
              </w:rPr>
            </w:pPr>
            <w:r>
              <w:rPr>
                <w:rFonts w:hint="eastAsia" w:ascii="宋体" w:hAnsi="宋体" w:eastAsia="宋体" w:cs="Arial"/>
                <w:color w:val="auto"/>
                <w:kern w:val="0"/>
                <w:sz w:val="21"/>
                <w:szCs w:val="21"/>
                <w:lang w:eastAsia="zh-CN"/>
              </w:rPr>
              <w:t>1</w:t>
            </w:r>
            <w:r>
              <w:rPr>
                <w:rFonts w:hint="eastAsia" w:ascii="宋体" w:hAnsi="宋体" w:eastAsia="宋体" w:cs="Arial"/>
                <w:color w:val="auto"/>
                <w:kern w:val="0"/>
                <w:sz w:val="21"/>
                <w:szCs w:val="21"/>
                <w:lang w:val="en-US" w:eastAsia="zh-CN"/>
              </w:rPr>
              <w:t>2</w:t>
            </w:r>
            <w:r>
              <w:rPr>
                <w:rFonts w:ascii="宋体" w:hAnsi="宋体" w:eastAsia="宋体" w:cs="Arial"/>
                <w:color w:val="auto"/>
                <w:kern w:val="0"/>
                <w:sz w:val="21"/>
                <w:szCs w:val="21"/>
                <w:lang w:eastAsia="zh-CN"/>
              </w:rPr>
              <w:t>.3</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研究中心文件物料交接</w:t>
            </w:r>
            <w:r>
              <w:rPr>
                <w:rFonts w:hint="eastAsia" w:ascii="宋体" w:hAnsi="宋体" w:eastAsia="宋体" w:cs="Arial"/>
                <w:color w:val="auto"/>
                <w:kern w:val="0"/>
                <w:sz w:val="21"/>
                <w:szCs w:val="21"/>
                <w:lang w:val="en-US" w:eastAsia="zh-CN"/>
              </w:rPr>
              <w:t>证明（若有）</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default" w:ascii="宋体" w:hAnsi="宋体" w:eastAsia="宋体" w:cs="Arial"/>
                <w:color w:val="auto"/>
                <w:kern w:val="0"/>
                <w:sz w:val="21"/>
                <w:szCs w:val="21"/>
                <w:lang w:val="en-US" w:eastAsia="zh-CN"/>
              </w:rPr>
            </w:pPr>
            <w:r>
              <w:rPr>
                <w:rFonts w:hint="eastAsia" w:ascii="宋体" w:hAnsi="宋体" w:eastAsia="宋体" w:cs="Arial"/>
                <w:b/>
                <w:bCs/>
                <w:color w:val="auto"/>
                <w:kern w:val="0"/>
                <w:sz w:val="21"/>
                <w:szCs w:val="21"/>
                <w:lang w:val="en-US" w:eastAsia="zh-CN"/>
              </w:rPr>
              <w:t>13</w:t>
            </w:r>
          </w:p>
        </w:tc>
        <w:tc>
          <w:tcPr>
            <w:tcW w:w="5103" w:type="dxa"/>
            <w:gridSpan w:val="2"/>
            <w:tcBorders>
              <w:right w:val="nil"/>
            </w:tcBorders>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eastAsia="zh-CN"/>
              </w:rPr>
            </w:pPr>
            <w:r>
              <w:rPr>
                <w:rFonts w:hint="eastAsia" w:ascii="宋体" w:hAnsi="宋体" w:eastAsia="宋体" w:cs="Arial"/>
                <w:b/>
                <w:bCs/>
                <w:color w:val="auto"/>
                <w:kern w:val="0"/>
                <w:sz w:val="21"/>
                <w:szCs w:val="21"/>
                <w:lang w:val="en-US" w:eastAsia="zh-CN"/>
              </w:rPr>
              <w:t>试验流程</w:t>
            </w:r>
          </w:p>
        </w:tc>
        <w:tc>
          <w:tcPr>
            <w:tcW w:w="3402" w:type="dxa"/>
            <w:gridSpan w:val="4"/>
            <w:tcBorders>
              <w:left w:val="nil"/>
            </w:tcBorders>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hint="eastAsia" w:ascii="宋体" w:hAnsi="宋体" w:eastAsia="宋体" w:cs="Arial"/>
                <w:color w:val="auto"/>
                <w:kern w:val="0"/>
                <w:sz w:val="21"/>
                <w:szCs w:val="21"/>
                <w:lang w:val="en-US" w:eastAsia="zh-CN" w:bidi="ar-SA"/>
              </w:rPr>
            </w:pPr>
            <w:r>
              <w:rPr>
                <w:rFonts w:ascii="宋体" w:hAnsi="宋体" w:eastAsia="宋体" w:cs="Arial"/>
                <w:color w:val="auto"/>
                <w:kern w:val="0"/>
                <w:sz w:val="21"/>
                <w:szCs w:val="21"/>
                <w:lang w:eastAsia="zh-CN"/>
              </w:rPr>
              <w:t>1</w:t>
            </w:r>
            <w:r>
              <w:rPr>
                <w:rFonts w:hint="eastAsia" w:ascii="宋体" w:hAnsi="宋体" w:eastAsia="宋体" w:cs="Arial"/>
                <w:color w:val="auto"/>
                <w:kern w:val="0"/>
                <w:sz w:val="21"/>
                <w:szCs w:val="21"/>
                <w:lang w:val="en-US" w:eastAsia="zh-CN"/>
              </w:rPr>
              <w:t>3</w:t>
            </w:r>
            <w:r>
              <w:rPr>
                <w:rFonts w:ascii="宋体" w:hAnsi="宋体" w:eastAsia="宋体" w:cs="Arial"/>
                <w:color w:val="auto"/>
                <w:kern w:val="0"/>
                <w:sz w:val="21"/>
                <w:szCs w:val="21"/>
                <w:lang w:eastAsia="zh-CN"/>
              </w:rPr>
              <w:t>.1</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eastAsia="zh-CN"/>
              </w:rPr>
            </w:pPr>
            <w:r>
              <w:rPr>
                <w:rFonts w:hint="eastAsia" w:ascii="宋体" w:hAnsi="宋体" w:cs="宋体"/>
                <w:color w:val="auto"/>
                <w:kern w:val="0"/>
                <w:sz w:val="21"/>
                <w:szCs w:val="21"/>
              </w:rPr>
              <w:t>是否所有入组受试者都签署了知情同意书</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hint="eastAsia" w:ascii="宋体" w:hAnsi="宋体" w:eastAsia="宋体" w:cs="Arial"/>
                <w:color w:val="auto"/>
                <w:kern w:val="0"/>
                <w:sz w:val="21"/>
                <w:szCs w:val="21"/>
                <w:lang w:val="en-US" w:eastAsia="zh-CN" w:bidi="ar-SA"/>
              </w:rPr>
            </w:pPr>
            <w:r>
              <w:rPr>
                <w:rFonts w:ascii="宋体" w:hAnsi="宋体" w:eastAsia="宋体" w:cs="Arial"/>
                <w:color w:val="auto"/>
                <w:kern w:val="0"/>
                <w:sz w:val="21"/>
                <w:szCs w:val="21"/>
                <w:lang w:eastAsia="zh-CN"/>
              </w:rPr>
              <w:t>1</w:t>
            </w:r>
            <w:r>
              <w:rPr>
                <w:rFonts w:hint="eastAsia" w:ascii="宋体" w:hAnsi="宋体" w:eastAsia="宋体" w:cs="Arial"/>
                <w:color w:val="auto"/>
                <w:kern w:val="0"/>
                <w:sz w:val="21"/>
                <w:szCs w:val="21"/>
                <w:lang w:val="en-US" w:eastAsia="zh-CN"/>
              </w:rPr>
              <w:t>3</w:t>
            </w:r>
            <w:r>
              <w:rPr>
                <w:rFonts w:ascii="宋体" w:hAnsi="宋体" w:eastAsia="宋体" w:cs="Arial"/>
                <w:color w:val="auto"/>
                <w:kern w:val="0"/>
                <w:sz w:val="21"/>
                <w:szCs w:val="21"/>
                <w:lang w:eastAsia="zh-CN"/>
              </w:rPr>
              <w:t>.2</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eastAsia="zh-CN"/>
              </w:rPr>
            </w:pPr>
            <w:r>
              <w:rPr>
                <w:rFonts w:hint="eastAsia" w:ascii="宋体" w:hAnsi="宋体" w:cs="宋体"/>
                <w:color w:val="auto"/>
                <w:kern w:val="0"/>
                <w:sz w:val="21"/>
                <w:szCs w:val="21"/>
              </w:rPr>
              <w:t>是否所有入组受试者都符合入排标准</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bottom"/>
          </w:tcPr>
          <w:p>
            <w:pPr>
              <w:widowControl/>
              <w:wordWrap/>
              <w:autoSpaceDE/>
              <w:autoSpaceDN/>
              <w:spacing w:before="20" w:after="20"/>
              <w:ind w:firstLine="441" w:firstLineChars="210"/>
              <w:jc w:val="left"/>
              <w:rPr>
                <w:rFonts w:hint="eastAsia" w:ascii="宋体" w:hAnsi="宋体" w:eastAsia="宋体" w:cs="Arial"/>
                <w:color w:val="auto"/>
                <w:kern w:val="0"/>
                <w:sz w:val="21"/>
                <w:szCs w:val="21"/>
                <w:lang w:val="en-US" w:eastAsia="zh-CN" w:bidi="ar-SA"/>
              </w:rPr>
            </w:pPr>
            <w:r>
              <w:rPr>
                <w:rFonts w:ascii="宋体" w:hAnsi="宋体" w:eastAsia="宋体" w:cs="Arial"/>
                <w:color w:val="auto"/>
                <w:kern w:val="0"/>
                <w:sz w:val="21"/>
                <w:szCs w:val="21"/>
                <w:lang w:eastAsia="zh-CN"/>
              </w:rPr>
              <w:t>1</w:t>
            </w:r>
            <w:r>
              <w:rPr>
                <w:rFonts w:hint="eastAsia" w:ascii="宋体" w:hAnsi="宋体" w:eastAsia="宋体" w:cs="Arial"/>
                <w:color w:val="auto"/>
                <w:kern w:val="0"/>
                <w:sz w:val="21"/>
                <w:szCs w:val="21"/>
                <w:lang w:val="en-US" w:eastAsia="zh-CN"/>
              </w:rPr>
              <w:t>3</w:t>
            </w:r>
            <w:r>
              <w:rPr>
                <w:rFonts w:ascii="宋体" w:hAnsi="宋体" w:eastAsia="宋体" w:cs="Arial"/>
                <w:color w:val="auto"/>
                <w:kern w:val="0"/>
                <w:sz w:val="21"/>
                <w:szCs w:val="21"/>
                <w:lang w:eastAsia="zh-CN"/>
              </w:rPr>
              <w:t>.3</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eastAsia="zh-CN"/>
              </w:rPr>
            </w:pPr>
            <w:r>
              <w:rPr>
                <w:rFonts w:hint="eastAsia" w:asciiTheme="minorEastAsia" w:hAnsiTheme="minorEastAsia" w:cstheme="minorEastAsia"/>
                <w:color w:val="auto"/>
                <w:kern w:val="0"/>
                <w:sz w:val="21"/>
                <w:szCs w:val="21"/>
              </w:rPr>
              <w:t>物资接收和退还过程均有原始记录</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hint="eastAsia" w:ascii="宋体" w:hAnsi="宋体" w:eastAsia="宋体" w:cs="Arial"/>
                <w:color w:val="auto"/>
                <w:kern w:val="0"/>
                <w:sz w:val="21"/>
                <w:szCs w:val="21"/>
                <w:lang w:val="en-US" w:eastAsia="zh-CN" w:bidi="ar-SA"/>
              </w:rPr>
            </w:pPr>
            <w:r>
              <w:rPr>
                <w:rFonts w:ascii="宋体" w:hAnsi="宋体" w:eastAsia="宋体" w:cs="Arial"/>
                <w:color w:val="auto"/>
                <w:kern w:val="0"/>
                <w:sz w:val="21"/>
                <w:szCs w:val="21"/>
                <w:lang w:eastAsia="zh-CN"/>
              </w:rPr>
              <w:t>1</w:t>
            </w:r>
            <w:r>
              <w:rPr>
                <w:rFonts w:hint="eastAsia" w:ascii="宋体" w:hAnsi="宋体" w:eastAsia="宋体" w:cs="Arial"/>
                <w:color w:val="auto"/>
                <w:kern w:val="0"/>
                <w:sz w:val="21"/>
                <w:szCs w:val="21"/>
                <w:lang w:val="en-US" w:eastAsia="zh-CN"/>
              </w:rPr>
              <w:t>3</w:t>
            </w:r>
            <w:r>
              <w:rPr>
                <w:rFonts w:ascii="宋体" w:hAnsi="宋体" w:eastAsia="宋体" w:cs="Arial"/>
                <w:color w:val="auto"/>
                <w:kern w:val="0"/>
                <w:sz w:val="21"/>
                <w:szCs w:val="21"/>
                <w:lang w:eastAsia="zh-CN"/>
              </w:rPr>
              <w:t>.4</w:t>
            </w:r>
          </w:p>
        </w:tc>
        <w:tc>
          <w:tcPr>
            <w:tcW w:w="5103" w:type="dxa"/>
            <w:gridSpan w:val="2"/>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受试者筛选入选表是否规范</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hint="eastAsia" w:asciiTheme="minorEastAsia" w:hAnsi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lang w:eastAsia="zh-CN"/>
              </w:rPr>
              <w:t>1</w:t>
            </w:r>
            <w:r>
              <w:rPr>
                <w:rFonts w:hint="eastAsia" w:asciiTheme="minorEastAsia" w:hAnsiTheme="minorEastAsia" w:cstheme="minorEastAsia"/>
                <w:color w:val="auto"/>
                <w:kern w:val="0"/>
                <w:sz w:val="21"/>
                <w:szCs w:val="21"/>
                <w:lang w:val="en-US" w:eastAsia="zh-CN"/>
              </w:rPr>
              <w:t>3</w:t>
            </w:r>
            <w:r>
              <w:rPr>
                <w:rFonts w:hint="eastAsia" w:asciiTheme="minorEastAsia" w:hAnsiTheme="minorEastAsia" w:cstheme="minorEastAsia"/>
                <w:color w:val="auto"/>
                <w:kern w:val="0"/>
                <w:sz w:val="21"/>
                <w:szCs w:val="21"/>
                <w:lang w:eastAsia="zh-CN"/>
              </w:rPr>
              <w:t>.5</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ko-KR" w:bidi="ar-SA"/>
              </w:rPr>
            </w:pPr>
            <w:r>
              <w:rPr>
                <w:rFonts w:hint="eastAsia" w:asciiTheme="minorEastAsia" w:hAnsiTheme="minorEastAsia" w:cstheme="minorEastAsia"/>
                <w:color w:val="auto"/>
                <w:kern w:val="0"/>
                <w:sz w:val="21"/>
                <w:szCs w:val="21"/>
              </w:rPr>
              <w:t>受试者鉴认代码表是否涵盖如姓名、住院号/门诊就诊号、身份证号、联系地址以及联系方式等受试者身份鉴别信息</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hint="eastAsia" w:ascii="宋体" w:hAnsi="宋体" w:eastAsia="宋体" w:cs="Arial"/>
                <w:color w:val="auto"/>
                <w:kern w:val="0"/>
                <w:sz w:val="21"/>
                <w:szCs w:val="21"/>
                <w:lang w:val="en-US" w:eastAsia="zh-CN" w:bidi="ar-SA"/>
              </w:rPr>
            </w:pPr>
            <w:r>
              <w:rPr>
                <w:rFonts w:ascii="宋体" w:hAnsi="宋体" w:eastAsia="宋体" w:cs="Arial"/>
                <w:color w:val="auto"/>
                <w:kern w:val="0"/>
                <w:sz w:val="21"/>
                <w:szCs w:val="21"/>
                <w:lang w:eastAsia="zh-CN"/>
              </w:rPr>
              <w:t>1</w:t>
            </w:r>
            <w:r>
              <w:rPr>
                <w:rFonts w:hint="eastAsia" w:ascii="宋体" w:hAnsi="宋体" w:eastAsia="宋体" w:cs="Arial"/>
                <w:color w:val="auto"/>
                <w:kern w:val="0"/>
                <w:sz w:val="21"/>
                <w:szCs w:val="21"/>
                <w:lang w:val="en-US" w:eastAsia="zh-CN"/>
              </w:rPr>
              <w:t>3</w:t>
            </w:r>
            <w:r>
              <w:rPr>
                <w:rFonts w:ascii="宋体" w:hAnsi="宋体" w:eastAsia="宋体" w:cs="Arial"/>
                <w:color w:val="auto"/>
                <w:kern w:val="0"/>
                <w:sz w:val="21"/>
                <w:szCs w:val="21"/>
                <w:lang w:eastAsia="zh-CN"/>
              </w:rPr>
              <w:t>.6</w:t>
            </w:r>
          </w:p>
        </w:tc>
        <w:tc>
          <w:tcPr>
            <w:tcW w:w="5103" w:type="dxa"/>
            <w:gridSpan w:val="2"/>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方案规定的检查是否遗漏</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w:t>
            </w:r>
            <w:r>
              <w:rPr>
                <w:rFonts w:hint="eastAsia" w:ascii="宋体" w:hAnsi="宋体" w:eastAsia="宋体" w:cs="Arial"/>
                <w:color w:val="auto"/>
                <w:kern w:val="0"/>
                <w:sz w:val="21"/>
                <w:szCs w:val="21"/>
                <w:lang w:val="en-US" w:eastAsia="zh-CN"/>
              </w:rPr>
              <w:t>3</w:t>
            </w:r>
            <w:r>
              <w:rPr>
                <w:rFonts w:ascii="宋体" w:hAnsi="宋体" w:eastAsia="宋体" w:cs="Arial"/>
                <w:color w:val="auto"/>
                <w:kern w:val="0"/>
                <w:sz w:val="21"/>
                <w:szCs w:val="21"/>
                <w:lang w:eastAsia="zh-CN"/>
              </w:rPr>
              <w:t>.7</w:t>
            </w:r>
          </w:p>
        </w:tc>
        <w:tc>
          <w:tcPr>
            <w:tcW w:w="5103" w:type="dxa"/>
            <w:gridSpan w:val="2"/>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检查报告单（检验科、影像科、心电图室等检查结果）是否齐全、可溯源</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2" w:hRule="atLeast"/>
          <w:tblHeader/>
          <w:jc w:val="center"/>
        </w:trPr>
        <w:tc>
          <w:tcPr>
            <w:tcW w:w="1134"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rPr>
            </w:pPr>
            <w:r>
              <w:rPr>
                <w:rFonts w:hint="eastAsia" w:ascii="宋体" w:hAnsi="宋体" w:eastAsia="宋体" w:cs="Arial"/>
                <w:b/>
                <w:bCs/>
                <w:color w:val="auto"/>
                <w:kern w:val="0"/>
                <w:sz w:val="21"/>
                <w:szCs w:val="21"/>
                <w:lang w:eastAsia="zh-CN"/>
              </w:rPr>
              <w:t>序号</w:t>
            </w:r>
          </w:p>
        </w:tc>
        <w:tc>
          <w:tcPr>
            <w:tcW w:w="5103" w:type="dxa"/>
            <w:gridSpan w:val="2"/>
            <w:vAlign w:val="center"/>
          </w:tcPr>
          <w:p>
            <w:pPr>
              <w:widowControl/>
              <w:wordWrap/>
              <w:autoSpaceDE/>
              <w:autoSpaceDN/>
              <w:spacing w:before="20" w:after="20"/>
              <w:jc w:val="center"/>
              <w:rPr>
                <w:rFonts w:hint="eastAsia" w:asciiTheme="minorEastAsia" w:hAnsiTheme="minorEastAsia" w:cstheme="minorEastAsia"/>
                <w:color w:val="auto"/>
                <w:kern w:val="0"/>
                <w:sz w:val="21"/>
                <w:szCs w:val="21"/>
              </w:rPr>
            </w:pPr>
            <w:r>
              <w:rPr>
                <w:rFonts w:hint="eastAsia" w:ascii="宋体" w:hAnsi="宋体" w:eastAsia="宋体" w:cs="Arial"/>
                <w:b/>
                <w:bCs/>
                <w:color w:val="auto"/>
                <w:kern w:val="0"/>
                <w:sz w:val="21"/>
                <w:szCs w:val="21"/>
                <w:lang w:val="en-US" w:eastAsia="zh-CN"/>
              </w:rPr>
              <w:t>项目</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是</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否</w:t>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NA</w:t>
            </w:r>
          </w:p>
        </w:tc>
        <w:tc>
          <w:tcPr>
            <w:tcW w:w="1669"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13.8</w:t>
            </w:r>
          </w:p>
        </w:tc>
        <w:tc>
          <w:tcPr>
            <w:tcW w:w="5103" w:type="dxa"/>
            <w:gridSpan w:val="2"/>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研究者是否及时对检查结果的临床意义作出判断并对异常情况及时处理</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center"/>
          </w:tcPr>
          <w:p>
            <w:pPr>
              <w:widowControl/>
              <w:wordWrap/>
              <w:autoSpaceDE/>
              <w:autoSpaceDN/>
              <w:spacing w:before="20" w:after="20"/>
              <w:ind w:firstLine="441" w:firstLineChars="21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13.9</w:t>
            </w:r>
          </w:p>
        </w:tc>
        <w:tc>
          <w:tcPr>
            <w:tcW w:w="5103" w:type="dxa"/>
            <w:gridSpan w:val="2"/>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是否所有入组受试者都按照方案进行治疗</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13.10</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ko-KR"/>
              </w:rPr>
            </w:pPr>
            <w:r>
              <w:rPr>
                <w:rFonts w:hint="eastAsia" w:asciiTheme="minorEastAsia" w:hAnsiTheme="minorEastAsia" w:cstheme="minorEastAsia"/>
                <w:color w:val="auto"/>
                <w:kern w:val="0"/>
                <w:sz w:val="21"/>
                <w:szCs w:val="21"/>
              </w:rPr>
              <w:t>生物样本采集、预处理、保存以及转运过程的各环节均有原始记录</w:t>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13.11</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研究病历和CRF表填写是否规范、及时、准确、完整以及清晰（急诊入院的受试者需保留相关病程记录）</w:t>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13.12</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各项签名是否符合相关要求</w:t>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1" w:hRule="atLeast"/>
          <w:tblHeader/>
          <w:jc w:val="center"/>
        </w:trPr>
        <w:tc>
          <w:tcPr>
            <w:tcW w:w="1134" w:type="dxa"/>
            <w:vAlign w:val="bottom"/>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13.13</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合并用药</w:t>
            </w:r>
            <w:r>
              <w:rPr>
                <w:rFonts w:hint="eastAsia" w:asciiTheme="minorEastAsia" w:hAnsiTheme="minorEastAsia" w:cstheme="minorEastAsia"/>
                <w:color w:val="auto"/>
                <w:kern w:val="0"/>
                <w:sz w:val="21"/>
                <w:szCs w:val="21"/>
                <w:lang w:val="en-US" w:eastAsia="zh-CN"/>
              </w:rPr>
              <w:t>或治疗</w:t>
            </w:r>
            <w:r>
              <w:rPr>
                <w:rFonts w:hint="eastAsia" w:asciiTheme="minorEastAsia" w:hAnsiTheme="minorEastAsia" w:cstheme="minorEastAsia"/>
                <w:color w:val="auto"/>
                <w:kern w:val="0"/>
                <w:sz w:val="21"/>
                <w:szCs w:val="21"/>
              </w:rPr>
              <w:t>是否符合方案要求并进行相关记录</w:t>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13.14</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病例完成情况是否按预期进度进行</w:t>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jc w:val="right"/>
              <w:rPr>
                <w:rFonts w:hint="default" w:asciiTheme="minorEastAsia" w:hAnsiTheme="minorEastAsia" w:cstheme="minorEastAsia"/>
                <w:color w:val="auto"/>
                <w:kern w:val="0"/>
                <w:sz w:val="21"/>
                <w:szCs w:val="21"/>
                <w:lang w:val="en-US" w:eastAsia="zh-CN"/>
              </w:rPr>
            </w:pPr>
            <w:r>
              <w:rPr>
                <w:rFonts w:hint="eastAsia" w:asciiTheme="minorEastAsia" w:hAnsiTheme="minorEastAsia" w:cstheme="minorEastAsia"/>
                <w:color w:val="auto"/>
                <w:kern w:val="0"/>
                <w:sz w:val="21"/>
                <w:szCs w:val="21"/>
                <w:lang w:val="en-US" w:eastAsia="zh-CN"/>
              </w:rPr>
              <w:t>13.15</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ko-KR"/>
              </w:rPr>
            </w:pPr>
            <w:r>
              <w:rPr>
                <w:rFonts w:hint="eastAsia" w:asciiTheme="minorEastAsia" w:hAnsiTheme="minorEastAsia" w:cstheme="minorEastAsia"/>
                <w:color w:val="auto"/>
                <w:kern w:val="0"/>
                <w:sz w:val="21"/>
                <w:szCs w:val="21"/>
              </w:rPr>
              <w:t>AE（不良事件）是否按照相关SOP处理并进行记录</w:t>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default" w:asciiTheme="minorEastAsia" w:hAnsiTheme="minorEastAsia" w:cstheme="minorEastAsia"/>
                <w:color w:val="auto"/>
                <w:kern w:val="0"/>
                <w:sz w:val="21"/>
                <w:szCs w:val="21"/>
                <w:lang w:val="en-US" w:eastAsia="zh-CN"/>
              </w:rPr>
            </w:pPr>
            <w:r>
              <w:rPr>
                <w:rFonts w:hint="eastAsia" w:asciiTheme="minorEastAsia" w:hAnsiTheme="minorEastAsia" w:cstheme="minorEastAsia"/>
                <w:color w:val="auto"/>
                <w:kern w:val="0"/>
                <w:sz w:val="21"/>
                <w:szCs w:val="21"/>
                <w:lang w:val="en-US" w:eastAsia="zh-CN"/>
              </w:rPr>
              <w:t>13.16</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ko-KR"/>
              </w:rPr>
            </w:pPr>
            <w:r>
              <w:rPr>
                <w:rFonts w:hint="eastAsia" w:asciiTheme="minorEastAsia" w:hAnsiTheme="minorEastAsia" w:cstheme="minorEastAsia"/>
                <w:color w:val="auto"/>
                <w:kern w:val="0"/>
                <w:sz w:val="21"/>
                <w:szCs w:val="21"/>
              </w:rPr>
              <w:t>SAE（严重不良事件）是否按照相关SOP及时处理、记录并上报</w:t>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211" w:firstLineChars="100"/>
              <w:jc w:val="left"/>
              <w:rPr>
                <w:rFonts w:hint="eastAsia" w:eastAsia="宋体" w:asciiTheme="minorEastAsia" w:hAnsiTheme="minorEastAsia" w:cstheme="minorEastAsia"/>
                <w:color w:val="auto"/>
                <w:kern w:val="0"/>
                <w:sz w:val="21"/>
                <w:szCs w:val="21"/>
                <w:lang w:val="en-US" w:eastAsia="zh-CN"/>
              </w:rPr>
            </w:pPr>
            <w:r>
              <w:rPr>
                <w:rFonts w:hint="eastAsia" w:ascii="宋体" w:hAnsi="宋体" w:eastAsia="宋体" w:cs="Arial"/>
                <w:b/>
                <w:bCs/>
                <w:color w:val="auto"/>
                <w:kern w:val="0"/>
                <w:sz w:val="21"/>
                <w:szCs w:val="21"/>
              </w:rPr>
              <w:t>1</w:t>
            </w:r>
            <w:r>
              <w:rPr>
                <w:rFonts w:hint="eastAsia" w:ascii="宋体" w:hAnsi="宋体" w:eastAsia="宋体" w:cs="Arial"/>
                <w:b/>
                <w:bCs/>
                <w:color w:val="auto"/>
                <w:kern w:val="0"/>
                <w:sz w:val="21"/>
                <w:szCs w:val="21"/>
                <w:lang w:val="en-US" w:eastAsia="zh-CN"/>
              </w:rPr>
              <w:t>4</w:t>
            </w:r>
          </w:p>
        </w:tc>
        <w:tc>
          <w:tcPr>
            <w:tcW w:w="8505" w:type="dxa"/>
            <w:gridSpan w:val="6"/>
            <w:vAlign w:val="top"/>
          </w:tcPr>
          <w:p>
            <w:pPr>
              <w:widowControl/>
              <w:wordWrap/>
              <w:autoSpaceDE/>
              <w:autoSpaceDN/>
              <w:spacing w:before="20" w:after="20"/>
              <w:ind w:left="105" w:leftChars="50"/>
              <w:jc w:val="left"/>
              <w:rPr>
                <w:rFonts w:hint="eastAsia" w:asciiTheme="minorEastAsia" w:hAnsiTheme="minorEastAsia" w:cstheme="minorEastAsia"/>
                <w:b/>
                <w:bCs/>
                <w:color w:val="auto"/>
                <w:kern w:val="0"/>
                <w:sz w:val="21"/>
                <w:szCs w:val="21"/>
                <w:lang w:val="en-US" w:eastAsia="zh-CN"/>
              </w:rPr>
            </w:pPr>
            <w:r>
              <w:rPr>
                <w:rFonts w:hint="eastAsia" w:asciiTheme="minorEastAsia" w:hAnsiTheme="minorEastAsia" w:cstheme="minorEastAsia"/>
                <w:b/>
                <w:bCs/>
                <w:color w:val="auto"/>
                <w:kern w:val="0"/>
                <w:sz w:val="21"/>
                <w:szCs w:val="21"/>
                <w:lang w:val="en-US" w:eastAsia="zh-CN"/>
              </w:rPr>
              <w:t>样本</w:t>
            </w:r>
            <w:r>
              <w:rPr>
                <w:rFonts w:hint="eastAsia" w:ascii="宋体" w:hAnsi="宋体" w:eastAsia="宋体"/>
                <w:b/>
                <w:bCs/>
                <w:color w:val="auto"/>
                <w:sz w:val="21"/>
                <w:szCs w:val="21"/>
                <w:lang w:val="en-US" w:eastAsia="zh-CN"/>
              </w:rPr>
              <w:t>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0" w:firstLineChars="100"/>
              <w:jc w:val="right"/>
              <w:rPr>
                <w:rFonts w:hint="eastAsia" w:ascii="宋体" w:hAnsi="宋体" w:eastAsia="宋体" w:cs="Arial"/>
                <w:b/>
                <w:bCs/>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14.1</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样本处理过程是否规范</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0" w:firstLineChars="100"/>
              <w:jc w:val="right"/>
              <w:rPr>
                <w:rFonts w:hint="eastAsia" w:ascii="宋体" w:hAnsi="宋体" w:eastAsia="宋体" w:cs="Arial"/>
                <w:b w:val="0"/>
                <w:bCs w:val="0"/>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14.2</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b w:val="0"/>
                <w:bCs w:val="0"/>
                <w:color w:val="auto"/>
                <w:kern w:val="2"/>
                <w:sz w:val="21"/>
                <w:szCs w:val="21"/>
                <w:lang w:val="en-US" w:eastAsia="zh-CN" w:bidi="ar-SA"/>
              </w:rPr>
            </w:pPr>
            <w:r>
              <w:rPr>
                <w:rFonts w:hint="eastAsia" w:ascii="宋体" w:hAnsi="宋体" w:eastAsia="宋体"/>
                <w:b w:val="0"/>
                <w:bCs w:val="0"/>
                <w:color w:val="auto"/>
                <w:sz w:val="21"/>
                <w:szCs w:val="21"/>
                <w:lang w:val="en-US" w:eastAsia="zh-CN"/>
              </w:rPr>
              <w:t>是否有样本保存记录</w:t>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0" w:firstLineChars="100"/>
              <w:jc w:val="right"/>
              <w:rPr>
                <w:rFonts w:hint="eastAsia" w:ascii="宋体" w:hAnsi="宋体" w:eastAsia="宋体" w:cs="Arial"/>
                <w:b w:val="0"/>
                <w:bCs w:val="0"/>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14.3</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b w:val="0"/>
                <w:bCs w:val="0"/>
                <w:color w:val="auto"/>
                <w:kern w:val="2"/>
                <w:sz w:val="21"/>
                <w:szCs w:val="21"/>
                <w:lang w:val="en-US" w:eastAsia="zh-CN" w:bidi="ar-SA"/>
              </w:rPr>
            </w:pPr>
            <w:r>
              <w:rPr>
                <w:rFonts w:hint="eastAsia" w:ascii="宋体" w:hAnsi="宋体" w:eastAsia="宋体"/>
                <w:b w:val="0"/>
                <w:bCs w:val="0"/>
                <w:color w:val="auto"/>
                <w:sz w:val="21"/>
                <w:szCs w:val="21"/>
                <w:lang w:val="en-US" w:eastAsia="zh-CN"/>
              </w:rPr>
              <w:t>是否有样本交接记录</w:t>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eastAsia" w:ascii="宋体" w:hAnsi="宋体" w:eastAsia="宋体" w:cs="Arial"/>
                <w:b/>
                <w:bCs/>
                <w:color w:val="auto"/>
                <w:kern w:val="0"/>
                <w:sz w:val="21"/>
                <w:szCs w:val="21"/>
                <w:lang w:val="en-US" w:eastAsia="zh-CN"/>
              </w:rPr>
            </w:pPr>
            <w:r>
              <w:rPr>
                <w:rFonts w:ascii="宋体" w:hAnsi="宋体" w:eastAsia="宋体" w:cs="Arial"/>
                <w:b/>
                <w:bCs/>
                <w:color w:val="auto"/>
                <w:kern w:val="0"/>
                <w:sz w:val="21"/>
                <w:szCs w:val="21"/>
              </w:rPr>
              <w:t>1</w:t>
            </w:r>
            <w:r>
              <w:rPr>
                <w:rFonts w:hint="eastAsia" w:ascii="宋体" w:hAnsi="宋体" w:eastAsia="宋体" w:cs="Arial"/>
                <w:b/>
                <w:bCs/>
                <w:color w:val="auto"/>
                <w:kern w:val="0"/>
                <w:sz w:val="21"/>
                <w:szCs w:val="21"/>
                <w:lang w:val="en-US" w:eastAsia="zh-CN"/>
              </w:rPr>
              <w:t>5</w:t>
            </w:r>
          </w:p>
        </w:tc>
        <w:tc>
          <w:tcPr>
            <w:tcW w:w="8505" w:type="dxa"/>
            <w:gridSpan w:val="6"/>
            <w:vAlign w:val="center"/>
          </w:tcPr>
          <w:p>
            <w:pPr>
              <w:widowControl/>
              <w:wordWrap/>
              <w:autoSpaceDE/>
              <w:autoSpaceDN/>
              <w:spacing w:before="20" w:after="20"/>
              <w:ind w:left="105" w:leftChars="50"/>
              <w:jc w:val="left"/>
              <w:rPr>
                <w:rFonts w:hint="eastAsia" w:asciiTheme="minorEastAsia" w:hAnsiTheme="minorEastAsia" w:cstheme="minorEastAsia"/>
                <w:b/>
                <w:bCs/>
                <w:color w:val="auto"/>
                <w:kern w:val="0"/>
                <w:sz w:val="21"/>
                <w:szCs w:val="21"/>
                <w:lang w:val="en-US" w:eastAsia="zh-CN"/>
              </w:rPr>
            </w:pPr>
            <w:r>
              <w:rPr>
                <w:rFonts w:hint="eastAsia" w:asciiTheme="minorEastAsia" w:hAnsiTheme="minorEastAsia" w:cstheme="minorEastAsia"/>
                <w:b/>
                <w:bCs/>
                <w:color w:val="auto"/>
                <w:kern w:val="0"/>
                <w:sz w:val="21"/>
                <w:szCs w:val="21"/>
                <w:lang w:val="en-US" w:eastAsia="zh-CN"/>
              </w:rPr>
              <w:t>知情同意书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15.</w:t>
            </w:r>
            <w:r>
              <w:rPr>
                <w:rFonts w:ascii="宋体" w:hAnsi="宋体" w:eastAsia="宋体" w:cs="Arial"/>
                <w:color w:val="auto"/>
                <w:kern w:val="0"/>
                <w:sz w:val="21"/>
                <w:szCs w:val="21"/>
                <w:lang w:eastAsia="zh-CN"/>
              </w:rPr>
              <w:t>1</w:t>
            </w:r>
          </w:p>
        </w:tc>
        <w:tc>
          <w:tcPr>
            <w:tcW w:w="6836" w:type="dxa"/>
            <w:gridSpan w:val="5"/>
            <w:vAlign w:val="center"/>
          </w:tcPr>
          <w:p>
            <w:pPr>
              <w:widowControl/>
              <w:wordWrap/>
              <w:autoSpaceDE/>
              <w:autoSpaceDN/>
              <w:spacing w:before="20" w:after="20"/>
              <w:jc w:val="left"/>
              <w:rPr>
                <w:rFonts w:hint="default" w:asciiTheme="minorEastAsia" w:hAnsiTheme="minorEastAsia" w:cstheme="minorEastAsia"/>
                <w:b/>
                <w:bCs/>
                <w:color w:val="auto"/>
                <w:kern w:val="0"/>
                <w:sz w:val="21"/>
                <w:szCs w:val="21"/>
                <w:lang w:val="en-US" w:eastAsia="zh-CN"/>
              </w:rPr>
            </w:pPr>
            <w:r>
              <w:rPr>
                <w:rFonts w:hint="eastAsia" w:ascii="宋体" w:hAnsi="宋体" w:eastAsia="宋体" w:cs="Arial"/>
                <w:color w:val="auto"/>
                <w:kern w:val="0"/>
                <w:sz w:val="21"/>
                <w:szCs w:val="21"/>
                <w:lang w:val="en-US" w:eastAsia="zh-CN"/>
              </w:rPr>
              <w:t>签署知情同意书：___份，抽查：___份，筛选号：</w:t>
            </w:r>
          </w:p>
        </w:tc>
        <w:tc>
          <w:tcPr>
            <w:tcW w:w="1669" w:type="dxa"/>
            <w:vAlign w:val="center"/>
          </w:tcPr>
          <w:p>
            <w:pPr>
              <w:widowControl/>
              <w:wordWrap/>
              <w:autoSpaceDE/>
              <w:autoSpaceDN/>
              <w:spacing w:before="20" w:after="20"/>
              <w:jc w:val="left"/>
              <w:rPr>
                <w:rFonts w:hint="eastAsia" w:ascii="宋体" w:hAnsi="宋体" w:eastAsia="宋体" w:cs="Arial"/>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15.</w:t>
            </w:r>
            <w:r>
              <w:rPr>
                <w:rFonts w:ascii="宋体" w:hAnsi="宋体" w:eastAsia="宋体" w:cs="Arial"/>
                <w:color w:val="auto"/>
                <w:kern w:val="0"/>
                <w:sz w:val="21"/>
                <w:szCs w:val="21"/>
                <w:lang w:eastAsia="zh-CN"/>
              </w:rPr>
              <w:t>2</w:t>
            </w:r>
          </w:p>
        </w:tc>
        <w:tc>
          <w:tcPr>
            <w:tcW w:w="5103" w:type="dxa"/>
            <w:gridSpan w:val="2"/>
            <w:vAlign w:val="top"/>
          </w:tcPr>
          <w:p>
            <w:pPr>
              <w:widowControl/>
              <w:spacing w:before="100" w:beforeAutospacing="1" w:after="100" w:afterAutospacing="1" w:line="360" w:lineRule="auto"/>
              <w:rPr>
                <w:rFonts w:hint="eastAsia" w:asciiTheme="minorEastAsia" w:hAnsi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rPr>
              <w:t>受试者签署知情同意书是否在筛选期</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15.</w:t>
            </w:r>
            <w:r>
              <w:rPr>
                <w:rFonts w:ascii="宋体" w:hAnsi="宋体" w:eastAsia="宋体" w:cs="Arial"/>
                <w:color w:val="auto"/>
                <w:kern w:val="0"/>
                <w:sz w:val="21"/>
                <w:szCs w:val="21"/>
                <w:lang w:eastAsia="zh-CN"/>
              </w:rPr>
              <w:t>3</w:t>
            </w:r>
          </w:p>
        </w:tc>
        <w:tc>
          <w:tcPr>
            <w:tcW w:w="5103" w:type="dxa"/>
            <w:gridSpan w:val="2"/>
            <w:vAlign w:val="top"/>
          </w:tcPr>
          <w:p>
            <w:pPr>
              <w:widowControl/>
              <w:spacing w:before="100" w:beforeAutospacing="1" w:after="100" w:afterAutospacing="1" w:line="360" w:lineRule="auto"/>
              <w:rPr>
                <w:rFonts w:hint="eastAsia" w:asciiTheme="minorEastAsia" w:hAnsi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rPr>
              <w:t>知情同意书是否有受试者本人签名并签署日期</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15.</w:t>
            </w:r>
            <w:r>
              <w:rPr>
                <w:rFonts w:ascii="宋体" w:hAnsi="宋体" w:eastAsia="宋体" w:cs="Arial"/>
                <w:color w:val="auto"/>
                <w:kern w:val="0"/>
                <w:sz w:val="21"/>
                <w:szCs w:val="21"/>
                <w:lang w:eastAsia="zh-CN"/>
              </w:rPr>
              <w:t>4</w:t>
            </w:r>
          </w:p>
        </w:tc>
        <w:tc>
          <w:tcPr>
            <w:tcW w:w="5103" w:type="dxa"/>
            <w:gridSpan w:val="2"/>
            <w:vAlign w:val="top"/>
          </w:tcPr>
          <w:p>
            <w:pPr>
              <w:widowControl/>
              <w:wordWrap/>
              <w:autoSpaceDE/>
              <w:autoSpaceDN/>
              <w:spacing w:before="20" w:after="20"/>
              <w:ind w:left="105" w:leftChars="50"/>
              <w:jc w:val="left"/>
              <w:rPr>
                <w:rFonts w:asciiTheme="minorEastAsia" w:hAnsiTheme="minorEastAsia" w:cstheme="minorEastAsia"/>
                <w:color w:val="auto"/>
                <w:kern w:val="0"/>
                <w:sz w:val="21"/>
                <w:szCs w:val="21"/>
                <w:lang w:val="en-US" w:eastAsia="ko-KR" w:bidi="ar-SA"/>
              </w:rPr>
            </w:pPr>
            <w:r>
              <w:rPr>
                <w:rFonts w:hint="eastAsia" w:asciiTheme="minorEastAsia" w:hAnsiTheme="minorEastAsia" w:cstheme="minorEastAsia"/>
                <w:color w:val="auto"/>
                <w:kern w:val="0"/>
                <w:sz w:val="21"/>
                <w:szCs w:val="21"/>
              </w:rPr>
              <w:t>如受试者无行为能力等，由其法定代理人签名并签署日期</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left="105" w:leftChars="50"/>
              <w:jc w:val="right"/>
              <w:rPr>
                <w:rFonts w:hint="eastAsia" w:asciiTheme="minorEastAsia" w:hAnsi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lang w:eastAsia="zh-CN"/>
              </w:rPr>
              <w:t>15.5</w:t>
            </w:r>
          </w:p>
        </w:tc>
        <w:tc>
          <w:tcPr>
            <w:tcW w:w="5103" w:type="dxa"/>
            <w:gridSpan w:val="2"/>
            <w:vAlign w:val="top"/>
          </w:tcPr>
          <w:p>
            <w:pPr>
              <w:widowControl/>
              <w:wordWrap/>
              <w:autoSpaceDE/>
              <w:autoSpaceDN/>
              <w:spacing w:before="20" w:after="20"/>
              <w:ind w:left="105" w:leftChars="50"/>
              <w:jc w:val="left"/>
              <w:rPr>
                <w:rFonts w:asciiTheme="minorEastAsia" w:hAnsiTheme="minorEastAsia" w:cstheme="minorEastAsia"/>
                <w:color w:val="auto"/>
                <w:kern w:val="0"/>
                <w:sz w:val="21"/>
                <w:szCs w:val="21"/>
                <w:lang w:val="en-US" w:eastAsia="ko-KR" w:bidi="ar-SA"/>
              </w:rPr>
            </w:pPr>
            <w:r>
              <w:rPr>
                <w:rFonts w:hint="eastAsia" w:asciiTheme="minorEastAsia" w:hAnsiTheme="minorEastAsia" w:cstheme="minorEastAsia"/>
                <w:color w:val="auto"/>
                <w:kern w:val="0"/>
                <w:sz w:val="21"/>
                <w:szCs w:val="21"/>
              </w:rPr>
              <w:t>知情同意书是否有研究者签名和签署日期</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15.</w:t>
            </w:r>
            <w:r>
              <w:rPr>
                <w:rFonts w:ascii="宋体" w:hAnsi="宋体" w:eastAsia="宋体" w:cs="Arial"/>
                <w:color w:val="auto"/>
                <w:kern w:val="0"/>
                <w:sz w:val="21"/>
                <w:szCs w:val="21"/>
                <w:lang w:eastAsia="zh-CN"/>
              </w:rPr>
              <w:t>6</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ko-KR"/>
              </w:rPr>
            </w:pPr>
            <w:r>
              <w:rPr>
                <w:rFonts w:hint="eastAsia" w:asciiTheme="minorEastAsia" w:hAnsiTheme="minorEastAsia" w:cstheme="minorEastAsia"/>
                <w:color w:val="auto"/>
                <w:kern w:val="0"/>
                <w:sz w:val="21"/>
                <w:szCs w:val="21"/>
              </w:rPr>
              <w:t>知情同意书研究者签署日期是否与受试者签署日期相一致</w:t>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15.</w:t>
            </w:r>
            <w:r>
              <w:rPr>
                <w:rFonts w:ascii="宋体" w:hAnsi="宋体" w:eastAsia="宋体" w:cs="Arial"/>
                <w:color w:val="auto"/>
                <w:kern w:val="0"/>
                <w:sz w:val="21"/>
                <w:szCs w:val="21"/>
                <w:lang w:eastAsia="zh-CN"/>
              </w:rPr>
              <w:t>7</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ko-KR" w:bidi="ar-SA"/>
              </w:rPr>
            </w:pPr>
            <w:r>
              <w:rPr>
                <w:rFonts w:hint="eastAsia" w:asciiTheme="minorEastAsia" w:hAnsiTheme="minorEastAsia" w:cstheme="minorEastAsia"/>
                <w:color w:val="auto"/>
                <w:kern w:val="0"/>
                <w:sz w:val="21"/>
                <w:szCs w:val="21"/>
              </w:rPr>
              <w:t>知情同意书是否交给受试者一份</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15.</w:t>
            </w:r>
            <w:r>
              <w:rPr>
                <w:rFonts w:ascii="宋体" w:hAnsi="宋体" w:eastAsia="宋体" w:cs="Arial"/>
                <w:color w:val="auto"/>
                <w:kern w:val="0"/>
                <w:sz w:val="21"/>
                <w:szCs w:val="21"/>
                <w:lang w:eastAsia="zh-CN"/>
              </w:rPr>
              <w:t>8</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rPr>
              <w:t>知情同意书修改后是否告知受试者并重新签署</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15.9</w:t>
            </w:r>
          </w:p>
        </w:tc>
        <w:tc>
          <w:tcPr>
            <w:tcW w:w="5103" w:type="dxa"/>
            <w:gridSpan w:val="2"/>
            <w:vAlign w:val="top"/>
          </w:tcPr>
          <w:p>
            <w:pPr>
              <w:widowControl/>
              <w:wordWrap/>
              <w:autoSpaceDE/>
              <w:autoSpaceDN/>
              <w:spacing w:before="20" w:after="20"/>
              <w:ind w:left="105" w:leftChars="50"/>
              <w:jc w:val="left"/>
              <w:rPr>
                <w:rFonts w:hint="default" w:eastAsia="宋体" w:asciiTheme="minorEastAsia" w:hAnsiTheme="minorEastAsia" w:cstheme="minorEastAsia"/>
                <w:color w:val="auto"/>
                <w:kern w:val="0"/>
                <w:sz w:val="21"/>
                <w:szCs w:val="21"/>
                <w:lang w:val="en-US" w:eastAsia="zh-CN"/>
              </w:rPr>
            </w:pPr>
            <w:r>
              <w:rPr>
                <w:rFonts w:hint="eastAsia" w:asciiTheme="minorEastAsia" w:hAnsiTheme="minorEastAsia" w:cstheme="minorEastAsia"/>
                <w:color w:val="auto"/>
                <w:kern w:val="0"/>
                <w:sz w:val="21"/>
                <w:szCs w:val="21"/>
                <w:lang w:val="en-US" w:eastAsia="zh-CN"/>
              </w:rPr>
              <w:t>知情同意书数量与筛选人数是否相符</w:t>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top"/>
          </w:tcPr>
          <w:p>
            <w:pPr>
              <w:widowControl/>
              <w:wordWrap/>
              <w:autoSpaceDE/>
              <w:autoSpaceDN/>
              <w:spacing w:before="20" w:after="20"/>
              <w:ind w:firstLine="211" w:firstLineChars="100"/>
              <w:jc w:val="both"/>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rPr>
              <w:t>1</w:t>
            </w:r>
            <w:r>
              <w:rPr>
                <w:rFonts w:hint="eastAsia" w:ascii="宋体" w:hAnsi="宋体" w:eastAsia="宋体" w:cs="Arial"/>
                <w:b/>
                <w:bCs/>
                <w:color w:val="auto"/>
                <w:kern w:val="0"/>
                <w:sz w:val="21"/>
                <w:szCs w:val="21"/>
                <w:lang w:val="en-US" w:eastAsia="zh-CN"/>
              </w:rPr>
              <w:t>6</w:t>
            </w:r>
          </w:p>
        </w:tc>
        <w:tc>
          <w:tcPr>
            <w:tcW w:w="6836" w:type="dxa"/>
            <w:gridSpan w:val="5"/>
            <w:tcBorders>
              <w:right w:val="nil"/>
            </w:tcBorders>
            <w:vAlign w:val="center"/>
          </w:tcPr>
          <w:p>
            <w:pPr>
              <w:widowControl/>
              <w:wordWrap/>
              <w:autoSpaceDE/>
              <w:autoSpaceDN/>
              <w:spacing w:before="20" w:after="20"/>
              <w:jc w:val="left"/>
              <w:rPr>
                <w:rFonts w:hint="default" w:ascii="宋体" w:hAnsi="宋体" w:eastAsia="宋体" w:cs="Arial"/>
                <w:color w:val="auto"/>
                <w:kern w:val="0"/>
                <w:sz w:val="21"/>
                <w:szCs w:val="21"/>
                <w:lang w:val="en-US" w:eastAsia="zh-CN"/>
              </w:rPr>
            </w:pPr>
            <w:r>
              <w:rPr>
                <w:rFonts w:hint="eastAsia" w:ascii="宋体" w:hAnsi="宋体" w:eastAsia="宋体" w:cs="Arial"/>
                <w:b/>
                <w:bCs/>
                <w:color w:val="auto"/>
                <w:kern w:val="0"/>
                <w:sz w:val="21"/>
                <w:szCs w:val="21"/>
                <w:lang w:val="en-US" w:eastAsia="zh-CN"/>
              </w:rPr>
              <w:t>研究病历或CRF表</w:t>
            </w:r>
          </w:p>
        </w:tc>
        <w:tc>
          <w:tcPr>
            <w:tcW w:w="1669" w:type="dxa"/>
            <w:tcBorders>
              <w:left w:val="nil"/>
            </w:tcBorders>
            <w:vAlign w:val="center"/>
          </w:tcPr>
          <w:p>
            <w:pPr>
              <w:widowControl/>
              <w:wordWrap/>
              <w:autoSpaceDE/>
              <w:autoSpaceDN/>
              <w:spacing w:before="20" w:after="20"/>
              <w:jc w:val="left"/>
              <w:rPr>
                <w:rFonts w:hint="eastAsia" w:ascii="宋体" w:hAnsi="宋体" w:eastAsia="宋体" w:cs="Arial"/>
                <w:b/>
                <w:bCs/>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16.1</w:t>
            </w:r>
          </w:p>
        </w:tc>
        <w:tc>
          <w:tcPr>
            <w:tcW w:w="8505" w:type="dxa"/>
            <w:gridSpan w:val="6"/>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zh-CN"/>
              </w:rPr>
            </w:pPr>
            <w:r>
              <w:rPr>
                <w:rFonts w:hint="eastAsia" w:asciiTheme="minorEastAsia" w:hAnsiTheme="minorEastAsia" w:cstheme="minorEastAsia"/>
                <w:color w:val="auto"/>
                <w:kern w:val="0"/>
                <w:sz w:val="21"/>
                <w:szCs w:val="21"/>
                <w:lang w:val="en-US" w:eastAsia="zh-CN"/>
              </w:rPr>
              <w:t>研究</w:t>
            </w:r>
            <w:r>
              <w:rPr>
                <w:rFonts w:hint="eastAsia" w:ascii="宋体" w:hAnsi="宋体" w:eastAsia="宋体" w:cs="Arial"/>
                <w:b w:val="0"/>
                <w:bCs w:val="0"/>
                <w:color w:val="auto"/>
                <w:kern w:val="0"/>
                <w:sz w:val="21"/>
                <w:szCs w:val="21"/>
                <w:lang w:val="en-US" w:eastAsia="zh-CN"/>
              </w:rPr>
              <w:t>病历或CRF表：</w:t>
            </w:r>
            <w:r>
              <w:rPr>
                <w:rFonts w:hint="eastAsia" w:ascii="宋体" w:hAnsi="宋体" w:eastAsia="宋体" w:cs="Arial"/>
                <w:color w:val="auto"/>
                <w:kern w:val="0"/>
                <w:sz w:val="21"/>
                <w:szCs w:val="21"/>
                <w:lang w:val="en-US" w:eastAsia="zh-CN"/>
              </w:rPr>
              <w:t>___份，抽查：___份，筛选号：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16.2</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是否有对应临床试验方案的SOP</w:t>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16.3</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病历填写是否及时</w:t>
            </w:r>
          </w:p>
        </w:tc>
        <w:tc>
          <w:tcPr>
            <w:tcW w:w="577"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16.4</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病历填写是否完整</w:t>
            </w:r>
          </w:p>
        </w:tc>
        <w:tc>
          <w:tcPr>
            <w:tcW w:w="577"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16.5</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病历修改是否规范</w:t>
            </w:r>
          </w:p>
        </w:tc>
        <w:tc>
          <w:tcPr>
            <w:tcW w:w="577"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16.6</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Crf表内容与原始病历是否相符</w:t>
            </w:r>
          </w:p>
        </w:tc>
        <w:tc>
          <w:tcPr>
            <w:tcW w:w="577"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hint="eastAsia" w:ascii="宋体" w:hAnsi="宋体" w:eastAsia="宋体" w:cs="Arial"/>
                <w:b/>
                <w:bCs/>
                <w:color w:val="auto"/>
                <w:kern w:val="0"/>
                <w:sz w:val="21"/>
                <w:szCs w:val="21"/>
                <w:lang w:eastAsia="zh-CN"/>
              </w:rPr>
              <w:t>序号</w:t>
            </w:r>
          </w:p>
        </w:tc>
        <w:tc>
          <w:tcPr>
            <w:tcW w:w="5103"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rPr>
            </w:pPr>
            <w:r>
              <w:rPr>
                <w:rFonts w:hint="eastAsia" w:ascii="宋体" w:hAnsi="宋体" w:eastAsia="宋体" w:cs="Arial"/>
                <w:b/>
                <w:bCs/>
                <w:color w:val="auto"/>
                <w:kern w:val="0"/>
                <w:sz w:val="21"/>
                <w:szCs w:val="21"/>
                <w:lang w:val="en-US" w:eastAsia="zh-CN"/>
              </w:rPr>
              <w:t>项目</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是</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否</w:t>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NA</w:t>
            </w:r>
          </w:p>
        </w:tc>
        <w:tc>
          <w:tcPr>
            <w:tcW w:w="1669"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16.7</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入选、排除标准是否符合方案要求</w:t>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62" w:hRule="atLeast"/>
          <w:tblHeader/>
          <w:jc w:val="center"/>
        </w:trPr>
        <w:tc>
          <w:tcPr>
            <w:tcW w:w="1134"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16.8</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受试者是否按照方案要求进行相关访视、检查（体格检查、实验室、影像学检查等）</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16.9</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实验室检查有报告单或者复印件</w:t>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16.10</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报告单是否及时签名、异常值判断</w:t>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16.11</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Theme="minorEastAsia" w:hAnsiTheme="minorEastAsia" w:cstheme="minorEastAsia"/>
                <w:color w:val="auto"/>
                <w:kern w:val="0"/>
                <w:sz w:val="21"/>
                <w:szCs w:val="21"/>
              </w:rPr>
              <w:t>是否存在方案违背</w:t>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16.12</w:t>
            </w:r>
          </w:p>
        </w:tc>
        <w:tc>
          <w:tcPr>
            <w:tcW w:w="5103" w:type="dxa"/>
            <w:gridSpan w:val="2"/>
            <w:vAlign w:val="center"/>
          </w:tcPr>
          <w:p>
            <w:pPr>
              <w:widowControl/>
              <w:wordWrap/>
              <w:autoSpaceDE/>
              <w:autoSpaceDN/>
              <w:spacing w:before="20" w:after="20"/>
              <w:ind w:left="105" w:leftChars="50"/>
              <w:jc w:val="left"/>
              <w:rPr>
                <w:rFonts w:hint="default" w:eastAsia="宋体" w:asciiTheme="minorEastAsia" w:hAnsiTheme="minorEastAsia" w:cstheme="minorEastAsia"/>
                <w:color w:val="auto"/>
                <w:kern w:val="0"/>
                <w:sz w:val="21"/>
                <w:szCs w:val="21"/>
                <w:lang w:val="en-US" w:eastAsia="zh-CN"/>
              </w:rPr>
            </w:pPr>
            <w:r>
              <w:rPr>
                <w:rFonts w:hint="eastAsia" w:asciiTheme="minorEastAsia" w:hAnsiTheme="minorEastAsia" w:cstheme="minorEastAsia"/>
                <w:color w:val="auto"/>
                <w:kern w:val="0"/>
                <w:sz w:val="21"/>
                <w:szCs w:val="21"/>
                <w:lang w:val="en-US" w:eastAsia="zh-CN"/>
              </w:rPr>
              <w:t>方案违背是否及时处理并记录</w:t>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7"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9"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69"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9639" w:type="dxa"/>
            <w:gridSpan w:val="7"/>
            <w:vAlign w:val="bottom"/>
          </w:tcPr>
          <w:p>
            <w:pPr>
              <w:widowControl/>
              <w:wordWrap/>
              <w:autoSpaceDE/>
              <w:autoSpaceDN/>
              <w:spacing w:before="20" w:after="20"/>
              <w:jc w:val="center"/>
              <w:rPr>
                <w:rFonts w:hint="default" w:ascii="宋体" w:hAnsi="宋体" w:eastAsia="宋体"/>
                <w:color w:val="auto"/>
                <w:sz w:val="21"/>
                <w:szCs w:val="21"/>
                <w:lang w:val="en-US" w:eastAsia="zh-CN"/>
              </w:rPr>
            </w:pPr>
            <w:r>
              <w:rPr>
                <w:rFonts w:hint="eastAsia" w:ascii="宋体" w:hAnsi="宋体" w:eastAsia="宋体"/>
                <w:b/>
                <w:bCs/>
                <w:color w:val="auto"/>
                <w:sz w:val="21"/>
                <w:szCs w:val="21"/>
                <w:lang w:val="en-US" w:eastAsia="zh-CN"/>
              </w:rPr>
              <w:t>补充备注及其他问题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1180" w:hRule="atLeast"/>
          <w:tblHeader/>
          <w:jc w:val="center"/>
        </w:trPr>
        <w:tc>
          <w:tcPr>
            <w:tcW w:w="9639" w:type="dxa"/>
            <w:gridSpan w:val="7"/>
            <w:vAlign w:val="bottom"/>
          </w:tcPr>
          <w:p>
            <w:pPr>
              <w:widowControl/>
              <w:wordWrap/>
              <w:autoSpaceDE/>
              <w:autoSpaceDN/>
              <w:spacing w:before="20" w:after="20"/>
              <w:jc w:val="both"/>
              <w:rPr>
                <w:rFonts w:ascii="宋体" w:hAnsi="宋体" w:eastAsia="宋体"/>
                <w:color w:val="auto"/>
                <w:kern w:val="2"/>
                <w:sz w:val="21"/>
                <w:szCs w:val="21"/>
                <w:lang w:val="en-US" w:eastAsia="ko-KR" w:bidi="ar-SA"/>
              </w:rPr>
            </w:pPr>
          </w:p>
        </w:tc>
      </w:tr>
    </w:tbl>
    <w:p>
      <w:pPr>
        <w:widowControl/>
        <w:shd w:val="clear" w:color="auto" w:fill="FFFFFF"/>
        <w:spacing w:before="100" w:beforeAutospacing="1" w:after="100" w:afterAutospacing="1" w:line="360" w:lineRule="auto"/>
        <w:rPr>
          <w:rFonts w:hint="eastAsia" w:ascii="宋体" w:hAnsi="宋体"/>
          <w:b/>
          <w:bCs/>
          <w:color w:val="auto"/>
          <w:kern w:val="0"/>
          <w:sz w:val="24"/>
        </w:rPr>
      </w:pPr>
    </w:p>
    <w:p>
      <w:pPr>
        <w:widowControl/>
        <w:shd w:val="clear" w:color="auto" w:fill="FFFFFF"/>
        <w:spacing w:before="100" w:beforeAutospacing="1" w:after="100" w:afterAutospacing="1" w:line="360" w:lineRule="auto"/>
        <w:rPr>
          <w:rFonts w:hint="eastAsia" w:ascii="宋体" w:hAnsi="宋体"/>
          <w:b/>
          <w:bCs/>
          <w:color w:val="auto"/>
          <w:kern w:val="0"/>
          <w:sz w:val="24"/>
        </w:rPr>
      </w:pPr>
    </w:p>
    <w:p>
      <w:pPr>
        <w:widowControl/>
        <w:shd w:val="clear" w:color="auto" w:fill="FFFFFF"/>
        <w:spacing w:before="100" w:beforeAutospacing="1" w:after="100" w:afterAutospacing="1" w:line="360" w:lineRule="auto"/>
        <w:rPr>
          <w:rFonts w:hint="eastAsia" w:ascii="宋体" w:hAnsi="宋体"/>
          <w:b/>
          <w:bCs/>
          <w:color w:val="auto"/>
          <w:kern w:val="0"/>
          <w:sz w:val="24"/>
        </w:rPr>
      </w:pPr>
    </w:p>
    <w:p>
      <w:pPr>
        <w:widowControl/>
        <w:shd w:val="clear" w:color="auto" w:fill="FFFFFF"/>
        <w:spacing w:before="100" w:beforeAutospacing="1" w:after="100" w:afterAutospacing="1" w:line="360" w:lineRule="auto"/>
        <w:rPr>
          <w:rFonts w:hint="eastAsia" w:ascii="宋体" w:hAnsi="宋体"/>
          <w:b/>
          <w:bCs/>
          <w:color w:val="auto"/>
          <w:kern w:val="0"/>
          <w:sz w:val="24"/>
        </w:rPr>
      </w:pPr>
    </w:p>
    <w:p>
      <w:pPr>
        <w:widowControl/>
        <w:shd w:val="clear" w:color="auto" w:fill="FFFFFF"/>
        <w:spacing w:before="100" w:beforeAutospacing="1" w:after="100" w:afterAutospacing="1" w:line="360" w:lineRule="auto"/>
        <w:rPr>
          <w:rFonts w:hint="eastAsia" w:ascii="宋体" w:hAnsi="宋体"/>
          <w:b/>
          <w:bCs/>
          <w:color w:val="auto"/>
          <w:kern w:val="0"/>
          <w:sz w:val="24"/>
        </w:rPr>
      </w:pPr>
    </w:p>
    <w:p>
      <w:pPr>
        <w:widowControl/>
        <w:shd w:val="clear" w:color="auto" w:fill="FFFFFF"/>
        <w:spacing w:before="100" w:beforeAutospacing="1" w:after="100" w:afterAutospacing="1" w:line="360" w:lineRule="auto"/>
        <w:rPr>
          <w:rFonts w:hint="eastAsia" w:ascii="宋体" w:hAnsi="宋体"/>
          <w:b/>
          <w:bCs/>
          <w:color w:val="auto"/>
          <w:kern w:val="0"/>
          <w:sz w:val="24"/>
        </w:rPr>
      </w:pPr>
    </w:p>
    <w:p>
      <w:pPr>
        <w:widowControl/>
        <w:shd w:val="clear" w:color="auto" w:fill="FFFFFF"/>
        <w:spacing w:before="100" w:beforeAutospacing="1" w:after="100" w:afterAutospacing="1" w:line="360" w:lineRule="auto"/>
        <w:rPr>
          <w:rFonts w:hint="eastAsia" w:ascii="宋体" w:hAnsi="宋体"/>
          <w:b/>
          <w:bCs/>
          <w:color w:val="auto"/>
          <w:kern w:val="0"/>
          <w:sz w:val="24"/>
        </w:rPr>
      </w:pPr>
    </w:p>
    <w:p>
      <w:pPr>
        <w:widowControl/>
        <w:shd w:val="clear" w:color="auto" w:fill="FFFFFF"/>
        <w:spacing w:before="100" w:beforeAutospacing="1" w:after="100" w:afterAutospacing="1" w:line="360" w:lineRule="auto"/>
        <w:rPr>
          <w:rFonts w:hint="eastAsia" w:ascii="宋体" w:hAnsi="宋体"/>
          <w:b/>
          <w:bCs/>
          <w:color w:val="auto"/>
          <w:kern w:val="0"/>
          <w:sz w:val="24"/>
        </w:rPr>
      </w:pPr>
    </w:p>
    <w:p>
      <w:pPr>
        <w:widowControl/>
        <w:shd w:val="clear" w:color="auto" w:fill="FFFFFF"/>
        <w:spacing w:before="100" w:beforeAutospacing="1" w:after="100" w:afterAutospacing="1" w:line="360" w:lineRule="auto"/>
        <w:rPr>
          <w:rFonts w:hint="eastAsia" w:ascii="宋体" w:hAnsi="宋体"/>
          <w:b/>
          <w:bCs/>
          <w:color w:val="auto"/>
          <w:kern w:val="0"/>
          <w:sz w:val="24"/>
        </w:rPr>
      </w:pPr>
    </w:p>
    <w:p>
      <w:pPr>
        <w:widowControl/>
        <w:shd w:val="clear" w:color="auto" w:fill="FFFFFF"/>
        <w:spacing w:before="100" w:beforeAutospacing="1" w:after="100" w:afterAutospacing="1" w:line="360" w:lineRule="auto"/>
        <w:rPr>
          <w:rFonts w:hint="eastAsia" w:ascii="宋体" w:hAnsi="宋体"/>
          <w:b/>
          <w:bCs/>
          <w:color w:val="auto"/>
          <w:kern w:val="0"/>
          <w:sz w:val="24"/>
        </w:rPr>
      </w:pPr>
    </w:p>
    <w:p>
      <w:pPr>
        <w:widowControl/>
        <w:shd w:val="clear" w:color="auto" w:fill="FFFFFF"/>
        <w:spacing w:before="100" w:beforeAutospacing="1" w:after="100" w:afterAutospacing="1" w:line="360" w:lineRule="auto"/>
        <w:rPr>
          <w:rFonts w:hint="eastAsia" w:ascii="宋体" w:hAnsi="宋体"/>
          <w:b/>
          <w:bCs/>
          <w:color w:val="auto"/>
          <w:kern w:val="0"/>
          <w:sz w:val="24"/>
        </w:rPr>
      </w:pPr>
    </w:p>
    <w:p>
      <w:pPr>
        <w:widowControl/>
        <w:shd w:val="clear" w:color="auto" w:fill="FFFFFF"/>
        <w:spacing w:before="100" w:beforeAutospacing="1" w:after="100" w:afterAutospacing="1" w:line="360" w:lineRule="auto"/>
        <w:rPr>
          <w:rFonts w:hint="eastAsia" w:ascii="宋体" w:hAnsi="宋体"/>
          <w:b/>
          <w:bCs/>
          <w:color w:val="auto"/>
          <w:kern w:val="0"/>
          <w:sz w:val="24"/>
        </w:rPr>
      </w:pPr>
    </w:p>
    <w:p>
      <w:pPr>
        <w:keepNext w:val="0"/>
        <w:keepLines w:val="0"/>
        <w:pageBreakBefore w:val="0"/>
        <w:widowControl/>
        <w:shd w:val="clear" w:color="auto" w:fill="FFFFFF"/>
        <w:kinsoku/>
        <w:wordWrap/>
        <w:overflowPunct/>
        <w:topLinePunct w:val="0"/>
        <w:autoSpaceDE/>
        <w:autoSpaceDN/>
        <w:bidi w:val="0"/>
        <w:adjustRightInd/>
        <w:snapToGrid/>
        <w:spacing w:before="100" w:beforeAutospacing="0" w:after="100" w:afterAutospacing="0" w:line="240" w:lineRule="auto"/>
        <w:textAlignment w:val="auto"/>
        <w:outlineLvl w:val="9"/>
        <w:rPr>
          <w:rFonts w:hint="eastAsia" w:ascii="宋体" w:hAnsi="宋体"/>
          <w:b/>
          <w:bCs/>
          <w:color w:val="auto"/>
          <w:kern w:val="0"/>
          <w:sz w:val="24"/>
        </w:rPr>
      </w:pPr>
      <w:r>
        <w:rPr>
          <w:rFonts w:hint="eastAsia" w:ascii="宋体" w:hAnsi="宋体"/>
          <w:b/>
          <w:bCs/>
          <w:color w:val="auto"/>
          <w:kern w:val="0"/>
          <w:sz w:val="24"/>
        </w:rPr>
        <w:t>附件</w:t>
      </w:r>
      <w:r>
        <w:rPr>
          <w:rFonts w:hint="eastAsia" w:ascii="宋体" w:hAnsi="宋体"/>
          <w:b/>
          <w:bCs/>
          <w:color w:val="auto"/>
          <w:kern w:val="0"/>
          <w:sz w:val="24"/>
          <w:lang w:val="en-US" w:eastAsia="zh-CN"/>
        </w:rPr>
        <w:t>3</w:t>
      </w:r>
      <w:r>
        <w:rPr>
          <w:rFonts w:hint="eastAsia" w:asciiTheme="minorEastAsia" w:hAnsiTheme="minorEastAsia" w:cstheme="minorEastAsia"/>
          <w:b/>
          <w:bCs/>
          <w:color w:val="auto"/>
          <w:kern w:val="0"/>
          <w:sz w:val="24"/>
          <w:lang w:val="en-US" w:eastAsia="zh-CN"/>
        </w:rPr>
        <w:t>：YYH-SOP-CTC-025-3.1-A03</w:t>
      </w:r>
      <w:r>
        <w:rPr>
          <w:rFonts w:hint="eastAsia" w:ascii="宋体" w:hAnsi="宋体"/>
          <w:b/>
          <w:bCs/>
          <w:color w:val="auto"/>
          <w:kern w:val="0"/>
          <w:sz w:val="24"/>
        </w:rPr>
        <w:t>药物</w:t>
      </w:r>
      <w:r>
        <w:rPr>
          <w:rFonts w:hint="eastAsia" w:ascii="宋体" w:hAnsi="宋体"/>
          <w:b/>
          <w:bCs/>
          <w:color w:val="auto"/>
          <w:kern w:val="0"/>
          <w:sz w:val="24"/>
          <w:lang w:val="en-US" w:eastAsia="zh-CN"/>
        </w:rPr>
        <w:t>/医疗器械</w:t>
      </w:r>
      <w:r>
        <w:rPr>
          <w:rFonts w:hint="eastAsia" w:ascii="宋体" w:hAnsi="宋体"/>
          <w:b/>
          <w:bCs/>
          <w:color w:val="auto"/>
          <w:kern w:val="0"/>
          <w:sz w:val="24"/>
        </w:rPr>
        <w:t>临床试验质控检查表（中后期）</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color w:val="auto"/>
          <w:sz w:val="24"/>
          <w:szCs w:val="24"/>
          <w:lang w:val="en-US" w:eastAsia="zh-CN"/>
        </w:rPr>
      </w:pPr>
      <w:r>
        <w:rPr>
          <w:rFonts w:hint="eastAsia" w:ascii="黑体" w:hAnsi="黑体" w:eastAsia="黑体" w:cs="黑体"/>
          <w:b/>
          <w:color w:val="auto"/>
          <w:sz w:val="24"/>
          <w:szCs w:val="24"/>
          <w:lang w:val="en-US" w:eastAsia="zh-CN"/>
        </w:rPr>
        <w:t>药物/医疗器械临床试验质控检查表（中后期）</w:t>
      </w:r>
    </w:p>
    <w:tbl>
      <w:tblPr>
        <w:tblStyle w:val="2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1134"/>
        <w:gridCol w:w="3755"/>
        <w:gridCol w:w="1348"/>
        <w:gridCol w:w="565"/>
        <w:gridCol w:w="4"/>
        <w:gridCol w:w="561"/>
        <w:gridCol w:w="8"/>
        <w:gridCol w:w="559"/>
        <w:gridCol w:w="12"/>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jc w:val="center"/>
        </w:trPr>
        <w:tc>
          <w:tcPr>
            <w:tcW w:w="9639" w:type="dxa"/>
            <w:gridSpan w:val="10"/>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jc w:val="center"/>
        </w:trPr>
        <w:tc>
          <w:tcPr>
            <w:tcW w:w="4889"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科室：</w:t>
            </w:r>
          </w:p>
        </w:tc>
        <w:tc>
          <w:tcPr>
            <w:tcW w:w="4750" w:type="dxa"/>
            <w:gridSpan w:val="8"/>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jc w:val="center"/>
        </w:trPr>
        <w:tc>
          <w:tcPr>
            <w:tcW w:w="4889"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申办方：</w:t>
            </w:r>
          </w:p>
        </w:tc>
        <w:tc>
          <w:tcPr>
            <w:tcW w:w="4750" w:type="dxa"/>
            <w:gridSpan w:val="8"/>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启动时间：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jc w:val="center"/>
        </w:trPr>
        <w:tc>
          <w:tcPr>
            <w:tcW w:w="4889"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筛选人数：</w:t>
            </w:r>
          </w:p>
        </w:tc>
        <w:tc>
          <w:tcPr>
            <w:tcW w:w="4750" w:type="dxa"/>
            <w:gridSpan w:val="8"/>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入组人数：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jc w:val="center"/>
        </w:trPr>
        <w:tc>
          <w:tcPr>
            <w:tcW w:w="4889"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脱落人数：</w:t>
            </w:r>
          </w:p>
        </w:tc>
        <w:tc>
          <w:tcPr>
            <w:tcW w:w="4750" w:type="dxa"/>
            <w:gridSpan w:val="8"/>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严重不良事件例数：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jc w:val="center"/>
        </w:trPr>
        <w:tc>
          <w:tcPr>
            <w:tcW w:w="4889"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CRA（电话）：</w:t>
            </w:r>
          </w:p>
        </w:tc>
        <w:tc>
          <w:tcPr>
            <w:tcW w:w="4750" w:type="dxa"/>
            <w:gridSpan w:val="8"/>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CRC（电话）：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jc w:val="center"/>
        </w:trPr>
        <w:tc>
          <w:tcPr>
            <w:tcW w:w="4889" w:type="dxa"/>
            <w:gridSpan w:val="2"/>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机构质控员：</w:t>
            </w:r>
          </w:p>
        </w:tc>
        <w:tc>
          <w:tcPr>
            <w:tcW w:w="4750" w:type="dxa"/>
            <w:gridSpan w:val="8"/>
            <w:vAlign w:val="top"/>
          </w:tcPr>
          <w:p>
            <w:pPr>
              <w:widowControl/>
              <w:spacing w:before="100" w:beforeAutospacing="1" w:after="100" w:afterAutospacing="1" w:line="360" w:lineRule="auto"/>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rPr>
              <w:t>检查时间：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0" w:hRule="atLeast"/>
          <w:tblHeader/>
          <w:jc w:val="center"/>
        </w:trPr>
        <w:tc>
          <w:tcPr>
            <w:tcW w:w="1134" w:type="dxa"/>
            <w:vAlign w:val="center"/>
          </w:tcPr>
          <w:p>
            <w:pPr>
              <w:widowControl/>
              <w:wordWrap/>
              <w:autoSpaceDE/>
              <w:autoSpaceDN/>
              <w:spacing w:before="20" w:after="20"/>
              <w:jc w:val="center"/>
              <w:rPr>
                <w:rFonts w:hint="eastAsia" w:ascii="宋体" w:hAnsi="宋体" w:eastAsia="宋体" w:cs="Arial"/>
                <w:b/>
                <w:bCs/>
                <w:color w:val="auto"/>
                <w:kern w:val="0"/>
                <w:sz w:val="21"/>
                <w:szCs w:val="21"/>
              </w:rPr>
            </w:pPr>
            <w:r>
              <w:rPr>
                <w:rFonts w:hint="eastAsia" w:ascii="宋体" w:hAnsi="宋体" w:eastAsia="宋体" w:cs="Arial"/>
                <w:b/>
                <w:bCs/>
                <w:color w:val="auto"/>
                <w:kern w:val="0"/>
                <w:sz w:val="21"/>
                <w:szCs w:val="21"/>
                <w:lang w:eastAsia="zh-CN"/>
              </w:rPr>
              <w:t>序号</w:t>
            </w:r>
          </w:p>
        </w:tc>
        <w:tc>
          <w:tcPr>
            <w:tcW w:w="5103" w:type="dxa"/>
            <w:gridSpan w:val="2"/>
            <w:vAlign w:val="center"/>
          </w:tcPr>
          <w:p>
            <w:pPr>
              <w:widowControl/>
              <w:wordWrap/>
              <w:autoSpaceDE/>
              <w:autoSpaceDN/>
              <w:spacing w:before="20" w:after="20"/>
              <w:jc w:val="center"/>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项目</w:t>
            </w:r>
          </w:p>
        </w:tc>
        <w:tc>
          <w:tcPr>
            <w:tcW w:w="565" w:type="dxa"/>
            <w:vAlign w:val="center"/>
          </w:tcPr>
          <w:p>
            <w:pPr>
              <w:widowControl/>
              <w:wordWrap/>
              <w:autoSpaceDE/>
              <w:autoSpaceDN/>
              <w:spacing w:before="20" w:after="20"/>
              <w:jc w:val="center"/>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是</w:t>
            </w:r>
          </w:p>
        </w:tc>
        <w:tc>
          <w:tcPr>
            <w:tcW w:w="565" w:type="dxa"/>
            <w:gridSpan w:val="2"/>
            <w:vAlign w:val="center"/>
          </w:tcPr>
          <w:p>
            <w:pPr>
              <w:widowControl/>
              <w:wordWrap/>
              <w:autoSpaceDE/>
              <w:autoSpaceDN/>
              <w:spacing w:before="20" w:after="20"/>
              <w:jc w:val="center"/>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否</w:t>
            </w:r>
          </w:p>
        </w:tc>
        <w:tc>
          <w:tcPr>
            <w:tcW w:w="567" w:type="dxa"/>
            <w:gridSpan w:val="2"/>
            <w:vAlign w:val="center"/>
          </w:tcPr>
          <w:p>
            <w:pPr>
              <w:widowControl/>
              <w:wordWrap/>
              <w:autoSpaceDE/>
              <w:autoSpaceDN/>
              <w:spacing w:before="20" w:after="20"/>
              <w:jc w:val="center"/>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NA</w:t>
            </w:r>
          </w:p>
        </w:tc>
        <w:tc>
          <w:tcPr>
            <w:tcW w:w="1705" w:type="dxa"/>
            <w:gridSpan w:val="2"/>
            <w:vAlign w:val="center"/>
          </w:tcPr>
          <w:p>
            <w:pPr>
              <w:widowControl/>
              <w:wordWrap/>
              <w:autoSpaceDE/>
              <w:autoSpaceDN/>
              <w:spacing w:before="20" w:after="20"/>
              <w:jc w:val="center"/>
              <w:rPr>
                <w:rFonts w:hint="eastAsia" w:ascii="宋体" w:hAnsi="宋体" w:eastAsia="宋体" w:cs="Arial"/>
                <w:b/>
                <w:bCs/>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1</w:t>
            </w:r>
          </w:p>
        </w:tc>
        <w:tc>
          <w:tcPr>
            <w:tcW w:w="6800" w:type="dxa"/>
            <w:gridSpan w:val="7"/>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试验设备设施及管理文件</w:t>
            </w:r>
          </w:p>
        </w:tc>
        <w:tc>
          <w:tcPr>
            <w:tcW w:w="1705"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bottom"/>
          </w:tcPr>
          <w:p>
            <w:pPr>
              <w:widowControl/>
              <w:wordWrap/>
              <w:autoSpaceDE/>
              <w:autoSpaceDN/>
              <w:spacing w:before="20" w:after="20"/>
              <w:ind w:firstLine="210" w:firstLineChars="100"/>
              <w:jc w:val="right"/>
              <w:rPr>
                <w:rFonts w:hint="default"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1.1</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试验设施是否满足试验要求</w:t>
            </w:r>
          </w:p>
        </w:tc>
        <w:tc>
          <w:tcPr>
            <w:tcW w:w="565"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0" w:firstLineChars="100"/>
              <w:jc w:val="right"/>
              <w:rPr>
                <w:rFonts w:hint="eastAsia" w:ascii="宋体" w:hAnsi="宋体" w:eastAsia="宋体" w:cs="Arial"/>
                <w:b w:val="0"/>
                <w:bCs w:val="0"/>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1.2</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val="0"/>
                <w:bCs w:val="0"/>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试验所需设备是否齐全</w:t>
            </w:r>
          </w:p>
        </w:tc>
        <w:tc>
          <w:tcPr>
            <w:tcW w:w="565"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0" w:firstLineChars="100"/>
              <w:jc w:val="right"/>
              <w:rPr>
                <w:rFonts w:hint="eastAsia" w:ascii="宋体" w:hAnsi="宋体" w:eastAsia="宋体" w:cs="Arial"/>
                <w:b w:val="0"/>
                <w:bCs w:val="0"/>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1.3</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试验所需设备是否运行正常</w:t>
            </w:r>
          </w:p>
        </w:tc>
        <w:tc>
          <w:tcPr>
            <w:tcW w:w="565"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val="0"/>
              <w:autoSpaceDE/>
              <w:autoSpaceDN/>
              <w:spacing w:before="20" w:after="20"/>
              <w:ind w:firstLine="210" w:firstLineChars="100"/>
              <w:jc w:val="right"/>
              <w:rPr>
                <w:rFonts w:hint="default" w:ascii="宋体" w:hAnsi="宋体" w:eastAsia="宋体" w:cs="Arial"/>
                <w:b w:val="0"/>
                <w:bCs w:val="0"/>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1.4</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试验所需设备是否有校验证书</w:t>
            </w:r>
          </w:p>
        </w:tc>
        <w:tc>
          <w:tcPr>
            <w:tcW w:w="565"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val="0"/>
              <w:autoSpaceDE/>
              <w:autoSpaceDN/>
              <w:spacing w:before="20" w:after="20"/>
              <w:ind w:firstLine="210" w:firstLineChars="100"/>
              <w:jc w:val="right"/>
              <w:rPr>
                <w:rFonts w:hint="default" w:ascii="宋体" w:hAnsi="宋体" w:eastAsia="宋体" w:cs="Arial"/>
                <w:b w:val="0"/>
                <w:bCs w:val="0"/>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1.5</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试验所需设备是否在校验期内</w:t>
            </w:r>
          </w:p>
        </w:tc>
        <w:tc>
          <w:tcPr>
            <w:tcW w:w="565"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bottom"/>
          </w:tcPr>
          <w:p>
            <w:pPr>
              <w:widowControl/>
              <w:wordWrap w:val="0"/>
              <w:autoSpaceDE/>
              <w:autoSpaceDN/>
              <w:spacing w:before="20" w:after="20"/>
              <w:ind w:firstLine="210" w:firstLineChars="100"/>
              <w:jc w:val="right"/>
              <w:rPr>
                <w:rFonts w:hint="default"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1.6</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制定并执行适合本专业特色的SOP</w:t>
            </w:r>
          </w:p>
        </w:tc>
        <w:tc>
          <w:tcPr>
            <w:tcW w:w="565"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2</w:t>
            </w:r>
          </w:p>
        </w:tc>
        <w:tc>
          <w:tcPr>
            <w:tcW w:w="6800" w:type="dxa"/>
            <w:gridSpan w:val="7"/>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研究主要文件</w:t>
            </w:r>
          </w:p>
        </w:tc>
        <w:tc>
          <w:tcPr>
            <w:tcW w:w="1705"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2.1</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研究者手册更新件是否保存（若有）</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2.</w:t>
            </w:r>
            <w:r>
              <w:rPr>
                <w:rFonts w:hint="eastAsia" w:ascii="宋体" w:hAnsi="宋体" w:eastAsia="宋体" w:cs="Arial"/>
                <w:color w:val="auto"/>
                <w:kern w:val="0"/>
                <w:sz w:val="21"/>
                <w:szCs w:val="21"/>
                <w:lang w:val="en-US" w:eastAsia="zh-CN"/>
              </w:rPr>
              <w:t>2</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试验方案更新件是否保存（若有）</w:t>
            </w:r>
          </w:p>
        </w:tc>
        <w:tc>
          <w:tcPr>
            <w:tcW w:w="565"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2.</w:t>
            </w:r>
            <w:r>
              <w:rPr>
                <w:rFonts w:hint="eastAsia" w:ascii="宋体" w:hAnsi="宋体" w:eastAsia="宋体" w:cs="Arial"/>
                <w:color w:val="auto"/>
                <w:kern w:val="0"/>
                <w:sz w:val="21"/>
                <w:szCs w:val="21"/>
                <w:lang w:val="en-US" w:eastAsia="zh-CN"/>
              </w:rPr>
              <w:t>3</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知情同意书更新件是否保存（若有）</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2.4</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bidi="ar-SA"/>
              </w:rPr>
            </w:pPr>
            <w:r>
              <w:rPr>
                <w:rFonts w:hint="eastAsia" w:ascii="宋体" w:hAnsi="宋体" w:cs="宋体"/>
                <w:color w:val="auto"/>
                <w:kern w:val="0"/>
                <w:sz w:val="21"/>
                <w:szCs w:val="21"/>
              </w:rPr>
              <w:t>如知情同意书或方案</w:t>
            </w:r>
            <w:r>
              <w:rPr>
                <w:rFonts w:hint="eastAsia" w:ascii="宋体" w:hAnsi="宋体" w:cs="宋体"/>
                <w:color w:val="auto"/>
                <w:kern w:val="0"/>
                <w:sz w:val="21"/>
                <w:szCs w:val="21"/>
                <w:lang w:val="en-US" w:eastAsia="zh-CN"/>
              </w:rPr>
              <w:t>如</w:t>
            </w:r>
            <w:r>
              <w:rPr>
                <w:rFonts w:hint="eastAsia" w:ascii="宋体" w:hAnsi="宋体" w:cs="宋体"/>
                <w:color w:val="auto"/>
                <w:kern w:val="0"/>
                <w:sz w:val="21"/>
                <w:szCs w:val="21"/>
              </w:rPr>
              <w:t>进行了修改，</w:t>
            </w:r>
            <w:r>
              <w:rPr>
                <w:rFonts w:hint="eastAsia" w:ascii="宋体" w:hAnsi="宋体" w:cs="宋体"/>
                <w:color w:val="auto"/>
                <w:kern w:val="0"/>
                <w:sz w:val="21"/>
                <w:szCs w:val="21"/>
                <w:lang w:val="en-US" w:eastAsia="zh-CN"/>
              </w:rPr>
              <w:t>是否</w:t>
            </w:r>
            <w:r>
              <w:rPr>
                <w:rFonts w:hint="eastAsia" w:ascii="宋体" w:hAnsi="宋体" w:eastAsia="宋体" w:cs="Arial"/>
                <w:color w:val="auto"/>
                <w:kern w:val="0"/>
                <w:sz w:val="21"/>
                <w:szCs w:val="21"/>
                <w:lang w:val="en-US" w:eastAsia="zh-CN"/>
              </w:rPr>
              <w:t>经过伦理委员会批准</w:t>
            </w:r>
          </w:p>
        </w:tc>
        <w:tc>
          <w:tcPr>
            <w:tcW w:w="565"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2.5</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cs="宋体"/>
                <w:color w:val="auto"/>
                <w:kern w:val="0"/>
                <w:sz w:val="21"/>
                <w:szCs w:val="21"/>
                <w:lang w:val="en-US" w:eastAsia="zh-CN" w:bidi="ar-SA"/>
              </w:rPr>
            </w:pPr>
            <w:r>
              <w:rPr>
                <w:rFonts w:hint="eastAsia" w:ascii="宋体" w:hAnsi="宋体" w:cs="宋体"/>
                <w:color w:val="auto"/>
                <w:kern w:val="0"/>
                <w:sz w:val="21"/>
                <w:szCs w:val="21"/>
              </w:rPr>
              <w:t>如知情同意书或方案</w:t>
            </w:r>
            <w:r>
              <w:rPr>
                <w:rFonts w:hint="eastAsia" w:ascii="宋体" w:hAnsi="宋体" w:cs="宋体"/>
                <w:color w:val="auto"/>
                <w:kern w:val="0"/>
                <w:sz w:val="21"/>
                <w:szCs w:val="21"/>
                <w:lang w:val="en-US" w:eastAsia="zh-CN"/>
              </w:rPr>
              <w:t>如</w:t>
            </w:r>
            <w:r>
              <w:rPr>
                <w:rFonts w:hint="eastAsia" w:ascii="宋体" w:hAnsi="宋体" w:cs="宋体"/>
                <w:color w:val="auto"/>
                <w:kern w:val="0"/>
                <w:sz w:val="21"/>
                <w:szCs w:val="21"/>
              </w:rPr>
              <w:t>进行了修改，是否进行相应的培训并记录</w:t>
            </w:r>
          </w:p>
        </w:tc>
        <w:tc>
          <w:tcPr>
            <w:tcW w:w="565" w:type="dxa"/>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bottom"/>
          </w:tcPr>
          <w:p>
            <w:pPr>
              <w:widowControl/>
              <w:wordWrap/>
              <w:autoSpaceDE/>
              <w:autoSpaceDN/>
              <w:spacing w:before="20" w:after="20"/>
              <w:ind w:firstLine="211" w:firstLineChars="100"/>
              <w:jc w:val="left"/>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3</w:t>
            </w:r>
          </w:p>
        </w:tc>
        <w:tc>
          <w:tcPr>
            <w:tcW w:w="6800" w:type="dxa"/>
            <w:gridSpan w:val="7"/>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s="Arial"/>
                <w:color w:val="auto"/>
                <w:kern w:val="0"/>
                <w:sz w:val="21"/>
                <w:szCs w:val="21"/>
              </w:rPr>
            </w:pPr>
            <w:r>
              <w:rPr>
                <w:rFonts w:hint="eastAsia" w:ascii="宋体" w:hAnsi="宋体" w:eastAsia="宋体" w:cs="Arial"/>
                <w:b/>
                <w:bCs/>
                <w:color w:val="auto"/>
                <w:kern w:val="0"/>
                <w:sz w:val="21"/>
                <w:szCs w:val="21"/>
                <w:lang w:val="en-US" w:eastAsia="zh-CN"/>
              </w:rPr>
              <w:t>伦理委员会</w:t>
            </w:r>
          </w:p>
        </w:tc>
        <w:tc>
          <w:tcPr>
            <w:tcW w:w="1705"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3.1</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对临床试验的跟踪审查是否及时（必要时）</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1" w:hRule="atLeast"/>
          <w:tblHeader/>
          <w:jc w:val="center"/>
        </w:trPr>
        <w:tc>
          <w:tcPr>
            <w:tcW w:w="1134" w:type="dxa"/>
            <w:vAlign w:val="bottom"/>
          </w:tcPr>
          <w:p>
            <w:pPr>
              <w:widowControl/>
              <w:wordWrap/>
              <w:autoSpaceDE/>
              <w:autoSpaceDN/>
              <w:spacing w:before="20" w:after="20"/>
              <w:jc w:val="left"/>
              <w:rPr>
                <w:rFonts w:hint="eastAsia" w:ascii="宋体" w:hAnsi="宋体" w:eastAsia="宋体" w:cs="Arial"/>
                <w:b/>
                <w:color w:val="auto"/>
                <w:kern w:val="0"/>
                <w:sz w:val="21"/>
                <w:szCs w:val="21"/>
                <w:lang w:val="en-US" w:eastAsia="zh-CN"/>
              </w:rPr>
            </w:pPr>
            <w:r>
              <w:rPr>
                <w:rFonts w:hint="eastAsia" w:ascii="宋体" w:hAnsi="宋体" w:eastAsia="宋体" w:cs="Arial"/>
                <w:b/>
                <w:bCs/>
                <w:color w:val="auto"/>
                <w:kern w:val="0"/>
                <w:sz w:val="21"/>
                <w:szCs w:val="21"/>
              </w:rPr>
              <w:t xml:space="preserve">  </w:t>
            </w:r>
            <w:r>
              <w:rPr>
                <w:rFonts w:hint="eastAsia" w:ascii="宋体" w:hAnsi="宋体" w:eastAsia="宋体" w:cs="Arial"/>
                <w:b/>
                <w:bCs/>
                <w:color w:val="auto"/>
                <w:kern w:val="0"/>
                <w:sz w:val="21"/>
                <w:szCs w:val="21"/>
                <w:lang w:val="en-US" w:eastAsia="zh-CN"/>
              </w:rPr>
              <w:t>4</w:t>
            </w:r>
          </w:p>
        </w:tc>
        <w:tc>
          <w:tcPr>
            <w:tcW w:w="8505" w:type="dxa"/>
            <w:gridSpan w:val="9"/>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olor w:val="auto"/>
                <w:sz w:val="21"/>
                <w:szCs w:val="21"/>
              </w:rPr>
            </w:pPr>
            <w:r>
              <w:rPr>
                <w:rFonts w:hint="eastAsia" w:ascii="宋体" w:hAnsi="宋体" w:eastAsia="宋体" w:cs="Arial"/>
                <w:b/>
                <w:color w:val="auto"/>
                <w:kern w:val="0"/>
                <w:sz w:val="21"/>
                <w:szCs w:val="21"/>
                <w:lang w:eastAsia="zh-CN"/>
              </w:rPr>
              <w:t>研究参与人员信息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4" w:hRule="atLeast"/>
          <w:tblHeader/>
          <w:jc w:val="center"/>
        </w:trPr>
        <w:tc>
          <w:tcPr>
            <w:tcW w:w="1134"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4.</w:t>
            </w:r>
            <w:r>
              <w:rPr>
                <w:rFonts w:hint="eastAsia" w:ascii="宋体" w:hAnsi="宋体" w:eastAsia="宋体" w:cs="Arial"/>
                <w:color w:val="auto"/>
                <w:kern w:val="0"/>
                <w:sz w:val="21"/>
                <w:szCs w:val="21"/>
              </w:rPr>
              <w:t>1</w:t>
            </w:r>
          </w:p>
        </w:tc>
        <w:tc>
          <w:tcPr>
            <w:tcW w:w="8505" w:type="dxa"/>
            <w:gridSpan w:val="9"/>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default" w:ascii="宋体" w:hAnsi="宋体" w:eastAsia="宋体" w:cs="Arial"/>
                <w:b w:val="0"/>
                <w:bCs w:val="0"/>
                <w:color w:val="auto"/>
                <w:kern w:val="0"/>
                <w:sz w:val="21"/>
                <w:szCs w:val="21"/>
                <w:lang w:val="en-US" w:eastAsia="zh-CN"/>
              </w:rPr>
            </w:pPr>
            <w:r>
              <w:rPr>
                <w:rFonts w:hint="eastAsia" w:ascii="宋体" w:hAnsi="宋体" w:eastAsia="宋体" w:cs="Arial"/>
                <w:b w:val="0"/>
                <w:bCs w:val="0"/>
                <w:color w:val="auto"/>
                <w:kern w:val="0"/>
                <w:sz w:val="21"/>
                <w:szCs w:val="21"/>
                <w:lang w:val="en-US" w:eastAsia="zh-CN"/>
              </w:rPr>
              <w:t>项目组成员共：___人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190" w:hRule="atLeast"/>
          <w:tblHeader/>
          <w:jc w:val="center"/>
        </w:trPr>
        <w:tc>
          <w:tcPr>
            <w:tcW w:w="1134" w:type="dxa"/>
            <w:vMerge w:val="restart"/>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4.2</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color w:val="auto"/>
                <w:kern w:val="0"/>
                <w:sz w:val="21"/>
                <w:szCs w:val="21"/>
                <w:lang w:val="en-US" w:eastAsia="zh-CN"/>
              </w:rPr>
            </w:pPr>
            <w:r>
              <w:rPr>
                <w:rFonts w:hint="eastAsia" w:ascii="宋体" w:hAnsi="宋体" w:cs="宋体"/>
                <w:color w:val="auto"/>
                <w:kern w:val="0"/>
                <w:sz w:val="21"/>
                <w:szCs w:val="21"/>
              </w:rPr>
              <w:t>如研究组成员发生了变动是否进行相应的培训并记录</w:t>
            </w:r>
          </w:p>
        </w:tc>
        <w:tc>
          <w:tcPr>
            <w:tcW w:w="565" w:type="dxa"/>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center"/>
              <w:textAlignment w:val="auto"/>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2" w:hRule="atLeast"/>
          <w:tblHeader/>
          <w:jc w:val="center"/>
        </w:trPr>
        <w:tc>
          <w:tcPr>
            <w:tcW w:w="1134" w:type="dxa"/>
            <w:vMerge w:val="continue"/>
            <w:vAlign w:val="center"/>
          </w:tcPr>
          <w:p>
            <w:pPr>
              <w:widowControl/>
              <w:wordWrap/>
              <w:autoSpaceDE/>
              <w:autoSpaceDN/>
              <w:spacing w:before="20" w:after="20"/>
              <w:ind w:firstLine="441" w:firstLineChars="210"/>
              <w:jc w:val="center"/>
              <w:rPr>
                <w:rFonts w:hint="default" w:ascii="宋体" w:hAnsi="宋体" w:eastAsia="宋体" w:cs="Arial"/>
                <w:color w:val="auto"/>
                <w:kern w:val="0"/>
                <w:sz w:val="21"/>
                <w:szCs w:val="21"/>
                <w:lang w:val="en-US" w:eastAsia="zh-CN"/>
              </w:rPr>
            </w:pPr>
          </w:p>
        </w:tc>
        <w:tc>
          <w:tcPr>
            <w:tcW w:w="6800" w:type="dxa"/>
            <w:gridSpan w:val="7"/>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olor w:val="auto"/>
                <w:sz w:val="21"/>
                <w:szCs w:val="21"/>
              </w:rPr>
            </w:pPr>
            <w:r>
              <w:rPr>
                <w:rFonts w:hint="eastAsia" w:ascii="宋体" w:hAnsi="宋体" w:cs="宋体"/>
                <w:color w:val="auto"/>
                <w:kern w:val="0"/>
                <w:sz w:val="21"/>
                <w:szCs w:val="21"/>
                <w:lang w:val="en-US" w:eastAsia="zh-CN"/>
              </w:rPr>
              <w:t>项目组成员人员变动情况：</w:t>
            </w:r>
          </w:p>
        </w:tc>
        <w:tc>
          <w:tcPr>
            <w:tcW w:w="1705"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cs="宋体"/>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5</w:t>
            </w:r>
          </w:p>
        </w:tc>
        <w:tc>
          <w:tcPr>
            <w:tcW w:w="6800" w:type="dxa"/>
            <w:gridSpan w:val="7"/>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s="Arial"/>
                <w:color w:val="auto"/>
                <w:kern w:val="0"/>
                <w:sz w:val="21"/>
                <w:szCs w:val="21"/>
              </w:rPr>
            </w:pPr>
            <w:r>
              <w:rPr>
                <w:rFonts w:hint="eastAsia" w:ascii="宋体" w:hAnsi="宋体" w:eastAsia="宋体" w:cs="Arial"/>
                <w:b/>
                <w:bCs/>
                <w:color w:val="auto"/>
                <w:kern w:val="0"/>
                <w:sz w:val="21"/>
                <w:szCs w:val="21"/>
                <w:lang w:eastAsia="zh-CN"/>
              </w:rPr>
              <w:t>随机和破盲</w:t>
            </w:r>
          </w:p>
        </w:tc>
        <w:tc>
          <w:tcPr>
            <w:tcW w:w="1705"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516" w:hRule="atLeast"/>
          <w:tblHeader/>
          <w:jc w:val="center"/>
        </w:trPr>
        <w:tc>
          <w:tcPr>
            <w:tcW w:w="1134"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rPr>
            </w:pPr>
            <w:r>
              <w:rPr>
                <w:rFonts w:hint="eastAsia" w:ascii="宋体" w:hAnsi="宋体" w:eastAsia="宋体" w:cs="Arial"/>
                <w:b/>
                <w:bCs/>
                <w:color w:val="auto"/>
                <w:kern w:val="0"/>
                <w:sz w:val="21"/>
                <w:szCs w:val="21"/>
                <w:lang w:eastAsia="zh-CN"/>
              </w:rPr>
              <w:t>序号</w:t>
            </w:r>
          </w:p>
        </w:tc>
        <w:tc>
          <w:tcPr>
            <w:tcW w:w="5103"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zh-CN"/>
              </w:rPr>
            </w:pPr>
            <w:r>
              <w:rPr>
                <w:rFonts w:hint="eastAsia" w:ascii="宋体" w:hAnsi="宋体" w:eastAsia="宋体" w:cs="Arial"/>
                <w:b/>
                <w:bCs/>
                <w:color w:val="auto"/>
                <w:kern w:val="0"/>
                <w:sz w:val="21"/>
                <w:szCs w:val="21"/>
                <w:lang w:val="en-US" w:eastAsia="zh-CN"/>
              </w:rPr>
              <w:t>项目</w:t>
            </w:r>
          </w:p>
        </w:tc>
        <w:tc>
          <w:tcPr>
            <w:tcW w:w="565"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是</w:t>
            </w:r>
          </w:p>
        </w:tc>
        <w:tc>
          <w:tcPr>
            <w:tcW w:w="565" w:type="dxa"/>
            <w:gridSpan w:val="2"/>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否</w:t>
            </w:r>
          </w:p>
        </w:tc>
        <w:tc>
          <w:tcPr>
            <w:tcW w:w="567" w:type="dxa"/>
            <w:gridSpan w:val="2"/>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NA</w:t>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400" w:hRule="atLeast"/>
          <w:tblHeader/>
          <w:jc w:val="center"/>
        </w:trPr>
        <w:tc>
          <w:tcPr>
            <w:tcW w:w="1134" w:type="dxa"/>
            <w:vAlign w:val="bottom"/>
          </w:tcPr>
          <w:p>
            <w:pPr>
              <w:widowControl/>
              <w:wordWrap/>
              <w:autoSpaceDE/>
              <w:autoSpaceDN/>
              <w:spacing w:before="20" w:after="20"/>
              <w:ind w:firstLine="441" w:firstLineChars="21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5.1</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随机方案是否规范</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5.2</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随机过程是否规范</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5.3</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盲法试验的揭盲程序是否规范</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0" w:hRule="atLeast"/>
          <w:tblHeader/>
          <w:jc w:val="center"/>
        </w:trPr>
        <w:tc>
          <w:tcPr>
            <w:tcW w:w="1134" w:type="dxa"/>
            <w:vAlign w:val="bottom"/>
          </w:tcPr>
          <w:p>
            <w:pPr>
              <w:widowControl/>
              <w:wordWrap/>
              <w:autoSpaceDE/>
              <w:autoSpaceDN/>
              <w:spacing w:before="20" w:after="20"/>
              <w:ind w:firstLine="441" w:firstLineChars="210"/>
              <w:jc w:val="lef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5.4</w:t>
            </w:r>
          </w:p>
        </w:tc>
        <w:tc>
          <w:tcPr>
            <w:tcW w:w="5103" w:type="dxa"/>
            <w:gridSpan w:val="2"/>
            <w:vAlign w:val="center"/>
          </w:tcPr>
          <w:p>
            <w:pPr>
              <w:widowControl/>
              <w:wordWrap/>
              <w:autoSpaceDE/>
              <w:autoSpaceDN/>
              <w:spacing w:before="20" w:after="20"/>
              <w:ind w:left="105" w:leftChars="50"/>
              <w:jc w:val="left"/>
              <w:rPr>
                <w:rFonts w:ascii="宋体" w:hAnsi="宋体" w:eastAsia="宋体" w:cs="Arial"/>
                <w:color w:val="auto"/>
                <w:kern w:val="0"/>
                <w:sz w:val="21"/>
                <w:szCs w:val="21"/>
                <w:lang w:eastAsia="zh-CN"/>
              </w:rPr>
            </w:pPr>
            <w:r>
              <w:rPr>
                <w:rFonts w:hint="eastAsia" w:ascii="宋体" w:hAnsi="宋体" w:cs="宋体"/>
                <w:color w:val="auto"/>
                <w:kern w:val="0"/>
                <w:sz w:val="21"/>
                <w:szCs w:val="21"/>
              </w:rPr>
              <w:t>盲法试验应急信封是否保存完整</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6</w:t>
            </w:r>
          </w:p>
        </w:tc>
        <w:tc>
          <w:tcPr>
            <w:tcW w:w="6800" w:type="dxa"/>
            <w:gridSpan w:val="7"/>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ascii="宋体" w:hAnsi="宋体" w:eastAsia="宋体" w:cs="Arial"/>
                <w:color w:val="auto"/>
                <w:kern w:val="0"/>
                <w:sz w:val="21"/>
                <w:szCs w:val="21"/>
              </w:rPr>
            </w:pPr>
            <w:r>
              <w:rPr>
                <w:rFonts w:hint="eastAsia" w:ascii="宋体" w:hAnsi="宋体" w:eastAsia="宋体" w:cs="Arial"/>
                <w:b/>
                <w:bCs/>
                <w:color w:val="auto"/>
                <w:kern w:val="0"/>
                <w:sz w:val="21"/>
                <w:szCs w:val="21"/>
                <w:lang w:val="en-US" w:eastAsia="zh-CN"/>
              </w:rPr>
              <w:t>临床监查/稽查</w:t>
            </w:r>
          </w:p>
        </w:tc>
        <w:tc>
          <w:tcPr>
            <w:tcW w:w="1705"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1" w:hRule="atLeast"/>
          <w:tblHeader/>
          <w:jc w:val="center"/>
        </w:trPr>
        <w:tc>
          <w:tcPr>
            <w:tcW w:w="1134" w:type="dxa"/>
            <w:vAlign w:val="bottom"/>
          </w:tcPr>
          <w:p>
            <w:pPr>
              <w:widowControl/>
              <w:wordWrap/>
              <w:autoSpaceDE/>
              <w:autoSpaceDN/>
              <w:spacing w:before="20" w:after="20"/>
              <w:ind w:firstLine="441" w:firstLineChars="21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6.1</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是否有符合资质的监察员</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91" w:hRule="atLeast"/>
          <w:tblHeader/>
          <w:jc w:val="center"/>
        </w:trPr>
        <w:tc>
          <w:tcPr>
            <w:tcW w:w="1134" w:type="dxa"/>
            <w:vAlign w:val="bottom"/>
          </w:tcPr>
          <w:p>
            <w:pPr>
              <w:widowControl/>
              <w:wordWrap/>
              <w:autoSpaceDE/>
              <w:autoSpaceDN/>
              <w:spacing w:before="20" w:after="20"/>
              <w:ind w:firstLine="441" w:firstLineChars="21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6.2</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rPr>
            </w:pPr>
            <w:r>
              <w:rPr>
                <w:rFonts w:hint="eastAsia" w:ascii="宋体" w:hAnsi="宋体" w:cs="宋体"/>
                <w:color w:val="auto"/>
                <w:kern w:val="0"/>
                <w:sz w:val="21"/>
                <w:szCs w:val="21"/>
              </w:rPr>
              <w:t>监查员是否定期进行监查并有书面报告或反馈</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7</w:t>
            </w:r>
          </w:p>
        </w:tc>
        <w:tc>
          <w:tcPr>
            <w:tcW w:w="6800" w:type="dxa"/>
            <w:gridSpan w:val="7"/>
            <w:vAlign w:val="center"/>
          </w:tcPr>
          <w:p>
            <w:pPr>
              <w:widowControl/>
              <w:wordWrap/>
              <w:autoSpaceDE/>
              <w:autoSpaceDN/>
              <w:spacing w:before="20" w:after="20"/>
              <w:ind w:left="105" w:leftChars="50"/>
              <w:jc w:val="left"/>
              <w:rPr>
                <w:rFonts w:hint="eastAsia"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试验物资</w:t>
            </w:r>
          </w:p>
        </w:tc>
        <w:tc>
          <w:tcPr>
            <w:tcW w:w="1705" w:type="dxa"/>
            <w:gridSpan w:val="2"/>
            <w:vAlign w:val="center"/>
          </w:tcPr>
          <w:p>
            <w:pPr>
              <w:widowControl/>
              <w:wordWrap/>
              <w:autoSpaceDE/>
              <w:autoSpaceDN/>
              <w:spacing w:before="20" w:after="20"/>
              <w:ind w:left="105" w:leftChars="50"/>
              <w:jc w:val="left"/>
              <w:rPr>
                <w:rFonts w:hint="eastAsia" w:ascii="宋体" w:hAnsi="宋体" w:eastAsia="宋体" w:cs="Arial"/>
                <w:b/>
                <w:bCs/>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ascii="宋体" w:hAnsi="宋体" w:eastAsia="宋体" w:cs="Arial"/>
                <w:color w:val="auto"/>
                <w:kern w:val="0"/>
                <w:sz w:val="21"/>
                <w:szCs w:val="21"/>
                <w:lang w:eastAsia="zh-CN"/>
              </w:rPr>
            </w:pPr>
            <w:r>
              <w:rPr>
                <w:rFonts w:hint="eastAsia" w:ascii="宋体" w:hAnsi="宋体" w:eastAsia="宋体" w:cs="Arial"/>
                <w:color w:val="auto"/>
                <w:kern w:val="0"/>
                <w:sz w:val="21"/>
                <w:szCs w:val="21"/>
                <w:lang w:eastAsia="zh-CN"/>
              </w:rPr>
              <w:t>7.</w:t>
            </w:r>
            <w:r>
              <w:rPr>
                <w:rFonts w:ascii="宋体" w:hAnsi="宋体" w:eastAsia="宋体" w:cs="Arial"/>
                <w:color w:val="auto"/>
                <w:kern w:val="0"/>
                <w:sz w:val="21"/>
                <w:szCs w:val="21"/>
                <w:lang w:eastAsia="zh-CN"/>
              </w:rPr>
              <w:t>1</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仪器、耗材交接</w:t>
            </w:r>
            <w:r>
              <w:rPr>
                <w:rFonts w:hint="eastAsia" w:ascii="宋体" w:hAnsi="宋体" w:eastAsia="宋体" w:cs="Arial"/>
                <w:color w:val="auto"/>
                <w:kern w:val="0"/>
                <w:sz w:val="21"/>
                <w:szCs w:val="21"/>
                <w:lang w:val="en-US" w:eastAsia="zh-CN"/>
              </w:rPr>
              <w:t>证明（若有）</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ascii="宋体" w:hAnsi="宋体" w:eastAsia="宋体" w:cs="Arial"/>
                <w:color w:val="auto"/>
                <w:kern w:val="0"/>
                <w:sz w:val="21"/>
                <w:szCs w:val="21"/>
                <w:lang w:eastAsia="zh-CN"/>
              </w:rPr>
            </w:pPr>
            <w:r>
              <w:rPr>
                <w:rFonts w:hint="eastAsia" w:ascii="宋体" w:hAnsi="宋体" w:eastAsia="宋体" w:cs="Arial"/>
                <w:color w:val="auto"/>
                <w:kern w:val="0"/>
                <w:sz w:val="21"/>
                <w:szCs w:val="21"/>
                <w:lang w:eastAsia="zh-CN"/>
              </w:rPr>
              <w:t>7.</w:t>
            </w:r>
            <w:r>
              <w:rPr>
                <w:rFonts w:ascii="宋体" w:hAnsi="宋体" w:eastAsia="宋体" w:cs="Arial"/>
                <w:color w:val="auto"/>
                <w:kern w:val="0"/>
                <w:sz w:val="21"/>
                <w:szCs w:val="21"/>
                <w:lang w:eastAsia="zh-CN"/>
              </w:rPr>
              <w:t>2</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试验印刷材料交接</w:t>
            </w:r>
            <w:r>
              <w:rPr>
                <w:rFonts w:hint="eastAsia" w:ascii="宋体" w:hAnsi="宋体" w:eastAsia="宋体" w:cs="Arial"/>
                <w:color w:val="auto"/>
                <w:kern w:val="0"/>
                <w:sz w:val="21"/>
                <w:szCs w:val="21"/>
                <w:lang w:val="en-US" w:eastAsia="zh-CN"/>
              </w:rPr>
              <w:t>证明（若有）</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left"/>
              <w:rPr>
                <w:rFonts w:ascii="宋体" w:hAnsi="宋体" w:eastAsia="宋体" w:cs="Arial"/>
                <w:color w:val="auto"/>
                <w:kern w:val="0"/>
                <w:sz w:val="21"/>
                <w:szCs w:val="21"/>
                <w:lang w:eastAsia="zh-CN"/>
              </w:rPr>
            </w:pPr>
            <w:r>
              <w:rPr>
                <w:rFonts w:hint="eastAsia" w:ascii="宋体" w:hAnsi="宋体" w:eastAsia="宋体" w:cs="Arial"/>
                <w:color w:val="auto"/>
                <w:kern w:val="0"/>
                <w:sz w:val="21"/>
                <w:szCs w:val="21"/>
                <w:lang w:eastAsia="zh-CN"/>
              </w:rPr>
              <w:t>7.</w:t>
            </w:r>
            <w:r>
              <w:rPr>
                <w:rFonts w:ascii="宋体" w:hAnsi="宋体" w:eastAsia="宋体" w:cs="Arial"/>
                <w:color w:val="auto"/>
                <w:kern w:val="0"/>
                <w:sz w:val="21"/>
                <w:szCs w:val="21"/>
                <w:lang w:eastAsia="zh-CN"/>
              </w:rPr>
              <w:t>3</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研究中心文件物料交接</w:t>
            </w:r>
            <w:r>
              <w:rPr>
                <w:rFonts w:hint="eastAsia" w:ascii="宋体" w:hAnsi="宋体" w:eastAsia="宋体" w:cs="Arial"/>
                <w:color w:val="auto"/>
                <w:kern w:val="0"/>
                <w:sz w:val="21"/>
                <w:szCs w:val="21"/>
                <w:lang w:val="en-US" w:eastAsia="zh-CN"/>
              </w:rPr>
              <w:t>证明（若有）</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default" w:ascii="宋体" w:hAnsi="宋体" w:eastAsia="宋体" w:cs="Arial"/>
                <w:color w:val="auto"/>
                <w:kern w:val="0"/>
                <w:sz w:val="21"/>
                <w:szCs w:val="21"/>
                <w:lang w:val="en-US" w:eastAsia="zh-CN"/>
              </w:rPr>
            </w:pPr>
            <w:r>
              <w:rPr>
                <w:rFonts w:hint="eastAsia" w:ascii="宋体" w:hAnsi="宋体" w:eastAsia="宋体" w:cs="Arial"/>
                <w:b/>
                <w:bCs/>
                <w:color w:val="auto"/>
                <w:kern w:val="0"/>
                <w:sz w:val="21"/>
                <w:szCs w:val="21"/>
                <w:lang w:val="en-US" w:eastAsia="zh-CN"/>
              </w:rPr>
              <w:t>8</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eastAsia="zh-CN"/>
              </w:rPr>
            </w:pPr>
            <w:r>
              <w:rPr>
                <w:rFonts w:hint="eastAsia" w:ascii="宋体" w:hAnsi="宋体" w:eastAsia="宋体" w:cs="Arial"/>
                <w:b/>
                <w:bCs/>
                <w:color w:val="auto"/>
                <w:kern w:val="0"/>
                <w:sz w:val="21"/>
                <w:szCs w:val="21"/>
                <w:lang w:val="en-US" w:eastAsia="zh-CN"/>
              </w:rPr>
              <w:t>试验流程</w:t>
            </w:r>
          </w:p>
        </w:tc>
        <w:tc>
          <w:tcPr>
            <w:tcW w:w="565" w:type="dxa"/>
            <w:vAlign w:val="center"/>
          </w:tcPr>
          <w:p>
            <w:pPr>
              <w:widowControl/>
              <w:wordWrap/>
              <w:autoSpaceDE/>
              <w:autoSpaceDN/>
              <w:spacing w:before="20" w:after="20"/>
              <w:jc w:val="center"/>
              <w:rPr>
                <w:rFonts w:ascii="宋体" w:hAnsi="宋体" w:eastAsia="宋体"/>
                <w:color w:val="auto"/>
                <w:sz w:val="21"/>
                <w:szCs w:val="21"/>
              </w:rPr>
            </w:pPr>
          </w:p>
        </w:tc>
        <w:tc>
          <w:tcPr>
            <w:tcW w:w="565" w:type="dxa"/>
            <w:gridSpan w:val="2"/>
            <w:vAlign w:val="center"/>
          </w:tcPr>
          <w:p>
            <w:pPr>
              <w:widowControl/>
              <w:wordWrap/>
              <w:autoSpaceDE/>
              <w:autoSpaceDN/>
              <w:spacing w:before="20" w:after="20"/>
              <w:jc w:val="center"/>
              <w:rPr>
                <w:rFonts w:ascii="宋体" w:hAnsi="宋体" w:eastAsia="宋体"/>
                <w:color w:val="auto"/>
                <w:sz w:val="21"/>
                <w:szCs w:val="21"/>
              </w:rPr>
            </w:pPr>
          </w:p>
        </w:tc>
        <w:tc>
          <w:tcPr>
            <w:tcW w:w="567" w:type="dxa"/>
            <w:gridSpan w:val="2"/>
            <w:vAlign w:val="center"/>
          </w:tcPr>
          <w:p>
            <w:pPr>
              <w:widowControl/>
              <w:wordWrap/>
              <w:autoSpaceDE/>
              <w:autoSpaceDN/>
              <w:spacing w:before="20" w:after="20"/>
              <w:jc w:val="center"/>
              <w:rPr>
                <w:rFonts w:ascii="宋体" w:hAnsi="宋体" w:eastAsia="宋体"/>
                <w:color w:val="auto"/>
                <w:sz w:val="21"/>
                <w:szCs w:val="21"/>
              </w:rPr>
            </w:pP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8.</w:t>
            </w:r>
            <w:r>
              <w:rPr>
                <w:rFonts w:ascii="宋体" w:hAnsi="宋体" w:eastAsia="宋体" w:cs="Arial"/>
                <w:color w:val="auto"/>
                <w:kern w:val="0"/>
                <w:sz w:val="21"/>
                <w:szCs w:val="21"/>
                <w:lang w:eastAsia="zh-CN"/>
              </w:rPr>
              <w:t>1</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eastAsia="zh-CN"/>
              </w:rPr>
            </w:pPr>
            <w:r>
              <w:rPr>
                <w:rFonts w:hint="eastAsia" w:ascii="宋体" w:hAnsi="宋体" w:cs="宋体"/>
                <w:color w:val="auto"/>
                <w:kern w:val="0"/>
                <w:sz w:val="21"/>
                <w:szCs w:val="21"/>
              </w:rPr>
              <w:t>是否所有入组受试者都签署了知情同意书</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8.</w:t>
            </w:r>
            <w:r>
              <w:rPr>
                <w:rFonts w:ascii="宋体" w:hAnsi="宋体" w:eastAsia="宋体" w:cs="Arial"/>
                <w:color w:val="auto"/>
                <w:kern w:val="0"/>
                <w:sz w:val="21"/>
                <w:szCs w:val="21"/>
                <w:lang w:eastAsia="zh-CN"/>
              </w:rPr>
              <w:t>2</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eastAsia="zh-CN"/>
              </w:rPr>
            </w:pPr>
            <w:r>
              <w:rPr>
                <w:rFonts w:hint="eastAsia" w:ascii="宋体" w:hAnsi="宋体" w:cs="宋体"/>
                <w:color w:val="auto"/>
                <w:kern w:val="0"/>
                <w:sz w:val="21"/>
                <w:szCs w:val="21"/>
              </w:rPr>
              <w:t>是否所有入组受试者都符合入排标准</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bottom"/>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8.</w:t>
            </w:r>
            <w:r>
              <w:rPr>
                <w:rFonts w:ascii="宋体" w:hAnsi="宋体" w:eastAsia="宋体" w:cs="Arial"/>
                <w:color w:val="auto"/>
                <w:kern w:val="0"/>
                <w:sz w:val="21"/>
                <w:szCs w:val="21"/>
                <w:lang w:eastAsia="zh-CN"/>
              </w:rPr>
              <w:t>3</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eastAsia="zh-CN"/>
              </w:rPr>
            </w:pPr>
            <w:r>
              <w:rPr>
                <w:rFonts w:hint="eastAsia" w:asciiTheme="minorEastAsia" w:hAnsiTheme="minorEastAsia" w:cstheme="minorEastAsia"/>
                <w:color w:val="auto"/>
                <w:kern w:val="0"/>
                <w:sz w:val="21"/>
                <w:szCs w:val="21"/>
              </w:rPr>
              <w:t>物资接收和退还过程均有原始记录</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8.</w:t>
            </w:r>
            <w:r>
              <w:rPr>
                <w:rFonts w:ascii="宋体" w:hAnsi="宋体" w:eastAsia="宋体" w:cs="Arial"/>
                <w:color w:val="auto"/>
                <w:kern w:val="0"/>
                <w:sz w:val="21"/>
                <w:szCs w:val="21"/>
                <w:lang w:eastAsia="zh-CN"/>
              </w:rPr>
              <w:t>4</w:t>
            </w:r>
          </w:p>
        </w:tc>
        <w:tc>
          <w:tcPr>
            <w:tcW w:w="5103" w:type="dxa"/>
            <w:gridSpan w:val="2"/>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受试者筛选入选表是否规范</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left="105" w:leftChars="50"/>
              <w:jc w:val="right"/>
              <w:rPr>
                <w:rFonts w:hint="eastAsia" w:asciiTheme="minorEastAsia" w:hAnsi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lang w:eastAsia="zh-CN"/>
              </w:rPr>
              <w:t>8.5</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ko-KR" w:bidi="ar-SA"/>
              </w:rPr>
            </w:pPr>
            <w:r>
              <w:rPr>
                <w:rFonts w:hint="eastAsia" w:asciiTheme="minorEastAsia" w:hAnsiTheme="minorEastAsia" w:cstheme="minorEastAsia"/>
                <w:color w:val="auto"/>
                <w:kern w:val="0"/>
                <w:sz w:val="21"/>
                <w:szCs w:val="21"/>
              </w:rPr>
              <w:t>受试者鉴认代码表是否涵盖如姓名、住院号/门诊就诊号、身份证号、联系地址以及联系方式等受试者身份鉴别信息</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8.</w:t>
            </w:r>
            <w:r>
              <w:rPr>
                <w:rFonts w:ascii="宋体" w:hAnsi="宋体" w:eastAsia="宋体" w:cs="Arial"/>
                <w:color w:val="auto"/>
                <w:kern w:val="0"/>
                <w:sz w:val="21"/>
                <w:szCs w:val="21"/>
                <w:lang w:eastAsia="zh-CN"/>
              </w:rPr>
              <w:t>6</w:t>
            </w:r>
          </w:p>
        </w:tc>
        <w:tc>
          <w:tcPr>
            <w:tcW w:w="5103" w:type="dxa"/>
            <w:gridSpan w:val="2"/>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方案规定的检查是否遗漏</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eastAsia="zh-CN"/>
              </w:rPr>
              <w:t>8.7</w:t>
            </w:r>
          </w:p>
        </w:tc>
        <w:tc>
          <w:tcPr>
            <w:tcW w:w="5103" w:type="dxa"/>
            <w:gridSpan w:val="2"/>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检查报告单（检验科、影像科、心电图室等检查结果）是否齐全、可溯源</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8.8</w:t>
            </w:r>
          </w:p>
        </w:tc>
        <w:tc>
          <w:tcPr>
            <w:tcW w:w="5103" w:type="dxa"/>
            <w:gridSpan w:val="2"/>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研究者是否及时对检查结果的临床意义作出判断并对异常情况及时处理</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 xml:space="preserve">   8.9</w:t>
            </w:r>
          </w:p>
        </w:tc>
        <w:tc>
          <w:tcPr>
            <w:tcW w:w="5103" w:type="dxa"/>
            <w:gridSpan w:val="2"/>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是否所有入组受试者都按照方案进行治疗</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8.10</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ko-KR"/>
              </w:rPr>
            </w:pPr>
            <w:r>
              <w:rPr>
                <w:rFonts w:hint="eastAsia" w:asciiTheme="minorEastAsia" w:hAnsiTheme="minorEastAsia" w:cstheme="minorEastAsia"/>
                <w:color w:val="auto"/>
                <w:kern w:val="0"/>
                <w:sz w:val="21"/>
                <w:szCs w:val="21"/>
              </w:rPr>
              <w:t>生物样本采集、预处理、保存以及转运过程的各环节均有原始记录</w:t>
            </w:r>
          </w:p>
        </w:tc>
        <w:tc>
          <w:tcPr>
            <w:tcW w:w="565"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8.11</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研究病历和CRF表填写是否规范、及时、准确、完整以及清晰（急诊入院的受试者需保留相关病程记录）</w:t>
            </w:r>
          </w:p>
        </w:tc>
        <w:tc>
          <w:tcPr>
            <w:tcW w:w="565"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8.12</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各项签名是否符合相关要求</w:t>
            </w:r>
          </w:p>
        </w:tc>
        <w:tc>
          <w:tcPr>
            <w:tcW w:w="565"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81" w:hRule="atLeast"/>
          <w:tblHeader/>
          <w:jc w:val="center"/>
        </w:trPr>
        <w:tc>
          <w:tcPr>
            <w:tcW w:w="1134" w:type="dxa"/>
            <w:vAlign w:val="bottom"/>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8.13</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合并用药</w:t>
            </w:r>
            <w:r>
              <w:rPr>
                <w:rFonts w:hint="eastAsia" w:asciiTheme="minorEastAsia" w:hAnsiTheme="minorEastAsia" w:cstheme="minorEastAsia"/>
                <w:color w:val="auto"/>
                <w:kern w:val="0"/>
                <w:sz w:val="21"/>
                <w:szCs w:val="21"/>
                <w:lang w:val="en-US" w:eastAsia="zh-CN"/>
              </w:rPr>
              <w:t>或治疗</w:t>
            </w:r>
            <w:r>
              <w:rPr>
                <w:rFonts w:hint="eastAsia" w:asciiTheme="minorEastAsia" w:hAnsiTheme="minorEastAsia" w:cstheme="minorEastAsia"/>
                <w:color w:val="auto"/>
                <w:kern w:val="0"/>
                <w:sz w:val="21"/>
                <w:szCs w:val="21"/>
              </w:rPr>
              <w:t>是否符合方案要求并进行相关记录</w:t>
            </w:r>
          </w:p>
        </w:tc>
        <w:tc>
          <w:tcPr>
            <w:tcW w:w="565"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8.14</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病例完成情况是否按预期进度进行</w:t>
            </w:r>
          </w:p>
        </w:tc>
        <w:tc>
          <w:tcPr>
            <w:tcW w:w="565"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jc w:val="right"/>
              <w:rPr>
                <w:rFonts w:hint="default" w:asciiTheme="minorEastAsia" w:hAnsiTheme="minorEastAsia" w:cstheme="minorEastAsia"/>
                <w:color w:val="auto"/>
                <w:kern w:val="0"/>
                <w:sz w:val="21"/>
                <w:szCs w:val="21"/>
                <w:lang w:val="en-US" w:eastAsia="zh-CN"/>
              </w:rPr>
            </w:pPr>
            <w:r>
              <w:rPr>
                <w:rFonts w:hint="eastAsia" w:asciiTheme="minorEastAsia" w:hAnsiTheme="minorEastAsia" w:cstheme="minorEastAsia"/>
                <w:color w:val="auto"/>
                <w:kern w:val="0"/>
                <w:sz w:val="21"/>
                <w:szCs w:val="21"/>
                <w:lang w:val="en-US" w:eastAsia="zh-CN"/>
              </w:rPr>
              <w:t>8.15</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ko-KR"/>
              </w:rPr>
            </w:pPr>
            <w:r>
              <w:rPr>
                <w:rFonts w:hint="eastAsia" w:asciiTheme="minorEastAsia" w:hAnsiTheme="minorEastAsia" w:cstheme="minorEastAsia"/>
                <w:color w:val="auto"/>
                <w:kern w:val="0"/>
                <w:sz w:val="21"/>
                <w:szCs w:val="21"/>
              </w:rPr>
              <w:t>AE（不良事件）是否按照相关SOP处理并进行记录</w:t>
            </w:r>
          </w:p>
        </w:tc>
        <w:tc>
          <w:tcPr>
            <w:tcW w:w="565"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default" w:asciiTheme="minorEastAsia" w:hAnsiTheme="minorEastAsia" w:cstheme="minorEastAsia"/>
                <w:color w:val="auto"/>
                <w:kern w:val="0"/>
                <w:sz w:val="21"/>
                <w:szCs w:val="21"/>
                <w:lang w:val="en-US" w:eastAsia="zh-CN"/>
              </w:rPr>
            </w:pPr>
            <w:r>
              <w:rPr>
                <w:rFonts w:hint="eastAsia" w:asciiTheme="minorEastAsia" w:hAnsiTheme="minorEastAsia" w:cstheme="minorEastAsia"/>
                <w:color w:val="auto"/>
                <w:kern w:val="0"/>
                <w:sz w:val="21"/>
                <w:szCs w:val="21"/>
                <w:lang w:val="en-US" w:eastAsia="zh-CN"/>
              </w:rPr>
              <w:t>8.16</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ko-KR"/>
              </w:rPr>
            </w:pPr>
            <w:r>
              <w:rPr>
                <w:rFonts w:hint="eastAsia" w:asciiTheme="minorEastAsia" w:hAnsiTheme="minorEastAsia" w:cstheme="minorEastAsia"/>
                <w:color w:val="auto"/>
                <w:kern w:val="0"/>
                <w:sz w:val="21"/>
                <w:szCs w:val="21"/>
              </w:rPr>
              <w:t>SAE（严重不良事件）是否按照相关SOP及时处理、记录并上报</w:t>
            </w:r>
          </w:p>
        </w:tc>
        <w:tc>
          <w:tcPr>
            <w:tcW w:w="565" w:type="dxa"/>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hint="eastAsia"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210" w:firstLineChars="100"/>
              <w:jc w:val="left"/>
              <w:rPr>
                <w:rFonts w:hint="default" w:eastAsia="宋体" w:asciiTheme="minorEastAsia" w:hAnsiTheme="minorEastAsia" w:cstheme="minorEastAsia"/>
                <w:color w:val="auto"/>
                <w:kern w:val="0"/>
                <w:sz w:val="21"/>
                <w:szCs w:val="21"/>
                <w:lang w:val="en-US" w:eastAsia="zh-CN"/>
              </w:rPr>
            </w:pPr>
            <w:r>
              <w:rPr>
                <w:rFonts w:hint="eastAsia" w:eastAsia="宋体" w:asciiTheme="minorEastAsia" w:hAnsiTheme="minorEastAsia" w:cstheme="minorEastAsia"/>
                <w:color w:val="auto"/>
                <w:kern w:val="0"/>
                <w:sz w:val="21"/>
                <w:szCs w:val="21"/>
                <w:lang w:val="en-US" w:eastAsia="zh-CN"/>
              </w:rPr>
              <w:t>9</w:t>
            </w:r>
          </w:p>
        </w:tc>
        <w:tc>
          <w:tcPr>
            <w:tcW w:w="8505" w:type="dxa"/>
            <w:gridSpan w:val="9"/>
            <w:vAlign w:val="top"/>
          </w:tcPr>
          <w:p>
            <w:pPr>
              <w:widowControl/>
              <w:wordWrap/>
              <w:autoSpaceDE/>
              <w:autoSpaceDN/>
              <w:spacing w:before="20" w:after="20"/>
              <w:ind w:left="105" w:leftChars="50"/>
              <w:jc w:val="left"/>
              <w:rPr>
                <w:rFonts w:ascii="宋体" w:hAnsi="宋体" w:eastAsia="宋体"/>
                <w:color w:val="auto"/>
                <w:sz w:val="21"/>
                <w:szCs w:val="21"/>
              </w:rPr>
            </w:pPr>
            <w:r>
              <w:rPr>
                <w:rFonts w:hint="eastAsia" w:asciiTheme="minorEastAsia" w:hAnsiTheme="minorEastAsia" w:cstheme="minorEastAsia"/>
                <w:b/>
                <w:bCs/>
                <w:color w:val="auto"/>
                <w:kern w:val="0"/>
                <w:sz w:val="21"/>
                <w:szCs w:val="21"/>
                <w:lang w:val="en-US" w:eastAsia="zh-CN"/>
              </w:rPr>
              <w:t>样本</w:t>
            </w:r>
            <w:r>
              <w:rPr>
                <w:rFonts w:hint="eastAsia" w:ascii="宋体" w:hAnsi="宋体" w:eastAsia="宋体"/>
                <w:b/>
                <w:bCs/>
                <w:color w:val="auto"/>
                <w:sz w:val="21"/>
                <w:szCs w:val="21"/>
                <w:lang w:val="en-US" w:eastAsia="zh-CN"/>
              </w:rPr>
              <w:t>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0" w:firstLineChars="100"/>
              <w:jc w:val="right"/>
              <w:rPr>
                <w:rFonts w:hint="eastAsia" w:ascii="宋体" w:hAnsi="宋体" w:eastAsia="宋体" w:cs="Arial"/>
                <w:b/>
                <w:bCs/>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9.1</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cs="Arial"/>
                <w:b/>
                <w:bCs/>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样本处理过程是否规范</w:t>
            </w:r>
          </w:p>
        </w:tc>
        <w:tc>
          <w:tcPr>
            <w:tcW w:w="565" w:type="dxa"/>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s="Arial"/>
                <w:color w:val="auto"/>
                <w:kern w:val="0"/>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center"/>
              <w:rPr>
                <w:rFonts w:hint="eastAsia" w:ascii="宋体" w:hAnsi="宋体" w:eastAsia="宋体" w:cs="Arial"/>
                <w:b w:val="0"/>
                <w:bCs w:val="0"/>
                <w:color w:val="auto"/>
                <w:kern w:val="0"/>
                <w:sz w:val="21"/>
                <w:szCs w:val="21"/>
                <w:lang w:val="en-US" w:eastAsia="zh-CN"/>
              </w:rPr>
            </w:pPr>
            <w:r>
              <w:rPr>
                <w:rFonts w:hint="eastAsia" w:ascii="宋体" w:hAnsi="宋体" w:eastAsia="宋体" w:cs="Arial"/>
                <w:b/>
                <w:bCs/>
                <w:color w:val="auto"/>
                <w:kern w:val="0"/>
                <w:sz w:val="21"/>
                <w:szCs w:val="21"/>
                <w:lang w:eastAsia="zh-CN"/>
              </w:rPr>
              <w:t>序号</w:t>
            </w:r>
          </w:p>
        </w:tc>
        <w:tc>
          <w:tcPr>
            <w:tcW w:w="5103" w:type="dxa"/>
            <w:gridSpan w:val="2"/>
            <w:vAlign w:val="center"/>
          </w:tcPr>
          <w:p>
            <w:pPr>
              <w:widowControl/>
              <w:wordWrap/>
              <w:autoSpaceDE/>
              <w:autoSpaceDN/>
              <w:spacing w:before="20" w:after="20"/>
              <w:jc w:val="center"/>
              <w:rPr>
                <w:rFonts w:hint="eastAsia" w:ascii="宋体" w:hAnsi="宋体" w:eastAsia="宋体"/>
                <w:b w:val="0"/>
                <w:bCs w:val="0"/>
                <w:color w:val="auto"/>
                <w:sz w:val="21"/>
                <w:szCs w:val="21"/>
                <w:lang w:val="en-US" w:eastAsia="zh-CN"/>
              </w:rPr>
            </w:pPr>
            <w:r>
              <w:rPr>
                <w:rFonts w:hint="eastAsia" w:ascii="宋体" w:hAnsi="宋体" w:eastAsia="宋体" w:cs="Arial"/>
                <w:b/>
                <w:bCs/>
                <w:color w:val="auto"/>
                <w:kern w:val="0"/>
                <w:sz w:val="21"/>
                <w:szCs w:val="21"/>
                <w:lang w:val="en-US" w:eastAsia="zh-CN"/>
              </w:rPr>
              <w:t>项目</w:t>
            </w:r>
          </w:p>
        </w:tc>
        <w:tc>
          <w:tcPr>
            <w:tcW w:w="565" w:type="dxa"/>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是</w:t>
            </w:r>
          </w:p>
        </w:tc>
        <w:tc>
          <w:tcPr>
            <w:tcW w:w="565" w:type="dxa"/>
            <w:gridSpan w:val="2"/>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否</w:t>
            </w:r>
          </w:p>
        </w:tc>
        <w:tc>
          <w:tcPr>
            <w:tcW w:w="567" w:type="dxa"/>
            <w:gridSpan w:val="2"/>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NA</w:t>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r>
              <w:rPr>
                <w:rFonts w:hint="eastAsia" w:ascii="宋体" w:hAnsi="宋体" w:eastAsia="宋体" w:cs="Arial"/>
                <w:b/>
                <w:bCs/>
                <w:color w:val="auto"/>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0" w:firstLineChars="100"/>
              <w:jc w:val="right"/>
              <w:rPr>
                <w:rFonts w:hint="eastAsia" w:ascii="宋体" w:hAnsi="宋体" w:eastAsia="宋体" w:cs="Arial"/>
                <w:b w:val="0"/>
                <w:bCs w:val="0"/>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9.2</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b w:val="0"/>
                <w:bCs w:val="0"/>
                <w:color w:val="auto"/>
                <w:kern w:val="2"/>
                <w:sz w:val="21"/>
                <w:szCs w:val="21"/>
                <w:lang w:val="en-US" w:eastAsia="zh-CN" w:bidi="ar-SA"/>
              </w:rPr>
            </w:pPr>
            <w:r>
              <w:rPr>
                <w:rFonts w:hint="eastAsia" w:ascii="宋体" w:hAnsi="宋体" w:eastAsia="宋体"/>
                <w:b w:val="0"/>
                <w:bCs w:val="0"/>
                <w:color w:val="auto"/>
                <w:sz w:val="21"/>
                <w:szCs w:val="21"/>
                <w:lang w:val="en-US" w:eastAsia="zh-CN"/>
              </w:rPr>
              <w:t>是否有样本保存记录</w:t>
            </w:r>
          </w:p>
        </w:tc>
        <w:tc>
          <w:tcPr>
            <w:tcW w:w="565"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0" w:firstLineChars="100"/>
              <w:jc w:val="right"/>
              <w:rPr>
                <w:rFonts w:hint="eastAsia" w:ascii="宋体" w:hAnsi="宋体" w:eastAsia="宋体" w:cs="Arial"/>
                <w:b w:val="0"/>
                <w:bCs w:val="0"/>
                <w:color w:val="auto"/>
                <w:kern w:val="0"/>
                <w:sz w:val="21"/>
                <w:szCs w:val="21"/>
                <w:lang w:val="en-US" w:eastAsia="zh-CN" w:bidi="ar-SA"/>
              </w:rPr>
            </w:pPr>
            <w:r>
              <w:rPr>
                <w:rFonts w:hint="eastAsia" w:ascii="宋体" w:hAnsi="宋体" w:eastAsia="宋体" w:cs="Arial"/>
                <w:b w:val="0"/>
                <w:bCs w:val="0"/>
                <w:color w:val="auto"/>
                <w:kern w:val="0"/>
                <w:sz w:val="21"/>
                <w:szCs w:val="21"/>
                <w:lang w:val="en-US" w:eastAsia="zh-CN"/>
              </w:rPr>
              <w:t>9.3</w:t>
            </w:r>
          </w:p>
        </w:tc>
        <w:tc>
          <w:tcPr>
            <w:tcW w:w="5103" w:type="dxa"/>
            <w:gridSpan w:val="2"/>
            <w:vAlign w:val="center"/>
          </w:tcPr>
          <w:p>
            <w:pPr>
              <w:keepNext w:val="0"/>
              <w:keepLines w:val="0"/>
              <w:pageBreakBefore w:val="0"/>
              <w:widowControl/>
              <w:kinsoku/>
              <w:wordWrap/>
              <w:overflowPunct/>
              <w:topLinePunct w:val="0"/>
              <w:autoSpaceDE/>
              <w:autoSpaceDN/>
              <w:bidi w:val="0"/>
              <w:adjustRightInd/>
              <w:snapToGrid/>
              <w:spacing w:before="20" w:after="20"/>
              <w:ind w:left="105" w:leftChars="50"/>
              <w:jc w:val="left"/>
              <w:textAlignment w:val="auto"/>
              <w:rPr>
                <w:rFonts w:hint="eastAsia" w:ascii="宋体" w:hAnsi="宋体" w:eastAsia="宋体"/>
                <w:b w:val="0"/>
                <w:bCs w:val="0"/>
                <w:color w:val="auto"/>
                <w:kern w:val="2"/>
                <w:sz w:val="21"/>
                <w:szCs w:val="21"/>
                <w:lang w:val="en-US" w:eastAsia="zh-CN" w:bidi="ar-SA"/>
              </w:rPr>
            </w:pPr>
            <w:r>
              <w:rPr>
                <w:rFonts w:hint="eastAsia" w:ascii="宋体" w:hAnsi="宋体" w:eastAsia="宋体"/>
                <w:b w:val="0"/>
                <w:bCs w:val="0"/>
                <w:color w:val="auto"/>
                <w:sz w:val="21"/>
                <w:szCs w:val="21"/>
                <w:lang w:val="en-US" w:eastAsia="zh-CN"/>
              </w:rPr>
              <w:t>是否有样本交接记录</w:t>
            </w:r>
          </w:p>
        </w:tc>
        <w:tc>
          <w:tcPr>
            <w:tcW w:w="565" w:type="dxa"/>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5"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7"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705" w:type="dxa"/>
            <w:gridSpan w:val="2"/>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bottom"/>
          </w:tcPr>
          <w:p>
            <w:pPr>
              <w:widowControl/>
              <w:wordWrap/>
              <w:autoSpaceDE/>
              <w:autoSpaceDN/>
              <w:spacing w:before="20" w:after="20"/>
              <w:ind w:firstLine="211" w:firstLineChars="100"/>
              <w:jc w:val="left"/>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10</w:t>
            </w:r>
          </w:p>
        </w:tc>
        <w:tc>
          <w:tcPr>
            <w:tcW w:w="8505" w:type="dxa"/>
            <w:gridSpan w:val="9"/>
            <w:vAlign w:val="center"/>
          </w:tcPr>
          <w:p>
            <w:pPr>
              <w:widowControl/>
              <w:wordWrap/>
              <w:autoSpaceDE/>
              <w:autoSpaceDN/>
              <w:spacing w:before="20" w:after="20"/>
              <w:ind w:left="105" w:leftChars="50"/>
              <w:jc w:val="left"/>
              <w:rPr>
                <w:rFonts w:hint="default" w:asciiTheme="minorEastAsia" w:hAnsiTheme="minorEastAsia" w:cstheme="minorEastAsia"/>
                <w:b/>
                <w:bCs/>
                <w:color w:val="auto"/>
                <w:kern w:val="0"/>
                <w:sz w:val="21"/>
                <w:szCs w:val="21"/>
                <w:lang w:val="en-US" w:eastAsia="zh-CN"/>
              </w:rPr>
            </w:pPr>
            <w:r>
              <w:rPr>
                <w:rFonts w:hint="eastAsia" w:asciiTheme="minorEastAsia" w:hAnsiTheme="minorEastAsia" w:cstheme="minorEastAsia"/>
                <w:b/>
                <w:bCs/>
                <w:color w:val="auto"/>
                <w:kern w:val="0"/>
                <w:sz w:val="21"/>
                <w:szCs w:val="21"/>
                <w:lang w:val="en-US" w:eastAsia="zh-CN"/>
              </w:rPr>
              <w:t>知情同意书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411" w:hRule="atLeast"/>
          <w:tblHeader/>
          <w:jc w:val="center"/>
        </w:trPr>
        <w:tc>
          <w:tcPr>
            <w:tcW w:w="1134"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10.</w:t>
            </w:r>
            <w:r>
              <w:rPr>
                <w:rFonts w:ascii="宋体" w:hAnsi="宋体" w:eastAsia="宋体" w:cs="Arial"/>
                <w:color w:val="auto"/>
                <w:kern w:val="0"/>
                <w:sz w:val="21"/>
                <w:szCs w:val="21"/>
                <w:lang w:eastAsia="zh-CN"/>
              </w:rPr>
              <w:t>1</w:t>
            </w:r>
          </w:p>
        </w:tc>
        <w:tc>
          <w:tcPr>
            <w:tcW w:w="6812" w:type="dxa"/>
            <w:gridSpan w:val="8"/>
            <w:vAlign w:val="center"/>
          </w:tcPr>
          <w:p>
            <w:pPr>
              <w:widowControl/>
              <w:wordWrap/>
              <w:autoSpaceDE/>
              <w:autoSpaceDN/>
              <w:spacing w:before="20" w:after="20"/>
              <w:jc w:val="left"/>
              <w:rPr>
                <w:rFonts w:hint="default" w:asciiTheme="minorEastAsia" w:hAnsiTheme="minorEastAsia" w:cstheme="minorEastAsia"/>
                <w:b/>
                <w:bCs/>
                <w:color w:val="auto"/>
                <w:kern w:val="0"/>
                <w:sz w:val="21"/>
                <w:szCs w:val="21"/>
                <w:lang w:val="en-US" w:eastAsia="zh-CN"/>
              </w:rPr>
            </w:pPr>
            <w:r>
              <w:rPr>
                <w:rFonts w:hint="eastAsia" w:ascii="宋体" w:hAnsi="宋体" w:eastAsia="宋体" w:cs="Arial"/>
                <w:color w:val="auto"/>
                <w:kern w:val="0"/>
                <w:sz w:val="21"/>
                <w:szCs w:val="21"/>
                <w:lang w:val="en-US" w:eastAsia="zh-CN"/>
              </w:rPr>
              <w:t>签署知情同意书：___份，抽查：___份，筛选号：</w:t>
            </w:r>
          </w:p>
        </w:tc>
        <w:tc>
          <w:tcPr>
            <w:tcW w:w="1693" w:type="dxa"/>
            <w:vAlign w:val="center"/>
          </w:tcPr>
          <w:p>
            <w:pPr>
              <w:widowControl/>
              <w:wordWrap/>
              <w:autoSpaceDE/>
              <w:autoSpaceDN/>
              <w:spacing w:before="20" w:after="20"/>
              <w:jc w:val="left"/>
              <w:rPr>
                <w:rFonts w:hint="eastAsia" w:ascii="宋体" w:hAnsi="宋体" w:eastAsia="宋体" w:cs="Arial"/>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10.</w:t>
            </w:r>
            <w:r>
              <w:rPr>
                <w:rFonts w:ascii="宋体" w:hAnsi="宋体" w:eastAsia="宋体" w:cs="Arial"/>
                <w:color w:val="auto"/>
                <w:kern w:val="0"/>
                <w:sz w:val="21"/>
                <w:szCs w:val="21"/>
                <w:lang w:eastAsia="zh-CN"/>
              </w:rPr>
              <w:t>2</w:t>
            </w:r>
          </w:p>
        </w:tc>
        <w:tc>
          <w:tcPr>
            <w:tcW w:w="5103" w:type="dxa"/>
            <w:gridSpan w:val="2"/>
            <w:vAlign w:val="top"/>
          </w:tcPr>
          <w:p>
            <w:pPr>
              <w:widowControl/>
              <w:spacing w:before="100" w:beforeAutospacing="1" w:after="100" w:afterAutospacing="1" w:line="360" w:lineRule="auto"/>
              <w:rPr>
                <w:rFonts w:hint="eastAsia" w:asciiTheme="minorEastAsia" w:hAnsi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rPr>
              <w:t>受试者签署知情同意书是否在筛选期</w:t>
            </w:r>
          </w:p>
        </w:tc>
        <w:tc>
          <w:tcPr>
            <w:tcW w:w="569"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10.</w:t>
            </w:r>
            <w:r>
              <w:rPr>
                <w:rFonts w:ascii="宋体" w:hAnsi="宋体" w:eastAsia="宋体" w:cs="Arial"/>
                <w:color w:val="auto"/>
                <w:kern w:val="0"/>
                <w:sz w:val="21"/>
                <w:szCs w:val="21"/>
                <w:lang w:eastAsia="zh-CN"/>
              </w:rPr>
              <w:t>3</w:t>
            </w:r>
          </w:p>
        </w:tc>
        <w:tc>
          <w:tcPr>
            <w:tcW w:w="5103" w:type="dxa"/>
            <w:gridSpan w:val="2"/>
            <w:vAlign w:val="top"/>
          </w:tcPr>
          <w:p>
            <w:pPr>
              <w:widowControl/>
              <w:spacing w:before="100" w:beforeAutospacing="1" w:after="100" w:afterAutospacing="1" w:line="360" w:lineRule="auto"/>
              <w:rPr>
                <w:rFonts w:hint="eastAsia" w:asciiTheme="minorEastAsia" w:hAnsi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rPr>
              <w:t>知情同意书是否有受试者本人签名并签署日期</w:t>
            </w:r>
          </w:p>
        </w:tc>
        <w:tc>
          <w:tcPr>
            <w:tcW w:w="569"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10.</w:t>
            </w:r>
            <w:r>
              <w:rPr>
                <w:rFonts w:ascii="宋体" w:hAnsi="宋体" w:eastAsia="宋体" w:cs="Arial"/>
                <w:color w:val="auto"/>
                <w:kern w:val="0"/>
                <w:sz w:val="21"/>
                <w:szCs w:val="21"/>
                <w:lang w:eastAsia="zh-CN"/>
              </w:rPr>
              <w:t>4</w:t>
            </w:r>
          </w:p>
        </w:tc>
        <w:tc>
          <w:tcPr>
            <w:tcW w:w="5103" w:type="dxa"/>
            <w:gridSpan w:val="2"/>
            <w:vAlign w:val="top"/>
          </w:tcPr>
          <w:p>
            <w:pPr>
              <w:widowControl/>
              <w:wordWrap/>
              <w:autoSpaceDE/>
              <w:autoSpaceDN/>
              <w:spacing w:before="20" w:after="20"/>
              <w:ind w:left="105" w:leftChars="50"/>
              <w:jc w:val="left"/>
              <w:rPr>
                <w:rFonts w:asciiTheme="minorEastAsia" w:hAnsiTheme="minorEastAsia" w:cstheme="minorEastAsia"/>
                <w:color w:val="auto"/>
                <w:kern w:val="0"/>
                <w:sz w:val="21"/>
                <w:szCs w:val="21"/>
                <w:lang w:val="en-US" w:eastAsia="ko-KR" w:bidi="ar-SA"/>
              </w:rPr>
            </w:pPr>
            <w:r>
              <w:rPr>
                <w:rFonts w:hint="eastAsia" w:asciiTheme="minorEastAsia" w:hAnsiTheme="minorEastAsia" w:cstheme="minorEastAsia"/>
                <w:color w:val="auto"/>
                <w:kern w:val="0"/>
                <w:sz w:val="21"/>
                <w:szCs w:val="21"/>
              </w:rPr>
              <w:t>如受试者无行为能力等，由其法定代理人签名并签署日期</w:t>
            </w:r>
          </w:p>
        </w:tc>
        <w:tc>
          <w:tcPr>
            <w:tcW w:w="569"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left="105" w:leftChars="50"/>
              <w:jc w:val="right"/>
              <w:rPr>
                <w:rFonts w:hint="eastAsia" w:asciiTheme="minorEastAsia" w:hAnsi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lang w:eastAsia="zh-CN"/>
              </w:rPr>
              <w:t>10.5</w:t>
            </w:r>
          </w:p>
        </w:tc>
        <w:tc>
          <w:tcPr>
            <w:tcW w:w="5103" w:type="dxa"/>
            <w:gridSpan w:val="2"/>
            <w:vAlign w:val="top"/>
          </w:tcPr>
          <w:p>
            <w:pPr>
              <w:widowControl/>
              <w:wordWrap/>
              <w:autoSpaceDE/>
              <w:autoSpaceDN/>
              <w:spacing w:before="20" w:after="20"/>
              <w:ind w:left="105" w:leftChars="50"/>
              <w:jc w:val="left"/>
              <w:rPr>
                <w:rFonts w:asciiTheme="minorEastAsia" w:hAnsiTheme="minorEastAsia" w:cstheme="minorEastAsia"/>
                <w:color w:val="auto"/>
                <w:kern w:val="0"/>
                <w:sz w:val="21"/>
                <w:szCs w:val="21"/>
                <w:lang w:val="en-US" w:eastAsia="ko-KR" w:bidi="ar-SA"/>
              </w:rPr>
            </w:pPr>
            <w:r>
              <w:rPr>
                <w:rFonts w:hint="eastAsia" w:asciiTheme="minorEastAsia" w:hAnsiTheme="minorEastAsia" w:cstheme="minorEastAsia"/>
                <w:color w:val="auto"/>
                <w:kern w:val="0"/>
                <w:sz w:val="21"/>
                <w:szCs w:val="21"/>
              </w:rPr>
              <w:t>知情同意书是否有研究者签名和签署日期</w:t>
            </w:r>
          </w:p>
        </w:tc>
        <w:tc>
          <w:tcPr>
            <w:tcW w:w="569"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center"/>
          </w:tcPr>
          <w:p>
            <w:pPr>
              <w:widowControl/>
              <w:wordWrap/>
              <w:autoSpaceDE/>
              <w:autoSpaceDN/>
              <w:spacing w:before="20" w:after="20"/>
              <w:ind w:firstLine="441" w:firstLineChars="21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10.</w:t>
            </w:r>
            <w:r>
              <w:rPr>
                <w:rFonts w:ascii="宋体" w:hAnsi="宋体" w:eastAsia="宋体" w:cs="Arial"/>
                <w:color w:val="auto"/>
                <w:kern w:val="0"/>
                <w:sz w:val="21"/>
                <w:szCs w:val="21"/>
                <w:lang w:eastAsia="zh-CN"/>
              </w:rPr>
              <w:t>6</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ko-KR"/>
              </w:rPr>
            </w:pPr>
            <w:r>
              <w:rPr>
                <w:rFonts w:hint="eastAsia" w:asciiTheme="minorEastAsia" w:hAnsiTheme="minorEastAsia" w:cstheme="minorEastAsia"/>
                <w:color w:val="auto"/>
                <w:kern w:val="0"/>
                <w:sz w:val="21"/>
                <w:szCs w:val="21"/>
              </w:rPr>
              <w:t>知情同意书研究者签署日期是否与受试者签署日期相一致</w:t>
            </w:r>
          </w:p>
        </w:tc>
        <w:tc>
          <w:tcPr>
            <w:tcW w:w="569"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s="Arial"/>
                <w:color w:val="auto"/>
                <w:kern w:val="0"/>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10.</w:t>
            </w:r>
            <w:r>
              <w:rPr>
                <w:rFonts w:ascii="宋体" w:hAnsi="宋体" w:eastAsia="宋体" w:cs="Arial"/>
                <w:color w:val="auto"/>
                <w:kern w:val="0"/>
                <w:sz w:val="21"/>
                <w:szCs w:val="21"/>
                <w:lang w:eastAsia="zh-CN"/>
              </w:rPr>
              <w:t>7</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ko-KR" w:bidi="ar-SA"/>
              </w:rPr>
            </w:pPr>
            <w:r>
              <w:rPr>
                <w:rFonts w:hint="eastAsia" w:asciiTheme="minorEastAsia" w:hAnsiTheme="minorEastAsia" w:cstheme="minorEastAsia"/>
                <w:color w:val="auto"/>
                <w:kern w:val="0"/>
                <w:sz w:val="21"/>
                <w:szCs w:val="21"/>
              </w:rPr>
              <w:t>知情同意书是否交给受试者一份</w:t>
            </w:r>
          </w:p>
        </w:tc>
        <w:tc>
          <w:tcPr>
            <w:tcW w:w="569"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eastAsia="zh-CN"/>
              </w:rPr>
              <w:t>10.</w:t>
            </w:r>
            <w:r>
              <w:rPr>
                <w:rFonts w:ascii="宋体" w:hAnsi="宋体" w:eastAsia="宋体" w:cs="Arial"/>
                <w:color w:val="auto"/>
                <w:kern w:val="0"/>
                <w:sz w:val="21"/>
                <w:szCs w:val="21"/>
                <w:lang w:eastAsia="zh-CN"/>
              </w:rPr>
              <w:t>8</w:t>
            </w:r>
          </w:p>
        </w:tc>
        <w:tc>
          <w:tcPr>
            <w:tcW w:w="5103" w:type="dxa"/>
            <w:gridSpan w:val="2"/>
            <w:vAlign w:val="top"/>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zh-CN" w:bidi="ar-SA"/>
              </w:rPr>
            </w:pPr>
            <w:r>
              <w:rPr>
                <w:rFonts w:hint="eastAsia" w:asciiTheme="minorEastAsia" w:hAnsiTheme="minorEastAsia" w:cstheme="minorEastAsia"/>
                <w:color w:val="auto"/>
                <w:kern w:val="0"/>
                <w:sz w:val="21"/>
                <w:szCs w:val="21"/>
              </w:rPr>
              <w:t>知情同意书修改后是否告知受试者并重新签署</w:t>
            </w:r>
          </w:p>
        </w:tc>
        <w:tc>
          <w:tcPr>
            <w:tcW w:w="569"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ind w:firstLine="441" w:firstLineChars="210"/>
              <w:jc w:val="righ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10.9</w:t>
            </w:r>
          </w:p>
        </w:tc>
        <w:tc>
          <w:tcPr>
            <w:tcW w:w="5103" w:type="dxa"/>
            <w:gridSpan w:val="2"/>
            <w:vAlign w:val="top"/>
          </w:tcPr>
          <w:p>
            <w:pPr>
              <w:widowControl/>
              <w:wordWrap/>
              <w:autoSpaceDE/>
              <w:autoSpaceDN/>
              <w:spacing w:before="20" w:after="20"/>
              <w:ind w:left="105" w:leftChars="50"/>
              <w:jc w:val="left"/>
              <w:rPr>
                <w:rFonts w:hint="default" w:eastAsia="宋体" w:asciiTheme="minorEastAsia" w:hAnsiTheme="minorEastAsia" w:cstheme="minorEastAsia"/>
                <w:color w:val="auto"/>
                <w:kern w:val="0"/>
                <w:sz w:val="21"/>
                <w:szCs w:val="21"/>
                <w:lang w:val="en-US" w:eastAsia="zh-CN"/>
              </w:rPr>
            </w:pPr>
            <w:r>
              <w:rPr>
                <w:rFonts w:hint="eastAsia" w:asciiTheme="minorEastAsia" w:hAnsiTheme="minorEastAsia" w:cstheme="minorEastAsia"/>
                <w:color w:val="auto"/>
                <w:kern w:val="0"/>
                <w:sz w:val="21"/>
                <w:szCs w:val="21"/>
                <w:lang w:val="en-US" w:eastAsia="zh-CN"/>
              </w:rPr>
              <w:t>知情同意书数量与筛选人数是否相符</w:t>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top"/>
          </w:tcPr>
          <w:p>
            <w:pPr>
              <w:widowControl/>
              <w:wordWrap/>
              <w:autoSpaceDE/>
              <w:autoSpaceDN/>
              <w:spacing w:before="20" w:after="20"/>
              <w:ind w:firstLine="211" w:firstLineChars="100"/>
              <w:jc w:val="both"/>
              <w:rPr>
                <w:rFonts w:hint="default" w:ascii="宋体" w:hAnsi="宋体" w:eastAsia="宋体" w:cs="Arial"/>
                <w:b/>
                <w:bCs/>
                <w:color w:val="auto"/>
                <w:kern w:val="0"/>
                <w:sz w:val="21"/>
                <w:szCs w:val="21"/>
                <w:lang w:val="en-US" w:eastAsia="zh-CN"/>
              </w:rPr>
            </w:pPr>
            <w:r>
              <w:rPr>
                <w:rFonts w:hint="eastAsia" w:ascii="宋体" w:hAnsi="宋体" w:eastAsia="宋体" w:cs="Arial"/>
                <w:b/>
                <w:bCs/>
                <w:color w:val="auto"/>
                <w:kern w:val="0"/>
                <w:sz w:val="21"/>
                <w:szCs w:val="21"/>
                <w:lang w:val="en-US" w:eastAsia="zh-CN"/>
              </w:rPr>
              <w:t>11</w:t>
            </w:r>
          </w:p>
        </w:tc>
        <w:tc>
          <w:tcPr>
            <w:tcW w:w="6812" w:type="dxa"/>
            <w:gridSpan w:val="8"/>
            <w:vAlign w:val="center"/>
          </w:tcPr>
          <w:p>
            <w:pPr>
              <w:widowControl/>
              <w:wordWrap/>
              <w:autoSpaceDE/>
              <w:autoSpaceDN/>
              <w:spacing w:before="20" w:after="20"/>
              <w:jc w:val="left"/>
              <w:rPr>
                <w:rFonts w:hint="default" w:ascii="宋体" w:hAnsi="宋体" w:eastAsia="宋体" w:cs="Arial"/>
                <w:color w:val="auto"/>
                <w:kern w:val="0"/>
                <w:sz w:val="21"/>
                <w:szCs w:val="21"/>
                <w:lang w:val="en-US" w:eastAsia="zh-CN"/>
              </w:rPr>
            </w:pPr>
            <w:r>
              <w:rPr>
                <w:rFonts w:hint="eastAsia" w:ascii="宋体" w:hAnsi="宋体" w:eastAsia="宋体" w:cs="Arial"/>
                <w:b/>
                <w:bCs/>
                <w:color w:val="auto"/>
                <w:kern w:val="0"/>
                <w:sz w:val="21"/>
                <w:szCs w:val="21"/>
                <w:lang w:val="en-US" w:eastAsia="zh-CN"/>
              </w:rPr>
              <w:t>研究病历或CRF表</w:t>
            </w:r>
          </w:p>
        </w:tc>
        <w:tc>
          <w:tcPr>
            <w:tcW w:w="1693" w:type="dxa"/>
            <w:vAlign w:val="center"/>
          </w:tcPr>
          <w:p>
            <w:pPr>
              <w:widowControl/>
              <w:wordWrap/>
              <w:autoSpaceDE/>
              <w:autoSpaceDN/>
              <w:spacing w:before="20" w:after="20"/>
              <w:jc w:val="left"/>
              <w:rPr>
                <w:rFonts w:hint="eastAsia" w:ascii="宋体" w:hAnsi="宋体" w:eastAsia="宋体" w:cs="Arial"/>
                <w:b/>
                <w:bCs/>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90" w:hRule="atLeast"/>
          <w:tblHeader/>
          <w:jc w:val="center"/>
        </w:trPr>
        <w:tc>
          <w:tcPr>
            <w:tcW w:w="1134"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11.1</w:t>
            </w:r>
          </w:p>
        </w:tc>
        <w:tc>
          <w:tcPr>
            <w:tcW w:w="6812" w:type="dxa"/>
            <w:gridSpan w:val="8"/>
            <w:vAlign w:val="center"/>
          </w:tcPr>
          <w:p>
            <w:pPr>
              <w:widowControl/>
              <w:wordWrap/>
              <w:autoSpaceDE/>
              <w:autoSpaceDN/>
              <w:spacing w:before="20" w:after="20"/>
              <w:ind w:left="105" w:leftChars="50"/>
              <w:jc w:val="left"/>
              <w:rPr>
                <w:rFonts w:hint="eastAsia" w:ascii="宋体" w:hAnsi="宋体" w:eastAsia="宋体" w:cs="Arial"/>
                <w:b/>
                <w:bCs/>
                <w:color w:val="auto"/>
                <w:kern w:val="0"/>
                <w:sz w:val="21"/>
                <w:szCs w:val="21"/>
                <w:lang w:val="en-US" w:eastAsia="zh-CN"/>
              </w:rPr>
            </w:pPr>
            <w:r>
              <w:rPr>
                <w:rFonts w:hint="eastAsia" w:asciiTheme="minorEastAsia" w:hAnsiTheme="minorEastAsia" w:cstheme="minorEastAsia"/>
                <w:color w:val="auto"/>
                <w:kern w:val="0"/>
                <w:sz w:val="21"/>
                <w:szCs w:val="21"/>
                <w:lang w:val="en-US" w:eastAsia="zh-CN"/>
              </w:rPr>
              <w:t>研究</w:t>
            </w:r>
            <w:r>
              <w:rPr>
                <w:rFonts w:hint="eastAsia" w:ascii="宋体" w:hAnsi="宋体" w:eastAsia="宋体" w:cs="Arial"/>
                <w:b w:val="0"/>
                <w:bCs w:val="0"/>
                <w:color w:val="auto"/>
                <w:kern w:val="0"/>
                <w:sz w:val="21"/>
                <w:szCs w:val="21"/>
                <w:lang w:val="en-US" w:eastAsia="zh-CN"/>
              </w:rPr>
              <w:t>病历或CRF表：</w:t>
            </w:r>
            <w:r>
              <w:rPr>
                <w:rFonts w:hint="eastAsia" w:ascii="宋体" w:hAnsi="宋体" w:eastAsia="宋体" w:cs="Arial"/>
                <w:color w:val="auto"/>
                <w:kern w:val="0"/>
                <w:sz w:val="21"/>
                <w:szCs w:val="21"/>
                <w:lang w:val="en-US" w:eastAsia="zh-CN"/>
              </w:rPr>
              <w:t>___份，抽查：___份，筛选号：</w:t>
            </w:r>
          </w:p>
        </w:tc>
        <w:tc>
          <w:tcPr>
            <w:tcW w:w="1693" w:type="dxa"/>
            <w:vAlign w:val="center"/>
          </w:tcPr>
          <w:p>
            <w:pPr>
              <w:widowControl/>
              <w:wordWrap/>
              <w:autoSpaceDE/>
              <w:autoSpaceDN/>
              <w:spacing w:before="20" w:after="20"/>
              <w:ind w:left="105" w:leftChars="50"/>
              <w:jc w:val="left"/>
              <w:rPr>
                <w:rFonts w:hint="eastAsia" w:asciiTheme="minorEastAsia" w:hAnsiTheme="minorEastAsia" w:cstheme="minorEastAsia"/>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11.2</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是否有对应临床试验方案的SOP</w:t>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11.3</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病历填写是否及时</w:t>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11.4</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病历填写是否完整</w:t>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11.5</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病历修改是否规范</w:t>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11.6</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rPr>
              <w:t>CRF表内容与原始病历是否相符</w:t>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11.7</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入选、排除标准是否符合方案要求</w:t>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768" w:hRule="atLeast"/>
          <w:tblHeader/>
          <w:jc w:val="center"/>
        </w:trPr>
        <w:tc>
          <w:tcPr>
            <w:tcW w:w="1134"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11.8</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受试者是否按照方案要求进行相关访视、检查（体格检查、实验室、影像学检查等）</w:t>
            </w:r>
          </w:p>
        </w:tc>
        <w:tc>
          <w:tcPr>
            <w:tcW w:w="569"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11.9</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实验室检查有报告单或者复印件</w:t>
            </w:r>
          </w:p>
        </w:tc>
        <w:tc>
          <w:tcPr>
            <w:tcW w:w="569"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sz w:val="21"/>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11.10</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宋体" w:hAnsi="宋体" w:eastAsia="宋体" w:cs="Arial"/>
                <w:color w:val="auto"/>
                <w:kern w:val="0"/>
                <w:sz w:val="21"/>
                <w:szCs w:val="21"/>
                <w:lang w:val="en-US" w:eastAsia="zh-CN"/>
              </w:rPr>
              <w:t>报告单是否及时签名、异常值判断</w:t>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11.11</w:t>
            </w:r>
          </w:p>
        </w:tc>
        <w:tc>
          <w:tcPr>
            <w:tcW w:w="5103" w:type="dxa"/>
            <w:gridSpan w:val="2"/>
            <w:vAlign w:val="center"/>
          </w:tcPr>
          <w:p>
            <w:pPr>
              <w:widowControl/>
              <w:wordWrap/>
              <w:autoSpaceDE/>
              <w:autoSpaceDN/>
              <w:spacing w:before="20" w:after="20"/>
              <w:ind w:left="105" w:leftChars="50"/>
              <w:jc w:val="left"/>
              <w:rPr>
                <w:rFonts w:hint="eastAsia" w:ascii="宋体" w:hAnsi="宋体" w:eastAsia="宋体" w:cs="Arial"/>
                <w:color w:val="auto"/>
                <w:kern w:val="0"/>
                <w:sz w:val="21"/>
                <w:szCs w:val="21"/>
                <w:lang w:val="en-US" w:eastAsia="zh-CN"/>
              </w:rPr>
            </w:pPr>
            <w:r>
              <w:rPr>
                <w:rFonts w:hint="eastAsia" w:asciiTheme="minorEastAsia" w:hAnsiTheme="minorEastAsia" w:cstheme="minorEastAsia"/>
                <w:color w:val="auto"/>
                <w:kern w:val="0"/>
                <w:szCs w:val="21"/>
              </w:rPr>
              <w:t>方案规定的随访和检查是否遗漏</w:t>
            </w:r>
          </w:p>
        </w:tc>
        <w:tc>
          <w:tcPr>
            <w:tcW w:w="569" w:type="dxa"/>
            <w:gridSpan w:val="2"/>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stheme="minorBidi"/>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11.12</w:t>
            </w:r>
          </w:p>
        </w:tc>
        <w:tc>
          <w:tcPr>
            <w:tcW w:w="5103" w:type="dxa"/>
            <w:gridSpan w:val="2"/>
            <w:vAlign w:val="center"/>
          </w:tcPr>
          <w:p>
            <w:pPr>
              <w:widowControl/>
              <w:wordWrap/>
              <w:autoSpaceDE/>
              <w:autoSpaceDN/>
              <w:spacing w:before="20" w:after="20"/>
              <w:ind w:left="105" w:leftChars="50"/>
              <w:jc w:val="left"/>
              <w:rPr>
                <w:rFonts w:hint="default" w:ascii="宋体" w:hAnsi="宋体" w:eastAsia="宋体" w:cs="Arial"/>
                <w:color w:val="auto"/>
                <w:kern w:val="0"/>
                <w:sz w:val="21"/>
                <w:szCs w:val="21"/>
                <w:lang w:val="en-US" w:eastAsia="zh-CN"/>
              </w:rPr>
            </w:pPr>
            <w:r>
              <w:rPr>
                <w:rFonts w:hint="eastAsia" w:asciiTheme="minorEastAsia" w:hAnsiTheme="minorEastAsia" w:cstheme="minorEastAsia"/>
                <w:color w:val="auto"/>
                <w:kern w:val="0"/>
                <w:sz w:val="21"/>
                <w:szCs w:val="21"/>
              </w:rPr>
              <w:t>是否存在方案违背</w:t>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1134" w:type="dxa"/>
            <w:vAlign w:val="center"/>
          </w:tcPr>
          <w:p>
            <w:pPr>
              <w:widowControl/>
              <w:wordWrap/>
              <w:autoSpaceDE/>
              <w:autoSpaceDN/>
              <w:spacing w:before="20" w:after="20"/>
              <w:jc w:val="right"/>
              <w:rPr>
                <w:rFonts w:hint="default" w:ascii="宋体" w:hAnsi="宋体" w:eastAsia="宋体" w:cs="Arial"/>
                <w:color w:val="auto"/>
                <w:kern w:val="0"/>
                <w:sz w:val="21"/>
                <w:szCs w:val="21"/>
                <w:lang w:val="en-US" w:eastAsia="zh-CN" w:bidi="ar-SA"/>
              </w:rPr>
            </w:pPr>
            <w:r>
              <w:rPr>
                <w:rFonts w:hint="eastAsia" w:ascii="宋体" w:hAnsi="宋体" w:eastAsia="宋体" w:cs="Arial"/>
                <w:color w:val="auto"/>
                <w:kern w:val="0"/>
                <w:sz w:val="21"/>
                <w:szCs w:val="21"/>
                <w:lang w:val="en-US" w:eastAsia="zh-CN" w:bidi="ar-SA"/>
              </w:rPr>
              <w:t>11.13</w:t>
            </w:r>
          </w:p>
        </w:tc>
        <w:tc>
          <w:tcPr>
            <w:tcW w:w="5103" w:type="dxa"/>
            <w:gridSpan w:val="2"/>
            <w:vAlign w:val="center"/>
          </w:tcPr>
          <w:p>
            <w:pPr>
              <w:widowControl/>
              <w:wordWrap/>
              <w:autoSpaceDE/>
              <w:autoSpaceDN/>
              <w:spacing w:before="20" w:after="20"/>
              <w:ind w:left="105" w:leftChars="50"/>
              <w:jc w:val="left"/>
              <w:rPr>
                <w:rFonts w:hint="default" w:eastAsia="宋体" w:asciiTheme="minorEastAsia" w:hAnsiTheme="minorEastAsia" w:cstheme="minorEastAsia"/>
                <w:color w:val="auto"/>
                <w:kern w:val="0"/>
                <w:sz w:val="21"/>
                <w:szCs w:val="21"/>
                <w:lang w:val="en-US" w:eastAsia="zh-CN"/>
              </w:rPr>
            </w:pPr>
            <w:r>
              <w:rPr>
                <w:rFonts w:hint="eastAsia" w:asciiTheme="minorEastAsia" w:hAnsiTheme="minorEastAsia" w:cstheme="minorEastAsia"/>
                <w:color w:val="auto"/>
                <w:kern w:val="0"/>
                <w:sz w:val="21"/>
                <w:szCs w:val="21"/>
                <w:lang w:val="en-US" w:eastAsia="zh-CN"/>
              </w:rPr>
              <w:t>方案违背是否及时处理并记录</w:t>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69"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571" w:type="dxa"/>
            <w:gridSpan w:val="2"/>
            <w:vAlign w:val="center"/>
          </w:tcPr>
          <w:p>
            <w:pPr>
              <w:widowControl/>
              <w:wordWrap/>
              <w:autoSpaceDE/>
              <w:autoSpaceDN/>
              <w:spacing w:before="20" w:after="20"/>
              <w:jc w:val="center"/>
              <w:rPr>
                <w:rFonts w:ascii="宋体" w:hAnsi="宋体" w:eastAsia="宋体"/>
                <w:color w:val="auto"/>
                <w:kern w:val="2"/>
                <w:sz w:val="21"/>
                <w:szCs w:val="21"/>
                <w:lang w:val="en-US" w:eastAsia="ko-KR"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693" w:type="dxa"/>
            <w:vAlign w:val="center"/>
          </w:tcPr>
          <w:p>
            <w:pPr>
              <w:widowControl/>
              <w:wordWrap/>
              <w:autoSpaceDE/>
              <w:autoSpaceDN/>
              <w:spacing w:before="20" w:after="20"/>
              <w:jc w:val="center"/>
              <w:rPr>
                <w:rFonts w:ascii="宋体" w:hAnsi="宋体"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61" w:hRule="atLeast"/>
          <w:tblHeader/>
          <w:jc w:val="center"/>
        </w:trPr>
        <w:tc>
          <w:tcPr>
            <w:tcW w:w="9639" w:type="dxa"/>
            <w:gridSpan w:val="10"/>
            <w:vAlign w:val="bottom"/>
          </w:tcPr>
          <w:p>
            <w:pPr>
              <w:widowControl/>
              <w:wordWrap/>
              <w:autoSpaceDE/>
              <w:autoSpaceDN/>
              <w:spacing w:before="20" w:after="20"/>
              <w:jc w:val="center"/>
              <w:rPr>
                <w:rFonts w:hint="default" w:ascii="宋体" w:hAnsi="宋体" w:eastAsia="宋体"/>
                <w:color w:val="auto"/>
                <w:sz w:val="21"/>
                <w:szCs w:val="21"/>
                <w:lang w:val="en-US" w:eastAsia="zh-CN"/>
              </w:rPr>
            </w:pPr>
            <w:r>
              <w:rPr>
                <w:rFonts w:hint="eastAsia" w:ascii="宋体" w:hAnsi="宋体" w:eastAsia="宋体"/>
                <w:b/>
                <w:bCs/>
                <w:color w:val="auto"/>
                <w:sz w:val="21"/>
                <w:szCs w:val="21"/>
                <w:lang w:val="en-US" w:eastAsia="zh-CN"/>
              </w:rPr>
              <w:t>补充备注及其他问题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1180" w:hRule="atLeast"/>
          <w:tblHeader/>
          <w:jc w:val="center"/>
        </w:trPr>
        <w:tc>
          <w:tcPr>
            <w:tcW w:w="9639" w:type="dxa"/>
            <w:gridSpan w:val="10"/>
            <w:vAlign w:val="bottom"/>
          </w:tcPr>
          <w:p>
            <w:pPr>
              <w:widowControl/>
              <w:wordWrap/>
              <w:autoSpaceDE/>
              <w:autoSpaceDN/>
              <w:spacing w:before="20" w:after="20"/>
              <w:jc w:val="both"/>
              <w:rPr>
                <w:rFonts w:ascii="宋体" w:hAnsi="宋体" w:eastAsia="宋体"/>
                <w:color w:val="auto"/>
                <w:kern w:val="2"/>
                <w:sz w:val="21"/>
                <w:szCs w:val="21"/>
                <w:lang w:val="en-US" w:eastAsia="ko-KR" w:bidi="ar-SA"/>
              </w:rPr>
            </w:pPr>
          </w:p>
        </w:tc>
      </w:tr>
    </w:tbl>
    <w:p>
      <w:pPr>
        <w:spacing w:line="360" w:lineRule="auto"/>
        <w:jc w:val="center"/>
        <w:rPr>
          <w:rFonts w:ascii="黑体" w:hAnsi="黑体" w:eastAsia="黑体" w:cs="黑体"/>
          <w:b/>
          <w:color w:val="auto"/>
          <w:sz w:val="28"/>
          <w:szCs w:val="28"/>
        </w:rPr>
      </w:pPr>
    </w:p>
    <w:p>
      <w:pPr>
        <w:spacing w:line="360" w:lineRule="auto"/>
        <w:rPr>
          <w:rFonts w:hint="eastAsia" w:asciiTheme="minorEastAsia" w:hAnsiTheme="minorEastAsia" w:cstheme="minorEastAsia"/>
          <w:b/>
          <w:color w:val="auto"/>
          <w:sz w:val="24"/>
          <w:szCs w:val="24"/>
        </w:rPr>
      </w:pPr>
    </w:p>
    <w:p>
      <w:pPr>
        <w:spacing w:line="360" w:lineRule="auto"/>
        <w:rPr>
          <w:rFonts w:hint="eastAsia" w:asciiTheme="minorEastAsia" w:hAnsiTheme="minorEastAsia" w:cstheme="minorEastAsia"/>
          <w:b/>
          <w:color w:val="auto"/>
          <w:sz w:val="24"/>
          <w:szCs w:val="24"/>
        </w:rPr>
      </w:pPr>
    </w:p>
    <w:p>
      <w:pPr>
        <w:spacing w:line="360" w:lineRule="auto"/>
        <w:rPr>
          <w:rFonts w:hint="eastAsia" w:asciiTheme="minorEastAsia" w:hAnsiTheme="minorEastAsia" w:cstheme="minorEastAsia"/>
          <w:b/>
          <w:color w:val="auto"/>
          <w:sz w:val="24"/>
          <w:szCs w:val="24"/>
        </w:rPr>
      </w:pPr>
      <w:r>
        <w:rPr>
          <w:rFonts w:hint="eastAsia" w:asciiTheme="minorEastAsia" w:hAnsiTheme="minorEastAsia" w:cstheme="minorEastAsia"/>
          <w:b/>
          <w:color w:val="auto"/>
          <w:sz w:val="24"/>
          <w:szCs w:val="24"/>
        </w:rPr>
        <w:t>附件4</w:t>
      </w:r>
      <w:r>
        <w:rPr>
          <w:rFonts w:hint="eastAsia" w:asciiTheme="minorEastAsia" w:hAnsiTheme="minorEastAsia" w:cstheme="minorEastAsia"/>
          <w:b/>
          <w:bCs/>
          <w:color w:val="auto"/>
          <w:kern w:val="0"/>
          <w:sz w:val="24"/>
          <w:lang w:val="en-US" w:eastAsia="zh-CN"/>
        </w:rPr>
        <w:t>：YYH-SOP-CTC-025-3.1-A04</w:t>
      </w:r>
      <w:r>
        <w:rPr>
          <w:rFonts w:hint="eastAsia" w:asciiTheme="minorEastAsia" w:hAnsiTheme="minorEastAsia" w:cstheme="minorEastAsia"/>
          <w:b/>
          <w:color w:val="auto"/>
          <w:sz w:val="24"/>
          <w:szCs w:val="24"/>
        </w:rPr>
        <w:t xml:space="preserve"> 药物</w:t>
      </w:r>
      <w:r>
        <w:rPr>
          <w:rFonts w:hint="eastAsia" w:asciiTheme="minorEastAsia" w:hAnsiTheme="minorEastAsia" w:cstheme="minorEastAsia"/>
          <w:b/>
          <w:color w:val="auto"/>
          <w:sz w:val="24"/>
          <w:szCs w:val="24"/>
          <w:lang w:val="en-US" w:eastAsia="zh-CN"/>
        </w:rPr>
        <w:t>/医疗器械</w:t>
      </w:r>
      <w:r>
        <w:rPr>
          <w:rFonts w:hint="eastAsia" w:asciiTheme="minorEastAsia" w:hAnsiTheme="minorEastAsia" w:cstheme="minorEastAsia"/>
          <w:b/>
          <w:color w:val="auto"/>
          <w:sz w:val="24"/>
          <w:szCs w:val="24"/>
        </w:rPr>
        <w:t>临床试验质控检查结果反馈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color w:val="auto"/>
          <w:sz w:val="24"/>
          <w:szCs w:val="24"/>
          <w:lang w:val="en-US" w:eastAsia="zh-CN"/>
        </w:rPr>
      </w:pPr>
      <w:r>
        <w:rPr>
          <w:rFonts w:hint="eastAsia" w:ascii="黑体" w:hAnsi="黑体" w:eastAsia="黑体" w:cs="黑体"/>
          <w:b/>
          <w:color w:val="auto"/>
          <w:sz w:val="24"/>
          <w:szCs w:val="24"/>
          <w:lang w:val="en-US" w:eastAsia="zh-CN"/>
        </w:rPr>
        <w:t>药物/医疗器械临床试验质控检查结果反馈</w:t>
      </w:r>
    </w:p>
    <w:tbl>
      <w:tblPr>
        <w:tblStyle w:val="28"/>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8"/>
        <w:gridCol w:w="4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7" w:type="dxa"/>
            <w:gridSpan w:val="2"/>
          </w:tcPr>
          <w:p>
            <w:pPr>
              <w:spacing w:line="360" w:lineRule="auto"/>
              <w:rPr>
                <w:rFonts w:ascii="黑体" w:hAnsi="黑体" w:eastAsia="黑体" w:cs="黑体"/>
                <w:b/>
                <w:color w:val="auto"/>
                <w:sz w:val="28"/>
                <w:szCs w:val="28"/>
              </w:rPr>
            </w:pPr>
            <w:r>
              <w:rPr>
                <w:rFonts w:hint="eastAsia" w:asciiTheme="minorEastAsia" w:hAnsiTheme="minorEastAsia" w:cstheme="minorEastAsia"/>
                <w:bCs/>
                <w:color w:val="auto"/>
                <w:szCs w:val="21"/>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科室：</w:t>
            </w:r>
          </w:p>
        </w:tc>
        <w:tc>
          <w:tcPr>
            <w:tcW w:w="4729" w:type="dxa"/>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申办方</w:t>
            </w:r>
          </w:p>
        </w:tc>
        <w:tc>
          <w:tcPr>
            <w:tcW w:w="4729" w:type="dxa"/>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启动时间：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筛选例数：</w:t>
            </w:r>
          </w:p>
        </w:tc>
        <w:tc>
          <w:tcPr>
            <w:tcW w:w="4729" w:type="dxa"/>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入组例数：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脱落例数：</w:t>
            </w:r>
          </w:p>
        </w:tc>
        <w:tc>
          <w:tcPr>
            <w:tcW w:w="4729" w:type="dxa"/>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严重不良事件例数：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机构质控员：</w:t>
            </w:r>
          </w:p>
        </w:tc>
        <w:tc>
          <w:tcPr>
            <w:tcW w:w="4729" w:type="dxa"/>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检查时间：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存在问题</w:t>
            </w:r>
          </w:p>
        </w:tc>
        <w:tc>
          <w:tcPr>
            <w:tcW w:w="4729"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问题落实情况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4" w:hRule="atLeast"/>
        </w:trPr>
        <w:tc>
          <w:tcPr>
            <w:tcW w:w="4728" w:type="dxa"/>
          </w:tcPr>
          <w:p>
            <w:pPr>
              <w:spacing w:line="360" w:lineRule="auto"/>
              <w:jc w:val="center"/>
              <w:rPr>
                <w:rFonts w:ascii="黑体" w:hAnsi="黑体" w:eastAsia="黑体" w:cs="黑体"/>
                <w:b/>
                <w:color w:val="auto"/>
                <w:sz w:val="28"/>
                <w:szCs w:val="28"/>
              </w:rPr>
            </w:pPr>
          </w:p>
        </w:tc>
        <w:tc>
          <w:tcPr>
            <w:tcW w:w="4729" w:type="dxa"/>
          </w:tcPr>
          <w:p>
            <w:pPr>
              <w:spacing w:line="360" w:lineRule="auto"/>
              <w:jc w:val="center"/>
              <w:rPr>
                <w:rFonts w:ascii="黑体" w:hAnsi="黑体" w:eastAsia="黑体" w:cs="黑体"/>
                <w:b/>
                <w:color w:val="auto"/>
                <w:sz w:val="28"/>
                <w:szCs w:val="28"/>
              </w:rPr>
            </w:pPr>
          </w:p>
        </w:tc>
      </w:tr>
    </w:tbl>
    <w:p>
      <w:pPr>
        <w:spacing w:line="360" w:lineRule="auto"/>
        <w:jc w:val="center"/>
        <w:rPr>
          <w:rFonts w:ascii="黑体" w:hAnsi="黑体" w:eastAsia="黑体" w:cs="黑体"/>
          <w:b/>
          <w:color w:val="auto"/>
          <w:sz w:val="28"/>
          <w:szCs w:val="28"/>
        </w:rPr>
      </w:pPr>
    </w:p>
    <w:p>
      <w:pPr>
        <w:spacing w:line="360" w:lineRule="auto"/>
        <w:jc w:val="center"/>
        <w:rPr>
          <w:rFonts w:ascii="黑体" w:hAnsi="黑体" w:eastAsia="黑体" w:cs="黑体"/>
          <w:b/>
          <w:color w:val="auto"/>
          <w:sz w:val="28"/>
          <w:szCs w:val="28"/>
        </w:rPr>
      </w:pPr>
    </w:p>
    <w:p>
      <w:pPr>
        <w:spacing w:line="360" w:lineRule="auto"/>
        <w:jc w:val="center"/>
        <w:rPr>
          <w:rFonts w:ascii="黑体" w:hAnsi="黑体" w:eastAsia="黑体" w:cs="黑体"/>
          <w:b/>
          <w:color w:val="auto"/>
          <w:sz w:val="28"/>
          <w:szCs w:val="28"/>
        </w:rPr>
      </w:pPr>
    </w:p>
    <w:p>
      <w:pPr>
        <w:spacing w:line="360" w:lineRule="auto"/>
        <w:rPr>
          <w:rFonts w:asciiTheme="minorEastAsia" w:hAnsiTheme="minorEastAsia" w:cstheme="minorEastAsia"/>
          <w:b/>
          <w:color w:val="auto"/>
          <w:sz w:val="24"/>
          <w:szCs w:val="24"/>
        </w:rPr>
      </w:pPr>
    </w:p>
    <w:p>
      <w:pPr>
        <w:spacing w:line="360" w:lineRule="auto"/>
        <w:rPr>
          <w:rFonts w:asciiTheme="minorEastAsia" w:hAnsiTheme="minorEastAsia" w:cstheme="minorEastAsia"/>
          <w:b/>
          <w:color w:val="auto"/>
          <w:szCs w:val="21"/>
        </w:rPr>
      </w:pPr>
      <w:r>
        <w:rPr>
          <w:rFonts w:hint="eastAsia" w:asciiTheme="minorEastAsia" w:hAnsiTheme="minorEastAsia" w:cstheme="minorEastAsia"/>
          <w:b/>
          <w:color w:val="auto"/>
          <w:sz w:val="24"/>
          <w:szCs w:val="24"/>
        </w:rPr>
        <w:t>附件</w:t>
      </w:r>
      <w:r>
        <w:rPr>
          <w:rFonts w:hint="eastAsia" w:asciiTheme="minorEastAsia" w:hAnsiTheme="minorEastAsia" w:cstheme="minorEastAsia"/>
          <w:b/>
          <w:bCs/>
          <w:color w:val="auto"/>
          <w:kern w:val="0"/>
          <w:sz w:val="24"/>
          <w:lang w:val="en-US" w:eastAsia="zh-CN"/>
        </w:rPr>
        <w:t>：YYH-SOP-CTC-025-3.1-A05</w:t>
      </w:r>
      <w:r>
        <w:rPr>
          <w:rFonts w:hint="eastAsia" w:asciiTheme="minorEastAsia" w:hAnsiTheme="minorEastAsia" w:cstheme="minorEastAsia"/>
          <w:b/>
          <w:color w:val="auto"/>
          <w:sz w:val="24"/>
          <w:szCs w:val="24"/>
        </w:rPr>
        <w:t>试验用药物质控检查表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color w:val="auto"/>
          <w:sz w:val="24"/>
          <w:szCs w:val="24"/>
          <w:lang w:val="en-US" w:eastAsia="zh-CN"/>
        </w:rPr>
      </w:pPr>
      <w:r>
        <w:rPr>
          <w:rFonts w:hint="eastAsia" w:ascii="黑体" w:hAnsi="黑体" w:eastAsia="黑体" w:cs="黑体"/>
          <w:b/>
          <w:color w:val="auto"/>
          <w:sz w:val="24"/>
          <w:szCs w:val="24"/>
          <w:lang w:val="en-US" w:eastAsia="zh-CN"/>
        </w:rPr>
        <w:t>试验用药物质控检查表</w:t>
      </w:r>
    </w:p>
    <w:tbl>
      <w:tblPr>
        <w:tblStyle w:val="28"/>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4845"/>
        <w:gridCol w:w="525"/>
        <w:gridCol w:w="675"/>
        <w:gridCol w:w="675"/>
        <w:gridCol w:w="675"/>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7" w:type="dxa"/>
            <w:gridSpan w:val="7"/>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3"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科室：</w:t>
            </w:r>
          </w:p>
        </w:tc>
        <w:tc>
          <w:tcPr>
            <w:tcW w:w="4044" w:type="dxa"/>
            <w:gridSpan w:val="5"/>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3"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申办方：</w:t>
            </w:r>
          </w:p>
        </w:tc>
        <w:tc>
          <w:tcPr>
            <w:tcW w:w="4044" w:type="dxa"/>
            <w:gridSpan w:val="5"/>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存放地点：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7" w:type="dxa"/>
            <w:gridSpan w:val="7"/>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储存条件：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8" w:type="dxa"/>
            <w:gridSpan w:val="3"/>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项目</w:t>
            </w:r>
          </w:p>
        </w:tc>
        <w:tc>
          <w:tcPr>
            <w:tcW w:w="675"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是</w:t>
            </w:r>
          </w:p>
        </w:tc>
        <w:tc>
          <w:tcPr>
            <w:tcW w:w="675"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否</w:t>
            </w:r>
          </w:p>
        </w:tc>
        <w:tc>
          <w:tcPr>
            <w:tcW w:w="675"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NA</w:t>
            </w:r>
          </w:p>
        </w:tc>
        <w:tc>
          <w:tcPr>
            <w:tcW w:w="1494"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1</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药物存放地点是否合规</w:t>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2</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药物是否有专人负责管理</w:t>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3</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药物管理员是否有PI授权</w:t>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4</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药物运货单是否齐全</w:t>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5</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冷链药物配送是否有温度记录单</w:t>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6</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药物标签信息是否完整（项目名称、项目编号、药名、药物编号、批号、规格、生产日期、有效期等）</w:t>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7</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每一批次药物是否有药检报告</w:t>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8</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药物是否在有效期内</w:t>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eastAsiaTheme="minorEastAsia" w:cstheme="minorEastAsia"/>
                <w:bCs/>
                <w:color w:val="auto"/>
                <w:kern w:val="2"/>
                <w:sz w:val="21"/>
                <w:szCs w:val="21"/>
                <w:lang w:val="en-US" w:eastAsia="zh-CN" w:bidi="ar-SA"/>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9</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试验药物储存条件是否与方案要求一致</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10</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温、湿度记录是否及时</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11</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药物发放的每一环节均有记录并签名</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12</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处方与个人发药表信息是否一致</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13</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回收记录表与实际回收是否一致</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14</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是否有回收/剩余试验药物销毁记录（在本院销毁需在协议中说明或有委托书）</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15</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上次质控检查发现的问题是否已经解决</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9457" w:type="dxa"/>
            <w:gridSpan w:val="7"/>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备注：常温：10-30</w:t>
            </w:r>
            <w:r>
              <w:rPr>
                <w:rFonts w:hint="eastAsia" w:ascii="宋体" w:hAnsi="宋体" w:eastAsia="宋体" w:cs="宋体"/>
                <w:bCs/>
                <w:color w:val="auto"/>
                <w:szCs w:val="21"/>
              </w:rPr>
              <w:t>℃</w:t>
            </w:r>
            <w:r>
              <w:rPr>
                <w:rFonts w:hint="eastAsia" w:asciiTheme="minorEastAsia" w:hAnsiTheme="minorEastAsia" w:cstheme="minorEastAsia"/>
                <w:bCs/>
                <w:color w:val="auto"/>
                <w:szCs w:val="21"/>
              </w:rPr>
              <w:t xml:space="preserve">                阴凉处：不超过20</w:t>
            </w:r>
            <w:r>
              <w:rPr>
                <w:rFonts w:hint="eastAsia" w:ascii="宋体" w:hAnsi="宋体" w:eastAsia="宋体" w:cs="宋体"/>
                <w:bCs/>
                <w:color w:val="auto"/>
                <w:szCs w:val="21"/>
              </w:rPr>
              <w:t>℃</w:t>
            </w:r>
          </w:p>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 xml:space="preserve">      冷处：2-10</w:t>
            </w:r>
            <w:r>
              <w:rPr>
                <w:rFonts w:hint="eastAsia" w:ascii="宋体" w:hAnsi="宋体" w:eastAsia="宋体" w:cs="宋体"/>
                <w:bCs/>
                <w:color w:val="auto"/>
                <w:szCs w:val="21"/>
              </w:rPr>
              <w:t>℃</w:t>
            </w:r>
            <w:r>
              <w:rPr>
                <w:rFonts w:hint="eastAsia" w:asciiTheme="minorEastAsia" w:hAnsiTheme="minorEastAsia" w:cstheme="minorEastAsia"/>
                <w:bCs/>
                <w:color w:val="auto"/>
                <w:szCs w:val="21"/>
              </w:rPr>
              <w:t xml:space="preserve">                 凉暗处：避光并不超过20</w:t>
            </w:r>
            <w:r>
              <w:rPr>
                <w:rFonts w:hint="eastAsia" w:ascii="宋体" w:hAnsi="宋体" w:eastAsia="宋体" w:cs="宋体"/>
                <w:bCs/>
                <w:color w:val="auto"/>
                <w:szCs w:val="21"/>
              </w:rPr>
              <w:t>℃</w:t>
            </w:r>
          </w:p>
        </w:tc>
      </w:tr>
    </w:tbl>
    <w:p>
      <w:pPr>
        <w:spacing w:line="360" w:lineRule="auto"/>
        <w:ind w:firstLine="420" w:firstLineChars="200"/>
        <w:rPr>
          <w:rFonts w:asciiTheme="minorEastAsia" w:hAnsiTheme="minorEastAsia" w:cstheme="minorEastAsia"/>
          <w:bCs/>
          <w:color w:val="auto"/>
          <w:szCs w:val="21"/>
        </w:rPr>
      </w:pPr>
      <w:r>
        <w:rPr>
          <w:rFonts w:hint="eastAsia" w:asciiTheme="minorEastAsia" w:hAnsiTheme="minorEastAsia" w:cstheme="minorEastAsia"/>
          <w:bCs/>
          <w:color w:val="auto"/>
          <w:szCs w:val="21"/>
        </w:rPr>
        <w:t>机构质控员：                          日期：</w:t>
      </w:r>
    </w:p>
    <w:p>
      <w:pPr>
        <w:spacing w:line="360" w:lineRule="auto"/>
        <w:ind w:firstLine="420" w:firstLineChars="200"/>
        <w:rPr>
          <w:rFonts w:asciiTheme="minorEastAsia" w:hAnsiTheme="minorEastAsia" w:cstheme="minorEastAsia"/>
          <w:bCs/>
          <w:color w:val="auto"/>
          <w:szCs w:val="21"/>
        </w:rPr>
      </w:pPr>
      <w:r>
        <w:rPr>
          <w:rFonts w:hint="eastAsia" w:asciiTheme="minorEastAsia" w:hAnsiTheme="minorEastAsia" w:cstheme="minorEastAsia"/>
          <w:bCs/>
          <w:color w:val="auto"/>
          <w:szCs w:val="21"/>
        </w:rPr>
        <w:t>药物管理员：                          日期：</w:t>
      </w:r>
    </w:p>
    <w:p>
      <w:pPr>
        <w:spacing w:line="360" w:lineRule="auto"/>
        <w:rPr>
          <w:rFonts w:hint="eastAsia" w:asciiTheme="minorEastAsia" w:hAnsiTheme="minorEastAsia" w:cstheme="minorEastAsia"/>
          <w:b/>
          <w:color w:val="auto"/>
          <w:sz w:val="24"/>
          <w:szCs w:val="24"/>
        </w:rPr>
        <w:sectPr>
          <w:headerReference r:id="rId158" w:type="default"/>
          <w:footerReference r:id="rId159" w:type="default"/>
          <w:pgSz w:w="11906" w:h="16838"/>
          <w:pgMar w:top="1440" w:right="1463" w:bottom="1440" w:left="1463" w:header="0" w:footer="992" w:gutter="0"/>
          <w:pgNumType w:start="1"/>
          <w:cols w:space="425" w:num="1"/>
          <w:docGrid w:type="lines" w:linePitch="312" w:charSpace="0"/>
        </w:sectPr>
      </w:pPr>
    </w:p>
    <w:p>
      <w:pPr>
        <w:spacing w:line="360" w:lineRule="auto"/>
        <w:rPr>
          <w:rFonts w:asciiTheme="minorEastAsia" w:hAnsiTheme="minorEastAsia" w:cstheme="minorEastAsia"/>
          <w:b/>
          <w:color w:val="auto"/>
          <w:szCs w:val="21"/>
        </w:rPr>
      </w:pPr>
      <w:r>
        <w:rPr>
          <w:rFonts w:hint="eastAsia" w:asciiTheme="minorEastAsia" w:hAnsiTheme="minorEastAsia" w:cstheme="minorEastAsia"/>
          <w:b/>
          <w:color w:val="auto"/>
          <w:sz w:val="24"/>
          <w:szCs w:val="24"/>
        </w:rPr>
        <w:t>附件</w:t>
      </w:r>
      <w:r>
        <w:rPr>
          <w:rFonts w:hint="eastAsia" w:asciiTheme="minorEastAsia" w:hAnsiTheme="minorEastAsia" w:cstheme="minorEastAsia"/>
          <w:b/>
          <w:color w:val="auto"/>
          <w:sz w:val="24"/>
          <w:szCs w:val="24"/>
          <w:lang w:val="en-US" w:eastAsia="zh-CN"/>
        </w:rPr>
        <w:t>6</w:t>
      </w:r>
      <w:r>
        <w:rPr>
          <w:rFonts w:hint="eastAsia" w:asciiTheme="minorEastAsia" w:hAnsiTheme="minorEastAsia" w:cstheme="minorEastAsia"/>
          <w:b/>
          <w:bCs/>
          <w:color w:val="auto"/>
          <w:kern w:val="0"/>
          <w:sz w:val="24"/>
          <w:lang w:val="en-US" w:eastAsia="zh-CN"/>
        </w:rPr>
        <w:t>：YYH-SOP-CTC-025-3.1-A06</w:t>
      </w:r>
      <w:r>
        <w:rPr>
          <w:rFonts w:hint="eastAsia" w:asciiTheme="minorEastAsia" w:hAnsiTheme="minorEastAsia" w:cstheme="minorEastAsia"/>
          <w:b/>
          <w:color w:val="auto"/>
          <w:sz w:val="24"/>
          <w:szCs w:val="24"/>
        </w:rPr>
        <w:t>试验用</w:t>
      </w:r>
      <w:r>
        <w:rPr>
          <w:rFonts w:hint="eastAsia" w:asciiTheme="minorEastAsia" w:hAnsiTheme="minorEastAsia" w:cstheme="minorEastAsia"/>
          <w:b/>
          <w:color w:val="auto"/>
          <w:sz w:val="24"/>
          <w:szCs w:val="24"/>
          <w:lang w:val="en-US" w:eastAsia="zh-CN"/>
        </w:rPr>
        <w:t>医疗器械</w:t>
      </w:r>
      <w:r>
        <w:rPr>
          <w:rFonts w:hint="eastAsia" w:asciiTheme="minorEastAsia" w:hAnsiTheme="minorEastAsia" w:cstheme="minorEastAsia"/>
          <w:b/>
          <w:color w:val="auto"/>
          <w:sz w:val="24"/>
          <w:szCs w:val="24"/>
        </w:rPr>
        <w:t>质控检查表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color w:val="auto"/>
          <w:sz w:val="24"/>
          <w:szCs w:val="24"/>
          <w:lang w:val="en-US" w:eastAsia="zh-CN"/>
        </w:rPr>
      </w:pPr>
      <w:r>
        <w:rPr>
          <w:rFonts w:hint="eastAsia" w:ascii="黑体" w:hAnsi="黑体" w:eastAsia="黑体" w:cs="黑体"/>
          <w:b/>
          <w:color w:val="auto"/>
          <w:sz w:val="24"/>
          <w:szCs w:val="24"/>
          <w:lang w:val="en-US" w:eastAsia="zh-CN"/>
        </w:rPr>
        <w:t>试验用医疗器械质控检查表</w:t>
      </w:r>
    </w:p>
    <w:tbl>
      <w:tblPr>
        <w:tblStyle w:val="28"/>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4845"/>
        <w:gridCol w:w="525"/>
        <w:gridCol w:w="675"/>
        <w:gridCol w:w="660"/>
        <w:gridCol w:w="690"/>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7" w:type="dxa"/>
            <w:gridSpan w:val="7"/>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3"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科室：</w:t>
            </w:r>
          </w:p>
        </w:tc>
        <w:tc>
          <w:tcPr>
            <w:tcW w:w="4044" w:type="dxa"/>
            <w:gridSpan w:val="5"/>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3"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申办方：</w:t>
            </w:r>
          </w:p>
        </w:tc>
        <w:tc>
          <w:tcPr>
            <w:tcW w:w="4044" w:type="dxa"/>
            <w:gridSpan w:val="5"/>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存放地点：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7" w:type="dxa"/>
            <w:gridSpan w:val="7"/>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储存条件：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8" w:type="dxa"/>
            <w:gridSpan w:val="3"/>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项目</w:t>
            </w:r>
          </w:p>
        </w:tc>
        <w:tc>
          <w:tcPr>
            <w:tcW w:w="675"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是</w:t>
            </w:r>
          </w:p>
        </w:tc>
        <w:tc>
          <w:tcPr>
            <w:tcW w:w="660"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否</w:t>
            </w:r>
          </w:p>
        </w:tc>
        <w:tc>
          <w:tcPr>
            <w:tcW w:w="690"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NA</w:t>
            </w:r>
          </w:p>
        </w:tc>
        <w:tc>
          <w:tcPr>
            <w:tcW w:w="1494"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1</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lang w:eastAsia="zh-CN"/>
              </w:rPr>
              <w:t>医疗器械</w:t>
            </w:r>
            <w:r>
              <w:rPr>
                <w:rFonts w:hint="eastAsia" w:asciiTheme="minorEastAsia" w:hAnsiTheme="minorEastAsia" w:cstheme="minorEastAsia"/>
                <w:bCs/>
                <w:color w:val="auto"/>
                <w:szCs w:val="21"/>
              </w:rPr>
              <w:t>存放地点是否合规</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6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9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2</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lang w:eastAsia="zh-CN"/>
              </w:rPr>
              <w:t>医疗器械</w:t>
            </w:r>
            <w:r>
              <w:rPr>
                <w:rFonts w:hint="eastAsia" w:asciiTheme="minorEastAsia" w:hAnsiTheme="minorEastAsia" w:cstheme="minorEastAsia"/>
                <w:bCs/>
                <w:color w:val="auto"/>
                <w:szCs w:val="21"/>
              </w:rPr>
              <w:t>是否有专人负责管理</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6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9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3</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lang w:eastAsia="zh-CN"/>
              </w:rPr>
              <w:t>医疗器械</w:t>
            </w:r>
            <w:r>
              <w:rPr>
                <w:rFonts w:hint="eastAsia" w:asciiTheme="minorEastAsia" w:hAnsiTheme="minorEastAsia" w:cstheme="minorEastAsia"/>
                <w:bCs/>
                <w:color w:val="auto"/>
                <w:szCs w:val="21"/>
              </w:rPr>
              <w:t>管理员是否有PI授权</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6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9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4</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lang w:eastAsia="zh-CN"/>
              </w:rPr>
              <w:t>医疗器械</w:t>
            </w:r>
            <w:r>
              <w:rPr>
                <w:rFonts w:hint="eastAsia" w:asciiTheme="minorEastAsia" w:hAnsiTheme="minorEastAsia" w:cstheme="minorEastAsia"/>
                <w:bCs/>
                <w:color w:val="auto"/>
                <w:szCs w:val="21"/>
              </w:rPr>
              <w:t>运货单是否齐全</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6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9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5</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冷链</w:t>
            </w:r>
            <w:r>
              <w:rPr>
                <w:rFonts w:hint="eastAsia" w:asciiTheme="minorEastAsia" w:hAnsiTheme="minorEastAsia" w:cstheme="minorEastAsia"/>
                <w:bCs/>
                <w:color w:val="auto"/>
                <w:szCs w:val="21"/>
                <w:lang w:eastAsia="zh-CN"/>
              </w:rPr>
              <w:t>医疗器械</w:t>
            </w:r>
            <w:r>
              <w:rPr>
                <w:rFonts w:hint="eastAsia" w:asciiTheme="minorEastAsia" w:hAnsiTheme="minorEastAsia" w:cstheme="minorEastAsia"/>
                <w:bCs/>
                <w:color w:val="auto"/>
                <w:szCs w:val="21"/>
              </w:rPr>
              <w:t>配送是否有温度记录单</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6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9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Align w:val="center"/>
          </w:tcPr>
          <w:p>
            <w:pPr>
              <w:spacing w:line="360" w:lineRule="auto"/>
              <w:jc w:val="center"/>
              <w:rPr>
                <w:rFonts w:asciiTheme="minorEastAsia" w:hAnsiTheme="minorEastAsia" w:cstheme="minorEastAsia"/>
                <w:bCs/>
                <w:color w:val="auto"/>
                <w:szCs w:val="21"/>
              </w:rPr>
            </w:pPr>
            <w:r>
              <w:rPr>
                <w:rFonts w:hint="eastAsia" w:asciiTheme="minorEastAsia" w:hAnsiTheme="minorEastAsia" w:cstheme="minorEastAsia"/>
                <w:bCs/>
                <w:color w:val="auto"/>
                <w:szCs w:val="21"/>
              </w:rPr>
              <w:t>6</w:t>
            </w:r>
          </w:p>
        </w:tc>
        <w:tc>
          <w:tcPr>
            <w:tcW w:w="5370" w:type="dxa"/>
            <w:gridSpan w:val="2"/>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cstheme="minorEastAsia"/>
                <w:bCs/>
                <w:color w:val="auto"/>
                <w:szCs w:val="21"/>
              </w:rPr>
            </w:pPr>
            <w:r>
              <w:rPr>
                <w:rFonts w:hint="eastAsia" w:asciiTheme="minorEastAsia" w:hAnsiTheme="minorEastAsia" w:cstheme="minorEastAsia"/>
                <w:bCs/>
                <w:color w:val="auto"/>
                <w:szCs w:val="21"/>
                <w:lang w:eastAsia="zh-CN"/>
              </w:rPr>
              <w:t>医疗器械</w:t>
            </w:r>
            <w:r>
              <w:rPr>
                <w:rFonts w:hint="eastAsia" w:asciiTheme="minorEastAsia" w:hAnsiTheme="minorEastAsia" w:cstheme="minorEastAsia"/>
                <w:bCs/>
                <w:color w:val="auto"/>
                <w:szCs w:val="21"/>
              </w:rPr>
              <w:t>标签信息是否完整（项目名称、项目编号、</w:t>
            </w:r>
            <w:r>
              <w:rPr>
                <w:rFonts w:hint="eastAsia" w:asciiTheme="minorEastAsia" w:hAnsiTheme="minorEastAsia" w:cstheme="minorEastAsia"/>
                <w:bCs/>
                <w:color w:val="auto"/>
                <w:szCs w:val="21"/>
                <w:lang w:eastAsia="zh-CN"/>
              </w:rPr>
              <w:t>医疗器械</w:t>
            </w:r>
            <w:r>
              <w:rPr>
                <w:rFonts w:hint="eastAsia" w:asciiTheme="minorEastAsia" w:hAnsiTheme="minorEastAsia" w:cstheme="minorEastAsia"/>
                <w:bCs/>
                <w:color w:val="auto"/>
                <w:szCs w:val="21"/>
                <w:lang w:val="en-US" w:eastAsia="zh-CN"/>
              </w:rPr>
              <w:t>名称</w:t>
            </w:r>
            <w:r>
              <w:rPr>
                <w:rFonts w:hint="eastAsia" w:asciiTheme="minorEastAsia" w:hAnsiTheme="minorEastAsia" w:cstheme="minorEastAsia"/>
                <w:bCs/>
                <w:color w:val="auto"/>
                <w:szCs w:val="21"/>
              </w:rPr>
              <w:t>、</w:t>
            </w:r>
            <w:r>
              <w:rPr>
                <w:rFonts w:hint="eastAsia" w:asciiTheme="minorEastAsia" w:hAnsiTheme="minorEastAsia" w:cstheme="minorEastAsia"/>
                <w:bCs/>
                <w:color w:val="auto"/>
                <w:szCs w:val="21"/>
                <w:lang w:eastAsia="zh-CN"/>
              </w:rPr>
              <w:t>医疗器械</w:t>
            </w:r>
            <w:r>
              <w:rPr>
                <w:rFonts w:hint="eastAsia" w:asciiTheme="minorEastAsia" w:hAnsiTheme="minorEastAsia" w:cstheme="minorEastAsia"/>
                <w:bCs/>
                <w:color w:val="auto"/>
                <w:szCs w:val="21"/>
              </w:rPr>
              <w:t>编号、批号、</w:t>
            </w:r>
            <w:r>
              <w:rPr>
                <w:rFonts w:hint="eastAsia" w:asciiTheme="minorEastAsia" w:hAnsiTheme="minorEastAsia" w:cstheme="minorEastAsia"/>
                <w:bCs/>
                <w:color w:val="auto"/>
                <w:szCs w:val="21"/>
                <w:lang w:val="en-US" w:eastAsia="zh-CN"/>
              </w:rPr>
              <w:t>型号、</w:t>
            </w:r>
            <w:r>
              <w:rPr>
                <w:rFonts w:hint="eastAsia" w:asciiTheme="minorEastAsia" w:hAnsiTheme="minorEastAsia" w:cstheme="minorEastAsia"/>
                <w:bCs/>
                <w:color w:val="auto"/>
                <w:szCs w:val="21"/>
              </w:rPr>
              <w:t>规格、生产日期、有效期等）</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6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9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Align w:val="center"/>
          </w:tcPr>
          <w:p>
            <w:pPr>
              <w:spacing w:line="360" w:lineRule="auto"/>
              <w:jc w:val="center"/>
              <w:rPr>
                <w:rFonts w:hint="eastAsia" w:asciiTheme="minorEastAsia" w:hAnsiTheme="minorEastAsia" w:cstheme="minorEastAsia"/>
                <w:bCs/>
                <w:color w:val="auto"/>
                <w:szCs w:val="21"/>
              </w:rPr>
            </w:pPr>
            <w:r>
              <w:rPr>
                <w:rFonts w:hint="eastAsia" w:asciiTheme="minorEastAsia" w:hAnsiTheme="minorEastAsia" w:cstheme="minorEastAsia"/>
                <w:bCs/>
                <w:color w:val="auto"/>
                <w:szCs w:val="21"/>
              </w:rPr>
              <w:t>7</w:t>
            </w:r>
          </w:p>
        </w:tc>
        <w:tc>
          <w:tcPr>
            <w:tcW w:w="5370" w:type="dxa"/>
            <w:gridSpan w:val="2"/>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bCs/>
                <w:color w:val="auto"/>
                <w:szCs w:val="21"/>
                <w:lang w:val="en-US" w:eastAsia="zh-CN"/>
              </w:rPr>
            </w:pPr>
            <w:r>
              <w:rPr>
                <w:rFonts w:hint="eastAsia" w:asciiTheme="minorEastAsia" w:hAnsiTheme="minorEastAsia" w:cstheme="minorEastAsia"/>
                <w:bCs/>
                <w:color w:val="auto"/>
                <w:szCs w:val="21"/>
              </w:rPr>
              <w:t>每一批次</w:t>
            </w:r>
            <w:r>
              <w:rPr>
                <w:rFonts w:hint="eastAsia" w:asciiTheme="minorEastAsia" w:hAnsiTheme="minorEastAsia" w:cstheme="minorEastAsia"/>
                <w:bCs/>
                <w:color w:val="auto"/>
                <w:szCs w:val="21"/>
                <w:lang w:eastAsia="zh-CN"/>
              </w:rPr>
              <w:t>医疗器械</w:t>
            </w:r>
            <w:r>
              <w:rPr>
                <w:rFonts w:hint="eastAsia" w:asciiTheme="minorEastAsia" w:hAnsiTheme="minorEastAsia" w:cstheme="minorEastAsia"/>
                <w:bCs/>
                <w:color w:val="auto"/>
                <w:szCs w:val="21"/>
              </w:rPr>
              <w:t>是否</w:t>
            </w:r>
            <w:r>
              <w:rPr>
                <w:rFonts w:hint="eastAsia" w:asciiTheme="minorEastAsia" w:hAnsiTheme="minorEastAsia" w:cstheme="minorEastAsia"/>
                <w:bCs/>
                <w:color w:val="auto"/>
                <w:szCs w:val="21"/>
                <w:lang w:val="en-US" w:eastAsia="zh-CN"/>
              </w:rPr>
              <w:t>有基于产品技术要求的产品检验报告</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6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9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Align w:val="top"/>
          </w:tcPr>
          <w:p>
            <w:pPr>
              <w:spacing w:line="360" w:lineRule="auto"/>
              <w:jc w:val="center"/>
              <w:rPr>
                <w:rFonts w:hint="default" w:asciiTheme="minorEastAsia" w:hAnsiTheme="minorEastAsia" w:eastAsiaTheme="minorEastAsia" w:cstheme="minorEastAsia"/>
                <w:bCs/>
                <w:color w:val="auto"/>
                <w:kern w:val="2"/>
                <w:sz w:val="21"/>
                <w:szCs w:val="21"/>
                <w:lang w:val="en-US" w:eastAsia="zh-CN" w:bidi="ar-SA"/>
              </w:rPr>
            </w:pPr>
            <w:r>
              <w:rPr>
                <w:rFonts w:hint="eastAsia" w:asciiTheme="minorEastAsia" w:hAnsiTheme="minorEastAsia" w:cstheme="minorEastAsia"/>
                <w:bCs/>
                <w:color w:val="auto"/>
                <w:kern w:val="2"/>
                <w:sz w:val="21"/>
                <w:szCs w:val="21"/>
                <w:lang w:val="en-US" w:eastAsia="zh-CN" w:bidi="ar-SA"/>
              </w:rPr>
              <w:t>8</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lang w:eastAsia="zh-CN"/>
              </w:rPr>
              <w:t>医疗器械</w:t>
            </w:r>
            <w:r>
              <w:rPr>
                <w:rFonts w:hint="eastAsia" w:asciiTheme="minorEastAsia" w:hAnsiTheme="minorEastAsia" w:cstheme="minorEastAsia"/>
                <w:bCs/>
                <w:color w:val="auto"/>
                <w:szCs w:val="21"/>
              </w:rPr>
              <w:t>是否在有效期内</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6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9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Align w:val="top"/>
          </w:tcPr>
          <w:p>
            <w:pPr>
              <w:spacing w:line="360" w:lineRule="auto"/>
              <w:jc w:val="center"/>
              <w:rPr>
                <w:rFonts w:asciiTheme="minorEastAsia" w:hAnsiTheme="minorEastAsia" w:eastAsiaTheme="minorEastAsia" w:cstheme="minorEastAsia"/>
                <w:bCs/>
                <w:color w:val="auto"/>
                <w:kern w:val="2"/>
                <w:sz w:val="21"/>
                <w:szCs w:val="21"/>
                <w:lang w:val="en-US" w:eastAsia="zh-CN" w:bidi="ar-SA"/>
              </w:rPr>
            </w:pPr>
            <w:r>
              <w:rPr>
                <w:rFonts w:hint="eastAsia" w:asciiTheme="minorEastAsia" w:hAnsiTheme="minorEastAsia" w:cstheme="minorEastAsia"/>
                <w:bCs/>
                <w:color w:val="auto"/>
                <w:szCs w:val="21"/>
              </w:rPr>
              <w:t>9</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试验</w:t>
            </w:r>
            <w:r>
              <w:rPr>
                <w:rFonts w:hint="eastAsia" w:asciiTheme="minorEastAsia" w:hAnsiTheme="minorEastAsia" w:cstheme="minorEastAsia"/>
                <w:bCs/>
                <w:color w:val="auto"/>
                <w:szCs w:val="21"/>
                <w:lang w:eastAsia="zh-CN"/>
              </w:rPr>
              <w:t>医疗器械</w:t>
            </w:r>
            <w:r>
              <w:rPr>
                <w:rFonts w:hint="eastAsia" w:asciiTheme="minorEastAsia" w:hAnsiTheme="minorEastAsia" w:cstheme="minorEastAsia"/>
                <w:bCs/>
                <w:color w:val="auto"/>
                <w:szCs w:val="21"/>
              </w:rPr>
              <w:t>储存条件是否与方案要求一致</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6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9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Align w:val="top"/>
          </w:tcPr>
          <w:p>
            <w:pPr>
              <w:spacing w:line="360" w:lineRule="auto"/>
              <w:jc w:val="center"/>
              <w:rPr>
                <w:rFonts w:asciiTheme="minorEastAsia" w:hAnsiTheme="minorEastAsia" w:eastAsiaTheme="minorEastAsia" w:cstheme="minorEastAsia"/>
                <w:bCs/>
                <w:color w:val="auto"/>
                <w:kern w:val="2"/>
                <w:sz w:val="21"/>
                <w:szCs w:val="21"/>
                <w:lang w:val="en-US" w:eastAsia="zh-CN" w:bidi="ar-SA"/>
              </w:rPr>
            </w:pPr>
            <w:r>
              <w:rPr>
                <w:rFonts w:hint="eastAsia" w:asciiTheme="minorEastAsia" w:hAnsiTheme="minorEastAsia" w:cstheme="minorEastAsia"/>
                <w:bCs/>
                <w:color w:val="auto"/>
                <w:szCs w:val="21"/>
              </w:rPr>
              <w:t>10</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温、湿度记录是否及时</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6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9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Align w:val="top"/>
          </w:tcPr>
          <w:p>
            <w:pPr>
              <w:spacing w:line="360" w:lineRule="auto"/>
              <w:jc w:val="center"/>
              <w:rPr>
                <w:rFonts w:asciiTheme="minorEastAsia" w:hAnsiTheme="minorEastAsia" w:eastAsiaTheme="minorEastAsia" w:cstheme="minorEastAsia"/>
                <w:bCs/>
                <w:color w:val="auto"/>
                <w:kern w:val="2"/>
                <w:sz w:val="21"/>
                <w:szCs w:val="21"/>
                <w:lang w:val="en-US" w:eastAsia="zh-CN" w:bidi="ar-SA"/>
              </w:rPr>
            </w:pPr>
            <w:r>
              <w:rPr>
                <w:rFonts w:hint="eastAsia" w:asciiTheme="minorEastAsia" w:hAnsiTheme="minorEastAsia" w:cstheme="minorEastAsia"/>
                <w:bCs/>
                <w:color w:val="auto"/>
                <w:szCs w:val="21"/>
              </w:rPr>
              <w:t>11</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lang w:eastAsia="zh-CN"/>
              </w:rPr>
              <w:t>医疗器械</w:t>
            </w:r>
            <w:r>
              <w:rPr>
                <w:rFonts w:hint="eastAsia" w:asciiTheme="minorEastAsia" w:hAnsiTheme="minorEastAsia" w:cstheme="minorEastAsia"/>
                <w:bCs/>
                <w:color w:val="auto"/>
                <w:szCs w:val="21"/>
              </w:rPr>
              <w:t>发放的每一环节均有记录并签名</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6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9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Align w:val="top"/>
          </w:tcPr>
          <w:p>
            <w:pPr>
              <w:spacing w:line="360" w:lineRule="auto"/>
              <w:jc w:val="center"/>
              <w:rPr>
                <w:rFonts w:asciiTheme="minorEastAsia" w:hAnsiTheme="minorEastAsia" w:eastAsiaTheme="minorEastAsia" w:cstheme="minorEastAsia"/>
                <w:bCs/>
                <w:color w:val="auto"/>
                <w:kern w:val="2"/>
                <w:sz w:val="21"/>
                <w:szCs w:val="21"/>
                <w:lang w:val="en-US" w:eastAsia="zh-CN" w:bidi="ar-SA"/>
              </w:rPr>
            </w:pPr>
            <w:r>
              <w:rPr>
                <w:rFonts w:hint="eastAsia" w:asciiTheme="minorEastAsia" w:hAnsiTheme="minorEastAsia" w:cstheme="minorEastAsia"/>
                <w:bCs/>
                <w:color w:val="auto"/>
                <w:szCs w:val="21"/>
              </w:rPr>
              <w:t>12</w:t>
            </w:r>
          </w:p>
        </w:tc>
        <w:tc>
          <w:tcPr>
            <w:tcW w:w="5370" w:type="dxa"/>
            <w:gridSpan w:val="2"/>
          </w:tcPr>
          <w:p>
            <w:pPr>
              <w:spacing w:line="360" w:lineRule="auto"/>
              <w:rPr>
                <w:rFonts w:hint="default" w:asciiTheme="minorEastAsia" w:hAnsiTheme="minorEastAsia" w:cstheme="minorEastAsia"/>
                <w:bCs/>
                <w:color w:val="auto"/>
                <w:szCs w:val="21"/>
                <w:lang w:val="en-US"/>
              </w:rPr>
            </w:pPr>
            <w:r>
              <w:rPr>
                <w:rFonts w:hint="eastAsia" w:asciiTheme="minorEastAsia" w:hAnsiTheme="minorEastAsia" w:cstheme="minorEastAsia"/>
                <w:bCs/>
                <w:color w:val="auto"/>
                <w:szCs w:val="21"/>
                <w:lang w:val="en-US" w:eastAsia="zh-CN"/>
              </w:rPr>
              <w:t>医疗器械治疗处置与方案要求是否一致</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6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9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Align w:val="top"/>
          </w:tcPr>
          <w:p>
            <w:pPr>
              <w:spacing w:line="360" w:lineRule="auto"/>
              <w:jc w:val="center"/>
              <w:rPr>
                <w:rFonts w:asciiTheme="minorEastAsia" w:hAnsiTheme="minorEastAsia" w:eastAsiaTheme="minorEastAsia" w:cstheme="minorEastAsia"/>
                <w:bCs/>
                <w:color w:val="auto"/>
                <w:kern w:val="2"/>
                <w:sz w:val="21"/>
                <w:szCs w:val="21"/>
                <w:lang w:val="en-US" w:eastAsia="zh-CN" w:bidi="ar-SA"/>
              </w:rPr>
            </w:pPr>
            <w:r>
              <w:rPr>
                <w:rFonts w:hint="eastAsia" w:asciiTheme="minorEastAsia" w:hAnsiTheme="minorEastAsia" w:cstheme="minorEastAsia"/>
                <w:bCs/>
                <w:color w:val="auto"/>
                <w:szCs w:val="21"/>
              </w:rPr>
              <w:t>13</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回收记录表与实际回收是否一致</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6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9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rPr>
                <w:rFonts w:hint="eastAsia" w:asciiTheme="minorEastAsia" w:hAnsiTheme="minorEastAsia" w:eastAsiaTheme="minorEastAsia" w:cstheme="minorEastAsia"/>
                <w:bCs/>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Align w:val="center"/>
          </w:tcPr>
          <w:p>
            <w:pPr>
              <w:spacing w:line="360" w:lineRule="auto"/>
              <w:jc w:val="center"/>
              <w:rPr>
                <w:rFonts w:asciiTheme="minorEastAsia" w:hAnsiTheme="minorEastAsia" w:eastAsiaTheme="minorEastAsia" w:cstheme="minorEastAsia"/>
                <w:bCs/>
                <w:color w:val="auto"/>
                <w:kern w:val="2"/>
                <w:sz w:val="21"/>
                <w:szCs w:val="21"/>
                <w:lang w:val="en-US" w:eastAsia="zh-CN" w:bidi="ar-SA"/>
              </w:rPr>
            </w:pPr>
            <w:r>
              <w:rPr>
                <w:rFonts w:hint="eastAsia" w:asciiTheme="minorEastAsia" w:hAnsiTheme="minorEastAsia" w:cstheme="minorEastAsia"/>
                <w:bCs/>
                <w:color w:val="auto"/>
                <w:szCs w:val="21"/>
              </w:rPr>
              <w:t>14</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是否有回收/剩余试验</w:t>
            </w:r>
            <w:r>
              <w:rPr>
                <w:rFonts w:hint="eastAsia" w:asciiTheme="minorEastAsia" w:hAnsiTheme="minorEastAsia" w:cstheme="minorEastAsia"/>
                <w:bCs/>
                <w:color w:val="auto"/>
                <w:szCs w:val="21"/>
                <w:lang w:eastAsia="zh-CN"/>
              </w:rPr>
              <w:t>医疗器械</w:t>
            </w:r>
            <w:r>
              <w:rPr>
                <w:rFonts w:hint="eastAsia" w:asciiTheme="minorEastAsia" w:hAnsiTheme="minorEastAsia" w:cstheme="minorEastAsia"/>
                <w:bCs/>
                <w:color w:val="auto"/>
                <w:szCs w:val="21"/>
              </w:rPr>
              <w:t>销毁记录（在本院销毁需在协议中说明或有委托书）</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6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9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8" w:type="dxa"/>
            <w:vAlign w:val="center"/>
          </w:tcPr>
          <w:p>
            <w:pPr>
              <w:spacing w:line="360" w:lineRule="auto"/>
              <w:jc w:val="center"/>
              <w:rPr>
                <w:rFonts w:hint="default" w:asciiTheme="minorEastAsia" w:hAnsiTheme="minorEastAsia" w:eastAsiaTheme="minorEastAsia" w:cstheme="minorEastAsia"/>
                <w:bCs/>
                <w:color w:val="auto"/>
                <w:kern w:val="2"/>
                <w:sz w:val="21"/>
                <w:szCs w:val="21"/>
                <w:lang w:val="en-US" w:eastAsia="zh-CN" w:bidi="ar-SA"/>
              </w:rPr>
            </w:pPr>
            <w:r>
              <w:rPr>
                <w:rFonts w:hint="eastAsia" w:asciiTheme="minorEastAsia" w:hAnsiTheme="minorEastAsia" w:cstheme="minorEastAsia"/>
                <w:bCs/>
                <w:color w:val="auto"/>
                <w:szCs w:val="21"/>
              </w:rPr>
              <w:t>15</w:t>
            </w:r>
          </w:p>
        </w:tc>
        <w:tc>
          <w:tcPr>
            <w:tcW w:w="5370" w:type="dxa"/>
            <w:gridSpan w:val="2"/>
          </w:tcPr>
          <w:p>
            <w:pPr>
              <w:spacing w:line="360" w:lineRule="auto"/>
              <w:rPr>
                <w:rFonts w:asciiTheme="minorEastAsia" w:hAnsiTheme="minorEastAsia" w:cstheme="minorEastAsia"/>
                <w:bCs/>
                <w:color w:val="auto"/>
                <w:szCs w:val="21"/>
              </w:rPr>
            </w:pPr>
            <w:r>
              <w:rPr>
                <w:rFonts w:hint="eastAsia" w:asciiTheme="minorEastAsia" w:hAnsiTheme="minorEastAsia" w:cstheme="minorEastAsia"/>
                <w:bCs/>
                <w:color w:val="auto"/>
                <w:szCs w:val="21"/>
              </w:rPr>
              <w:t>上次质控检查发现的问题是否已经解决</w:t>
            </w:r>
          </w:p>
        </w:tc>
        <w:tc>
          <w:tcPr>
            <w:tcW w:w="675"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6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690" w:type="dxa"/>
            <w:vAlign w:val="center"/>
          </w:tcPr>
          <w:p>
            <w:pPr>
              <w:widowControl/>
              <w:wordWrap/>
              <w:autoSpaceDE/>
              <w:autoSpaceDN/>
              <w:spacing w:before="20" w:after="20"/>
              <w:jc w:val="center"/>
              <w:rPr>
                <w:rFonts w:asciiTheme="minorEastAsia" w:hAnsiTheme="minorEastAsia" w:cstheme="minorEastAsia"/>
                <w:bCs/>
                <w:color w:val="auto"/>
                <w:szCs w:val="21"/>
              </w:rPr>
            </w:pPr>
            <w:r>
              <w:rPr>
                <w:rFonts w:ascii="宋体" w:hAnsi="宋体" w:eastAsia="宋体"/>
                <w:color w:val="auto"/>
                <w:sz w:val="21"/>
                <w:szCs w:val="21"/>
              </w:rPr>
              <w:fldChar w:fldCharType="begin">
                <w:ffData>
                  <w:name w:val="Check3"/>
                  <w:enabled/>
                  <w:calcOnExit w:val="0"/>
                  <w:checkBox>
                    <w:sizeAuto/>
                    <w:default w:val="0"/>
                    <w:checked w:val="0"/>
                  </w:checkBox>
                </w:ffData>
              </w:fldChar>
            </w:r>
            <w:r>
              <w:rPr>
                <w:rFonts w:ascii="宋体" w:hAnsi="宋体" w:eastAsia="宋体"/>
                <w:color w:val="auto"/>
                <w:sz w:val="21"/>
                <w:szCs w:val="21"/>
              </w:rPr>
              <w:instrText xml:space="preserve"> FORMCHECKBOX </w:instrText>
            </w:r>
            <w:r>
              <w:rPr>
                <w:rFonts w:ascii="宋体" w:hAnsi="宋体" w:eastAsia="宋体"/>
                <w:color w:val="auto"/>
                <w:sz w:val="21"/>
                <w:szCs w:val="21"/>
              </w:rPr>
              <w:fldChar w:fldCharType="separate"/>
            </w:r>
            <w:r>
              <w:rPr>
                <w:rFonts w:ascii="宋体" w:hAnsi="宋体" w:eastAsia="宋体"/>
                <w:color w:val="auto"/>
                <w:sz w:val="21"/>
                <w:szCs w:val="21"/>
              </w:rPr>
              <w:fldChar w:fldCharType="end"/>
            </w:r>
          </w:p>
        </w:tc>
        <w:tc>
          <w:tcPr>
            <w:tcW w:w="1494" w:type="dxa"/>
          </w:tcPr>
          <w:p>
            <w:pPr>
              <w:spacing w:line="360" w:lineRule="auto"/>
              <w:jc w:val="center"/>
              <w:rPr>
                <w:rFonts w:asciiTheme="minorEastAsia" w:hAnsiTheme="minorEastAsia" w:cstheme="minorEastAsia"/>
                <w:bCs/>
                <w:color w:val="auto"/>
                <w:szCs w:val="21"/>
              </w:rPr>
            </w:pP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pStyle w:val="33"/>
        <w:rPr>
          <w:rFonts w:hint="eastAsia" w:ascii="黑体" w:hAnsi="黑体" w:eastAsia="黑体" w:cs="黑体"/>
          <w:b w:val="0"/>
          <w:bCs w:val="0"/>
          <w:color w:val="auto"/>
          <w:sz w:val="24"/>
          <w:szCs w:val="24"/>
          <w:lang w:val="en-US" w:eastAsia="zh-CN"/>
        </w:rPr>
      </w:pPr>
    </w:p>
    <w:p>
      <w:pPr>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906"/>
        <w:gridCol w:w="915"/>
        <w:gridCol w:w="2459"/>
        <w:gridCol w:w="2853"/>
        <w:gridCol w:w="1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lang w:val="en-US" w:eastAsia="zh-CN"/>
              </w:rPr>
              <w:t>序</w:t>
            </w:r>
            <w:r>
              <w:rPr>
                <w:rFonts w:hint="eastAsia" w:ascii="宋体" w:hAnsi="宋体"/>
                <w:color w:val="auto"/>
                <w:sz w:val="21"/>
                <w:szCs w:val="21"/>
              </w:rPr>
              <w:t>号</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kern w:val="2"/>
                <w:sz w:val="21"/>
                <w:szCs w:val="21"/>
                <w:lang w:val="en-US" w:eastAsia="zh-CN" w:bidi="ar-SA"/>
              </w:rPr>
            </w:pPr>
            <w:r>
              <w:rPr>
                <w:rFonts w:hint="eastAsia" w:ascii="宋体" w:hAnsi="宋体"/>
                <w:color w:val="auto"/>
                <w:sz w:val="21"/>
                <w:szCs w:val="21"/>
                <w:lang w:val="en-US" w:eastAsia="zh-CN"/>
              </w:rPr>
              <w:t>修订前版本号</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宋体"/>
                <w:color w:val="auto"/>
                <w:kern w:val="2"/>
                <w:sz w:val="21"/>
                <w:szCs w:val="21"/>
                <w:lang w:val="en-US" w:eastAsia="zh-CN" w:bidi="ar-SA"/>
              </w:rPr>
            </w:pPr>
            <w:r>
              <w:rPr>
                <w:rFonts w:hint="eastAsia" w:ascii="宋体" w:hAnsi="宋体"/>
                <w:color w:val="auto"/>
                <w:sz w:val="21"/>
                <w:szCs w:val="21"/>
                <w:lang w:val="en-US" w:eastAsia="zh-CN"/>
              </w:rPr>
              <w:t>修订后版本号</w:t>
            </w:r>
          </w:p>
        </w:tc>
        <w:tc>
          <w:tcPr>
            <w:tcW w:w="2459"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修订原因、依据</w:t>
            </w:r>
          </w:p>
        </w:tc>
        <w:tc>
          <w:tcPr>
            <w:tcW w:w="2853"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ascii="宋体" w:hAnsi="宋体"/>
                <w:color w:val="auto"/>
                <w:sz w:val="21"/>
                <w:szCs w:val="21"/>
              </w:rPr>
            </w:pPr>
            <w:r>
              <w:rPr>
                <w:rFonts w:hint="eastAsia" w:ascii="宋体" w:hAnsi="宋体"/>
                <w:color w:val="auto"/>
                <w:sz w:val="21"/>
                <w:szCs w:val="21"/>
              </w:rPr>
              <w:t>修订内容</w:t>
            </w:r>
          </w:p>
        </w:tc>
        <w:tc>
          <w:tcPr>
            <w:tcW w:w="167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Theme="minorEastAsia"/>
                <w:color w:val="auto"/>
                <w:sz w:val="21"/>
                <w:szCs w:val="21"/>
                <w:lang w:val="en-US" w:eastAsia="zh-CN"/>
              </w:rPr>
            </w:pPr>
            <w:r>
              <w:rPr>
                <w:rFonts w:hint="eastAsia" w:ascii="宋体" w:hAnsi="宋体"/>
                <w:color w:val="auto"/>
                <w:sz w:val="21"/>
                <w:szCs w:val="21"/>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40"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w:t>
            </w:r>
          </w:p>
        </w:tc>
        <w:tc>
          <w:tcPr>
            <w:tcW w:w="906" w:type="dxa"/>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3.0</w:t>
            </w:r>
          </w:p>
        </w:tc>
        <w:tc>
          <w:tcPr>
            <w:tcW w:w="915" w:type="dxa"/>
            <w:vAlign w:val="center"/>
          </w:tcPr>
          <w:p>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3.1</w:t>
            </w:r>
          </w:p>
        </w:tc>
        <w:tc>
          <w:tcPr>
            <w:tcW w:w="24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1.根据现行版器械GCP，修订《试验用医疗器械质控检查表》。</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left"/>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2.为保证人员职责的严谨性，新增参考文献。</w:t>
            </w:r>
          </w:p>
        </w:tc>
        <w:tc>
          <w:tcPr>
            <w:tcW w:w="285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1.修订《试验用医疗器械质控检查表》中对试验医疗器械产品检验报告的要求。</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2.新增参考文献。</w:t>
            </w:r>
          </w:p>
        </w:tc>
        <w:tc>
          <w:tcPr>
            <w:tcW w:w="16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rPr>
                <w:rFonts w:hint="eastAsia" w:ascii="宋体" w:hAnsi="宋体"/>
                <w:color w:val="auto"/>
                <w:sz w:val="21"/>
                <w:szCs w:val="21"/>
                <w:lang w:val="en-US" w:eastAsia="zh-CN"/>
              </w:rPr>
            </w:pPr>
          </w:p>
        </w:tc>
      </w:tr>
    </w:tbl>
    <w:p>
      <w:pPr>
        <w:spacing w:line="360" w:lineRule="auto"/>
        <w:jc w:val="center"/>
        <w:rPr>
          <w:rFonts w:hint="eastAsia" w:ascii="黑体" w:hAnsi="黑体" w:eastAsia="黑体" w:cs="黑体"/>
          <w:b/>
          <w:bCs/>
          <w:color w:val="auto"/>
          <w:sz w:val="28"/>
          <w:szCs w:val="28"/>
          <w:lang w:val="en-US" w:eastAsia="zh-CN"/>
        </w:rPr>
        <w:sectPr>
          <w:headerReference r:id="rId160" w:type="default"/>
          <w:footerReference r:id="rId161" w:type="default"/>
          <w:pgSz w:w="11906" w:h="16838"/>
          <w:pgMar w:top="1417" w:right="1191" w:bottom="1474" w:left="1474" w:header="0" w:footer="992" w:gutter="0"/>
          <w:pgBorders>
            <w:top w:val="none" w:sz="0" w:space="0"/>
            <w:left w:val="none" w:sz="0" w:space="0"/>
            <w:bottom w:val="none" w:sz="0" w:space="0"/>
            <w:right w:val="none" w:sz="0" w:space="0"/>
          </w:pgBorders>
          <w:pgNumType w:fmt="decimal"/>
          <w:cols w:space="0" w:num="1"/>
          <w:docGrid w:type="lines" w:linePitch="312" w:charSpace="0"/>
        </w:sectPr>
      </w:pPr>
      <w:r>
        <w:rPr>
          <w:rFonts w:hint="eastAsia" w:eastAsia="黑体" w:asciiTheme="minorEastAsia" w:hAnsiTheme="minorEastAsia" w:cstheme="minorEastAsia"/>
          <w:bCs/>
          <w:color w:val="auto"/>
          <w:szCs w:val="21"/>
          <w:lang w:val="en-US" w:eastAsia="zh-CN"/>
        </w:rPr>
        <w:t xml:space="preserve">                                                                                                                                                                                                                                                                                                                                                                                                                                                                                                                                                                                                                                                                                                                                                                                                                                                                                                                                                                                                                                                                                                                                                                                                                                                                                                                                                                                                                                                                                                                                                                                                                                                                                                                                                                                                                                                                                                                                           </w:t>
      </w:r>
    </w:p>
    <w:p>
      <w:pPr>
        <w:spacing w:line="360" w:lineRule="auto"/>
        <w:jc w:val="center"/>
        <w:rPr>
          <w:rFonts w:ascii="黑体" w:hAnsi="黑体" w:eastAsia="黑体" w:cs="黑体"/>
          <w:b/>
          <w:bCs/>
          <w:color w:val="auto"/>
          <w:sz w:val="28"/>
          <w:szCs w:val="28"/>
        </w:rPr>
      </w:pPr>
      <w:r>
        <w:rPr>
          <w:rFonts w:hint="eastAsia" w:ascii="黑体" w:hAnsi="黑体" w:eastAsia="黑体" w:cs="黑体"/>
          <w:b/>
          <w:bCs/>
          <w:color w:val="auto"/>
          <w:sz w:val="28"/>
          <w:szCs w:val="28"/>
        </w:rPr>
        <w:t>临床试验的问题分级和处理的SOP</w:t>
      </w:r>
    </w:p>
    <w:p>
      <w:pPr>
        <w:spacing w:line="360" w:lineRule="auto"/>
        <w:ind w:firstLine="240" w:firstLineChars="100"/>
        <w:jc w:val="left"/>
        <w:rPr>
          <w:rFonts w:ascii="宋体" w:hAnsi="宋体" w:eastAsia="宋体" w:cs="宋体"/>
          <w:color w:val="auto"/>
          <w:sz w:val="24"/>
          <w:szCs w:val="24"/>
        </w:rPr>
      </w:pPr>
      <w:r>
        <w:rPr>
          <w:rFonts w:hint="eastAsia" w:ascii="宋体" w:hAnsi="宋体" w:eastAsia="宋体" w:cs="宋体"/>
          <w:color w:val="auto"/>
          <w:sz w:val="24"/>
          <w:szCs w:val="24"/>
        </w:rPr>
        <w:t>一、目的</w:t>
      </w:r>
    </w:p>
    <w:p>
      <w:pPr>
        <w:spacing w:line="360" w:lineRule="auto"/>
        <w:ind w:left="239" w:leftChars="114" w:firstLine="240" w:firstLineChars="100"/>
        <w:jc w:val="left"/>
        <w:rPr>
          <w:rFonts w:ascii="宋体" w:hAnsi="宋体" w:eastAsia="宋体" w:cs="宋体"/>
          <w:color w:val="auto"/>
          <w:sz w:val="24"/>
          <w:szCs w:val="24"/>
        </w:rPr>
      </w:pPr>
      <w:r>
        <w:rPr>
          <w:rFonts w:hint="eastAsia" w:ascii="宋体" w:hAnsi="宋体" w:eastAsia="宋体" w:cs="宋体"/>
          <w:color w:val="auto"/>
          <w:sz w:val="24"/>
          <w:szCs w:val="24"/>
        </w:rPr>
        <w:t xml:space="preserve">  为了便于临床试验质控人员对质控中发现的问题进行分类并规范质控检查表中的问题分类，以及规范对质控中发现问题的处理，特制定此SOP。</w:t>
      </w:r>
    </w:p>
    <w:p>
      <w:pPr>
        <w:spacing w:line="360" w:lineRule="auto"/>
        <w:ind w:firstLine="240" w:firstLineChars="100"/>
        <w:jc w:val="left"/>
        <w:rPr>
          <w:rFonts w:ascii="宋体" w:hAnsi="宋体" w:eastAsia="宋体" w:cs="宋体"/>
          <w:color w:val="auto"/>
          <w:sz w:val="24"/>
          <w:szCs w:val="24"/>
        </w:rPr>
      </w:pPr>
      <w:r>
        <w:rPr>
          <w:rFonts w:hint="eastAsia" w:ascii="宋体" w:hAnsi="宋体" w:eastAsia="宋体" w:cs="宋体"/>
          <w:color w:val="auto"/>
          <w:sz w:val="24"/>
          <w:szCs w:val="24"/>
        </w:rPr>
        <w:t>二、范围</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 xml:space="preserve">  适用于本机构药物</w:t>
      </w:r>
      <w:r>
        <w:rPr>
          <w:rFonts w:hint="eastAsia" w:ascii="宋体" w:hAnsi="宋体" w:eastAsia="宋体" w:cs="宋体"/>
          <w:color w:val="auto"/>
          <w:sz w:val="24"/>
          <w:szCs w:val="24"/>
          <w:lang w:val="en-US" w:eastAsia="zh-CN"/>
        </w:rPr>
        <w:t>和医疗器械</w:t>
      </w:r>
      <w:r>
        <w:rPr>
          <w:rFonts w:hint="eastAsia" w:ascii="宋体" w:hAnsi="宋体" w:eastAsia="宋体" w:cs="宋体"/>
          <w:color w:val="auto"/>
          <w:sz w:val="24"/>
          <w:szCs w:val="24"/>
        </w:rPr>
        <w:t>临床试验。</w:t>
      </w:r>
    </w:p>
    <w:p>
      <w:pPr>
        <w:spacing w:line="360" w:lineRule="auto"/>
        <w:ind w:firstLine="240" w:firstLineChars="100"/>
        <w:jc w:val="left"/>
        <w:rPr>
          <w:rFonts w:ascii="宋体" w:hAnsi="宋体" w:eastAsia="宋体" w:cs="宋体"/>
          <w:color w:val="auto"/>
          <w:sz w:val="24"/>
          <w:szCs w:val="24"/>
        </w:rPr>
      </w:pPr>
      <w:r>
        <w:rPr>
          <w:rFonts w:hint="eastAsia" w:ascii="宋体" w:hAnsi="宋体" w:eastAsia="宋体" w:cs="宋体"/>
          <w:color w:val="auto"/>
          <w:sz w:val="24"/>
          <w:szCs w:val="24"/>
        </w:rPr>
        <w:t>三、规程</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（一)严重问题。</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1、定义。</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（1)受试者的安全、健康或权益已经或者有可能受到重大危害。</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（2)临床研究数据造假或存在严重真实性问题。</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（3)存在较多的重要问题。</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（4)对以前发现的多个重要问题未采取适当、足够的措施。</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2、举例（但不限于以下问题）。</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（1)未取得伦理委员会批准即入选受试者。</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（2)多次出现未获得受试者知情同意书的情况。</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（3)受试者知情同意书非本人签署。</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（4)违反研究方案，多次入选违反主要入排标准的受试者，可能造成受试者严重损害。</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（5)违反研究方案，造成受试者严重损害或导致医疗差错或事故等。</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（6)多次给非受试者使用“试验用药物</w:t>
      </w:r>
      <w:r>
        <w:rPr>
          <w:rFonts w:hint="eastAsia" w:ascii="宋体" w:hAnsi="宋体" w:eastAsia="宋体" w:cs="宋体"/>
          <w:color w:val="auto"/>
          <w:sz w:val="24"/>
          <w:szCs w:val="24"/>
          <w:lang w:val="en-US" w:eastAsia="zh-CN"/>
        </w:rPr>
        <w:t>/医疗器械</w:t>
      </w:r>
      <w:r>
        <w:rPr>
          <w:rFonts w:hint="eastAsia" w:ascii="宋体" w:hAnsi="宋体" w:eastAsia="宋体" w:cs="宋体"/>
          <w:color w:val="auto"/>
          <w:sz w:val="24"/>
          <w:szCs w:val="24"/>
        </w:rPr>
        <w:t>”。</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（7)使用过期的“试验用药物</w:t>
      </w:r>
      <w:r>
        <w:rPr>
          <w:rFonts w:hint="eastAsia" w:ascii="宋体" w:hAnsi="宋体" w:eastAsia="宋体" w:cs="宋体"/>
          <w:color w:val="auto"/>
          <w:sz w:val="24"/>
          <w:szCs w:val="24"/>
          <w:lang w:val="en-US" w:eastAsia="zh-CN"/>
        </w:rPr>
        <w:t>/医疗器械</w:t>
      </w:r>
      <w:r>
        <w:rPr>
          <w:rFonts w:hint="eastAsia" w:ascii="宋体" w:hAnsi="宋体" w:eastAsia="宋体" w:cs="宋体"/>
          <w:color w:val="auto"/>
          <w:sz w:val="24"/>
          <w:szCs w:val="24"/>
        </w:rPr>
        <w:t>”。</w:t>
      </w:r>
    </w:p>
    <w:p>
      <w:pPr>
        <w:spacing w:line="360" w:lineRule="auto"/>
        <w:ind w:left="479" w:leftChars="228"/>
        <w:jc w:val="left"/>
        <w:rPr>
          <w:rFonts w:ascii="宋体" w:hAnsi="宋体" w:eastAsia="宋体" w:cs="宋体"/>
          <w:color w:val="auto"/>
          <w:sz w:val="24"/>
          <w:szCs w:val="24"/>
        </w:rPr>
      </w:pPr>
      <w:r>
        <w:rPr>
          <w:rFonts w:hint="eastAsia" w:ascii="宋体" w:hAnsi="宋体" w:eastAsia="宋体" w:cs="宋体"/>
          <w:color w:val="auto"/>
          <w:sz w:val="24"/>
          <w:szCs w:val="24"/>
        </w:rPr>
        <w:t>（8)未保存重要的研究记录，或多次篡改、隐瞒研究记录，例如伪造受试者检测结果或采用他人标本或检测结果等。</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（9)多项重要的不良事件未记录或严重不良事件未按要求处理和报告。</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（10)出现导致破盲、试验与对照组别交叉等严重事件。</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（二）重要问题。</w:t>
      </w:r>
    </w:p>
    <w:p>
      <w:pPr>
        <w:spacing w:line="360" w:lineRule="auto"/>
        <w:ind w:left="479" w:leftChars="228"/>
        <w:jc w:val="left"/>
        <w:rPr>
          <w:rFonts w:ascii="宋体" w:hAnsi="宋体" w:eastAsia="宋体" w:cs="宋体"/>
          <w:color w:val="auto"/>
          <w:sz w:val="24"/>
          <w:szCs w:val="24"/>
        </w:rPr>
      </w:pPr>
      <w:r>
        <w:rPr>
          <w:rFonts w:hint="eastAsia" w:ascii="宋体" w:hAnsi="宋体" w:eastAsia="宋体" w:cs="宋体"/>
          <w:color w:val="auto"/>
          <w:sz w:val="24"/>
          <w:szCs w:val="24"/>
        </w:rPr>
        <w:t>1、定义。非“严重问题”，但存在违背法规、SOP以及研究方案情况且可能导致“严重问题”。</w:t>
      </w:r>
    </w:p>
    <w:p>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2、举例（但不限于以下问题）：</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（1)未签署临床试验协议即入选受试者。</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（2)未取得受试者的知情同意或者知情同意书丢失。</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（3)由未授权的人员进行知情同意。</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（4)知情同意过程不规范可能导致“严重问题”或医疗纠纷。</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（5)入选违反主要入排标准的受试者。</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（6)进行了未经伦理委员会批准的试验操作。</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（7)进行了方案禁止的伴随治疗，可能影响受试者的安全或预后。</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（8)未进行方案要求的实验室检查或安全性评估，以致影响受试者的安全或临床处理。</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（9)随访超过时间窗，可能影响受试者的治疗及安全。</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（10)违反方案可能导致受试者损害或影响试验结果的其他情况。</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（11)未按要求处理和报告严重不良事件。</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（12)给非受试者使用“试验用药物</w:t>
      </w:r>
      <w:r>
        <w:rPr>
          <w:rFonts w:hint="eastAsia" w:ascii="宋体" w:hAnsi="宋体" w:eastAsia="宋体" w:cs="宋体"/>
          <w:color w:val="auto"/>
          <w:sz w:val="24"/>
          <w:szCs w:val="24"/>
          <w:lang w:val="en-US" w:eastAsia="zh-CN"/>
        </w:rPr>
        <w:t>/医疗器械</w:t>
      </w:r>
      <w:r>
        <w:rPr>
          <w:rFonts w:hint="eastAsia" w:ascii="宋体" w:hAnsi="宋体" w:eastAsia="宋体" w:cs="宋体"/>
          <w:color w:val="auto"/>
          <w:sz w:val="24"/>
          <w:szCs w:val="24"/>
        </w:rPr>
        <w:t>”。</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（13)“试验用药物</w:t>
      </w:r>
      <w:r>
        <w:rPr>
          <w:rFonts w:hint="eastAsia" w:ascii="宋体" w:hAnsi="宋体" w:eastAsia="宋体" w:cs="宋体"/>
          <w:color w:val="auto"/>
          <w:sz w:val="24"/>
          <w:szCs w:val="24"/>
          <w:lang w:val="en-US" w:eastAsia="zh-CN"/>
        </w:rPr>
        <w:t>/医疗器械</w:t>
      </w:r>
      <w:r>
        <w:rPr>
          <w:rFonts w:hint="eastAsia" w:ascii="宋体" w:hAnsi="宋体" w:eastAsia="宋体" w:cs="宋体"/>
          <w:color w:val="auto"/>
          <w:sz w:val="24"/>
          <w:szCs w:val="24"/>
        </w:rPr>
        <w:t>”丢失或数量与记录严重不符。</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（14)药物剂量使用错误（例如剂量少于80%或大于120%）</w:t>
      </w:r>
      <w:r>
        <w:rPr>
          <w:rFonts w:hint="eastAsia" w:ascii="宋体" w:hAnsi="宋体" w:eastAsia="宋体" w:cs="宋体"/>
          <w:color w:val="auto"/>
          <w:sz w:val="24"/>
          <w:szCs w:val="24"/>
          <w:lang w:val="en-US" w:eastAsia="zh-CN"/>
        </w:rPr>
        <w:t>或医疗器械使用方法错误</w:t>
      </w:r>
      <w:r>
        <w:rPr>
          <w:rFonts w:hint="eastAsia" w:ascii="宋体" w:hAnsi="宋体" w:eastAsia="宋体" w:cs="宋体"/>
          <w:color w:val="auto"/>
          <w:sz w:val="24"/>
          <w:szCs w:val="24"/>
        </w:rPr>
        <w:t>。</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（三）一般问题。存在违背法规、SOP以及研究方案且可能导致“重要问题”。</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（四）处理措施。</w:t>
      </w:r>
    </w:p>
    <w:p>
      <w:pPr>
        <w:spacing w:line="360" w:lineRule="auto"/>
        <w:ind w:left="239" w:leftChars="114"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rPr>
        <w:t>质量管理员或项目组人员发现临床研究实施过程中出现违背法规、SOP以及研究方案情况时，应及时向PI和申办者反映，如问题较严重及时向机构办公室汇报，机构将会对问题的定性和处理组织讨论，根据性质分别做出相应处理。发现严重问题机构将发出警告信，要求研究者立即整改，整改后重新安排检查。</w:t>
      </w:r>
    </w:p>
    <w:p>
      <w:pPr>
        <w:spacing w:line="360" w:lineRule="auto"/>
        <w:ind w:firstLine="480" w:firstLineChars="200"/>
        <w:jc w:val="left"/>
        <w:rPr>
          <w:rFonts w:ascii="宋体" w:hAnsi="宋体" w:eastAsia="宋体" w:cs="宋体"/>
          <w:color w:val="auto"/>
          <w:sz w:val="24"/>
          <w:szCs w:val="24"/>
        </w:rPr>
      </w:pPr>
    </w:p>
    <w:p>
      <w:pPr>
        <w:tabs>
          <w:tab w:val="left" w:pos="7125"/>
        </w:tabs>
        <w:spacing w:line="360" w:lineRule="auto"/>
        <w:rPr>
          <w:rFonts w:cs="宋体" w:asciiTheme="majorEastAsia" w:hAnsiTheme="majorEastAsia" w:eastAsiaTheme="majorEastAsia"/>
          <w:b/>
          <w:bCs/>
          <w:color w:val="auto"/>
          <w:sz w:val="24"/>
          <w:szCs w:val="24"/>
        </w:rPr>
      </w:pPr>
    </w:p>
    <w:p>
      <w:pPr>
        <w:spacing w:line="360" w:lineRule="auto"/>
        <w:rPr>
          <w:rFonts w:ascii="宋体" w:hAnsi="宋体" w:eastAsia="宋体" w:cs="宋体"/>
          <w:b/>
          <w:color w:val="auto"/>
          <w:sz w:val="24"/>
          <w:szCs w:val="24"/>
        </w:rPr>
      </w:pPr>
    </w:p>
    <w:p>
      <w:pPr>
        <w:spacing w:line="360" w:lineRule="auto"/>
        <w:jc w:val="center"/>
        <w:rPr>
          <w:rFonts w:ascii="黑体" w:hAnsi="黑体" w:eastAsia="黑体" w:cs="黑体"/>
          <w:b/>
          <w:color w:val="auto"/>
          <w:sz w:val="28"/>
          <w:szCs w:val="28"/>
        </w:rPr>
        <w:sectPr>
          <w:headerReference r:id="rId162" w:type="default"/>
          <w:footerReference r:id="rId163"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spacing w:line="360" w:lineRule="auto"/>
        <w:jc w:val="center"/>
        <w:rPr>
          <w:rFonts w:ascii="宋体" w:hAnsi="宋体" w:eastAsia="宋体" w:cs="宋体"/>
          <w:b/>
          <w:color w:val="auto"/>
          <w:sz w:val="24"/>
          <w:szCs w:val="24"/>
        </w:rPr>
      </w:pPr>
      <w:r>
        <w:rPr>
          <w:rFonts w:hint="eastAsia" w:ascii="黑体" w:hAnsi="黑体" w:eastAsia="黑体" w:cs="黑体"/>
          <w:b/>
          <w:color w:val="auto"/>
          <w:sz w:val="28"/>
          <w:szCs w:val="28"/>
        </w:rPr>
        <w:t>接受和配合</w:t>
      </w:r>
      <w:r>
        <w:rPr>
          <w:rFonts w:hint="eastAsia" w:ascii="黑体" w:hAnsi="黑体" w:eastAsia="黑体" w:cs="黑体"/>
          <w:b/>
          <w:color w:val="auto"/>
          <w:sz w:val="28"/>
          <w:szCs w:val="28"/>
          <w:lang w:val="en-US" w:eastAsia="zh-CN"/>
        </w:rPr>
        <w:t>各种检查</w:t>
      </w:r>
      <w:r>
        <w:rPr>
          <w:rFonts w:hint="eastAsia" w:ascii="黑体" w:hAnsi="黑体" w:eastAsia="黑体" w:cs="黑体"/>
          <w:b/>
          <w:color w:val="auto"/>
          <w:sz w:val="28"/>
          <w:szCs w:val="28"/>
        </w:rPr>
        <w:t>的SOP</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宋体" w:hAnsi="宋体" w:eastAsia="宋体" w:cs="宋体"/>
          <w:color w:val="auto"/>
          <w:sz w:val="24"/>
          <w:szCs w:val="24"/>
        </w:rPr>
      </w:pPr>
      <w:r>
        <w:rPr>
          <w:rFonts w:hint="eastAsia" w:ascii="宋体" w:hAnsi="宋体" w:eastAsia="宋体" w:cs="宋体"/>
          <w:color w:val="auto"/>
          <w:sz w:val="24"/>
          <w:szCs w:val="24"/>
        </w:rPr>
        <w:t>一、目的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ascii="宋体" w:hAnsi="宋体" w:eastAsia="宋体" w:cs="宋体"/>
          <w:color w:val="auto"/>
          <w:sz w:val="24"/>
          <w:szCs w:val="24"/>
        </w:rPr>
      </w:pPr>
      <w:r>
        <w:rPr>
          <w:rFonts w:hint="eastAsia" w:ascii="宋体" w:hAnsi="宋体" w:eastAsia="宋体" w:cs="宋体"/>
          <w:color w:val="auto"/>
          <w:sz w:val="24"/>
          <w:szCs w:val="24"/>
        </w:rPr>
        <w:t>规范本机构和科室接受与配合各类临床试验相关检查的操作流程，明确各方的工作职责，保证检查的顺利完成。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宋体" w:hAnsi="宋体" w:eastAsia="宋体" w:cs="宋体"/>
          <w:color w:val="auto"/>
          <w:sz w:val="24"/>
          <w:szCs w:val="24"/>
        </w:rPr>
      </w:pPr>
      <w:r>
        <w:rPr>
          <w:rFonts w:hint="eastAsia" w:ascii="宋体" w:hAnsi="宋体" w:eastAsia="宋体" w:cs="宋体"/>
          <w:color w:val="auto"/>
          <w:sz w:val="24"/>
          <w:szCs w:val="24"/>
        </w:rPr>
        <w:t>二、范围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ascii="宋体" w:hAnsi="宋体" w:eastAsia="宋体" w:cs="宋体"/>
          <w:color w:val="auto"/>
          <w:sz w:val="24"/>
          <w:szCs w:val="24"/>
        </w:rPr>
      </w:pPr>
      <w:r>
        <w:rPr>
          <w:rFonts w:hint="eastAsia" w:ascii="宋体" w:hAnsi="宋体" w:eastAsia="宋体" w:cs="宋体"/>
          <w:color w:val="auto"/>
          <w:sz w:val="24"/>
          <w:szCs w:val="24"/>
        </w:rPr>
        <w:t xml:space="preserve"> 适用于本机构临床试验监查、</w:t>
      </w:r>
      <w:r>
        <w:rPr>
          <w:rFonts w:hint="eastAsia" w:ascii="宋体" w:hAnsi="宋体" w:eastAsia="宋体" w:cs="宋体"/>
          <w:color w:val="auto"/>
          <w:sz w:val="24"/>
          <w:szCs w:val="24"/>
          <w:lang w:val="en-US" w:eastAsia="zh-CN"/>
        </w:rPr>
        <w:t>稽查</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检查</w:t>
      </w:r>
      <w:r>
        <w:rPr>
          <w:rFonts w:hint="eastAsia" w:ascii="宋体" w:hAnsi="宋体" w:eastAsia="宋体" w:cs="宋体"/>
          <w:color w:val="auto"/>
          <w:sz w:val="24"/>
          <w:szCs w:val="24"/>
        </w:rPr>
        <w:t>的准备。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宋体" w:hAnsi="宋体" w:eastAsia="宋体" w:cs="宋体"/>
          <w:color w:val="auto"/>
          <w:sz w:val="24"/>
          <w:szCs w:val="24"/>
        </w:rPr>
      </w:pPr>
      <w:r>
        <w:rPr>
          <w:rFonts w:hint="eastAsia" w:ascii="宋体" w:hAnsi="宋体" w:eastAsia="宋体" w:cs="宋体"/>
          <w:color w:val="auto"/>
          <w:sz w:val="24"/>
          <w:szCs w:val="24"/>
        </w:rPr>
        <w:t>三、规程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宋体" w:hAnsi="宋体" w:eastAsia="宋体" w:cs="宋体"/>
          <w:color w:val="auto"/>
          <w:sz w:val="24"/>
          <w:szCs w:val="24"/>
        </w:rPr>
      </w:pPr>
      <w:r>
        <w:rPr>
          <w:rFonts w:hint="eastAsia" w:ascii="宋体" w:hAnsi="宋体" w:eastAsia="宋体" w:cs="宋体"/>
          <w:color w:val="auto"/>
          <w:sz w:val="24"/>
          <w:szCs w:val="24"/>
        </w:rPr>
        <w:t>（一）各类型检查的分类及定义。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olor w:val="auto"/>
          <w:sz w:val="24"/>
          <w:lang w:val="en-US" w:eastAsia="zh-CN"/>
        </w:rPr>
      </w:pPr>
      <w:r>
        <w:rPr>
          <w:rFonts w:hint="eastAsia" w:ascii="宋体" w:hAnsi="宋体"/>
          <w:color w:val="auto"/>
          <w:sz w:val="24"/>
          <w:lang w:val="en-US" w:eastAsia="zh-CN"/>
        </w:rPr>
        <w:t>1.监查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color w:val="auto"/>
          <w:sz w:val="24"/>
          <w:lang w:val="en-US" w:eastAsia="zh-CN"/>
        </w:rPr>
      </w:pPr>
      <w:r>
        <w:rPr>
          <w:rFonts w:hint="eastAsia" w:ascii="宋体" w:hAnsi="宋体"/>
          <w:color w:val="auto"/>
          <w:sz w:val="24"/>
          <w:lang w:val="en-US" w:eastAsia="zh-CN"/>
        </w:rPr>
        <w:t>是指申办者为保证开展的临床试验能够遵循临床试验方案、标准操作规程、本规范和有关适用的管理要求，选派专门人员对临床试验机构、研究者进行评价调查，对临床试验过程中的数据进行验证并记录和报告的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color w:val="auto"/>
          <w:sz w:val="24"/>
          <w:lang w:val="en-US" w:eastAsia="zh-CN"/>
        </w:rPr>
      </w:pPr>
      <w:r>
        <w:rPr>
          <w:rFonts w:hint="eastAsia" w:ascii="宋体" w:hAnsi="宋体"/>
          <w:color w:val="auto"/>
          <w:sz w:val="24"/>
          <w:lang w:val="en-US" w:eastAsia="zh-CN"/>
        </w:rPr>
        <w:t>2.核查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color w:val="auto"/>
          <w:sz w:val="24"/>
          <w:lang w:val="en-US" w:eastAsia="zh-CN"/>
        </w:rPr>
      </w:pPr>
      <w:r>
        <w:rPr>
          <w:rFonts w:hint="eastAsia" w:ascii="宋体" w:hAnsi="宋体"/>
          <w:color w:val="auto"/>
          <w:sz w:val="24"/>
          <w:lang w:val="en-US" w:eastAsia="zh-CN"/>
        </w:rPr>
        <w:t>是指由申办者组织的对临床试验相关活动和文件进行系统性的独立检查，以确定此类活动的执行、数据的记录、分析和报告是否符合临床试验方案、标准操作规程、本规范和有关适用的管理要求。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olor w:val="auto"/>
          <w:sz w:val="24"/>
          <w:lang w:val="en-US" w:eastAsia="zh-CN"/>
        </w:rPr>
      </w:pPr>
      <w:r>
        <w:rPr>
          <w:rFonts w:hint="eastAsia" w:ascii="宋体" w:hAnsi="宋体"/>
          <w:color w:val="auto"/>
          <w:sz w:val="24"/>
          <w:lang w:val="en-US" w:eastAsia="zh-CN"/>
        </w:rPr>
        <w:t>3.检查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lang w:eastAsia="zh-CN"/>
        </w:rPr>
      </w:pPr>
      <w:r>
        <w:rPr>
          <w:rFonts w:hint="eastAsia" w:ascii="宋体" w:hAnsi="宋体"/>
          <w:color w:val="auto"/>
          <w:sz w:val="24"/>
          <w:lang w:val="en-US" w:eastAsia="zh-CN"/>
        </w:rPr>
        <w:t>是指监管部门对临床试验的有关文件、设施、记录和其他方面进行的监督管理活动。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4"/>
          <w:szCs w:val="24"/>
        </w:rPr>
      </w:pP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各类型检查的各方职责。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监查工作主要由项目组负责接待与配合，如有必要，机构办公室可给予协助与协调。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ascii="宋体" w:hAnsi="宋体" w:eastAsia="宋体" w:cs="宋体"/>
          <w:color w:val="auto"/>
          <w:sz w:val="24"/>
          <w:szCs w:val="24"/>
        </w:rPr>
      </w:pPr>
      <w:r>
        <w:rPr>
          <w:rFonts w:hint="eastAsia" w:ascii="宋体" w:hAnsi="宋体" w:eastAsia="宋体" w:cs="宋体"/>
          <w:color w:val="auto"/>
          <w:sz w:val="24"/>
          <w:szCs w:val="24"/>
          <w:lang w:val="en-US" w:eastAsia="zh-CN"/>
        </w:rPr>
        <w:t>2.核查</w:t>
      </w:r>
      <w:r>
        <w:rPr>
          <w:rFonts w:hint="eastAsia" w:ascii="宋体" w:hAnsi="宋体" w:eastAsia="宋体" w:cs="宋体"/>
          <w:color w:val="auto"/>
          <w:sz w:val="24"/>
          <w:szCs w:val="24"/>
        </w:rPr>
        <w:t>（申办者发起的）主要由涉及的项目组和科室负责接待与准备，如有需要，</w:t>
      </w:r>
      <w:r>
        <w:rPr>
          <w:rFonts w:hint="eastAsia" w:ascii="宋体" w:hAnsi="宋体" w:eastAsia="宋体" w:cs="宋体"/>
          <w:color w:val="auto"/>
          <w:sz w:val="24"/>
          <w:szCs w:val="24"/>
          <w:lang w:eastAsia="zh-CN"/>
        </w:rPr>
        <w:t>医疗器械临床试验机构</w:t>
      </w:r>
      <w:r>
        <w:rPr>
          <w:rFonts w:hint="eastAsia" w:ascii="宋体" w:hAnsi="宋体" w:eastAsia="宋体" w:cs="宋体"/>
          <w:color w:val="auto"/>
          <w:sz w:val="24"/>
          <w:szCs w:val="24"/>
        </w:rPr>
        <w:t>可以帮助协调相关科室（如检验科、影像科等）。机构主任、办公室主任和质控组长列席稽查的启动会和总结会。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检查</w:t>
      </w:r>
      <w:r>
        <w:rPr>
          <w:rFonts w:hint="eastAsia" w:ascii="宋体" w:hAnsi="宋体" w:eastAsia="宋体" w:cs="宋体"/>
          <w:color w:val="auto"/>
          <w:sz w:val="24"/>
          <w:szCs w:val="24"/>
        </w:rPr>
        <w:t>（药监管理部门发起的）由</w:t>
      </w:r>
      <w:r>
        <w:rPr>
          <w:rFonts w:hint="eastAsia" w:ascii="宋体" w:hAnsi="宋体" w:eastAsia="宋体" w:cs="宋体"/>
          <w:color w:val="auto"/>
          <w:sz w:val="24"/>
          <w:szCs w:val="24"/>
          <w:lang w:eastAsia="zh-CN"/>
        </w:rPr>
        <w:t>临床试验机构</w:t>
      </w:r>
      <w:r>
        <w:rPr>
          <w:rFonts w:hint="eastAsia" w:ascii="宋体" w:hAnsi="宋体" w:eastAsia="宋体" w:cs="宋体"/>
          <w:color w:val="auto"/>
          <w:sz w:val="24"/>
          <w:szCs w:val="24"/>
        </w:rPr>
        <w:t>办公室负责总体协调，涉及的项目组和科室应积极做好准备。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rPr>
          <w:rFonts w:ascii="宋体" w:hAnsi="宋体" w:eastAsia="宋体" w:cs="宋体"/>
          <w:color w:val="auto"/>
          <w:sz w:val="24"/>
          <w:szCs w:val="24"/>
        </w:rPr>
      </w:pP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接受和配合各类型检查的一般流程。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rPr>
          <w:rFonts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监查</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项目组接到监查通知后，由项目PI做好安排并通知项目组相关成员。</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如需要，项目研究护士/CRC负责预约监查场地或会议室。</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监查期间，由项目研究护士/CRC进行病历资料和研究档案的准备，负责联络项目组其他成员和相关科室；PI或研究医生要安排时间配合解决监查中发现的问题。如监查中需要与机构办公室沟通，监查员可联系机构办公室秘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rPr>
          <w:rFonts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监查结束后，监查员应尽快归档“监查报告”或“反馈信”，项目组对监查中反映问题和结果进行分析并做出反馈。</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核</w:t>
      </w:r>
      <w:r>
        <w:rPr>
          <w:rFonts w:hint="eastAsia" w:ascii="宋体" w:hAnsi="宋体" w:eastAsia="宋体" w:cs="宋体"/>
          <w:color w:val="auto"/>
          <w:sz w:val="24"/>
          <w:szCs w:val="24"/>
          <w:lang w:eastAsia="zh-CN"/>
        </w:rPr>
        <w:t>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项目组接到</w:t>
      </w:r>
      <w:r>
        <w:rPr>
          <w:rFonts w:hint="eastAsia" w:ascii="宋体" w:hAnsi="宋体" w:eastAsia="宋体" w:cs="宋体"/>
          <w:color w:val="auto"/>
          <w:sz w:val="24"/>
          <w:szCs w:val="24"/>
          <w:lang w:eastAsia="zh-CN"/>
        </w:rPr>
        <w:t>核查</w:t>
      </w:r>
      <w:r>
        <w:rPr>
          <w:rFonts w:hint="eastAsia" w:ascii="宋体" w:hAnsi="宋体" w:eastAsia="宋体" w:cs="宋体"/>
          <w:color w:val="auto"/>
          <w:sz w:val="24"/>
          <w:szCs w:val="24"/>
        </w:rPr>
        <w:t>通知后，应积极做好准备，并将通知的复印件和拟定好的议程安排交机构办公室存档。</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项目组负责书面通知相关科室和人员（必要时开筹备会），由项目组成员提前预约会议室。</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稽</w:t>
      </w:r>
      <w:r>
        <w:rPr>
          <w:rFonts w:hint="eastAsia" w:ascii="宋体" w:hAnsi="宋体" w:eastAsia="宋体" w:cs="宋体"/>
          <w:color w:val="auto"/>
          <w:sz w:val="24"/>
          <w:szCs w:val="24"/>
          <w:lang w:eastAsia="zh-CN"/>
        </w:rPr>
        <w:t>查</w:t>
      </w:r>
      <w:r>
        <w:rPr>
          <w:rFonts w:hint="eastAsia" w:ascii="宋体" w:hAnsi="宋体" w:eastAsia="宋体" w:cs="宋体"/>
          <w:color w:val="auto"/>
          <w:sz w:val="24"/>
          <w:szCs w:val="24"/>
        </w:rPr>
        <w:t>当天由项目组负责</w:t>
      </w:r>
      <w:r>
        <w:rPr>
          <w:rFonts w:hint="eastAsia" w:ascii="宋体" w:hAnsi="宋体" w:eastAsia="宋体" w:cs="宋体"/>
          <w:color w:val="auto"/>
          <w:sz w:val="24"/>
          <w:szCs w:val="24"/>
          <w:lang w:eastAsia="zh-CN"/>
        </w:rPr>
        <w:t>核查</w:t>
      </w:r>
      <w:r>
        <w:rPr>
          <w:rFonts w:hint="eastAsia" w:ascii="宋体" w:hAnsi="宋体" w:eastAsia="宋体" w:cs="宋体"/>
          <w:color w:val="auto"/>
          <w:sz w:val="24"/>
          <w:szCs w:val="24"/>
        </w:rPr>
        <w:t>专家的接待，如涉及伦理委员会运作和机构管理流程等环节，伦委会主任、机构主任、办公室主任与秘书、质控组长及秘书须到场接受专家提问。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稽</w:t>
      </w:r>
      <w:r>
        <w:rPr>
          <w:rFonts w:hint="eastAsia" w:ascii="宋体" w:hAnsi="宋体" w:eastAsia="宋体" w:cs="宋体"/>
          <w:color w:val="auto"/>
          <w:sz w:val="24"/>
          <w:szCs w:val="24"/>
          <w:lang w:eastAsia="zh-CN"/>
        </w:rPr>
        <w:t>查</w:t>
      </w:r>
      <w:r>
        <w:rPr>
          <w:rFonts w:hint="eastAsia" w:ascii="宋体" w:hAnsi="宋体" w:eastAsia="宋体" w:cs="宋体"/>
          <w:color w:val="auto"/>
          <w:sz w:val="24"/>
          <w:szCs w:val="24"/>
        </w:rPr>
        <w:t>结束后，由项目组对检查中反映的问题和结果进行汇总，并提出解决措施，有关文字材料交机构办公室存档。</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、检查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auto"/>
          <w:sz w:val="24"/>
          <w:szCs w:val="24"/>
        </w:rPr>
        <w:sectPr>
          <w:headerReference r:id="rId164" w:type="default"/>
          <w:footerReference r:id="rId165" w:type="default"/>
          <w:pgSz w:w="11906" w:h="16838"/>
          <w:pgMar w:top="1417" w:right="1191" w:bottom="1474" w:left="1474" w:header="0" w:footer="992" w:gutter="0"/>
          <w:pgNumType w:fmt="decimal" w:start="1"/>
          <w:cols w:space="0" w:num="1"/>
          <w:rtlGutter w:val="0"/>
          <w:docGrid w:type="lines" w:linePitch="312" w:charSpace="0"/>
        </w:sectPr>
      </w:pPr>
      <w:r>
        <w:rPr>
          <w:rFonts w:hint="eastAsia" w:ascii="宋体" w:hAnsi="宋体" w:eastAsia="宋体" w:cs="宋体"/>
          <w:color w:val="auto"/>
          <w:sz w:val="24"/>
          <w:szCs w:val="24"/>
        </w:rPr>
        <w:t>机构办公室接到</w:t>
      </w:r>
      <w:r>
        <w:rPr>
          <w:rFonts w:hint="eastAsia" w:ascii="宋体" w:hAnsi="宋体" w:eastAsia="宋体" w:cs="宋体"/>
          <w:color w:val="auto"/>
          <w:sz w:val="24"/>
          <w:szCs w:val="24"/>
          <w:lang w:eastAsia="zh-CN"/>
        </w:rPr>
        <w:t>省药品监督管理部门</w:t>
      </w:r>
      <w:r>
        <w:rPr>
          <w:rFonts w:hint="eastAsia" w:ascii="宋体" w:hAnsi="宋体" w:eastAsia="宋体" w:cs="宋体"/>
          <w:color w:val="auto"/>
          <w:sz w:val="24"/>
          <w:szCs w:val="24"/>
        </w:rPr>
        <w:t>的检查通知后，书面通知相关科室和人员（必要时开筹备会），拟定议程安排；由机构办公室提前预约会议室。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center"/>
        <w:textAlignment w:val="auto"/>
        <w:outlineLvl w:val="9"/>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eastAsia="zh-CN"/>
        </w:rPr>
        <w:t>生物样本管理的</w:t>
      </w:r>
      <w:r>
        <w:rPr>
          <w:rFonts w:hint="eastAsia" w:ascii="黑体" w:hAnsi="黑体" w:eastAsia="黑体" w:cs="黑体"/>
          <w:b/>
          <w:bCs/>
          <w:color w:val="auto"/>
          <w:sz w:val="28"/>
          <w:szCs w:val="28"/>
          <w:lang w:val="en-US" w:eastAsia="zh-CN"/>
        </w:rPr>
        <w:t>SOP</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一、目的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建立临床试验机构对临床试验中生物样本管理的标准操作规程，确保生物样本采集、转运等各环节规范、一致并符合方案要求，用以监督和提高临床试验质量，保障临床试验顺利进行。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二、范围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适用于本机构开展的临床试验生物样本的管理。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三、规程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（一）生物样本采集前准备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highlight w:val="none"/>
          <w:lang w:val="en-US" w:eastAsia="zh-CN"/>
        </w:rPr>
        <w:t>审查试验方案中关于生物样本采集的要求。生物样本采集的人员需要经过PI授权，就临床试验流程等内容对参加试验的医护人员等进行相关生物样本操作培训。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2、提前与受试者和研究护士约定</w:t>
      </w:r>
      <w:r>
        <w:rPr>
          <w:rFonts w:hint="eastAsia" w:ascii="宋体" w:hAnsi="宋体" w:cs="宋体"/>
          <w:b w:val="0"/>
          <w:bCs w:val="0"/>
          <w:color w:val="auto"/>
          <w:sz w:val="24"/>
          <w:szCs w:val="24"/>
          <w:highlight w:val="none"/>
          <w:lang w:val="en-US" w:eastAsia="zh-CN"/>
        </w:rPr>
        <w:t>样本采集</w:t>
      </w:r>
      <w:r>
        <w:rPr>
          <w:rFonts w:hint="eastAsia" w:ascii="宋体" w:hAnsi="宋体" w:eastAsia="宋体" w:cs="宋体"/>
          <w:b w:val="0"/>
          <w:bCs w:val="0"/>
          <w:color w:val="auto"/>
          <w:sz w:val="24"/>
          <w:szCs w:val="24"/>
          <w:highlight w:val="none"/>
          <w:lang w:val="en-US" w:eastAsia="zh-CN"/>
        </w:rPr>
        <w:t>时间，做好生物样本采集准备。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3、采取双人双核的模式，接收并核对</w:t>
      </w:r>
      <w:r>
        <w:rPr>
          <w:rFonts w:hint="eastAsia" w:ascii="宋体" w:hAnsi="宋体" w:cs="宋体"/>
          <w:b w:val="0"/>
          <w:bCs w:val="0"/>
          <w:color w:val="auto"/>
          <w:sz w:val="24"/>
          <w:szCs w:val="24"/>
          <w:highlight w:val="none"/>
          <w:lang w:val="en-US" w:eastAsia="zh-CN"/>
        </w:rPr>
        <w:t>所需</w:t>
      </w:r>
      <w:r>
        <w:rPr>
          <w:rFonts w:hint="eastAsia" w:ascii="宋体" w:hAnsi="宋体" w:eastAsia="宋体" w:cs="宋体"/>
          <w:b w:val="0"/>
          <w:bCs w:val="0"/>
          <w:color w:val="auto"/>
          <w:sz w:val="24"/>
          <w:szCs w:val="24"/>
          <w:highlight w:val="none"/>
          <w:lang w:val="en-US" w:eastAsia="zh-CN"/>
        </w:rPr>
        <w:t xml:space="preserve">针头、采集管、标签等物资是否齐全。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（二）生物样本的采集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1、生物</w:t>
      </w:r>
      <w:r>
        <w:rPr>
          <w:rFonts w:hint="eastAsia" w:ascii="宋体" w:hAnsi="宋体" w:eastAsia="宋体" w:cs="宋体"/>
          <w:b w:val="0"/>
          <w:bCs w:val="0"/>
          <w:strike w:val="0"/>
          <w:dstrike w:val="0"/>
          <w:color w:val="auto"/>
          <w:sz w:val="24"/>
          <w:szCs w:val="24"/>
          <w:highlight w:val="none"/>
          <w:lang w:val="en-US" w:eastAsia="zh-CN"/>
        </w:rPr>
        <w:t>样本采集</w:t>
      </w:r>
      <w:r>
        <w:rPr>
          <w:rFonts w:hint="eastAsia" w:ascii="宋体" w:hAnsi="宋体" w:eastAsia="宋体" w:cs="宋体"/>
          <w:b w:val="0"/>
          <w:bCs w:val="0"/>
          <w:color w:val="auto"/>
          <w:sz w:val="24"/>
          <w:szCs w:val="24"/>
          <w:highlight w:val="none"/>
          <w:lang w:val="en-US" w:eastAsia="zh-CN"/>
        </w:rPr>
        <w:t>人员应按照标准操作程序正确采集血液样本、尿液样本和大便样本，完善信息采集，并做好记录。以保证样本采集时间的准确性及逻辑性。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2、生物</w:t>
      </w:r>
      <w:r>
        <w:rPr>
          <w:rFonts w:hint="eastAsia" w:ascii="宋体" w:hAnsi="宋体" w:eastAsia="宋体" w:cs="宋体"/>
          <w:b w:val="0"/>
          <w:bCs w:val="0"/>
          <w:strike w:val="0"/>
          <w:dstrike w:val="0"/>
          <w:color w:val="auto"/>
          <w:sz w:val="24"/>
          <w:szCs w:val="24"/>
          <w:highlight w:val="none"/>
          <w:lang w:val="en-US" w:eastAsia="zh-CN"/>
        </w:rPr>
        <w:t>样本采集人员</w:t>
      </w:r>
      <w:r>
        <w:rPr>
          <w:rFonts w:hint="eastAsia" w:ascii="宋体" w:hAnsi="宋体" w:eastAsia="宋体" w:cs="宋体"/>
          <w:b w:val="0"/>
          <w:bCs w:val="0"/>
          <w:color w:val="auto"/>
          <w:sz w:val="24"/>
          <w:szCs w:val="24"/>
          <w:highlight w:val="none"/>
          <w:lang w:val="en-US" w:eastAsia="zh-CN"/>
        </w:rPr>
        <w:t>对生物样本采集容器的标签与当前采集点是否一致进行审核，并在采集时高度关注受试者编号与生物样本采集容器编号是否一致，确保采集不出差错。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3、注意采血时间、采血量和采血角度及速度，避免出现采血超窗以及采血量不够、溶血等情况。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4、做好样本的包装及运送，处置好废物。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（三）生物样本的移交和接收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1、在临床试验开展前，样本管理人员应提前检查生物样本转运箱是否正常使用，熟悉样本转运的条件（如室温或冰浴），做好转运前准备工作。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对于需临床实验室检测（血生化、血常规、尿常规、凝血检查、乙肝/丙肝/艾滋病/梅毒诊断等）、血清妊娠检查（仅女性受试者）的生物样本应在规定的时间范围内送达本院检验科进行检测。样本管理人员在院内转运样本的过程中需保证样本转运温度符合方案要求，负责做好样本在转运过程中的防护工作，保证样本的完整性，准确记录转运和接收时间并由样本管理人员和接收检测人员签字确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对于临床试验中采集完成后的生物样本应立即放入冰浴转运箱内保存（除非申办方或方案有特殊要求），按照试验方案采样时间，样本管理人员在规定的时间范围内转运和接收临床试验采集的样本，接收样本时认真核对样本标签和数量并做好接收记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（四）生物样本预处理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1、样本管理人员应严格按照试验方案要求或操作手册处理采集后的生物样本，记录相关情况，异常样本需记录，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2、根据试验方案要求确定离心条件（相对离心力、离心温度、离心时间等），离心、分装和冻存血液样本，详细填写生物样本处理的相关表格。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3、研究中的特殊要求需特殊前处理的生物样本按方案要求执行并记录等。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（五）生物样本的储存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1、根据方案中生物样本储存要求选择合适的冰箱，冰箱需专人管理，明确标识样本分区，避免出现与其他项目样本混淆的风险。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2、禁止使用具有自动除霜功能的超低温冰箱，避免样本反复冻融。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3、详细记录超低温冰箱样本出入库信息。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（六）生物样本的转运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生物样本转运符合试验方案和相关SOP要求、运输条件要求、转运注意事项、完整性和活性受到影响的应急预案及处理措施等。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1、转运前需提前预约冷链物流，预约时详细说明转运样本的数量，需要运输的温度，寄件方与收件方详细的信息等内容。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2、检测样本和备份样本要分开运输，防止运输过程中由于温度、外部环境等原因造成样本的损坏，从而无法正常使用，造成本次访视的数据缺失。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确认转运的生物样本的编号记录完整、准确，转运前再次核对《样本送检清单》中的样本数量、编号与实际运输的数量、编号是否一致，并随箱运输至中心实验室，待中心实验室核对无误签名确认签收后，将《样本送检清单》与运输的温度计校准证书、温控记录回收并保存至文件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（七）生物样本储存超温的预防措施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1、定期检查冰箱是否能正常运行，避免因仪器故障、停电等原因导致冰箱超温。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2、样本管理人员在开关冰箱门取放样本时，箱门敞开时间不能高于1min，避免开门时间过长造成冰箱内短暂升温。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3、环境控制，储存样本的超低温冰箱所处的环境温度应当控制在10-32℃之间，并保持通风。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4、研究中心应当具备备用冰箱。当冰箱出现故障时，能在短时间内将样品转运至备用冰箱，尽可能的减少损失。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color w:val="auto"/>
          <w:lang w:val="en-US" w:eastAsia="zh-CN"/>
        </w:rPr>
      </w:pPr>
      <w:r>
        <w:rPr>
          <w:rFonts w:hint="eastAsia" w:ascii="宋体" w:hAnsi="宋体" w:eastAsia="宋体" w:cs="宋体"/>
          <w:b w:val="0"/>
          <w:bCs w:val="0"/>
          <w:color w:val="auto"/>
          <w:sz w:val="24"/>
          <w:szCs w:val="24"/>
          <w:lang w:val="en-US" w:eastAsia="zh-CN"/>
        </w:rPr>
        <w:t>5、如果实验室方法学支持储存样本的温度有限，冰箱超温可能会造成样本的稳定性变差甚至是变性，直接影响检测结果。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（八）生物样本的销毁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olor w:val="auto"/>
          <w:sz w:val="24"/>
          <w:szCs w:val="24"/>
          <w:lang w:val="en-US" w:eastAsia="zh-CN"/>
        </w:rPr>
      </w:pPr>
      <w:r>
        <w:rPr>
          <w:rFonts w:hint="eastAsia" w:ascii="宋体" w:hAnsi="宋体"/>
          <w:color w:val="auto"/>
          <w:sz w:val="24"/>
          <w:szCs w:val="24"/>
          <w:lang w:val="en-US" w:eastAsia="zh-CN"/>
        </w:rPr>
        <w:t>1、应与申办方/CRO约定备份生物样本的保存时限，对保存期内的样本进行妥善保管。到期后与申办方进行沟通，确认不需继续保存者，申办方/CRO出具生物样本销毁授权表授权医院进行销毁。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rPr>
      </w:pPr>
      <w:r>
        <w:rPr>
          <w:rFonts w:hint="eastAsia" w:ascii="宋体" w:hAnsi="宋体"/>
          <w:color w:val="auto"/>
          <w:sz w:val="24"/>
          <w:szCs w:val="24"/>
          <w:lang w:val="en-US" w:eastAsia="zh-CN"/>
        </w:rPr>
        <w:t>2、生物样本的销毁</w:t>
      </w:r>
      <w:r>
        <w:rPr>
          <w:rFonts w:hint="eastAsia" w:ascii="宋体" w:hAnsi="宋体"/>
          <w:b w:val="0"/>
          <w:bCs w:val="0"/>
          <w:color w:val="auto"/>
          <w:sz w:val="24"/>
          <w:szCs w:val="24"/>
        </w:rPr>
        <w:t>按医院</w:t>
      </w:r>
      <w:r>
        <w:rPr>
          <w:rFonts w:hint="eastAsia" w:ascii="宋体" w:hAnsi="宋体"/>
          <w:b w:val="0"/>
          <w:bCs w:val="0"/>
          <w:color w:val="auto"/>
          <w:sz w:val="24"/>
          <w:szCs w:val="24"/>
          <w:lang w:val="en-US" w:eastAsia="zh-CN"/>
        </w:rPr>
        <w:t>医疗废物的</w:t>
      </w:r>
      <w:r>
        <w:rPr>
          <w:rFonts w:hint="eastAsia" w:ascii="宋体" w:hAnsi="宋体"/>
          <w:b w:val="0"/>
          <w:bCs w:val="0"/>
          <w:color w:val="auto"/>
          <w:sz w:val="24"/>
          <w:szCs w:val="24"/>
        </w:rPr>
        <w:t>销毁程序进行销毁。销毁时必须由至少一名</w:t>
      </w:r>
      <w:r>
        <w:rPr>
          <w:rFonts w:hint="eastAsia" w:ascii="宋体" w:hAnsi="宋体"/>
          <w:b w:val="0"/>
          <w:bCs w:val="0"/>
          <w:color w:val="auto"/>
          <w:sz w:val="24"/>
          <w:szCs w:val="24"/>
          <w:lang w:val="en-US" w:eastAsia="zh-CN"/>
        </w:rPr>
        <w:t>销毁执行人和销毁监督人在场，并填写销毁记录</w:t>
      </w:r>
      <w:r>
        <w:rPr>
          <w:rFonts w:hint="eastAsia" w:ascii="宋体" w:hAnsi="宋体"/>
          <w:b w:val="0"/>
          <w:bCs w:val="0"/>
          <w:color w:val="auto"/>
          <w:sz w:val="24"/>
          <w:szCs w:val="24"/>
        </w:rPr>
        <w:t>。销毁记录需留存一份在机构，与项目</w:t>
      </w:r>
      <w:r>
        <w:rPr>
          <w:rFonts w:hint="eastAsia" w:ascii="宋体" w:hAnsi="宋体"/>
          <w:color w:val="auto"/>
          <w:sz w:val="24"/>
          <w:szCs w:val="24"/>
        </w:rPr>
        <w:t>资料一并归档。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rPr>
      </w:pPr>
      <w:r>
        <w:rPr>
          <w:rFonts w:hint="eastAsia" w:ascii="宋体" w:hAnsi="宋体"/>
          <w:color w:val="auto"/>
          <w:sz w:val="24"/>
          <w:szCs w:val="24"/>
        </w:rPr>
        <w:t>3、销毁流程见医院医疗废物处理流程。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auto"/>
          <w:lang w:val="en-US" w:eastAsia="zh-CN"/>
        </w:rPr>
      </w:pPr>
      <w:r>
        <w:rPr>
          <w:rFonts w:hint="eastAsia" w:ascii="宋体" w:hAnsi="宋体" w:cs="宋体"/>
          <w:b w:val="0"/>
          <w:bCs w:val="0"/>
          <w:color w:val="auto"/>
          <w:sz w:val="24"/>
          <w:szCs w:val="24"/>
          <w:lang w:val="en-US" w:eastAsia="zh-CN"/>
        </w:rPr>
        <w:t>四、参考文献：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color w:val="auto"/>
          <w:lang w:val="en-US" w:eastAsia="zh-CN"/>
        </w:rPr>
      </w:pPr>
      <w:r>
        <w:rPr>
          <w:rFonts w:hint="eastAsia" w:ascii="宋体" w:hAnsi="宋体" w:cs="宋体"/>
          <w:b w:val="0"/>
          <w:bCs w:val="0"/>
          <w:color w:val="auto"/>
          <w:sz w:val="24"/>
          <w:szCs w:val="24"/>
          <w:lang w:val="en-US" w:eastAsia="zh-CN"/>
        </w:rPr>
        <w:t>[1]国家药品监督管理局, 国家卫生健康委员会. 国家药监局 国家卫生健康委关于发布《药物临床试验质量管理规范》的公告（2020年第57号）.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color w:val="auto"/>
          <w:lang w:val="en-US" w:eastAsia="zh-CN"/>
        </w:rPr>
      </w:pPr>
      <w:r>
        <w:rPr>
          <w:rFonts w:hint="eastAsia" w:ascii="宋体" w:hAnsi="宋体" w:cs="宋体"/>
          <w:b w:val="0"/>
          <w:bCs w:val="0"/>
          <w:color w:val="auto"/>
          <w:sz w:val="24"/>
          <w:szCs w:val="24"/>
          <w:lang w:val="en-US" w:eastAsia="zh-CN"/>
        </w:rPr>
        <w:t>[2]GB/T 39767-2021, 人类生物样本管理规范[S].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[3]李正奇, 赵俊. 生物等效性试验实用指南[M]. 江苏凤凰科技出版社, 2018.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[4]郑君, 杨志云, 张伟, 等. 医院实验室样本的生物安全管理问题及对策[J]. 标记免疫分析与临床, 2021, 28(08): 1426-1429.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[5]药物临床试验生物样本编码和标签操作指南[J]. 中国临床药理学与治疗学, 2021, 26(09): 975-977.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[6]赵同香, 蒋向明, 王海英, 等. 探讨药物临床试验生物样本流通环节常见问题及风险前置化管理措施[J]. 中国食品药品监管, 2021(03): 44-51.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[7]寇莹莹, 赵敏, 李苗. 临床试验生物样本全流程管理模式构建[J]. 中国食品药品监管, 2019(12): 58-60.</w:t>
      </w:r>
    </w:p>
    <w:p>
      <w:pPr>
        <w:rPr>
          <w:color w:val="auto"/>
        </w:rPr>
      </w:pPr>
      <w:r>
        <w:rPr>
          <w:rFonts w:hint="eastAsia" w:ascii="宋体" w:hAnsi="宋体" w:cs="宋体"/>
          <w:b w:val="0"/>
          <w:bCs w:val="0"/>
          <w:color w:val="auto"/>
          <w:sz w:val="24"/>
          <w:szCs w:val="24"/>
          <w:lang w:val="en-US" w:eastAsia="zh-CN"/>
        </w:rPr>
        <w:t>[8]刘小保, 陈勇, 杨凤, 等. 药物临床试验质量控制创新管理模式探索[J].中国新药与临床杂志, 2020, 39(06): 353-357.</w:t>
      </w:r>
    </w:p>
    <w:p>
      <w:pPr>
        <w:spacing w:line="360" w:lineRule="auto"/>
        <w:jc w:val="center"/>
        <w:rPr>
          <w:rFonts w:hint="eastAsia" w:ascii="黑体" w:hAnsi="黑体" w:eastAsia="黑体" w:cs="黑体"/>
          <w:b/>
          <w:color w:val="auto"/>
          <w:sz w:val="28"/>
          <w:szCs w:val="28"/>
          <w:lang w:val="en-US" w:eastAsia="zh-CN"/>
        </w:rPr>
        <w:sectPr>
          <w:headerReference r:id="rId166" w:type="default"/>
          <w:footerReference r:id="rId167" w:type="default"/>
          <w:pgSz w:w="11906" w:h="16838"/>
          <w:pgMar w:top="1417" w:right="1191" w:bottom="1474" w:left="1474" w:header="0" w:footer="992" w:gutter="0"/>
          <w:pgNumType w:fmt="decimal" w:start="1"/>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color w:val="auto"/>
          <w:sz w:val="24"/>
          <w:szCs w:val="24"/>
          <w:lang w:val="en-US" w:eastAsia="zh-CN"/>
        </w:rPr>
      </w:pPr>
      <w:r>
        <w:rPr>
          <w:rFonts w:hint="eastAsia" w:ascii="宋体" w:hAnsi="宋体"/>
          <w:color w:val="auto"/>
          <w:sz w:val="24"/>
          <w:szCs w:val="24"/>
          <w:lang w:val="en-US" w:eastAsia="zh-CN"/>
        </w:rPr>
        <w:t>五、附件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color w:val="auto"/>
          <w:lang w:val="en-US" w:eastAsia="zh-CN"/>
        </w:rPr>
      </w:pPr>
      <w:r>
        <w:rPr>
          <w:rFonts w:hint="eastAsia" w:ascii="宋体" w:hAnsi="宋体"/>
          <w:color w:val="auto"/>
          <w:sz w:val="24"/>
          <w:szCs w:val="24"/>
          <w:lang w:val="en-US" w:eastAsia="zh-CN"/>
        </w:rPr>
        <w:t>附件1</w:t>
      </w:r>
      <w:r>
        <w:rPr>
          <w:rFonts w:hint="eastAsia" w:ascii="宋体" w:hAnsi="宋体"/>
          <w:color w:val="auto"/>
          <w:sz w:val="24"/>
          <w:szCs w:val="24"/>
        </w:rPr>
        <w:t xml:space="preserve"> 医疗废物处理流程</w:t>
      </w:r>
      <w:r>
        <w:rPr>
          <w:rFonts w:hint="eastAsia" w:ascii="宋体" w:hAnsi="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rPr>
      </w:pPr>
      <w:r>
        <w:rPr>
          <w:rFonts w:hint="eastAsia" w:ascii="宋体" w:hAnsi="宋体"/>
          <w:color w:val="auto"/>
          <w:sz w:val="24"/>
          <w:szCs w:val="24"/>
        </w:rPr>
        <w:t>（1）医务人员按《医疗废物分类目录》对医疗废物进行分类。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rPr>
      </w:pPr>
      <w:r>
        <w:rPr>
          <w:rFonts w:hint="eastAsia" w:ascii="宋体" w:hAnsi="宋体"/>
          <w:color w:val="auto"/>
          <w:sz w:val="24"/>
          <w:szCs w:val="24"/>
        </w:rPr>
        <w:t>（2）根据医疗废物的类别，将医疗废物分置于专用包装袋或容器内，包装袋和容器应符合医疗废物专用包装物容器的标准和警示标识的规定。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rPr>
      </w:pPr>
      <w:r>
        <w:rPr>
          <w:rFonts w:hint="eastAsia" w:ascii="宋体" w:hAnsi="宋体"/>
          <w:color w:val="auto"/>
          <w:sz w:val="24"/>
          <w:szCs w:val="24"/>
        </w:rPr>
        <w:t>（3）医务人员在盛装医疗废物前，应当对包装物或容器进行认真检查，确认无破损、渗液和其他缺陷。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rPr>
      </w:pPr>
      <w:r>
        <w:rPr>
          <w:rFonts w:hint="eastAsia" w:ascii="宋体" w:hAnsi="宋体"/>
          <w:color w:val="auto"/>
          <w:sz w:val="24"/>
          <w:szCs w:val="24"/>
        </w:rPr>
        <w:t>（4）盛装医疗废物达到包装物或容器的3/4时，应当使用有效的封口方式，使封口紧实，严密。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rPr>
      </w:pPr>
      <w:r>
        <w:rPr>
          <w:rFonts w:hint="eastAsia" w:ascii="宋体" w:hAnsi="宋体"/>
          <w:color w:val="auto"/>
          <w:sz w:val="24"/>
          <w:szCs w:val="24"/>
        </w:rPr>
        <w:t>（5）盛装医疗废物的每个包装物或容器，表面应当有警示标记和中文标签，标签内容包括医疗废物产生单位，产生日期，重量等。打包好的医疗废物不得任意取出。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rPr>
      </w:pPr>
      <w:r>
        <w:rPr>
          <w:rFonts w:hint="eastAsia" w:ascii="宋体" w:hAnsi="宋体"/>
          <w:color w:val="auto"/>
          <w:sz w:val="24"/>
          <w:szCs w:val="24"/>
        </w:rPr>
        <w:t>（6）医疗废物管理专职人员，每天从医疗废物产生地点将分类包装的医疗废物，按照规定路线运送至临时贮存室，运送过程中应防止医疗废物的流失、泄露。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rPr>
      </w:pPr>
      <w:r>
        <w:rPr>
          <w:rFonts w:hint="eastAsia" w:ascii="宋体" w:hAnsi="宋体"/>
          <w:color w:val="auto"/>
          <w:sz w:val="24"/>
          <w:szCs w:val="24"/>
        </w:rPr>
        <w:t>（7）医疗废物管理专职人员，每天对产生地点的医疗废物进行登记，登记内容包括来源、种类、重量、交接时间、最终去向，经办人等。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rPr>
      </w:pPr>
      <w:r>
        <w:rPr>
          <w:rFonts w:hint="eastAsia" w:ascii="宋体" w:hAnsi="宋体"/>
          <w:color w:val="auto"/>
          <w:sz w:val="24"/>
          <w:szCs w:val="24"/>
        </w:rPr>
        <w:t>（8）医疗废物转交出去以后，医疗废物管理专职人员应对临时贮存地点、设施进行清洁和消毒处理，并作好记录。</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val="0"/>
          <w:bCs/>
          <w:color w:val="auto"/>
          <w:sz w:val="24"/>
          <w:szCs w:val="28"/>
          <w:lang w:eastAsia="zh-CN"/>
        </w:rPr>
      </w:pPr>
      <w:r>
        <w:rPr>
          <w:rFonts w:hint="eastAsia" w:ascii="黑体" w:hAnsi="黑体" w:eastAsia="黑体" w:cs="黑体"/>
          <w:b w:val="0"/>
          <w:bCs/>
          <w:color w:val="auto"/>
          <w:sz w:val="24"/>
          <w:szCs w:val="28"/>
          <w:lang w:eastAsia="zh-CN"/>
        </w:rPr>
        <w:t>修订记录</w:t>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序号</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修订前版本号</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修订后版本号</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修订原因、依据</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修订内容</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修订人/</w:t>
            </w:r>
            <w:r>
              <w:rPr>
                <w:rFonts w:hint="eastAsia" w:asciiTheme="minorEastAsia" w:hAnsiTheme="minorEastAsia" w:cstheme="minorEastAsia"/>
                <w:color w:val="auto"/>
                <w:sz w:val="21"/>
                <w:szCs w:val="21"/>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2.0</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1.根据实际工作需要，修订生物样本管理的规程。</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r>
              <w:rPr>
                <w:rFonts w:hint="eastAsia" w:asciiTheme="minorEastAsia" w:hAnsiTheme="minorEastAsia" w:cstheme="minorEastAsia"/>
                <w:color w:val="auto"/>
                <w:sz w:val="21"/>
                <w:szCs w:val="21"/>
                <w:vertAlign w:val="baseline"/>
                <w:lang w:eastAsia="zh-CN"/>
              </w:rPr>
              <w:t>根据最新参考文献修订具体内容。</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b/>
                <w:bCs/>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1.修订生物样本采集前准备、生物样本的采集、生物样本的移交和接受、生物样本预处理、储存超温预防措施和医废销毁流程。</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2.新增参考文献。</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p>
        </w:tc>
      </w:tr>
    </w:tbl>
    <w:p>
      <w:pPr>
        <w:rPr>
          <w:rFonts w:hint="eastAsia"/>
          <w:color w:val="auto"/>
          <w:lang w:val="en-US" w:eastAsia="zh-CN"/>
        </w:rPr>
        <w:sectPr>
          <w:headerReference r:id="rId168" w:type="default"/>
          <w:footerReference r:id="rId169" w:type="default"/>
          <w:pgSz w:w="11906" w:h="16838"/>
          <w:pgMar w:top="1417" w:right="1191" w:bottom="1474" w:left="1474" w:header="0" w:footer="992" w:gutter="0"/>
          <w:pgNumType w:fmt="decimal"/>
          <w:cols w:space="0" w:num="1"/>
          <w:rtlGutter w:val="0"/>
          <w:docGrid w:type="lines" w:linePitch="312" w:charSpace="0"/>
        </w:sectPr>
      </w:pPr>
    </w:p>
    <w:p>
      <w:pPr>
        <w:spacing w:line="360" w:lineRule="auto"/>
        <w:jc w:val="center"/>
        <w:rPr>
          <w:rFonts w:hint="eastAsia" w:ascii="黑体" w:hAnsi="黑体" w:eastAsia="黑体" w:cs="黑体"/>
          <w:b/>
          <w:color w:val="auto"/>
          <w:sz w:val="28"/>
          <w:szCs w:val="28"/>
        </w:rPr>
      </w:pPr>
      <w:r>
        <w:rPr>
          <w:rFonts w:hint="eastAsia" w:ascii="黑体" w:hAnsi="黑体" w:eastAsia="黑体" w:cs="黑体"/>
          <w:b/>
          <w:color w:val="auto"/>
          <w:sz w:val="28"/>
          <w:szCs w:val="28"/>
          <w:lang w:val="en-US" w:eastAsia="zh-CN"/>
        </w:rPr>
        <w:t>医疗器械缺陷</w:t>
      </w:r>
      <w:r>
        <w:rPr>
          <w:rFonts w:hint="eastAsia" w:ascii="黑体" w:hAnsi="黑体" w:eastAsia="黑体" w:cs="黑体"/>
          <w:b/>
          <w:color w:val="auto"/>
          <w:sz w:val="28"/>
          <w:szCs w:val="28"/>
        </w:rPr>
        <w:t>处理</w:t>
      </w:r>
      <w:r>
        <w:rPr>
          <w:rFonts w:hint="eastAsia" w:ascii="黑体" w:hAnsi="黑体" w:eastAsia="黑体" w:cs="黑体"/>
          <w:b/>
          <w:color w:val="auto"/>
          <w:sz w:val="28"/>
          <w:szCs w:val="28"/>
          <w:lang w:eastAsia="zh-CN"/>
        </w:rPr>
        <w:t>、</w:t>
      </w:r>
      <w:r>
        <w:rPr>
          <w:rFonts w:hint="eastAsia" w:ascii="黑体" w:hAnsi="黑体" w:eastAsia="黑体" w:cs="黑体"/>
          <w:b/>
          <w:color w:val="auto"/>
          <w:sz w:val="28"/>
          <w:szCs w:val="28"/>
        </w:rPr>
        <w:t>记录</w:t>
      </w:r>
      <w:r>
        <w:rPr>
          <w:rFonts w:hint="eastAsia" w:ascii="黑体" w:hAnsi="黑体" w:eastAsia="黑体" w:cs="黑体"/>
          <w:b/>
          <w:color w:val="auto"/>
          <w:sz w:val="28"/>
          <w:szCs w:val="28"/>
          <w:lang w:val="en-US" w:eastAsia="zh-CN"/>
        </w:rPr>
        <w:t>与报告</w:t>
      </w:r>
      <w:r>
        <w:rPr>
          <w:rFonts w:hint="eastAsia" w:ascii="黑体" w:hAnsi="黑体" w:eastAsia="黑体" w:cs="黑体"/>
          <w:b/>
          <w:color w:val="auto"/>
          <w:sz w:val="28"/>
          <w:szCs w:val="28"/>
        </w:rPr>
        <w:t>的SOP</w:t>
      </w:r>
    </w:p>
    <w:p>
      <w:pPr>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z w:val="24"/>
          <w:szCs w:val="24"/>
        </w:rPr>
      </w:pPr>
      <w:r>
        <w:rPr>
          <w:rFonts w:hint="eastAsia"/>
          <w:b/>
          <w:bCs/>
          <w:color w:val="auto"/>
          <w:sz w:val="24"/>
          <w:szCs w:val="24"/>
        </w:rPr>
        <w:t>一、目的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rPr>
        <w:t>试验医疗器械发生器械缺陷时，研究者应当首先及时处理，避免受试者遭受伤害；如实记录器械缺陷并同申办者共同评估器械缺陷，并按照相关要求报告器械缺陷</w:t>
      </w:r>
      <w:r>
        <w:rPr>
          <w:rFonts w:hint="eastAsia"/>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z w:val="24"/>
          <w:szCs w:val="24"/>
        </w:rPr>
      </w:pPr>
      <w:r>
        <w:rPr>
          <w:rFonts w:hint="eastAsia"/>
          <w:b/>
          <w:bCs/>
          <w:color w:val="auto"/>
          <w:sz w:val="24"/>
          <w:szCs w:val="24"/>
        </w:rPr>
        <w:t>二、范围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适用于医疗器械临床试验中发生器械缺陷的处理、记录与报告。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z w:val="24"/>
          <w:szCs w:val="24"/>
        </w:rPr>
      </w:pPr>
      <w:r>
        <w:rPr>
          <w:rFonts w:hint="eastAsia"/>
          <w:b/>
          <w:bCs/>
          <w:color w:val="auto"/>
          <w:sz w:val="24"/>
          <w:szCs w:val="24"/>
        </w:rPr>
        <w:t>三、规程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sz w:val="24"/>
          <w:szCs w:val="24"/>
        </w:rPr>
      </w:pPr>
      <w:r>
        <w:rPr>
          <w:rFonts w:hint="eastAsia"/>
          <w:b/>
          <w:bCs/>
          <w:color w:val="auto"/>
          <w:sz w:val="24"/>
          <w:szCs w:val="24"/>
          <w:lang w:eastAsia="zh-CN"/>
        </w:rPr>
        <w:t>（</w:t>
      </w:r>
      <w:r>
        <w:rPr>
          <w:rFonts w:hint="eastAsia"/>
          <w:b/>
          <w:bCs/>
          <w:color w:val="auto"/>
          <w:sz w:val="24"/>
          <w:szCs w:val="24"/>
          <w:lang w:val="en-US" w:eastAsia="zh-CN"/>
        </w:rPr>
        <w:t>一</w:t>
      </w:r>
      <w:r>
        <w:rPr>
          <w:rFonts w:hint="eastAsia"/>
          <w:b/>
          <w:bCs/>
          <w:color w:val="auto"/>
          <w:sz w:val="24"/>
          <w:szCs w:val="24"/>
          <w:lang w:eastAsia="zh-CN"/>
        </w:rPr>
        <w:t>）</w:t>
      </w:r>
      <w:r>
        <w:rPr>
          <w:rFonts w:hint="eastAsia"/>
          <w:b/>
          <w:bCs/>
          <w:color w:val="auto"/>
          <w:sz w:val="24"/>
          <w:szCs w:val="24"/>
        </w:rPr>
        <w:t>器械缺陷的处理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器械缺陷：指临床试验过程中医疗器械在正常使用情况下存在可能危及人体健康和生命安全的不合理风险，如标签错误、质量问题、故障等。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eastAsia="zh-CN"/>
        </w:rPr>
      </w:pPr>
      <w:r>
        <w:rPr>
          <w:rFonts w:hint="eastAsia"/>
          <w:color w:val="auto"/>
          <w:sz w:val="24"/>
          <w:szCs w:val="24"/>
        </w:rPr>
        <w:t>器械缺陷的分类</w:t>
      </w:r>
      <w:r>
        <w:rPr>
          <w:rFonts w:hint="eastAsia"/>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rPr>
      </w:pPr>
      <w:r>
        <w:rPr>
          <w:rFonts w:hint="eastAsia"/>
          <w:color w:val="auto"/>
          <w:sz w:val="24"/>
          <w:szCs w:val="24"/>
        </w:rPr>
        <w:t>（1）标签问题：通常指生产过程中标签贴错、运输中标签脫落、破损或其他情况导致的标签无法识别或错误，与医疗器械的性能无关。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rPr>
      </w:pPr>
      <w:r>
        <w:rPr>
          <w:rFonts w:hint="eastAsia"/>
          <w:color w:val="auto"/>
          <w:sz w:val="24"/>
          <w:szCs w:val="24"/>
        </w:rPr>
        <w:t>（2）质量问题：由于配件损坏、松动、断电、连接不稳、储存丢失等导致医疗器械无法正常使用。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val="en-US" w:eastAsia="zh-CN"/>
        </w:rPr>
      </w:pPr>
      <w:r>
        <w:rPr>
          <w:rFonts w:hint="eastAsia"/>
          <w:color w:val="auto"/>
          <w:sz w:val="24"/>
          <w:szCs w:val="24"/>
          <w:lang w:val="en-US" w:eastAsia="zh-CN"/>
        </w:rPr>
        <w:t>（3）故障：部分元件功能失效而导致整个系统功能恶化的事件，主要指有源设备类。根据故障持续时间，分为永久故障、瞬时故障和间歇故障；根据不同部件，分为软件故障或者硬件故障。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医疗器械临床试验中，器械缺陷处理的基本原则应当围绕受试者安全开展，确保受试者的获益要大于风险，具体措施：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val="en-US" w:eastAsia="zh-CN"/>
        </w:rPr>
      </w:pPr>
      <w:r>
        <w:rPr>
          <w:rFonts w:hint="eastAsia"/>
          <w:color w:val="auto"/>
          <w:sz w:val="24"/>
          <w:szCs w:val="24"/>
          <w:lang w:val="en-US" w:eastAsia="zh-CN"/>
        </w:rPr>
        <w:t>（1）每次使用试验医疗器械前措施：研究者应当首先仔细检查其外包装、标签、外观等，确保医疗器械名称、编号、型号、序列号、有效期等信息准确，包装和构造完好，避免在临床试验中使用有缺陷的试验医疗器械。试验医疗器械使用过程中，研究者应该严格按照临床试验方案或者相关标准操作规程、说明书等进行试验医疗器械的组装、调试、校准、使用、维护等操作，避免发生器械缺陷，确保受试者的安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val="en-US" w:eastAsia="zh-CN"/>
        </w:rPr>
      </w:pPr>
      <w:r>
        <w:rPr>
          <w:rFonts w:hint="eastAsia"/>
          <w:color w:val="auto"/>
          <w:sz w:val="24"/>
          <w:szCs w:val="24"/>
          <w:lang w:val="en-US" w:eastAsia="zh-CN"/>
        </w:rPr>
        <w:t>（2）对临床试验可采取的措施：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①继续该项医疗器械临床试验：经调查非器械缺陷而是研究者操作不当造成的，则可以继续该项医疗器械临床试验，同时对相应的研究者进行试验医疗器械操作方面的培训。如必要，可以更新临床试验方案、相关操作规程或者其他相关文件，以避免器械缺陷的再次发生，在获得伦理委员会的批准后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②继续该项医疗器械临床试验但需要停止发生器械缺陷的试验医疗器械或者相应批次的试验医疗器械使用：经调查器械缺陷发生原因是相应批次的试验医疗器械由于生产、检验、标签等不当造成的器械缺陷，则需要停止该批次试验医疗器械的使用，并在临床试验中使用新批次的检验、标签合格的试验医疗器械。研究者应当及时对相应批次的试验医疗器械进行隔离处理，以免在申办者回收该批试验医疗器械前发生误用。如果是同一批次试验医疗器械有类似的缺陷，则应当停止、隔离相应批次的试验医疗器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③暂停该项医疗器械临床试验。经调查器械缺陷是因为试验医疗器械设计或者软件缺陷造成，但可以在短时间内更新或者升级，则需要暂停该项医疗器械临床试验并由研究者向伦理委员会报告；重新启动该项临床试验需要再次向伦理委员会报告并获得批准。受到器械缺陷影响的受试者，研究者应及时对受试者进行充分知情，受试者有权决定是否退出临床试验，受试者相关处理措施需在病历中如实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④终止该项医疗器械临床试验。经调查器械缺陷对受试者安全影响严重且无法通过更新的方式弥补，则需要终止该项医疗器械临床试验并由研究者向伦理委员会报告。对于参加该项医疗器械临床试验的受试者，研究者应当采取适当的治疗措施，确保受试者继续获得治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val="en-US" w:eastAsia="zh-CN"/>
        </w:rPr>
      </w:pPr>
      <w:r>
        <w:rPr>
          <w:rFonts w:hint="eastAsia"/>
          <w:color w:val="auto"/>
          <w:sz w:val="24"/>
          <w:szCs w:val="24"/>
          <w:lang w:val="en-US" w:eastAsia="zh-CN"/>
        </w:rPr>
        <w:t>（3）对受试者采取的措施：如使用过程中发生器械缺陷，研究者应当立即判断器械缺陷对受试者可能的影响，如果医疗器械临床试验继续开展或者在停止发生器械缺陷批次的试验医疗器械使用后继续开展或者暂停后的临床试验重新开展，对于既往受到器械缺陷影响的受试者，由研究者判断是否继续参加该项临床试验并重新使用试验医疗器械，应当避免器械缺陷再次发生；如果研究者判断受试者需退出临床试验，则研究者应根据试验医疗器械的情况进行出组后随访，避免器械缺陷对受试者造成长期影响。受试者相关处理措施需在病历中如实记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val="en-US" w:eastAsia="zh-CN"/>
        </w:rPr>
      </w:pPr>
      <w:r>
        <w:rPr>
          <w:rFonts w:hint="eastAsia"/>
          <w:color w:val="auto"/>
          <w:sz w:val="24"/>
          <w:szCs w:val="24"/>
          <w:lang w:val="en-US" w:eastAsia="zh-CN"/>
        </w:rPr>
        <w:t>（4）在可能条件下，将发生器械缺陷的试验医疗器械妥善保管，以便在必要时交接给申办者进行器械缺陷原因调查。如果主要研究者判断该器械缺陷对受试者安全存在重大威胁，可在未向申办者和伦理委员会报告前，紧急采取隔离与暂停使用该批次试验医疗器械、暂停临床试验等措施。认真检查该医疗器械的其他批次或序列号产品，如果排除其存在可能危及人体健康和生命安全的不合理风险，可更换该医疗器械的其他批次或序列号产品进行试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sz w:val="24"/>
          <w:szCs w:val="24"/>
        </w:rPr>
      </w:pPr>
      <w:r>
        <w:rPr>
          <w:rFonts w:hint="eastAsia"/>
          <w:b/>
          <w:bCs/>
          <w:color w:val="auto"/>
          <w:sz w:val="24"/>
          <w:szCs w:val="24"/>
          <w:lang w:eastAsia="zh-CN"/>
        </w:rPr>
        <w:t>（</w:t>
      </w:r>
      <w:r>
        <w:rPr>
          <w:rFonts w:hint="eastAsia"/>
          <w:b/>
          <w:bCs/>
          <w:color w:val="auto"/>
          <w:sz w:val="24"/>
          <w:szCs w:val="24"/>
          <w:lang w:val="en-US" w:eastAsia="zh-CN"/>
        </w:rPr>
        <w:t>二</w:t>
      </w:r>
      <w:r>
        <w:rPr>
          <w:rFonts w:hint="eastAsia"/>
          <w:b/>
          <w:bCs/>
          <w:color w:val="auto"/>
          <w:sz w:val="24"/>
          <w:szCs w:val="24"/>
          <w:lang w:eastAsia="zh-CN"/>
        </w:rPr>
        <w:t>）</w:t>
      </w:r>
      <w:r>
        <w:rPr>
          <w:rFonts w:hint="eastAsia"/>
          <w:b/>
          <w:bCs/>
          <w:color w:val="auto"/>
          <w:sz w:val="24"/>
          <w:szCs w:val="24"/>
        </w:rPr>
        <w:t>器械缺陷的</w:t>
      </w:r>
      <w:r>
        <w:rPr>
          <w:rFonts w:hint="eastAsia"/>
          <w:b/>
          <w:bCs/>
          <w:color w:val="auto"/>
          <w:sz w:val="24"/>
          <w:szCs w:val="24"/>
          <w:lang w:val="en-US" w:eastAsia="zh-CN"/>
        </w:rPr>
        <w:t>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记录和描述器械缺陷的过程至少应包括以下信息：器械缺陷名称、缺陷发生时间、缺陷发生原因、缺陷获知时间、缺陷器械型号/规格、产品批号及数量、事件调查、评价结果、控制措施等。必要时可以拍摄照片或者视频，作为器械缺陷评价的依据。如果该器械缺陷引发了不良事件（AE）和/或严重不良事件（SAE），还应当完成AE和/或SAE的相关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器械缺陷的名称应包括试验器械的名称、缺陷产生的原因、故障名称以及伤害表现。器械缺陷的名称应该简单明了，通过该器械缺陷名称即可初步判断缺陷信息。如无法立即查明器械缺陷原因，可以先不在器械缺陷名称中体现缺陷原因，待查明原因后，再对缺陷名称进行更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如果试验器械未造成不良事件，则器械缺陷名称只需要体现故障名称而不需要体现不良事件名称。如果试验器械造成了不良事件或严重不良事件，应在器械缺陷名称中体现具体不良事件及严重不良事件的名称。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医疗器械缺陷发生的原因可分为四类</w:t>
      </w:r>
      <w:r>
        <w:rPr>
          <w:color w:val="auto"/>
          <w:sz w:val="24"/>
          <w:szCs w:val="24"/>
        </w:rPr>
        <w:t>，分别为</w:t>
      </w:r>
      <w:r>
        <w:rPr>
          <w:rFonts w:hint="eastAsia"/>
          <w:color w:val="auto"/>
          <w:sz w:val="24"/>
          <w:szCs w:val="24"/>
          <w:lang w:val="en-US" w:eastAsia="zh-CN"/>
        </w:rPr>
        <w:t>设计缺陷、制造缺陷、标识缺陷，软件缺陷。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val="en-US" w:eastAsia="zh-CN"/>
        </w:rPr>
      </w:pPr>
      <w:r>
        <w:rPr>
          <w:rFonts w:hint="eastAsia"/>
          <w:color w:val="auto"/>
          <w:sz w:val="24"/>
          <w:szCs w:val="24"/>
          <w:lang w:val="en-US" w:eastAsia="zh-CN"/>
        </w:rPr>
        <w:t>（1）设计缺陷：是指医疗器械在设计上存在着不安全、不合理的因素。例如医疗器械的结构设置不合理、制造医疗器械所用的材料不合适、没有附加必要的安全设施等。医疗器械设计缺陷是产品的制造本身符合设计规范的要求，但该设计本身存在问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val="en-US" w:eastAsia="zh-CN"/>
        </w:rPr>
      </w:pPr>
      <w:r>
        <w:rPr>
          <w:rFonts w:hint="eastAsia"/>
          <w:color w:val="auto"/>
          <w:sz w:val="24"/>
          <w:szCs w:val="24"/>
          <w:lang w:val="en-US" w:eastAsia="zh-CN"/>
        </w:rPr>
        <w:t>（2）制造缺陷：是指医疗器械在加工、制作、装配等制造过程中，不符合设计规范或者不符合加工工艺要求，没有完善的控制和检验手段或者不符合质量标准，致使医疗器械存在不安全的因素。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val="en-US" w:eastAsia="zh-CN"/>
        </w:rPr>
      </w:pPr>
      <w:r>
        <w:rPr>
          <w:rFonts w:hint="eastAsia"/>
          <w:color w:val="auto"/>
          <w:sz w:val="24"/>
          <w:szCs w:val="24"/>
          <w:lang w:val="en-US" w:eastAsia="zh-CN"/>
        </w:rPr>
        <w:t>（3）标识缺陷：是指医疗器械在警示说明上或者在产品的使用标识上没有适当的说明使用方法以及应当引起警惕的注意事项，或者使用了虚假的指示说明，致使使用者遭受损害。如：医疗器械各组成部分有一定的先后使用顺序，生产者没有做出适当的说明警示，致使使用者遭受损害的情形；医疗器械的标签，如有效期、规格、型号等信息有误，也可能导致使用者遭到损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val="en-US" w:eastAsia="zh-CN"/>
        </w:rPr>
      </w:pPr>
      <w:r>
        <w:rPr>
          <w:rFonts w:hint="eastAsia"/>
          <w:color w:val="auto"/>
          <w:sz w:val="24"/>
          <w:szCs w:val="24"/>
          <w:lang w:val="en-US" w:eastAsia="zh-CN"/>
        </w:rPr>
        <w:t>（4）软件缺陷：是指软件在执行采集、存储、传输、显示任务过程中出现问题，如：导致图像、标本等原始数据与患者标识关联错误，数据丢失，参数计算错误，结果偏离等，这些问题会影响临床试验过程和结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三</w:t>
      </w:r>
      <w:r>
        <w:rPr>
          <w:rFonts w:hint="eastAsia"/>
          <w:b/>
          <w:bCs/>
          <w:color w:val="auto"/>
          <w:sz w:val="24"/>
          <w:szCs w:val="24"/>
          <w:lang w:eastAsia="zh-CN"/>
        </w:rPr>
        <w:t>）</w:t>
      </w:r>
      <w:r>
        <w:rPr>
          <w:rFonts w:hint="eastAsia"/>
          <w:b/>
          <w:bCs/>
          <w:color w:val="auto"/>
          <w:sz w:val="24"/>
          <w:szCs w:val="24"/>
        </w:rPr>
        <w:t>器械缺陷的</w:t>
      </w:r>
      <w:r>
        <w:rPr>
          <w:rFonts w:hint="eastAsia"/>
          <w:b/>
          <w:bCs/>
          <w:color w:val="auto"/>
          <w:sz w:val="24"/>
          <w:szCs w:val="24"/>
          <w:lang w:val="en-US" w:eastAsia="zh-CN"/>
        </w:rPr>
        <w:t>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一旦获知器械缺陷，研究者应为受试者提供足够、及时的治疗和处理，并做好记录。研究者在获知器械缺陷后及时(如果导致严重不良事件应在24h内)填写《器械缺陷报告表》（附件1），并将器械缺陷事件报告给申办者、医疗器械临床试验机构管理部门、伦理委员会。在未排除可能危及人体健康和生命安全的不合理风险前，应暂停使用该医疗器械。如果器械缺陷信息可能不完整或者不确定也应提交报告，当获得更多信息时，可以随访报告的方式进行补充或修订，应持续收集和记录相关信息直到方案规定的报告期结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研究者应当记录医疗器械临床试验过程中发生的不良事件和发现的器械缺陷。主要研究者及时完成《器械缺陷报告表》的填写,并按照临床试验方案及临床试验机构的规定，向申办方及有关部门报告。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如果器械缺陷导致了SAE，研究者还应按照《医疗器械临床试验质量管理规范》的要求报告SAE，研究者应当按照临床试验方案的规定对SAE进行随访，并向申办者、本中心医疗器械临床试验机构管理部门和伦理委员会提交书面SAE随访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如果需要更新临床试验方案或者其他相关文件以继续、暂停或者终止临床试验的，主要研究者需要向伦理委员会进行相应报告并提交《器械缺陷解决方案报告》（附件2）。</w:t>
      </w:r>
    </w:p>
    <w:p>
      <w:pPr>
        <w:keepNext w:val="0"/>
        <w:keepLines w:val="0"/>
        <w:pageBreakBefore w:val="0"/>
        <w:kinsoku/>
        <w:overflowPunct/>
        <w:topLinePunct w:val="0"/>
        <w:autoSpaceDE/>
        <w:autoSpaceDN/>
        <w:bidi w:val="0"/>
        <w:adjustRightInd/>
        <w:snapToGrid/>
        <w:spacing w:line="360" w:lineRule="auto"/>
        <w:textAlignment w:val="auto"/>
        <w:rPr>
          <w:rFonts w:asciiTheme="minorEastAsia" w:hAnsiTheme="minorEastAsia" w:cstheme="minorEastAsia"/>
          <w:b/>
          <w:bCs w:val="0"/>
          <w:color w:val="auto"/>
          <w:sz w:val="24"/>
          <w:szCs w:val="24"/>
        </w:rPr>
      </w:pPr>
      <w:r>
        <w:rPr>
          <w:rFonts w:hint="eastAsia" w:asciiTheme="minorEastAsia" w:hAnsiTheme="minorEastAsia" w:cstheme="minorEastAsia"/>
          <w:b/>
          <w:bCs w:val="0"/>
          <w:color w:val="auto"/>
          <w:sz w:val="24"/>
          <w:szCs w:val="24"/>
        </w:rPr>
        <w:t>四、参考文献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0" w:firstLineChars="0"/>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w:t>
      </w:r>
      <w:r>
        <w:rPr>
          <w:rFonts w:hint="eastAsia" w:asciiTheme="minorEastAsia" w:hAnsiTheme="minorEastAsia" w:eastAsiaTheme="minorEastAsia" w:cstheme="minorEastAsia"/>
          <w:color w:val="auto"/>
          <w:shd w:val="clear" w:color="auto" w:fill="FFFFFF"/>
          <w:lang w:val="en-US" w:eastAsia="zh-CN"/>
        </w:rPr>
        <w:t xml:space="preserve"> </w:t>
      </w:r>
      <w:r>
        <w:rPr>
          <w:rFonts w:hint="eastAsia" w:asciiTheme="minorEastAsia" w:hAnsiTheme="minorEastAsia" w:eastAsiaTheme="minorEastAsia" w:cstheme="minorEastAsia"/>
          <w:color w:val="auto"/>
          <w:shd w:val="clear" w:color="auto" w:fill="FFFFFF"/>
        </w:rPr>
        <w:t xml:space="preserve">国家药品监督管理局，国家卫生健康委员会. 关于发布《医疗器械临床试验质量管理规范》的公告（2022年第28号）.[2022-03-31]. </w:t>
      </w:r>
      <w:r>
        <w:rPr>
          <w:rFonts w:hint="eastAsia" w:asciiTheme="minorEastAsia" w:hAnsiTheme="minorEastAsia" w:eastAsiaTheme="minorEastAsia" w:cstheme="minorEastAsia"/>
          <w:color w:val="auto"/>
          <w:u w:val="none"/>
          <w:shd w:val="clear" w:color="auto" w:fill="FFFFFF"/>
        </w:rPr>
        <w:t>https://www.nmpa.gov.cn/xxgk/ggtg/qtggtg/20220331144903101.html.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left="0" w:leftChars="0" w:firstLine="0" w:firstLineChars="0"/>
        <w:textAlignment w:val="auto"/>
        <w:rPr>
          <w:rFonts w:hint="default" w:asciiTheme="minorEastAsia" w:hAnsiTheme="minorEastAsia" w:eastAsiaTheme="minorEastAsia" w:cstheme="minorEastAsia"/>
          <w:color w:val="auto"/>
          <w:shd w:val="clear" w:color="auto" w:fill="FFFFFF"/>
          <w:lang w:val="en-US" w:eastAsia="zh-CN"/>
        </w:rPr>
      </w:pPr>
      <w:r>
        <w:rPr>
          <w:rFonts w:hint="eastAsia" w:asciiTheme="minorEastAsia" w:hAnsiTheme="minorEastAsia" w:eastAsiaTheme="minorEastAsia" w:cstheme="minorEastAsia"/>
          <w:color w:val="auto"/>
          <w:shd w:val="clear" w:color="auto" w:fill="FFFFFF"/>
        </w:rPr>
        <w:t>[</w:t>
      </w:r>
      <w:r>
        <w:rPr>
          <w:rFonts w:hint="eastAsia" w:asciiTheme="minorEastAsia" w:hAnsiTheme="minorEastAsia" w:eastAsiaTheme="minorEastAsia" w:cstheme="minorEastAsia"/>
          <w:color w:val="auto"/>
          <w:shd w:val="clear" w:color="auto" w:fill="FFFFFF"/>
          <w:lang w:val="en-US" w:eastAsia="zh-CN"/>
        </w:rPr>
        <w:t>2</w:t>
      </w:r>
      <w:r>
        <w:rPr>
          <w:rFonts w:hint="eastAsia" w:asciiTheme="minorEastAsia" w:hAnsiTheme="minorEastAsia" w:eastAsiaTheme="minorEastAsia" w:cstheme="minorEastAsia"/>
          <w:color w:val="auto"/>
          <w:shd w:val="clear" w:color="auto" w:fill="FFFFFF"/>
        </w:rPr>
        <w:t>]</w:t>
      </w:r>
      <w:r>
        <w:rPr>
          <w:rFonts w:hint="eastAsia" w:asciiTheme="minorEastAsia" w:hAnsiTheme="minorEastAsia" w:eastAsiaTheme="minorEastAsia" w:cstheme="minorEastAsia"/>
          <w:color w:val="auto"/>
          <w:shd w:val="clear" w:color="auto" w:fill="FFFFFF"/>
          <w:lang w:val="en-US" w:eastAsia="zh-CN"/>
        </w:rPr>
        <w:t xml:space="preserve"> </w:t>
      </w:r>
      <w:r>
        <w:rPr>
          <w:rFonts w:hint="eastAsia" w:asciiTheme="minorEastAsia" w:hAnsiTheme="minorEastAsia" w:eastAsiaTheme="minorEastAsia" w:cstheme="minorEastAsia"/>
          <w:color w:val="auto"/>
          <w:shd w:val="clear" w:color="auto" w:fill="FFFFFF"/>
        </w:rPr>
        <w:t>广东省医疗器械管理学会器械临床试验专委会</w:t>
      </w:r>
      <w:r>
        <w:rPr>
          <w:rFonts w:hint="eastAsia" w:asciiTheme="minorEastAsia" w:hAnsiTheme="minorEastAsia" w:eastAsiaTheme="minorEastAsia" w:cstheme="minorEastAsia"/>
          <w:color w:val="auto"/>
          <w:shd w:val="clear" w:color="auto" w:fill="FFFFFF"/>
          <w:lang w:val="en-US" w:eastAsia="zh-CN"/>
        </w:rPr>
        <w:t>，</w:t>
      </w:r>
      <w:r>
        <w:rPr>
          <w:rFonts w:hint="eastAsia" w:asciiTheme="minorEastAsia" w:hAnsiTheme="minorEastAsia" w:eastAsiaTheme="minorEastAsia" w:cstheme="minorEastAsia"/>
          <w:color w:val="auto"/>
          <w:shd w:val="clear" w:color="auto" w:fill="FFFFFF"/>
        </w:rPr>
        <w:t>中国临床药理学会药物临床试验专业委员</w:t>
      </w:r>
      <w:r>
        <w:rPr>
          <w:rFonts w:hint="eastAsia" w:asciiTheme="minorEastAsia" w:hAnsiTheme="minorEastAsia" w:eastAsiaTheme="minorEastAsia" w:cstheme="minorEastAsia"/>
          <w:color w:val="auto"/>
          <w:shd w:val="clear" w:color="auto" w:fill="FFFFFF"/>
          <w:lang w:val="en-US" w:eastAsia="zh-CN"/>
        </w:rPr>
        <w:t>，</w:t>
      </w:r>
      <w:r>
        <w:rPr>
          <w:rFonts w:hint="eastAsia" w:asciiTheme="minorEastAsia" w:hAnsiTheme="minorEastAsia" w:eastAsiaTheme="minorEastAsia" w:cstheme="minorEastAsia"/>
          <w:color w:val="auto"/>
          <w:shd w:val="clear" w:color="auto" w:fill="FFFFFF"/>
        </w:rPr>
        <w:t>中国残疾人康复协会疗器械临床试验质量专业委员会</w:t>
      </w:r>
      <w:r>
        <w:rPr>
          <w:rFonts w:hint="eastAsia" w:asciiTheme="minorEastAsia" w:hAnsiTheme="minorEastAsia" w:eastAsiaTheme="minorEastAsia" w:cstheme="minorEastAsia"/>
          <w:color w:val="auto"/>
          <w:shd w:val="clear" w:color="auto" w:fill="FFFFFF"/>
          <w:lang w:val="en-US" w:eastAsia="zh-CN"/>
        </w:rPr>
        <w:t xml:space="preserve"> 《</w:t>
      </w:r>
      <w:r>
        <w:rPr>
          <w:rFonts w:hint="eastAsia" w:asciiTheme="minorEastAsia" w:hAnsiTheme="minorEastAsia" w:eastAsiaTheme="minorEastAsia" w:cstheme="minorEastAsia"/>
          <w:color w:val="auto"/>
          <w:shd w:val="clear" w:color="auto" w:fill="FFFFFF"/>
        </w:rPr>
        <w:t>医疗器械临床试验过程中器械缺陷处理专家共识（征求意见稿）</w:t>
      </w:r>
      <w:r>
        <w:rPr>
          <w:rFonts w:hint="eastAsia" w:asciiTheme="minorEastAsia" w:hAnsiTheme="minorEastAsia" w:eastAsiaTheme="minorEastAsia" w:cstheme="minorEastAsia"/>
          <w:color w:val="auto"/>
          <w:shd w:val="clear" w:color="auto" w:fill="FFFFFF"/>
          <w:lang w:val="en-US" w:eastAsia="zh-CN"/>
        </w:rPr>
        <w:t>》2022.12.26.</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cstheme="minorEastAsia"/>
          <w:b/>
          <w:bCs w:val="0"/>
          <w:color w:val="auto"/>
          <w:sz w:val="24"/>
          <w:szCs w:val="24"/>
        </w:rPr>
      </w:pPr>
      <w:r>
        <w:rPr>
          <w:rFonts w:hint="eastAsia" w:asciiTheme="minorEastAsia" w:hAnsiTheme="minorEastAsia" w:cstheme="minorEastAsia"/>
          <w:b/>
          <w:bCs w:val="0"/>
          <w:color w:val="auto"/>
          <w:sz w:val="24"/>
          <w:szCs w:val="24"/>
          <w:lang w:eastAsia="zh-CN"/>
        </w:rPr>
        <w:t>五、</w:t>
      </w:r>
      <w:r>
        <w:rPr>
          <w:rFonts w:hint="eastAsia" w:asciiTheme="minorEastAsia" w:hAnsiTheme="minorEastAsia" w:cstheme="minorEastAsia"/>
          <w:b/>
          <w:bCs w:val="0"/>
          <w:color w:val="auto"/>
          <w:sz w:val="24"/>
          <w:szCs w:val="24"/>
        </w:rPr>
        <w:t>附件</w:t>
      </w:r>
    </w:p>
    <w:p>
      <w:pPr>
        <w:keepNext w:val="0"/>
        <w:keepLines w:val="0"/>
        <w:pageBreakBefore w:val="0"/>
        <w:numPr>
          <w:ilvl w:val="0"/>
          <w:numId w:val="75"/>
        </w:numPr>
        <w:kinsoku/>
        <w:overflowPunct/>
        <w:topLinePunct w:val="0"/>
        <w:autoSpaceDE/>
        <w:autoSpaceDN/>
        <w:bidi w:val="0"/>
        <w:adjustRightInd/>
        <w:snapToGrid/>
        <w:spacing w:line="360" w:lineRule="auto"/>
        <w:ind w:left="425" w:leftChars="0" w:hanging="425" w:firstLineChars="0"/>
        <w:textAlignment w:val="auto"/>
        <w:rPr>
          <w:rFonts w:hint="eastAsia" w:asciiTheme="minorEastAsia" w:hAnsiTheme="minorEastAsia" w:cstheme="minorEastAsia"/>
          <w:bCs/>
          <w:color w:val="auto"/>
          <w:sz w:val="24"/>
          <w:szCs w:val="24"/>
        </w:rPr>
      </w:pPr>
      <w:r>
        <w:rPr>
          <w:rFonts w:hint="eastAsia" w:asciiTheme="minorEastAsia" w:hAnsiTheme="minorEastAsia" w:cstheme="minorEastAsia"/>
          <w:bCs/>
          <w:color w:val="auto"/>
          <w:sz w:val="24"/>
          <w:szCs w:val="24"/>
          <w:lang w:eastAsia="zh-CN"/>
        </w:rPr>
        <w:t>（YYH-SOP-CTC-02</w:t>
      </w:r>
      <w:r>
        <w:rPr>
          <w:rFonts w:hint="eastAsia" w:asciiTheme="minorEastAsia" w:hAnsiTheme="minorEastAsia" w:cstheme="minorEastAsia"/>
          <w:bCs/>
          <w:color w:val="auto"/>
          <w:sz w:val="24"/>
          <w:szCs w:val="24"/>
          <w:lang w:val="en-US" w:eastAsia="zh-CN"/>
        </w:rPr>
        <w:t>9-1.0-A01</w:t>
      </w:r>
      <w:r>
        <w:rPr>
          <w:rFonts w:hint="eastAsia" w:asciiTheme="minorEastAsia" w:hAnsiTheme="minorEastAsia" w:cstheme="minorEastAsia"/>
          <w:bCs/>
          <w:color w:val="auto"/>
          <w:sz w:val="24"/>
          <w:szCs w:val="24"/>
          <w:lang w:eastAsia="zh-CN"/>
        </w:rPr>
        <w:t>）：器械缺陷报告表</w:t>
      </w:r>
    </w:p>
    <w:p>
      <w:pPr>
        <w:keepNext w:val="0"/>
        <w:keepLines w:val="0"/>
        <w:pageBreakBefore w:val="0"/>
        <w:numPr>
          <w:ilvl w:val="0"/>
          <w:numId w:val="75"/>
        </w:numPr>
        <w:kinsoku/>
        <w:overflowPunct/>
        <w:topLinePunct w:val="0"/>
        <w:autoSpaceDE/>
        <w:autoSpaceDN/>
        <w:bidi w:val="0"/>
        <w:adjustRightInd/>
        <w:snapToGrid/>
        <w:spacing w:line="360" w:lineRule="auto"/>
        <w:ind w:left="425" w:leftChars="0" w:hanging="425" w:firstLineChars="0"/>
        <w:textAlignment w:val="auto"/>
        <w:rPr>
          <w:rFonts w:hint="eastAsia" w:asciiTheme="minorEastAsia" w:hAnsiTheme="minorEastAsia" w:cstheme="minorEastAsia"/>
          <w:bCs/>
          <w:color w:val="auto"/>
          <w:sz w:val="24"/>
          <w:szCs w:val="24"/>
          <w:lang w:val="en-US" w:eastAsia="zh-CN"/>
        </w:rPr>
      </w:pPr>
      <w:r>
        <w:rPr>
          <w:rFonts w:hint="eastAsia" w:asciiTheme="minorEastAsia" w:hAnsiTheme="minorEastAsia" w:cstheme="minorEastAsia"/>
          <w:bCs/>
          <w:color w:val="auto"/>
          <w:sz w:val="24"/>
          <w:szCs w:val="24"/>
          <w:lang w:eastAsia="zh-CN"/>
        </w:rPr>
        <w:t>（YYH-SOP-CTC-0</w:t>
      </w:r>
      <w:r>
        <w:rPr>
          <w:rFonts w:hint="eastAsia" w:asciiTheme="minorEastAsia" w:hAnsiTheme="minorEastAsia" w:cstheme="minorEastAsia"/>
          <w:bCs/>
          <w:color w:val="auto"/>
          <w:sz w:val="24"/>
          <w:szCs w:val="24"/>
          <w:lang w:val="en-US" w:eastAsia="zh-CN"/>
        </w:rPr>
        <w:t>29-1.0-A02</w:t>
      </w:r>
      <w:r>
        <w:rPr>
          <w:rFonts w:hint="eastAsia" w:asciiTheme="minorEastAsia" w:hAnsiTheme="minorEastAsia" w:cstheme="minorEastAsia"/>
          <w:bCs/>
          <w:color w:val="auto"/>
          <w:sz w:val="24"/>
          <w:szCs w:val="24"/>
          <w:lang w:eastAsia="zh-CN"/>
        </w:rPr>
        <w:t>）：</w:t>
      </w:r>
      <w:r>
        <w:rPr>
          <w:rFonts w:hint="eastAsia" w:asciiTheme="minorEastAsia" w:hAnsiTheme="minorEastAsia" w:cstheme="minorEastAsia"/>
          <w:bCs/>
          <w:color w:val="auto"/>
          <w:sz w:val="24"/>
          <w:szCs w:val="24"/>
          <w:lang w:val="en-US" w:eastAsia="zh-CN"/>
        </w:rPr>
        <w:t>器械缺陷解决方案报告表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lang w:val="en-US" w:eastAsia="zh-CN"/>
        </w:rPr>
      </w:pPr>
    </w:p>
    <w:p>
      <w:pPr>
        <w:pStyle w:val="46"/>
        <w:shd w:val="clear" w:color="auto" w:fill="auto"/>
        <w:spacing w:line="472" w:lineRule="exact"/>
        <w:ind w:firstLine="580"/>
        <w:rPr>
          <w:rFonts w:hint="eastAsia" w:ascii="宋体" w:hAnsi="宋体" w:eastAsia="宋体" w:cs="Times New Roman"/>
          <w:color w:val="auto"/>
          <w:kern w:val="2"/>
          <w:sz w:val="24"/>
          <w:szCs w:val="24"/>
          <w:lang w:val="en-US" w:eastAsia="zh-CN" w:bidi="ar-SA"/>
        </w:rPr>
      </w:pPr>
    </w:p>
    <w:p>
      <w:pPr>
        <w:pStyle w:val="46"/>
        <w:shd w:val="clear" w:color="auto" w:fill="auto"/>
        <w:spacing w:line="472" w:lineRule="exact"/>
        <w:ind w:firstLine="580"/>
        <w:rPr>
          <w:rFonts w:hint="eastAsia" w:ascii="宋体" w:hAnsi="宋体" w:eastAsia="宋体" w:cs="Times New Roman"/>
          <w:color w:val="auto"/>
          <w:kern w:val="2"/>
          <w:sz w:val="24"/>
          <w:szCs w:val="24"/>
          <w:lang w:val="en-US" w:eastAsia="zh-CN" w:bidi="ar-SA"/>
        </w:rPr>
      </w:pPr>
    </w:p>
    <w:p>
      <w:pPr>
        <w:numPr>
          <w:ilvl w:val="0"/>
          <w:numId w:val="0"/>
        </w:numPr>
        <w:spacing w:line="360" w:lineRule="auto"/>
        <w:ind w:leftChars="0"/>
        <w:rPr>
          <w:rFonts w:hint="eastAsia" w:asciiTheme="minorEastAsia" w:hAnsiTheme="minorEastAsia" w:cstheme="minorEastAsia"/>
          <w:bCs/>
          <w:color w:val="auto"/>
          <w:sz w:val="24"/>
          <w:szCs w:val="24"/>
          <w:lang w:val="en-US" w:eastAsia="zh-CN"/>
        </w:rPr>
      </w:pPr>
      <w:bookmarkStart w:id="11" w:name="bookmark38"/>
      <w:bookmarkStart w:id="12" w:name="bookmark39"/>
    </w:p>
    <w:p>
      <w:pPr>
        <w:numPr>
          <w:ilvl w:val="0"/>
          <w:numId w:val="0"/>
        </w:numPr>
        <w:spacing w:line="360" w:lineRule="auto"/>
        <w:ind w:leftChars="0"/>
        <w:rPr>
          <w:rFonts w:hint="eastAsia" w:asciiTheme="minorEastAsia" w:hAnsiTheme="minorEastAsia" w:cstheme="minorEastAsia"/>
          <w:bCs/>
          <w:color w:val="auto"/>
          <w:sz w:val="24"/>
          <w:szCs w:val="24"/>
        </w:rPr>
      </w:pPr>
      <w:r>
        <w:rPr>
          <w:rFonts w:hint="eastAsia" w:asciiTheme="minorEastAsia" w:hAnsiTheme="minorEastAsia" w:cstheme="minorEastAsia"/>
          <w:bCs/>
          <w:color w:val="auto"/>
          <w:sz w:val="24"/>
          <w:szCs w:val="24"/>
          <w:lang w:val="en-US" w:eastAsia="zh-CN"/>
        </w:rPr>
        <w:t>附件1：</w:t>
      </w:r>
      <w:r>
        <w:rPr>
          <w:rFonts w:hint="eastAsia" w:asciiTheme="minorEastAsia" w:hAnsiTheme="minorEastAsia" w:cstheme="minorEastAsia"/>
          <w:bCs/>
          <w:color w:val="auto"/>
          <w:sz w:val="24"/>
          <w:szCs w:val="24"/>
          <w:lang w:eastAsia="zh-CN"/>
        </w:rPr>
        <w:t>（YYH-SOP-CTC-02</w:t>
      </w:r>
      <w:r>
        <w:rPr>
          <w:rFonts w:hint="eastAsia" w:asciiTheme="minorEastAsia" w:hAnsiTheme="minorEastAsia" w:cstheme="minorEastAsia"/>
          <w:bCs/>
          <w:color w:val="auto"/>
          <w:sz w:val="24"/>
          <w:szCs w:val="24"/>
          <w:lang w:val="en-US" w:eastAsia="zh-CN"/>
        </w:rPr>
        <w:t>9-1.0-A01</w:t>
      </w:r>
      <w:r>
        <w:rPr>
          <w:rFonts w:hint="eastAsia" w:asciiTheme="minorEastAsia" w:hAnsiTheme="minorEastAsia" w:cstheme="minorEastAsia"/>
          <w:bCs/>
          <w:color w:val="auto"/>
          <w:sz w:val="24"/>
          <w:szCs w:val="24"/>
          <w:lang w:eastAsia="zh-CN"/>
        </w:rPr>
        <w:t>）：器械缺陷报告表</w:t>
      </w:r>
    </w:p>
    <w:p>
      <w:pPr>
        <w:pStyle w:val="46"/>
        <w:shd w:val="clear" w:color="auto" w:fill="auto"/>
        <w:spacing w:line="472" w:lineRule="exact"/>
        <w:ind w:left="0" w:leftChars="0" w:firstLine="0" w:firstLineChars="0"/>
        <w:jc w:val="center"/>
        <w:rPr>
          <w:rFonts w:hint="eastAsia" w:ascii="黑体" w:hAnsi="黑体" w:eastAsia="黑体" w:cs="黑体"/>
          <w:b/>
          <w:bCs/>
          <w:color w:val="auto"/>
          <w:kern w:val="2"/>
          <w:sz w:val="24"/>
          <w:szCs w:val="24"/>
          <w:lang w:val="en-US" w:eastAsia="zh-CN" w:bidi="ar-SA"/>
        </w:rPr>
      </w:pPr>
      <w:r>
        <w:rPr>
          <w:rFonts w:hint="eastAsia" w:ascii="黑体" w:hAnsi="黑体" w:eastAsia="黑体" w:cs="黑体"/>
          <w:b/>
          <w:bCs/>
          <w:color w:val="auto"/>
          <w:kern w:val="2"/>
          <w:sz w:val="24"/>
          <w:szCs w:val="24"/>
          <w:lang w:val="en-US" w:eastAsia="zh-CN" w:bidi="ar-SA"/>
        </w:rPr>
        <w:t>器械缺陷报告表</w:t>
      </w:r>
      <w:bookmarkEnd w:id="11"/>
      <w:bookmarkEnd w:id="12"/>
    </w:p>
    <w:tbl>
      <w:tblPr>
        <w:tblStyle w:val="27"/>
        <w:tblW w:w="8943" w:type="dxa"/>
        <w:jc w:val="center"/>
        <w:tblLayout w:type="fixed"/>
        <w:tblCellMar>
          <w:top w:w="0" w:type="dxa"/>
          <w:left w:w="10" w:type="dxa"/>
          <w:bottom w:w="0" w:type="dxa"/>
          <w:right w:w="10" w:type="dxa"/>
        </w:tblCellMar>
      </w:tblPr>
      <w:tblGrid>
        <w:gridCol w:w="2242"/>
        <w:gridCol w:w="1704"/>
        <w:gridCol w:w="1627"/>
        <w:gridCol w:w="355"/>
        <w:gridCol w:w="1306"/>
        <w:gridCol w:w="1709"/>
      </w:tblGrid>
      <w:tr>
        <w:trPr>
          <w:trHeight w:val="528" w:hRule="exact"/>
          <w:jc w:val="center"/>
        </w:trPr>
        <w:tc>
          <w:tcPr>
            <w:tcW w:w="2242" w:type="dxa"/>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报告类型</w:t>
            </w:r>
          </w:p>
        </w:tc>
        <w:tc>
          <w:tcPr>
            <w:tcW w:w="3686" w:type="dxa"/>
            <w:gridSpan w:val="3"/>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□首次报告□随访报告□总结报告</w:t>
            </w:r>
          </w:p>
        </w:tc>
        <w:tc>
          <w:tcPr>
            <w:tcW w:w="3015" w:type="dxa"/>
            <w:gridSpan w:val="2"/>
            <w:tcBorders>
              <w:top w:val="single" w:color="auto" w:sz="4" w:space="0"/>
              <w:left w:val="single" w:color="auto" w:sz="4" w:space="0"/>
              <w:right w:val="single" w:color="auto" w:sz="4" w:space="0"/>
            </w:tcBorders>
            <w:shd w:val="clear" w:color="auto" w:fill="FFFFFF"/>
            <w:vAlign w:val="center"/>
          </w:tcPr>
          <w:p>
            <w:pPr>
              <w:pStyle w:val="47"/>
              <w:shd w:val="clear" w:color="auto" w:fill="auto"/>
              <w:tabs>
                <w:tab w:val="left" w:pos="1574"/>
              </w:tabs>
              <w:spacing w:line="240" w:lineRule="auto"/>
              <w:ind w:firstLine="0"/>
              <w:jc w:val="center"/>
              <w:rPr>
                <w:rFonts w:ascii="宋体" w:hAnsi="宋体" w:eastAsia="宋体"/>
                <w:color w:val="auto"/>
                <w:sz w:val="21"/>
                <w:szCs w:val="21"/>
              </w:rPr>
            </w:pPr>
            <w:r>
              <w:rPr>
                <w:rFonts w:ascii="宋体" w:hAnsi="宋体" w:eastAsia="宋体"/>
                <w:color w:val="auto"/>
                <w:sz w:val="21"/>
                <w:szCs w:val="21"/>
              </w:rPr>
              <w:t>报告时间：</w:t>
            </w:r>
            <w:r>
              <w:rPr>
                <w:rFonts w:ascii="宋体" w:hAnsi="宋体" w:eastAsia="宋体"/>
                <w:color w:val="auto"/>
                <w:sz w:val="21"/>
                <w:szCs w:val="21"/>
              </w:rPr>
              <w:tab/>
            </w:r>
            <w:r>
              <w:rPr>
                <w:rFonts w:ascii="宋体" w:hAnsi="宋体" w:eastAsia="宋体"/>
                <w:color w:val="auto"/>
                <w:sz w:val="21"/>
                <w:szCs w:val="21"/>
              </w:rPr>
              <w:t>年月曰</w:t>
            </w:r>
          </w:p>
        </w:tc>
      </w:tr>
      <w:tr>
        <w:tblPrEx>
          <w:tblCellMar>
            <w:top w:w="0" w:type="dxa"/>
            <w:left w:w="10" w:type="dxa"/>
            <w:bottom w:w="0" w:type="dxa"/>
            <w:right w:w="10" w:type="dxa"/>
          </w:tblCellMar>
        </w:tblPrEx>
        <w:trPr>
          <w:trHeight w:val="523" w:hRule="exact"/>
          <w:jc w:val="center"/>
        </w:trPr>
        <w:tc>
          <w:tcPr>
            <w:tcW w:w="2242" w:type="dxa"/>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研究名称/方案号</w:t>
            </w:r>
          </w:p>
        </w:tc>
        <w:tc>
          <w:tcPr>
            <w:tcW w:w="6701" w:type="dxa"/>
            <w:gridSpan w:val="5"/>
            <w:tcBorders>
              <w:top w:val="single" w:color="auto" w:sz="4" w:space="0"/>
              <w:left w:val="single" w:color="auto" w:sz="4" w:space="0"/>
              <w:right w:val="single" w:color="auto" w:sz="4" w:space="0"/>
            </w:tcBorders>
            <w:shd w:val="clear" w:color="auto" w:fill="FFFFFF"/>
            <w:vAlign w:val="top"/>
          </w:tcPr>
          <w:p>
            <w:pPr>
              <w:rPr>
                <w:rFonts w:ascii="宋体" w:hAnsi="宋体" w:eastAsia="宋体"/>
                <w:color w:val="auto"/>
                <w:sz w:val="21"/>
                <w:szCs w:val="21"/>
              </w:rPr>
            </w:pPr>
          </w:p>
        </w:tc>
      </w:tr>
      <w:tr>
        <w:tblPrEx>
          <w:tblCellMar>
            <w:top w:w="0" w:type="dxa"/>
            <w:left w:w="10" w:type="dxa"/>
            <w:bottom w:w="0" w:type="dxa"/>
            <w:right w:w="10" w:type="dxa"/>
          </w:tblCellMar>
        </w:tblPrEx>
        <w:trPr>
          <w:trHeight w:val="605" w:hRule="exact"/>
          <w:jc w:val="center"/>
        </w:trPr>
        <w:tc>
          <w:tcPr>
            <w:tcW w:w="2242" w:type="dxa"/>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医疗机构及专业名称</w:t>
            </w:r>
          </w:p>
        </w:tc>
        <w:tc>
          <w:tcPr>
            <w:tcW w:w="3686" w:type="dxa"/>
            <w:gridSpan w:val="3"/>
            <w:tcBorders>
              <w:top w:val="single" w:color="auto" w:sz="4" w:space="0"/>
              <w:left w:val="single" w:color="auto" w:sz="4" w:space="0"/>
            </w:tcBorders>
            <w:shd w:val="clear" w:color="auto" w:fill="FFFFFF"/>
            <w:vAlign w:val="top"/>
          </w:tcPr>
          <w:p>
            <w:pPr>
              <w:rPr>
                <w:rFonts w:ascii="宋体" w:hAnsi="宋体" w:eastAsia="宋体"/>
                <w:color w:val="auto"/>
                <w:sz w:val="21"/>
                <w:szCs w:val="21"/>
              </w:rPr>
            </w:pPr>
          </w:p>
        </w:tc>
        <w:tc>
          <w:tcPr>
            <w:tcW w:w="3015" w:type="dxa"/>
            <w:gridSpan w:val="2"/>
            <w:tcBorders>
              <w:top w:val="single" w:color="auto" w:sz="4" w:space="0"/>
              <w:left w:val="single" w:color="auto" w:sz="4" w:space="0"/>
              <w:righ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电话：</w:t>
            </w:r>
          </w:p>
        </w:tc>
      </w:tr>
      <w:tr>
        <w:tblPrEx>
          <w:tblCellMar>
            <w:top w:w="0" w:type="dxa"/>
            <w:left w:w="10" w:type="dxa"/>
            <w:bottom w:w="0" w:type="dxa"/>
            <w:right w:w="10" w:type="dxa"/>
          </w:tblCellMar>
        </w:tblPrEx>
        <w:trPr>
          <w:trHeight w:val="557" w:hRule="exact"/>
          <w:jc w:val="center"/>
        </w:trPr>
        <w:tc>
          <w:tcPr>
            <w:tcW w:w="2242" w:type="dxa"/>
            <w:vMerge w:val="restart"/>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器械缺陷产品信息</w:t>
            </w:r>
          </w:p>
        </w:tc>
        <w:tc>
          <w:tcPr>
            <w:tcW w:w="6701" w:type="dxa"/>
            <w:gridSpan w:val="5"/>
            <w:tcBorders>
              <w:top w:val="single" w:color="auto" w:sz="4" w:space="0"/>
              <w:left w:val="single" w:color="auto" w:sz="4" w:space="0"/>
              <w:right w:val="single" w:color="auto" w:sz="4" w:space="0"/>
            </w:tcBorders>
            <w:shd w:val="clear" w:color="auto" w:fill="FFFFFF"/>
            <w:vAlign w:val="center"/>
          </w:tcPr>
          <w:p>
            <w:pPr>
              <w:pStyle w:val="47"/>
              <w:shd w:val="clear" w:color="auto" w:fill="auto"/>
              <w:spacing w:line="240" w:lineRule="auto"/>
              <w:ind w:firstLine="0"/>
              <w:rPr>
                <w:rFonts w:ascii="宋体" w:hAnsi="宋体" w:eastAsia="宋体"/>
                <w:color w:val="auto"/>
                <w:sz w:val="21"/>
                <w:szCs w:val="21"/>
              </w:rPr>
            </w:pPr>
            <w:r>
              <w:rPr>
                <w:rFonts w:ascii="宋体" w:hAnsi="宋体" w:eastAsia="宋体"/>
                <w:color w:val="auto"/>
                <w:sz w:val="21"/>
                <w:szCs w:val="21"/>
              </w:rPr>
              <w:t>产品名称：</w:t>
            </w:r>
          </w:p>
        </w:tc>
      </w:tr>
      <w:tr>
        <w:tblPrEx>
          <w:tblCellMar>
            <w:top w:w="0" w:type="dxa"/>
            <w:left w:w="10" w:type="dxa"/>
            <w:bottom w:w="0" w:type="dxa"/>
            <w:right w:w="10" w:type="dxa"/>
          </w:tblCellMar>
        </w:tblPrEx>
        <w:trPr>
          <w:trHeight w:val="557" w:hRule="exact"/>
          <w:jc w:val="center"/>
        </w:trPr>
        <w:tc>
          <w:tcPr>
            <w:tcW w:w="2242" w:type="dxa"/>
            <w:vMerge w:val="continue"/>
            <w:tcBorders>
              <w:left w:val="single" w:color="auto" w:sz="4" w:space="0"/>
            </w:tcBorders>
            <w:shd w:val="clear" w:color="auto" w:fill="FFFFFF"/>
            <w:vAlign w:val="center"/>
          </w:tcPr>
          <w:p>
            <w:pPr>
              <w:rPr>
                <w:rFonts w:ascii="宋体" w:hAnsi="宋体" w:eastAsia="宋体"/>
                <w:color w:val="auto"/>
                <w:sz w:val="21"/>
                <w:szCs w:val="21"/>
              </w:rPr>
            </w:pPr>
          </w:p>
        </w:tc>
        <w:tc>
          <w:tcPr>
            <w:tcW w:w="6701" w:type="dxa"/>
            <w:gridSpan w:val="5"/>
            <w:tcBorders>
              <w:top w:val="single" w:color="auto" w:sz="4" w:space="0"/>
              <w:left w:val="single" w:color="auto" w:sz="4" w:space="0"/>
              <w:right w:val="single" w:color="auto" w:sz="4" w:space="0"/>
            </w:tcBorders>
            <w:shd w:val="clear" w:color="auto" w:fill="FFFFFF"/>
            <w:vAlign w:val="center"/>
          </w:tcPr>
          <w:p>
            <w:pPr>
              <w:pStyle w:val="47"/>
              <w:shd w:val="clear" w:color="auto" w:fill="auto"/>
              <w:spacing w:line="240" w:lineRule="auto"/>
              <w:ind w:firstLine="0"/>
              <w:rPr>
                <w:rFonts w:ascii="宋体" w:hAnsi="宋体" w:eastAsia="宋体"/>
                <w:color w:val="auto"/>
                <w:sz w:val="21"/>
                <w:szCs w:val="21"/>
              </w:rPr>
            </w:pPr>
            <w:r>
              <w:rPr>
                <w:rFonts w:ascii="宋体" w:hAnsi="宋体" w:eastAsia="宋体"/>
                <w:color w:val="auto"/>
                <w:sz w:val="21"/>
                <w:szCs w:val="21"/>
              </w:rPr>
              <w:t>注册分类：</w:t>
            </w:r>
            <w:r>
              <w:rPr>
                <w:rFonts w:ascii="宋体" w:hAnsi="宋体" w:eastAsia="宋体"/>
                <w:color w:val="auto"/>
                <w:sz w:val="21"/>
                <w:szCs w:val="21"/>
              </w:rPr>
              <w:sym w:font="Wingdings 2" w:char="00A3"/>
            </w:r>
            <w:r>
              <w:rPr>
                <w:rFonts w:hint="eastAsia" w:ascii="黑体" w:hAnsi="黑体" w:eastAsia="黑体" w:cs="黑体"/>
                <w:color w:val="auto"/>
                <w:sz w:val="21"/>
                <w:szCs w:val="21"/>
              </w:rPr>
              <w:t>Ⅱ</w:t>
            </w:r>
            <w:r>
              <w:rPr>
                <w:rFonts w:ascii="宋体" w:hAnsi="宋体" w:eastAsia="宋体"/>
                <w:color w:val="auto"/>
                <w:sz w:val="21"/>
                <w:szCs w:val="21"/>
              </w:rPr>
              <w:t>类</w:t>
            </w:r>
            <w:r>
              <w:rPr>
                <w:rFonts w:hint="eastAsia" w:ascii="宋体" w:hAnsi="宋体" w:eastAsia="宋体"/>
                <w:color w:val="auto"/>
                <w:sz w:val="21"/>
                <w:szCs w:val="21"/>
                <w:lang w:val="en-US" w:eastAsia="zh-CN"/>
              </w:rPr>
              <w:t xml:space="preserve">  </w:t>
            </w:r>
            <w:r>
              <w:rPr>
                <w:rFonts w:ascii="宋体" w:hAnsi="宋体" w:eastAsia="宋体"/>
                <w:color w:val="auto"/>
                <w:sz w:val="21"/>
                <w:szCs w:val="21"/>
              </w:rPr>
              <w:sym w:font="Wingdings 2" w:char="00A3"/>
            </w:r>
            <w:r>
              <w:rPr>
                <w:rFonts w:hint="eastAsia" w:ascii="黑体" w:hAnsi="黑体" w:eastAsia="黑体" w:cs="黑体"/>
                <w:color w:val="auto"/>
                <w:sz w:val="21"/>
                <w:szCs w:val="21"/>
              </w:rPr>
              <w:t>Ⅲ</w:t>
            </w:r>
            <w:r>
              <w:rPr>
                <w:rFonts w:ascii="宋体" w:hAnsi="宋体" w:eastAsia="宋体"/>
                <w:color w:val="auto"/>
                <w:sz w:val="21"/>
                <w:szCs w:val="21"/>
              </w:rPr>
              <w:t>类</w:t>
            </w:r>
          </w:p>
        </w:tc>
      </w:tr>
      <w:tr>
        <w:tblPrEx>
          <w:tblCellMar>
            <w:top w:w="0" w:type="dxa"/>
            <w:left w:w="10" w:type="dxa"/>
            <w:bottom w:w="0" w:type="dxa"/>
            <w:right w:w="10" w:type="dxa"/>
          </w:tblCellMar>
        </w:tblPrEx>
        <w:trPr>
          <w:trHeight w:val="936" w:hRule="exact"/>
          <w:jc w:val="center"/>
        </w:trPr>
        <w:tc>
          <w:tcPr>
            <w:tcW w:w="2242" w:type="dxa"/>
            <w:vMerge w:val="continue"/>
            <w:tcBorders>
              <w:left w:val="single" w:color="auto" w:sz="4" w:space="0"/>
            </w:tcBorders>
            <w:shd w:val="clear" w:color="auto" w:fill="FFFFFF"/>
            <w:vAlign w:val="center"/>
          </w:tcPr>
          <w:p>
            <w:pPr>
              <w:rPr>
                <w:rFonts w:ascii="宋体" w:hAnsi="宋体" w:eastAsia="宋体"/>
                <w:color w:val="auto"/>
                <w:sz w:val="21"/>
                <w:szCs w:val="21"/>
              </w:rPr>
            </w:pPr>
          </w:p>
        </w:tc>
        <w:tc>
          <w:tcPr>
            <w:tcW w:w="1704" w:type="dxa"/>
            <w:tcBorders>
              <w:top w:val="single" w:color="auto" w:sz="4" w:space="0"/>
              <w:left w:val="single" w:color="auto" w:sz="4" w:space="0"/>
            </w:tcBorders>
            <w:shd w:val="clear" w:color="auto" w:fill="FFFFFF"/>
            <w:vAlign w:val="top"/>
          </w:tcPr>
          <w:p>
            <w:pPr>
              <w:pStyle w:val="47"/>
              <w:shd w:val="clear" w:color="auto" w:fill="auto"/>
              <w:spacing w:line="240" w:lineRule="auto"/>
              <w:ind w:firstLine="0"/>
              <w:rPr>
                <w:rFonts w:ascii="宋体" w:hAnsi="宋体" w:eastAsia="宋体"/>
                <w:color w:val="auto"/>
                <w:sz w:val="21"/>
                <w:szCs w:val="21"/>
              </w:rPr>
            </w:pPr>
            <w:r>
              <w:rPr>
                <w:rFonts w:ascii="宋体" w:hAnsi="宋体" w:eastAsia="宋体"/>
                <w:color w:val="auto"/>
                <w:sz w:val="21"/>
                <w:szCs w:val="21"/>
              </w:rPr>
              <w:t>产品规格/型号：</w:t>
            </w:r>
          </w:p>
        </w:tc>
        <w:tc>
          <w:tcPr>
            <w:tcW w:w="1627" w:type="dxa"/>
            <w:tcBorders>
              <w:top w:val="single" w:color="auto" w:sz="4" w:space="0"/>
              <w:left w:val="single" w:color="auto" w:sz="4" w:space="0"/>
            </w:tcBorders>
            <w:shd w:val="clear" w:color="auto" w:fill="FFFFFF"/>
            <w:vAlign w:val="top"/>
          </w:tcPr>
          <w:p>
            <w:pPr>
              <w:pStyle w:val="47"/>
              <w:shd w:val="clear" w:color="auto" w:fill="auto"/>
              <w:spacing w:line="240" w:lineRule="auto"/>
              <w:ind w:firstLine="260"/>
              <w:rPr>
                <w:rFonts w:ascii="宋体" w:hAnsi="宋体" w:eastAsia="宋体"/>
                <w:color w:val="auto"/>
                <w:sz w:val="21"/>
                <w:szCs w:val="21"/>
              </w:rPr>
            </w:pPr>
            <w:r>
              <w:rPr>
                <w:rFonts w:ascii="宋体" w:hAnsi="宋体" w:eastAsia="宋体"/>
                <w:color w:val="auto"/>
                <w:sz w:val="21"/>
                <w:szCs w:val="21"/>
              </w:rPr>
              <w:t>产品批号：</w:t>
            </w:r>
          </w:p>
        </w:tc>
        <w:tc>
          <w:tcPr>
            <w:tcW w:w="1661" w:type="dxa"/>
            <w:gridSpan w:val="2"/>
            <w:tcBorders>
              <w:top w:val="single" w:color="auto" w:sz="4" w:space="0"/>
              <w:left w:val="single" w:color="auto" w:sz="4" w:space="0"/>
            </w:tcBorders>
            <w:shd w:val="clear" w:color="auto" w:fill="FFFFFF"/>
            <w:vAlign w:val="top"/>
          </w:tcPr>
          <w:p>
            <w:pPr>
              <w:pStyle w:val="47"/>
              <w:shd w:val="clear" w:color="auto" w:fill="auto"/>
              <w:spacing w:line="240" w:lineRule="auto"/>
              <w:ind w:firstLine="180"/>
              <w:rPr>
                <w:rFonts w:ascii="宋体" w:hAnsi="宋体" w:eastAsia="宋体"/>
                <w:color w:val="auto"/>
                <w:sz w:val="21"/>
                <w:szCs w:val="21"/>
              </w:rPr>
            </w:pPr>
            <w:r>
              <w:rPr>
                <w:rFonts w:ascii="宋体" w:hAnsi="宋体" w:eastAsia="宋体"/>
                <w:color w:val="auto"/>
                <w:sz w:val="21"/>
                <w:szCs w:val="21"/>
              </w:rPr>
              <w:t>严品序列号：</w:t>
            </w:r>
          </w:p>
        </w:tc>
        <w:tc>
          <w:tcPr>
            <w:tcW w:w="1709" w:type="dxa"/>
            <w:tcBorders>
              <w:top w:val="single" w:color="auto" w:sz="4" w:space="0"/>
              <w:left w:val="single" w:color="auto" w:sz="4" w:space="0"/>
              <w:right w:val="single" w:color="auto" w:sz="4" w:space="0"/>
            </w:tcBorders>
            <w:shd w:val="clear" w:color="auto" w:fill="FFFFFF"/>
            <w:vAlign w:val="top"/>
          </w:tcPr>
          <w:p>
            <w:pPr>
              <w:pStyle w:val="47"/>
              <w:shd w:val="clear" w:color="auto" w:fill="auto"/>
              <w:spacing w:line="240" w:lineRule="auto"/>
              <w:ind w:firstLine="300"/>
              <w:rPr>
                <w:rFonts w:ascii="宋体" w:hAnsi="宋体" w:eastAsia="宋体"/>
                <w:color w:val="auto"/>
                <w:sz w:val="21"/>
                <w:szCs w:val="21"/>
              </w:rPr>
            </w:pPr>
            <w:r>
              <w:rPr>
                <w:rFonts w:ascii="宋体" w:hAnsi="宋体" w:eastAsia="宋体"/>
                <w:color w:val="auto"/>
                <w:sz w:val="21"/>
                <w:szCs w:val="21"/>
              </w:rPr>
              <w:t>产品数量：</w:t>
            </w:r>
          </w:p>
        </w:tc>
      </w:tr>
      <w:tr>
        <w:tblPrEx>
          <w:tblCellMar>
            <w:top w:w="0" w:type="dxa"/>
            <w:left w:w="10" w:type="dxa"/>
            <w:bottom w:w="0" w:type="dxa"/>
            <w:right w:w="10" w:type="dxa"/>
          </w:tblCellMar>
        </w:tblPrEx>
        <w:trPr>
          <w:trHeight w:val="850" w:hRule="exact"/>
          <w:jc w:val="center"/>
        </w:trPr>
        <w:tc>
          <w:tcPr>
            <w:tcW w:w="2242" w:type="dxa"/>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受试者基本情况</w:t>
            </w:r>
          </w:p>
        </w:tc>
        <w:tc>
          <w:tcPr>
            <w:tcW w:w="1704" w:type="dxa"/>
            <w:tcBorders>
              <w:top w:val="single" w:color="auto" w:sz="4" w:space="0"/>
              <w:left w:val="single" w:color="auto" w:sz="4" w:space="0"/>
            </w:tcBorders>
            <w:shd w:val="clear" w:color="auto" w:fill="FFFFFF"/>
            <w:vAlign w:val="top"/>
          </w:tcPr>
          <w:p>
            <w:pPr>
              <w:pStyle w:val="47"/>
              <w:shd w:val="clear" w:color="auto" w:fill="auto"/>
              <w:spacing w:line="240" w:lineRule="auto"/>
              <w:ind w:firstLine="0"/>
              <w:rPr>
                <w:rFonts w:ascii="宋体" w:hAnsi="宋体" w:eastAsia="宋体"/>
                <w:color w:val="auto"/>
                <w:sz w:val="21"/>
                <w:szCs w:val="21"/>
              </w:rPr>
            </w:pPr>
            <w:r>
              <w:rPr>
                <w:rFonts w:ascii="宋体" w:hAnsi="宋体" w:eastAsia="宋体"/>
                <w:color w:val="auto"/>
                <w:sz w:val="21"/>
                <w:szCs w:val="21"/>
              </w:rPr>
              <w:t>受试者筛选号：</w:t>
            </w:r>
          </w:p>
        </w:tc>
        <w:tc>
          <w:tcPr>
            <w:tcW w:w="1627" w:type="dxa"/>
            <w:tcBorders>
              <w:top w:val="single" w:color="auto" w:sz="4" w:space="0"/>
              <w:left w:val="single" w:color="auto" w:sz="4" w:space="0"/>
            </w:tcBorders>
            <w:shd w:val="clear" w:color="auto" w:fill="FFFFFF"/>
            <w:vAlign w:val="top"/>
          </w:tcPr>
          <w:p>
            <w:pPr>
              <w:pStyle w:val="47"/>
              <w:shd w:val="clear" w:color="auto" w:fill="auto"/>
              <w:spacing w:line="240" w:lineRule="auto"/>
              <w:ind w:firstLine="0"/>
              <w:rPr>
                <w:rFonts w:ascii="宋体" w:hAnsi="宋体" w:eastAsia="宋体"/>
                <w:color w:val="auto"/>
                <w:sz w:val="21"/>
                <w:szCs w:val="21"/>
              </w:rPr>
            </w:pPr>
            <w:r>
              <w:rPr>
                <w:rFonts w:ascii="宋体" w:hAnsi="宋体" w:eastAsia="宋体"/>
                <w:color w:val="auto"/>
                <w:sz w:val="21"/>
                <w:szCs w:val="21"/>
              </w:rPr>
              <w:t>姓名拼音缩写：</w:t>
            </w:r>
          </w:p>
        </w:tc>
        <w:tc>
          <w:tcPr>
            <w:tcW w:w="1661" w:type="dxa"/>
            <w:gridSpan w:val="2"/>
            <w:tcBorders>
              <w:top w:val="single" w:color="auto" w:sz="4" w:space="0"/>
              <w:left w:val="single" w:color="auto" w:sz="4" w:space="0"/>
            </w:tcBorders>
            <w:shd w:val="clear" w:color="auto" w:fill="FFFFFF"/>
            <w:vAlign w:val="top"/>
          </w:tcPr>
          <w:p>
            <w:pPr>
              <w:pStyle w:val="47"/>
              <w:shd w:val="clear" w:color="auto" w:fill="auto"/>
              <w:spacing w:line="240" w:lineRule="auto"/>
              <w:ind w:firstLine="300"/>
              <w:rPr>
                <w:rFonts w:ascii="宋体" w:hAnsi="宋体" w:eastAsia="宋体"/>
                <w:color w:val="auto"/>
                <w:sz w:val="21"/>
                <w:szCs w:val="21"/>
              </w:rPr>
            </w:pPr>
            <w:r>
              <w:rPr>
                <w:rFonts w:ascii="宋体" w:hAnsi="宋体" w:eastAsia="宋体"/>
                <w:color w:val="auto"/>
                <w:sz w:val="21"/>
                <w:szCs w:val="21"/>
              </w:rPr>
              <w:t>出生日期：</w:t>
            </w:r>
          </w:p>
        </w:tc>
        <w:tc>
          <w:tcPr>
            <w:tcW w:w="1709" w:type="dxa"/>
            <w:tcBorders>
              <w:top w:val="single" w:color="auto" w:sz="4" w:space="0"/>
              <w:left w:val="single" w:color="auto" w:sz="4" w:space="0"/>
              <w:right w:val="single" w:color="auto" w:sz="4" w:space="0"/>
            </w:tcBorders>
            <w:shd w:val="clear" w:color="auto" w:fill="FFFFFF"/>
            <w:vAlign w:val="top"/>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性别：</w:t>
            </w:r>
          </w:p>
        </w:tc>
      </w:tr>
      <w:tr>
        <w:tblPrEx>
          <w:tblCellMar>
            <w:top w:w="0" w:type="dxa"/>
            <w:left w:w="10" w:type="dxa"/>
            <w:bottom w:w="0" w:type="dxa"/>
            <w:right w:w="10" w:type="dxa"/>
          </w:tblCellMar>
        </w:tblPrEx>
        <w:trPr>
          <w:trHeight w:val="528" w:hRule="exact"/>
          <w:jc w:val="center"/>
        </w:trPr>
        <w:tc>
          <w:tcPr>
            <w:tcW w:w="8943"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pPr>
              <w:pStyle w:val="47"/>
              <w:shd w:val="clear" w:color="auto" w:fill="auto"/>
              <w:tabs>
                <w:tab w:val="left" w:pos="2526"/>
                <w:tab w:val="left" w:pos="4719"/>
                <w:tab w:val="left" w:pos="7354"/>
              </w:tabs>
              <w:spacing w:line="240" w:lineRule="auto"/>
              <w:ind w:firstLine="620"/>
              <w:rPr>
                <w:rFonts w:ascii="宋体" w:hAnsi="宋体" w:eastAsia="宋体"/>
                <w:color w:val="auto"/>
                <w:sz w:val="21"/>
                <w:szCs w:val="21"/>
              </w:rPr>
            </w:pPr>
            <w:r>
              <w:rPr>
                <w:rFonts w:ascii="宋体" w:hAnsi="宋体" w:eastAsia="宋体"/>
                <w:color w:val="auto"/>
                <w:sz w:val="21"/>
                <w:szCs w:val="21"/>
              </w:rPr>
              <w:t>缺陷发生时间：</w:t>
            </w:r>
            <w:r>
              <w:rPr>
                <w:rFonts w:ascii="宋体" w:hAnsi="宋体" w:eastAsia="宋体"/>
                <w:color w:val="auto"/>
                <w:sz w:val="21"/>
                <w:szCs w:val="21"/>
              </w:rPr>
              <w:tab/>
            </w:r>
            <w:r>
              <w:rPr>
                <w:rFonts w:hint="eastAsia" w:ascii="宋体" w:hAnsi="宋体" w:eastAsia="宋体"/>
                <w:color w:val="auto"/>
                <w:sz w:val="21"/>
                <w:szCs w:val="21"/>
                <w:lang w:val="en-US" w:eastAsia="zh-CN"/>
              </w:rPr>
              <w:t xml:space="preserve">   </w:t>
            </w:r>
            <w:r>
              <w:rPr>
                <w:rFonts w:ascii="宋体" w:hAnsi="宋体" w:eastAsia="宋体"/>
                <w:color w:val="auto"/>
                <w:sz w:val="21"/>
                <w:szCs w:val="21"/>
              </w:rPr>
              <w:t>年</w:t>
            </w:r>
            <w:r>
              <w:rPr>
                <w:rFonts w:hint="eastAsia" w:ascii="宋体" w:hAnsi="宋体" w:eastAsia="宋体"/>
                <w:color w:val="auto"/>
                <w:sz w:val="21"/>
                <w:szCs w:val="21"/>
                <w:lang w:val="en-US" w:eastAsia="zh-CN"/>
              </w:rPr>
              <w:t xml:space="preserve">  </w:t>
            </w:r>
            <w:r>
              <w:rPr>
                <w:rFonts w:ascii="宋体" w:hAnsi="宋体" w:eastAsia="宋体"/>
                <w:color w:val="auto"/>
                <w:sz w:val="21"/>
                <w:szCs w:val="21"/>
              </w:rPr>
              <w:t>月</w:t>
            </w:r>
            <w:r>
              <w:rPr>
                <w:rFonts w:hint="eastAsia" w:ascii="宋体" w:hAnsi="宋体" w:eastAsia="宋体"/>
                <w:color w:val="auto"/>
                <w:sz w:val="21"/>
                <w:szCs w:val="21"/>
                <w:lang w:val="en-US" w:eastAsia="zh-CN"/>
              </w:rPr>
              <w:t xml:space="preserve">  </w:t>
            </w:r>
            <w:r>
              <w:rPr>
                <w:rFonts w:ascii="宋体" w:hAnsi="宋体" w:eastAsia="宋体"/>
                <w:color w:val="auto"/>
                <w:sz w:val="21"/>
                <w:szCs w:val="21"/>
              </w:rPr>
              <w:t>日</w:t>
            </w:r>
            <w:r>
              <w:rPr>
                <w:rFonts w:hint="eastAsia" w:ascii="宋体" w:hAnsi="宋体" w:eastAsia="宋体"/>
                <w:color w:val="auto"/>
                <w:sz w:val="21"/>
                <w:szCs w:val="21"/>
                <w:lang w:val="en-US" w:eastAsia="zh-CN"/>
              </w:rPr>
              <w:t xml:space="preserve">       </w:t>
            </w:r>
            <w:r>
              <w:rPr>
                <w:rFonts w:ascii="宋体" w:hAnsi="宋体" w:eastAsia="宋体"/>
                <w:color w:val="auto"/>
                <w:sz w:val="21"/>
                <w:szCs w:val="21"/>
              </w:rPr>
              <w:t>研究者获知缺陷时间：</w:t>
            </w:r>
            <w:r>
              <w:rPr>
                <w:rFonts w:ascii="宋体" w:hAnsi="宋体" w:eastAsia="宋体"/>
                <w:color w:val="auto"/>
                <w:sz w:val="21"/>
                <w:szCs w:val="21"/>
              </w:rPr>
              <w:tab/>
            </w:r>
            <w:r>
              <w:rPr>
                <w:rFonts w:hint="eastAsia" w:ascii="宋体" w:hAnsi="宋体" w:eastAsia="宋体"/>
                <w:color w:val="auto"/>
                <w:sz w:val="21"/>
                <w:szCs w:val="21"/>
                <w:lang w:val="en-US" w:eastAsia="zh-CN"/>
              </w:rPr>
              <w:t xml:space="preserve">   </w:t>
            </w:r>
            <w:r>
              <w:rPr>
                <w:rFonts w:ascii="宋体" w:hAnsi="宋体" w:eastAsia="宋体"/>
                <w:color w:val="auto"/>
                <w:sz w:val="21"/>
                <w:szCs w:val="21"/>
              </w:rPr>
              <w:t>年</w:t>
            </w:r>
            <w:r>
              <w:rPr>
                <w:rFonts w:hint="eastAsia" w:ascii="宋体" w:hAnsi="宋体" w:eastAsia="宋体"/>
                <w:color w:val="auto"/>
                <w:sz w:val="21"/>
                <w:szCs w:val="21"/>
                <w:lang w:val="en-US" w:eastAsia="zh-CN"/>
              </w:rPr>
              <w:t xml:space="preserve">  </w:t>
            </w:r>
            <w:r>
              <w:rPr>
                <w:rFonts w:ascii="宋体" w:hAnsi="宋体" w:eastAsia="宋体"/>
                <w:color w:val="auto"/>
                <w:sz w:val="21"/>
                <w:szCs w:val="21"/>
              </w:rPr>
              <w:t>月</w:t>
            </w:r>
            <w:r>
              <w:rPr>
                <w:rFonts w:hint="eastAsia" w:ascii="宋体" w:hAnsi="宋体" w:eastAsia="宋体"/>
                <w:color w:val="auto"/>
                <w:sz w:val="21"/>
                <w:szCs w:val="21"/>
                <w:lang w:val="en-US" w:eastAsia="zh-CN"/>
              </w:rPr>
              <w:t xml:space="preserve">  </w:t>
            </w:r>
            <w:r>
              <w:rPr>
                <w:rFonts w:ascii="宋体" w:hAnsi="宋体" w:eastAsia="宋体"/>
                <w:color w:val="auto"/>
                <w:sz w:val="21"/>
                <w:szCs w:val="21"/>
              </w:rPr>
              <w:t>日</w:t>
            </w:r>
          </w:p>
        </w:tc>
      </w:tr>
    </w:tbl>
    <w:p>
      <w:pPr>
        <w:spacing w:line="1" w:lineRule="exact"/>
        <w:rPr>
          <w:rFonts w:ascii="宋体" w:hAnsi="宋体" w:eastAsia="宋体"/>
          <w:color w:val="auto"/>
          <w:sz w:val="21"/>
          <w:szCs w:val="21"/>
          <w:lang w:eastAsia="zh-CN"/>
        </w:rPr>
      </w:pPr>
    </w:p>
    <w:tbl>
      <w:tblPr>
        <w:tblStyle w:val="27"/>
        <w:tblW w:w="8943" w:type="dxa"/>
        <w:jc w:val="center"/>
        <w:tblLayout w:type="fixed"/>
        <w:tblCellMar>
          <w:top w:w="0" w:type="dxa"/>
          <w:left w:w="10" w:type="dxa"/>
          <w:bottom w:w="0" w:type="dxa"/>
          <w:right w:w="10" w:type="dxa"/>
        </w:tblCellMar>
      </w:tblPr>
      <w:tblGrid>
        <w:gridCol w:w="2242"/>
        <w:gridCol w:w="1416"/>
        <w:gridCol w:w="2554"/>
        <w:gridCol w:w="1272"/>
        <w:gridCol w:w="1459"/>
      </w:tblGrid>
      <w:tr>
        <w:tblPrEx>
          <w:tblCellMar>
            <w:top w:w="0" w:type="dxa"/>
            <w:left w:w="10" w:type="dxa"/>
            <w:bottom w:w="0" w:type="dxa"/>
            <w:right w:w="10" w:type="dxa"/>
          </w:tblCellMar>
        </w:tblPrEx>
        <w:trPr>
          <w:trHeight w:val="638" w:hRule="exact"/>
          <w:jc w:val="center"/>
        </w:trPr>
        <w:tc>
          <w:tcPr>
            <w:tcW w:w="2242" w:type="dxa"/>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器械缺陷的名称</w:t>
            </w:r>
          </w:p>
        </w:tc>
        <w:tc>
          <w:tcPr>
            <w:tcW w:w="6701" w:type="dxa"/>
            <w:gridSpan w:val="4"/>
            <w:tcBorders>
              <w:top w:val="single" w:color="auto" w:sz="4" w:space="0"/>
              <w:left w:val="single" w:color="auto" w:sz="4" w:space="0"/>
              <w:right w:val="single" w:color="auto" w:sz="4" w:space="0"/>
            </w:tcBorders>
            <w:shd w:val="clear" w:color="auto" w:fill="FFFFFF"/>
            <w:vAlign w:val="top"/>
          </w:tcPr>
          <w:p>
            <w:pPr>
              <w:rPr>
                <w:rFonts w:ascii="宋体" w:hAnsi="宋体" w:eastAsia="宋体"/>
                <w:color w:val="auto"/>
                <w:sz w:val="21"/>
                <w:szCs w:val="21"/>
              </w:rPr>
            </w:pPr>
          </w:p>
        </w:tc>
      </w:tr>
      <w:tr>
        <w:tblPrEx>
          <w:tblCellMar>
            <w:top w:w="0" w:type="dxa"/>
            <w:left w:w="10" w:type="dxa"/>
            <w:bottom w:w="0" w:type="dxa"/>
            <w:right w:w="10" w:type="dxa"/>
          </w:tblCellMar>
        </w:tblPrEx>
        <w:trPr>
          <w:trHeight w:val="629" w:hRule="exact"/>
          <w:jc w:val="center"/>
        </w:trPr>
        <w:tc>
          <w:tcPr>
            <w:tcW w:w="2242" w:type="dxa"/>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缺陷发生原因分类</w:t>
            </w:r>
          </w:p>
        </w:tc>
        <w:tc>
          <w:tcPr>
            <w:tcW w:w="6701" w:type="dxa"/>
            <w:gridSpan w:val="4"/>
            <w:tcBorders>
              <w:top w:val="single" w:color="auto" w:sz="4" w:space="0"/>
              <w:left w:val="single" w:color="auto" w:sz="4" w:space="0"/>
              <w:right w:val="single" w:color="auto" w:sz="4" w:space="0"/>
            </w:tcBorders>
            <w:shd w:val="clear" w:color="auto" w:fill="FFFFFF"/>
            <w:vAlign w:val="center"/>
          </w:tcPr>
          <w:p>
            <w:pPr>
              <w:pStyle w:val="47"/>
              <w:shd w:val="clear" w:color="auto" w:fill="auto"/>
              <w:tabs>
                <w:tab w:val="left" w:pos="1310"/>
                <w:tab w:val="left" w:pos="2750"/>
                <w:tab w:val="left" w:pos="4258"/>
              </w:tabs>
              <w:spacing w:line="240" w:lineRule="auto"/>
              <w:ind w:firstLine="0"/>
              <w:jc w:val="center"/>
              <w:rPr>
                <w:rFonts w:ascii="宋体" w:hAnsi="宋体" w:eastAsia="宋体"/>
                <w:color w:val="auto"/>
                <w:sz w:val="21"/>
                <w:szCs w:val="21"/>
              </w:rPr>
            </w:pPr>
            <w:r>
              <w:rPr>
                <w:rFonts w:ascii="宋体" w:hAnsi="宋体" w:eastAsia="宋体"/>
                <w:color w:val="auto"/>
                <w:sz w:val="21"/>
                <w:szCs w:val="21"/>
              </w:rPr>
              <w:t>□设计缺陷</w:t>
            </w:r>
            <w:r>
              <w:rPr>
                <w:rFonts w:ascii="宋体" w:hAnsi="宋体" w:eastAsia="宋体"/>
                <w:color w:val="auto"/>
                <w:sz w:val="21"/>
                <w:szCs w:val="21"/>
              </w:rPr>
              <w:tab/>
            </w:r>
            <w:r>
              <w:rPr>
                <w:rFonts w:ascii="宋体" w:hAnsi="宋体" w:eastAsia="宋体"/>
                <w:color w:val="auto"/>
                <w:sz w:val="21"/>
                <w:szCs w:val="21"/>
              </w:rPr>
              <w:t>□制造缺陷</w:t>
            </w:r>
            <w:r>
              <w:rPr>
                <w:rFonts w:ascii="宋体" w:hAnsi="宋体" w:eastAsia="宋体"/>
                <w:color w:val="auto"/>
                <w:sz w:val="21"/>
                <w:szCs w:val="21"/>
              </w:rPr>
              <w:tab/>
            </w:r>
            <w:r>
              <w:rPr>
                <w:rFonts w:ascii="宋体" w:hAnsi="宋体" w:eastAsia="宋体"/>
                <w:color w:val="auto"/>
                <w:sz w:val="21"/>
                <w:szCs w:val="21"/>
              </w:rPr>
              <w:t>□标识缺陷</w:t>
            </w:r>
            <w:r>
              <w:rPr>
                <w:rFonts w:ascii="宋体" w:hAnsi="宋体" w:eastAsia="宋体"/>
                <w:color w:val="auto"/>
                <w:sz w:val="21"/>
                <w:szCs w:val="21"/>
              </w:rPr>
              <w:tab/>
            </w:r>
            <w:r>
              <w:rPr>
                <w:rFonts w:ascii="宋体" w:hAnsi="宋体" w:eastAsia="宋体"/>
                <w:color w:val="auto"/>
                <w:sz w:val="21"/>
                <w:szCs w:val="21"/>
              </w:rPr>
              <w:t>□软件缺陷</w:t>
            </w:r>
          </w:p>
        </w:tc>
      </w:tr>
      <w:tr>
        <w:tblPrEx>
          <w:tblCellMar>
            <w:top w:w="0" w:type="dxa"/>
            <w:left w:w="10" w:type="dxa"/>
            <w:bottom w:w="0" w:type="dxa"/>
            <w:right w:w="10" w:type="dxa"/>
          </w:tblCellMar>
        </w:tblPrEx>
        <w:trPr>
          <w:trHeight w:val="523" w:hRule="exact"/>
          <w:jc w:val="center"/>
        </w:trPr>
        <w:tc>
          <w:tcPr>
            <w:tcW w:w="3658" w:type="dxa"/>
            <w:gridSpan w:val="2"/>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是否导致不良事件</w:t>
            </w:r>
            <w:r>
              <w:rPr>
                <w:rFonts w:ascii="宋体" w:hAnsi="宋体" w:eastAsia="宋体" w:cs="宋体"/>
                <w:color w:val="auto"/>
                <w:sz w:val="21"/>
                <w:szCs w:val="21"/>
                <w:lang w:val="en-US" w:eastAsia="en-US" w:bidi="en-US"/>
              </w:rPr>
              <w:t>(</w:t>
            </w:r>
            <w:r>
              <w:rPr>
                <w:rFonts w:ascii="宋体" w:hAnsi="宋体" w:eastAsia="宋体" w:cs="Times New Roman"/>
                <w:color w:val="auto"/>
                <w:sz w:val="21"/>
                <w:szCs w:val="21"/>
                <w:lang w:val="en-US" w:eastAsia="en-US" w:bidi="en-US"/>
              </w:rPr>
              <w:t>AE)</w:t>
            </w:r>
          </w:p>
        </w:tc>
        <w:tc>
          <w:tcPr>
            <w:tcW w:w="5285" w:type="dxa"/>
            <w:gridSpan w:val="3"/>
            <w:tcBorders>
              <w:top w:val="single" w:color="auto" w:sz="4" w:space="0"/>
              <w:left w:val="single" w:color="auto" w:sz="4" w:space="0"/>
              <w:righ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□是□否</w:t>
            </w:r>
          </w:p>
        </w:tc>
      </w:tr>
      <w:tr>
        <w:tblPrEx>
          <w:tblCellMar>
            <w:top w:w="0" w:type="dxa"/>
            <w:left w:w="10" w:type="dxa"/>
            <w:bottom w:w="0" w:type="dxa"/>
            <w:right w:w="10" w:type="dxa"/>
          </w:tblCellMar>
        </w:tblPrEx>
        <w:trPr>
          <w:trHeight w:val="523" w:hRule="exact"/>
          <w:jc w:val="center"/>
        </w:trPr>
        <w:tc>
          <w:tcPr>
            <w:tcW w:w="3658" w:type="dxa"/>
            <w:gridSpan w:val="2"/>
            <w:tcBorders>
              <w:top w:val="single" w:color="auto" w:sz="4" w:space="0"/>
              <w:left w:val="single" w:color="auto" w:sz="4" w:space="0"/>
            </w:tcBorders>
            <w:shd w:val="clear" w:color="auto" w:fill="FFFFFF"/>
            <w:vAlign w:val="center"/>
          </w:tcPr>
          <w:p>
            <w:pPr>
              <w:pStyle w:val="47"/>
              <w:shd w:val="clear" w:color="auto" w:fill="auto"/>
              <w:spacing w:line="240" w:lineRule="auto"/>
              <w:ind w:firstLine="360"/>
              <w:jc w:val="both"/>
              <w:rPr>
                <w:rFonts w:ascii="宋体" w:hAnsi="宋体" w:eastAsia="宋体"/>
                <w:color w:val="auto"/>
                <w:sz w:val="21"/>
                <w:szCs w:val="21"/>
              </w:rPr>
            </w:pPr>
            <w:r>
              <w:rPr>
                <w:rFonts w:ascii="宋体" w:hAnsi="宋体" w:eastAsia="宋体"/>
                <w:color w:val="auto"/>
                <w:sz w:val="21"/>
                <w:szCs w:val="21"/>
              </w:rPr>
              <w:t>是否导致严重不良事件</w:t>
            </w:r>
            <w:r>
              <w:rPr>
                <w:rFonts w:ascii="宋体" w:hAnsi="宋体" w:eastAsia="宋体" w:cs="Times New Roman"/>
                <w:color w:val="auto"/>
                <w:sz w:val="21"/>
                <w:szCs w:val="21"/>
                <w:lang w:val="en-US" w:eastAsia="zh-CN" w:bidi="en-US"/>
              </w:rPr>
              <w:t>(SAE)</w:t>
            </w:r>
          </w:p>
        </w:tc>
        <w:tc>
          <w:tcPr>
            <w:tcW w:w="5285" w:type="dxa"/>
            <w:gridSpan w:val="3"/>
            <w:tcBorders>
              <w:top w:val="single" w:color="auto" w:sz="4" w:space="0"/>
              <w:left w:val="single" w:color="auto" w:sz="4" w:space="0"/>
              <w:righ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□是□否</w:t>
            </w:r>
          </w:p>
        </w:tc>
      </w:tr>
      <w:tr>
        <w:tblPrEx>
          <w:tblCellMar>
            <w:top w:w="0" w:type="dxa"/>
            <w:left w:w="10" w:type="dxa"/>
            <w:bottom w:w="0" w:type="dxa"/>
            <w:right w:w="10" w:type="dxa"/>
          </w:tblCellMar>
        </w:tblPrEx>
        <w:trPr>
          <w:trHeight w:val="3152" w:hRule="exact"/>
          <w:jc w:val="center"/>
        </w:trPr>
        <w:tc>
          <w:tcPr>
            <w:tcW w:w="2242" w:type="dxa"/>
            <w:tcBorders>
              <w:top w:val="single" w:color="auto" w:sz="4" w:space="0"/>
              <w:left w:val="single" w:color="auto" w:sz="4" w:space="0"/>
            </w:tcBorders>
            <w:shd w:val="clear" w:color="auto" w:fill="FFFFFF"/>
            <w:vAlign w:val="center"/>
          </w:tcPr>
          <w:p>
            <w:pPr>
              <w:pStyle w:val="47"/>
              <w:shd w:val="clear" w:color="auto" w:fill="auto"/>
              <w:spacing w:line="312" w:lineRule="exact"/>
              <w:ind w:firstLine="0"/>
              <w:jc w:val="center"/>
              <w:rPr>
                <w:rFonts w:ascii="宋体" w:hAnsi="宋体" w:eastAsia="宋体"/>
                <w:color w:val="auto"/>
                <w:sz w:val="21"/>
                <w:szCs w:val="21"/>
              </w:rPr>
            </w:pPr>
            <w:r>
              <w:rPr>
                <w:rFonts w:ascii="宋体" w:hAnsi="宋体" w:eastAsia="宋体"/>
                <w:color w:val="auto"/>
                <w:sz w:val="21"/>
                <w:szCs w:val="21"/>
              </w:rPr>
              <w:t>器械缺陷发生及处理的详细情况</w:t>
            </w:r>
          </w:p>
        </w:tc>
        <w:tc>
          <w:tcPr>
            <w:tcW w:w="6701" w:type="dxa"/>
            <w:gridSpan w:val="4"/>
            <w:tcBorders>
              <w:top w:val="single" w:color="auto" w:sz="4" w:space="0"/>
              <w:left w:val="single" w:color="auto" w:sz="4" w:space="0"/>
              <w:right w:val="single" w:color="auto" w:sz="4" w:space="0"/>
            </w:tcBorders>
            <w:shd w:val="clear" w:color="auto" w:fill="FFFFFF"/>
            <w:vAlign w:val="top"/>
          </w:tcPr>
          <w:p>
            <w:pPr>
              <w:rPr>
                <w:rFonts w:ascii="宋体" w:hAnsi="宋体" w:eastAsia="宋体"/>
                <w:color w:val="auto"/>
                <w:sz w:val="21"/>
                <w:szCs w:val="21"/>
                <w:lang w:eastAsia="zh-CN"/>
              </w:rPr>
            </w:pPr>
          </w:p>
        </w:tc>
      </w:tr>
      <w:tr>
        <w:tblPrEx>
          <w:tblCellMar>
            <w:top w:w="0" w:type="dxa"/>
            <w:left w:w="10" w:type="dxa"/>
            <w:bottom w:w="0" w:type="dxa"/>
            <w:right w:w="10" w:type="dxa"/>
          </w:tblCellMar>
        </w:tblPrEx>
        <w:trPr>
          <w:trHeight w:val="845" w:hRule="exact"/>
          <w:jc w:val="center"/>
        </w:trPr>
        <w:tc>
          <w:tcPr>
            <w:tcW w:w="2242" w:type="dxa"/>
            <w:tcBorders>
              <w:top w:val="single" w:color="auto" w:sz="4" w:space="0"/>
              <w:left w:val="single" w:color="auto" w:sz="4" w:space="0"/>
              <w:bottom w:val="single" w:color="auto" w:sz="4" w:space="0"/>
            </w:tcBorders>
            <w:shd w:val="clear" w:color="auto" w:fill="FFFFFF"/>
            <w:vAlign w:val="center"/>
          </w:tcPr>
          <w:p>
            <w:pPr>
              <w:pStyle w:val="47"/>
              <w:shd w:val="clear" w:color="auto" w:fill="auto"/>
              <w:spacing w:line="302" w:lineRule="exact"/>
              <w:ind w:firstLine="0"/>
              <w:jc w:val="center"/>
              <w:rPr>
                <w:rFonts w:ascii="宋体" w:hAnsi="宋体" w:eastAsia="宋体"/>
                <w:color w:val="auto"/>
                <w:sz w:val="21"/>
                <w:szCs w:val="21"/>
              </w:rPr>
            </w:pPr>
            <w:r>
              <w:rPr>
                <w:rFonts w:ascii="宋体" w:hAnsi="宋体" w:eastAsia="宋体"/>
                <w:color w:val="auto"/>
                <w:sz w:val="21"/>
                <w:szCs w:val="21"/>
              </w:rPr>
              <w:t>研究者对临床试验处理意见</w:t>
            </w:r>
          </w:p>
        </w:tc>
        <w:tc>
          <w:tcPr>
            <w:tcW w:w="3970" w:type="dxa"/>
            <w:gridSpan w:val="2"/>
            <w:tcBorders>
              <w:top w:val="single" w:color="auto" w:sz="4" w:space="0"/>
              <w:left w:val="single" w:color="auto" w:sz="4" w:space="0"/>
              <w:bottom w:val="single" w:color="auto" w:sz="4" w:space="0"/>
            </w:tcBorders>
            <w:shd w:val="clear" w:color="auto" w:fill="FFFFFF"/>
            <w:vAlign w:val="top"/>
          </w:tcPr>
          <w:p>
            <w:pPr>
              <w:pStyle w:val="47"/>
              <w:shd w:val="clear" w:color="auto" w:fill="auto"/>
              <w:spacing w:before="140" w:line="240" w:lineRule="auto"/>
              <w:ind w:firstLine="0"/>
              <w:jc w:val="center"/>
              <w:rPr>
                <w:rFonts w:ascii="宋体" w:hAnsi="宋体" w:eastAsia="宋体"/>
                <w:color w:val="auto"/>
                <w:sz w:val="21"/>
                <w:szCs w:val="21"/>
              </w:rPr>
            </w:pPr>
            <w:r>
              <w:rPr>
                <w:rFonts w:ascii="宋体" w:hAnsi="宋体" w:eastAsia="宋体"/>
                <w:color w:val="auto"/>
                <w:sz w:val="21"/>
                <w:szCs w:val="21"/>
              </w:rPr>
              <w:t>□继续试验□暂停试验□终止试验</w:t>
            </w:r>
          </w:p>
        </w:tc>
        <w:tc>
          <w:tcPr>
            <w:tcW w:w="1272" w:type="dxa"/>
            <w:tcBorders>
              <w:top w:val="single" w:color="auto" w:sz="4" w:space="0"/>
              <w:left w:val="single" w:color="auto" w:sz="4" w:space="0"/>
              <w:bottom w:val="single" w:color="auto" w:sz="4" w:space="0"/>
            </w:tcBorders>
            <w:shd w:val="clear" w:color="auto" w:fill="FFFFFF"/>
            <w:vAlign w:val="top"/>
          </w:tcPr>
          <w:p>
            <w:pPr>
              <w:pStyle w:val="47"/>
              <w:shd w:val="clear" w:color="auto" w:fill="auto"/>
              <w:spacing w:before="160" w:line="240" w:lineRule="auto"/>
              <w:ind w:firstLine="0"/>
              <w:jc w:val="center"/>
              <w:rPr>
                <w:rFonts w:ascii="宋体" w:hAnsi="宋体" w:eastAsia="宋体"/>
                <w:color w:val="auto"/>
                <w:sz w:val="21"/>
                <w:szCs w:val="21"/>
              </w:rPr>
            </w:pPr>
            <w:r>
              <w:rPr>
                <w:rFonts w:ascii="宋体" w:hAnsi="宋体" w:eastAsia="宋体"/>
                <w:color w:val="auto"/>
                <w:sz w:val="21"/>
                <w:szCs w:val="21"/>
              </w:rPr>
              <w:t>签名及日期</w:t>
            </w:r>
          </w:p>
        </w:tc>
        <w:tc>
          <w:tcPr>
            <w:tcW w:w="1459" w:type="dxa"/>
            <w:tcBorders>
              <w:top w:val="single" w:color="auto" w:sz="4" w:space="0"/>
              <w:left w:val="single" w:color="auto" w:sz="4" w:space="0"/>
              <w:bottom w:val="single" w:color="auto" w:sz="4" w:space="0"/>
              <w:right w:val="single" w:color="auto" w:sz="4" w:space="0"/>
            </w:tcBorders>
            <w:shd w:val="clear" w:color="auto" w:fill="FFFFFF"/>
            <w:vAlign w:val="top"/>
          </w:tcPr>
          <w:p>
            <w:pPr>
              <w:rPr>
                <w:rFonts w:ascii="宋体" w:hAnsi="宋体" w:eastAsia="宋体"/>
                <w:color w:val="auto"/>
                <w:sz w:val="21"/>
                <w:szCs w:val="21"/>
              </w:rPr>
            </w:pPr>
          </w:p>
        </w:tc>
      </w:tr>
    </w:tbl>
    <w:p>
      <w:pPr>
        <w:spacing w:after="759" w:line="1" w:lineRule="exact"/>
        <w:rPr>
          <w:rFonts w:ascii="宋体" w:hAnsi="宋体" w:eastAsia="宋体"/>
          <w:color w:val="auto"/>
          <w:sz w:val="21"/>
          <w:szCs w:val="21"/>
        </w:rPr>
      </w:pPr>
    </w:p>
    <w:p>
      <w:pPr>
        <w:pStyle w:val="33"/>
        <w:rPr>
          <w:color w:val="auto"/>
        </w:rPr>
      </w:pPr>
    </w:p>
    <w:p>
      <w:pPr>
        <w:numPr>
          <w:ilvl w:val="0"/>
          <w:numId w:val="0"/>
        </w:numPr>
        <w:spacing w:line="360" w:lineRule="auto"/>
        <w:ind w:leftChars="0"/>
        <w:rPr>
          <w:rFonts w:hint="default" w:asciiTheme="minorEastAsia" w:hAnsiTheme="minorEastAsia" w:cstheme="minorEastAsia"/>
          <w:bCs/>
          <w:color w:val="auto"/>
          <w:sz w:val="24"/>
          <w:szCs w:val="24"/>
          <w:lang w:val="en-US" w:eastAsia="zh-CN"/>
        </w:rPr>
      </w:pPr>
      <w:bookmarkStart w:id="13" w:name="bookmark40"/>
      <w:bookmarkStart w:id="14" w:name="bookmark41"/>
      <w:r>
        <w:rPr>
          <w:rFonts w:hint="eastAsia" w:asciiTheme="minorEastAsia" w:hAnsiTheme="minorEastAsia" w:cstheme="minorEastAsia"/>
          <w:bCs/>
          <w:color w:val="auto"/>
          <w:sz w:val="24"/>
          <w:szCs w:val="24"/>
          <w:lang w:val="en-US" w:eastAsia="zh-CN"/>
        </w:rPr>
        <w:t>附件2：</w:t>
      </w:r>
      <w:r>
        <w:rPr>
          <w:rFonts w:hint="eastAsia" w:asciiTheme="minorEastAsia" w:hAnsiTheme="minorEastAsia" w:cstheme="minorEastAsia"/>
          <w:bCs/>
          <w:color w:val="auto"/>
          <w:sz w:val="24"/>
          <w:szCs w:val="24"/>
          <w:lang w:eastAsia="zh-CN"/>
        </w:rPr>
        <w:t>（YYH-SOP-CTC-0</w:t>
      </w:r>
      <w:r>
        <w:rPr>
          <w:rFonts w:hint="eastAsia" w:asciiTheme="minorEastAsia" w:hAnsiTheme="minorEastAsia" w:cstheme="minorEastAsia"/>
          <w:bCs/>
          <w:color w:val="auto"/>
          <w:sz w:val="24"/>
          <w:szCs w:val="24"/>
          <w:lang w:val="en-US" w:eastAsia="zh-CN"/>
        </w:rPr>
        <w:t>29-1.0-A02</w:t>
      </w:r>
      <w:r>
        <w:rPr>
          <w:rFonts w:hint="eastAsia" w:asciiTheme="minorEastAsia" w:hAnsiTheme="minorEastAsia" w:cstheme="minorEastAsia"/>
          <w:bCs/>
          <w:color w:val="auto"/>
          <w:sz w:val="24"/>
          <w:szCs w:val="24"/>
          <w:lang w:eastAsia="zh-CN"/>
        </w:rPr>
        <w:t>）：</w:t>
      </w:r>
      <w:r>
        <w:rPr>
          <w:rFonts w:hint="eastAsia" w:asciiTheme="minorEastAsia" w:hAnsiTheme="minorEastAsia" w:cstheme="minorEastAsia"/>
          <w:bCs/>
          <w:color w:val="auto"/>
          <w:sz w:val="24"/>
          <w:szCs w:val="24"/>
          <w:lang w:val="en-US" w:eastAsia="zh-CN"/>
        </w:rPr>
        <w:t>器械缺陷解决方案报告表</w:t>
      </w:r>
    </w:p>
    <w:p>
      <w:pPr>
        <w:pStyle w:val="46"/>
        <w:shd w:val="clear" w:color="auto" w:fill="auto"/>
        <w:spacing w:line="472" w:lineRule="exact"/>
        <w:ind w:left="0" w:leftChars="0" w:firstLine="0" w:firstLineChars="0"/>
        <w:jc w:val="center"/>
        <w:rPr>
          <w:rFonts w:hint="eastAsia" w:ascii="黑体" w:hAnsi="黑体" w:eastAsia="黑体" w:cs="黑体"/>
          <w:b/>
          <w:bCs/>
          <w:color w:val="auto"/>
          <w:kern w:val="2"/>
          <w:sz w:val="24"/>
          <w:szCs w:val="24"/>
          <w:lang w:val="en-US" w:eastAsia="zh-CN" w:bidi="ar-SA"/>
        </w:rPr>
      </w:pPr>
      <w:r>
        <w:rPr>
          <w:rFonts w:hint="eastAsia" w:ascii="黑体" w:hAnsi="黑体" w:eastAsia="黑体" w:cs="黑体"/>
          <w:b/>
          <w:bCs/>
          <w:color w:val="auto"/>
          <w:kern w:val="2"/>
          <w:sz w:val="24"/>
          <w:szCs w:val="24"/>
          <w:lang w:val="en-US" w:eastAsia="zh-CN" w:bidi="ar-SA"/>
        </w:rPr>
        <w:t>器械缺陷解决方案报告表</w:t>
      </w:r>
    </w:p>
    <w:bookmarkEnd w:id="13"/>
    <w:bookmarkEnd w:id="14"/>
    <w:tbl>
      <w:tblPr>
        <w:tblStyle w:val="27"/>
        <w:tblW w:w="8943" w:type="dxa"/>
        <w:jc w:val="center"/>
        <w:tblLayout w:type="fixed"/>
        <w:tblCellMar>
          <w:top w:w="0" w:type="dxa"/>
          <w:left w:w="10" w:type="dxa"/>
          <w:bottom w:w="0" w:type="dxa"/>
          <w:right w:w="10" w:type="dxa"/>
        </w:tblCellMar>
      </w:tblPr>
      <w:tblGrid>
        <w:gridCol w:w="2237"/>
        <w:gridCol w:w="1882"/>
        <w:gridCol w:w="1454"/>
        <w:gridCol w:w="1661"/>
        <w:gridCol w:w="1709"/>
      </w:tblGrid>
      <w:tr>
        <w:tblPrEx>
          <w:tblCellMar>
            <w:top w:w="0" w:type="dxa"/>
            <w:left w:w="10" w:type="dxa"/>
            <w:bottom w:w="0" w:type="dxa"/>
            <w:right w:w="10" w:type="dxa"/>
          </w:tblCellMar>
        </w:tblPrEx>
        <w:trPr>
          <w:trHeight w:val="528" w:hRule="exact"/>
          <w:jc w:val="center"/>
        </w:trPr>
        <w:tc>
          <w:tcPr>
            <w:tcW w:w="2237" w:type="dxa"/>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研究名称/方案号</w:t>
            </w:r>
          </w:p>
        </w:tc>
        <w:tc>
          <w:tcPr>
            <w:tcW w:w="6706" w:type="dxa"/>
            <w:gridSpan w:val="4"/>
            <w:tcBorders>
              <w:top w:val="single" w:color="auto" w:sz="4" w:space="0"/>
              <w:left w:val="single" w:color="auto" w:sz="4" w:space="0"/>
              <w:right w:val="single" w:color="auto" w:sz="4" w:space="0"/>
            </w:tcBorders>
            <w:shd w:val="clear" w:color="auto" w:fill="FFFFFF"/>
            <w:vAlign w:val="top"/>
          </w:tcPr>
          <w:p>
            <w:pPr>
              <w:rPr>
                <w:rFonts w:ascii="宋体" w:hAnsi="宋体" w:eastAsia="宋体"/>
                <w:color w:val="auto"/>
                <w:sz w:val="21"/>
                <w:szCs w:val="21"/>
              </w:rPr>
            </w:pPr>
          </w:p>
        </w:tc>
      </w:tr>
      <w:tr>
        <w:tblPrEx>
          <w:tblCellMar>
            <w:top w:w="0" w:type="dxa"/>
            <w:left w:w="10" w:type="dxa"/>
            <w:bottom w:w="0" w:type="dxa"/>
            <w:right w:w="10" w:type="dxa"/>
          </w:tblCellMar>
        </w:tblPrEx>
        <w:trPr>
          <w:trHeight w:val="610" w:hRule="exact"/>
          <w:jc w:val="center"/>
        </w:trPr>
        <w:tc>
          <w:tcPr>
            <w:tcW w:w="2237" w:type="dxa"/>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医疗机构及专业名称</w:t>
            </w:r>
          </w:p>
        </w:tc>
        <w:tc>
          <w:tcPr>
            <w:tcW w:w="6706" w:type="dxa"/>
            <w:gridSpan w:val="4"/>
            <w:tcBorders>
              <w:top w:val="single" w:color="auto" w:sz="4" w:space="0"/>
              <w:left w:val="single" w:color="auto" w:sz="4" w:space="0"/>
              <w:righ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电话：</w:t>
            </w:r>
          </w:p>
        </w:tc>
      </w:tr>
      <w:tr>
        <w:tblPrEx>
          <w:tblCellMar>
            <w:top w:w="0" w:type="dxa"/>
            <w:left w:w="10" w:type="dxa"/>
            <w:bottom w:w="0" w:type="dxa"/>
            <w:right w:w="10" w:type="dxa"/>
          </w:tblCellMar>
        </w:tblPrEx>
        <w:trPr>
          <w:trHeight w:val="557" w:hRule="exact"/>
          <w:jc w:val="center"/>
        </w:trPr>
        <w:tc>
          <w:tcPr>
            <w:tcW w:w="2237" w:type="dxa"/>
            <w:vMerge w:val="restart"/>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器械缺陷产品信息</w:t>
            </w:r>
          </w:p>
        </w:tc>
        <w:tc>
          <w:tcPr>
            <w:tcW w:w="6706" w:type="dxa"/>
            <w:gridSpan w:val="4"/>
            <w:tcBorders>
              <w:top w:val="single" w:color="auto" w:sz="4" w:space="0"/>
              <w:left w:val="single" w:color="auto" w:sz="4" w:space="0"/>
              <w:right w:val="single" w:color="auto" w:sz="4" w:space="0"/>
            </w:tcBorders>
            <w:shd w:val="clear" w:color="auto" w:fill="FFFFFF"/>
            <w:vAlign w:val="center"/>
          </w:tcPr>
          <w:p>
            <w:pPr>
              <w:pStyle w:val="47"/>
              <w:shd w:val="clear" w:color="auto" w:fill="auto"/>
              <w:spacing w:line="240" w:lineRule="auto"/>
              <w:ind w:firstLine="0"/>
              <w:rPr>
                <w:rFonts w:ascii="宋体" w:hAnsi="宋体" w:eastAsia="宋体"/>
                <w:color w:val="auto"/>
                <w:sz w:val="21"/>
                <w:szCs w:val="21"/>
              </w:rPr>
            </w:pPr>
            <w:r>
              <w:rPr>
                <w:rFonts w:ascii="宋体" w:hAnsi="宋体" w:eastAsia="宋体"/>
                <w:color w:val="auto"/>
                <w:sz w:val="21"/>
                <w:szCs w:val="21"/>
              </w:rPr>
              <w:t>产品名称：</w:t>
            </w:r>
          </w:p>
        </w:tc>
      </w:tr>
      <w:tr>
        <w:tblPrEx>
          <w:tblCellMar>
            <w:top w:w="0" w:type="dxa"/>
            <w:left w:w="10" w:type="dxa"/>
            <w:bottom w:w="0" w:type="dxa"/>
            <w:right w:w="10" w:type="dxa"/>
          </w:tblCellMar>
        </w:tblPrEx>
        <w:trPr>
          <w:trHeight w:val="557" w:hRule="exact"/>
          <w:jc w:val="center"/>
        </w:trPr>
        <w:tc>
          <w:tcPr>
            <w:tcW w:w="2237" w:type="dxa"/>
            <w:vMerge w:val="continue"/>
            <w:tcBorders>
              <w:left w:val="single" w:color="auto" w:sz="4" w:space="0"/>
            </w:tcBorders>
            <w:shd w:val="clear" w:color="auto" w:fill="FFFFFF"/>
            <w:vAlign w:val="center"/>
          </w:tcPr>
          <w:p>
            <w:pPr>
              <w:rPr>
                <w:rFonts w:ascii="宋体" w:hAnsi="宋体" w:eastAsia="宋体"/>
                <w:color w:val="auto"/>
                <w:sz w:val="21"/>
                <w:szCs w:val="21"/>
              </w:rPr>
            </w:pPr>
          </w:p>
        </w:tc>
        <w:tc>
          <w:tcPr>
            <w:tcW w:w="6706" w:type="dxa"/>
            <w:gridSpan w:val="4"/>
            <w:tcBorders>
              <w:top w:val="single" w:color="auto" w:sz="4" w:space="0"/>
              <w:left w:val="single" w:color="auto" w:sz="4" w:space="0"/>
              <w:right w:val="single" w:color="auto" w:sz="4" w:space="0"/>
            </w:tcBorders>
            <w:shd w:val="clear" w:color="auto" w:fill="FFFFFF"/>
            <w:vAlign w:val="center"/>
          </w:tcPr>
          <w:p>
            <w:pPr>
              <w:pStyle w:val="47"/>
              <w:shd w:val="clear" w:color="auto" w:fill="auto"/>
              <w:tabs>
                <w:tab w:val="left" w:pos="1277"/>
              </w:tabs>
              <w:spacing w:line="240" w:lineRule="auto"/>
              <w:ind w:firstLine="0"/>
              <w:rPr>
                <w:rFonts w:ascii="宋体" w:hAnsi="宋体" w:eastAsia="宋体"/>
                <w:color w:val="auto"/>
                <w:sz w:val="21"/>
                <w:szCs w:val="21"/>
              </w:rPr>
            </w:pPr>
            <w:r>
              <w:rPr>
                <w:rFonts w:ascii="宋体" w:hAnsi="宋体" w:eastAsia="宋体"/>
                <w:color w:val="auto"/>
                <w:sz w:val="21"/>
                <w:szCs w:val="21"/>
              </w:rPr>
              <w:t>注册分类：</w:t>
            </w:r>
            <w:r>
              <w:rPr>
                <w:rFonts w:ascii="宋体" w:hAnsi="宋体" w:eastAsia="宋体"/>
                <w:color w:val="auto"/>
                <w:sz w:val="21"/>
                <w:szCs w:val="21"/>
              </w:rPr>
              <w:sym w:font="Wingdings 2" w:char="00A3"/>
            </w:r>
            <w:r>
              <w:rPr>
                <w:rFonts w:hint="eastAsia" w:ascii="黑体" w:hAnsi="黑体" w:eastAsia="黑体" w:cs="黑体"/>
                <w:color w:val="auto"/>
                <w:sz w:val="21"/>
                <w:szCs w:val="21"/>
              </w:rPr>
              <w:t>Ⅱ</w:t>
            </w:r>
            <w:r>
              <w:rPr>
                <w:rFonts w:ascii="宋体" w:hAnsi="宋体" w:eastAsia="宋体"/>
                <w:color w:val="auto"/>
                <w:sz w:val="21"/>
                <w:szCs w:val="21"/>
              </w:rPr>
              <w:t>类</w:t>
            </w:r>
            <w:r>
              <w:rPr>
                <w:rFonts w:hint="eastAsia" w:ascii="宋体" w:hAnsi="宋体" w:eastAsia="宋体"/>
                <w:color w:val="auto"/>
                <w:sz w:val="21"/>
                <w:szCs w:val="21"/>
                <w:lang w:val="en-US" w:eastAsia="zh-CN"/>
              </w:rPr>
              <w:t xml:space="preserve">  </w:t>
            </w:r>
            <w:r>
              <w:rPr>
                <w:rFonts w:ascii="宋体" w:hAnsi="宋体" w:eastAsia="宋体"/>
                <w:color w:val="auto"/>
                <w:sz w:val="21"/>
                <w:szCs w:val="21"/>
              </w:rPr>
              <w:sym w:font="Wingdings 2" w:char="00A3"/>
            </w:r>
            <w:r>
              <w:rPr>
                <w:rFonts w:hint="eastAsia" w:ascii="黑体" w:hAnsi="黑体" w:eastAsia="黑体" w:cs="黑体"/>
                <w:color w:val="auto"/>
                <w:sz w:val="21"/>
                <w:szCs w:val="21"/>
              </w:rPr>
              <w:t>Ⅲ</w:t>
            </w:r>
            <w:r>
              <w:rPr>
                <w:rFonts w:ascii="宋体" w:hAnsi="宋体" w:eastAsia="宋体"/>
                <w:color w:val="auto"/>
                <w:sz w:val="21"/>
                <w:szCs w:val="21"/>
              </w:rPr>
              <w:t>类</w:t>
            </w:r>
          </w:p>
        </w:tc>
      </w:tr>
      <w:tr>
        <w:tblPrEx>
          <w:tblCellMar>
            <w:top w:w="0" w:type="dxa"/>
            <w:left w:w="10" w:type="dxa"/>
            <w:bottom w:w="0" w:type="dxa"/>
            <w:right w:w="10" w:type="dxa"/>
          </w:tblCellMar>
        </w:tblPrEx>
        <w:trPr>
          <w:trHeight w:val="936" w:hRule="exact"/>
          <w:jc w:val="center"/>
        </w:trPr>
        <w:tc>
          <w:tcPr>
            <w:tcW w:w="2237" w:type="dxa"/>
            <w:vMerge w:val="continue"/>
            <w:tcBorders>
              <w:left w:val="single" w:color="auto" w:sz="4" w:space="0"/>
            </w:tcBorders>
            <w:shd w:val="clear" w:color="auto" w:fill="FFFFFF"/>
            <w:vAlign w:val="center"/>
          </w:tcPr>
          <w:p>
            <w:pPr>
              <w:rPr>
                <w:rFonts w:ascii="宋体" w:hAnsi="宋体" w:eastAsia="宋体"/>
                <w:color w:val="auto"/>
                <w:sz w:val="21"/>
                <w:szCs w:val="21"/>
                <w:lang w:eastAsia="zh-CN"/>
              </w:rPr>
            </w:pPr>
          </w:p>
        </w:tc>
        <w:tc>
          <w:tcPr>
            <w:tcW w:w="1882" w:type="dxa"/>
            <w:tcBorders>
              <w:top w:val="single" w:color="auto" w:sz="4" w:space="0"/>
              <w:left w:val="single" w:color="auto" w:sz="4" w:space="0"/>
            </w:tcBorders>
            <w:shd w:val="clear" w:color="auto" w:fill="FFFFFF"/>
            <w:vAlign w:val="top"/>
          </w:tcPr>
          <w:p>
            <w:pPr>
              <w:pStyle w:val="47"/>
              <w:shd w:val="clear" w:color="auto" w:fill="auto"/>
              <w:spacing w:line="240" w:lineRule="auto"/>
              <w:ind w:firstLine="140"/>
              <w:rPr>
                <w:rFonts w:ascii="宋体" w:hAnsi="宋体" w:eastAsia="宋体"/>
                <w:color w:val="auto"/>
                <w:sz w:val="21"/>
                <w:szCs w:val="21"/>
              </w:rPr>
            </w:pPr>
            <w:r>
              <w:rPr>
                <w:rFonts w:ascii="宋体" w:hAnsi="宋体" w:eastAsia="宋体"/>
                <w:color w:val="auto"/>
                <w:sz w:val="21"/>
                <w:szCs w:val="21"/>
              </w:rPr>
              <w:t>产品规格/型号：</w:t>
            </w:r>
          </w:p>
        </w:tc>
        <w:tc>
          <w:tcPr>
            <w:tcW w:w="1454" w:type="dxa"/>
            <w:tcBorders>
              <w:top w:val="single" w:color="auto" w:sz="4" w:space="0"/>
              <w:left w:val="single" w:color="auto" w:sz="4" w:space="0"/>
            </w:tcBorders>
            <w:shd w:val="clear" w:color="auto" w:fill="FFFFFF"/>
            <w:vAlign w:val="top"/>
          </w:tcPr>
          <w:p>
            <w:pPr>
              <w:pStyle w:val="47"/>
              <w:shd w:val="clear" w:color="auto" w:fill="auto"/>
              <w:spacing w:line="240" w:lineRule="auto"/>
              <w:ind w:firstLine="180"/>
              <w:rPr>
                <w:rFonts w:ascii="宋体" w:hAnsi="宋体" w:eastAsia="宋体"/>
                <w:color w:val="auto"/>
                <w:sz w:val="21"/>
                <w:szCs w:val="21"/>
              </w:rPr>
            </w:pPr>
            <w:r>
              <w:rPr>
                <w:rFonts w:ascii="宋体" w:hAnsi="宋体" w:eastAsia="宋体"/>
                <w:color w:val="auto"/>
                <w:sz w:val="21"/>
                <w:szCs w:val="21"/>
              </w:rPr>
              <w:t>产品批号：</w:t>
            </w:r>
          </w:p>
        </w:tc>
        <w:tc>
          <w:tcPr>
            <w:tcW w:w="1661" w:type="dxa"/>
            <w:tcBorders>
              <w:top w:val="single" w:color="auto" w:sz="4" w:space="0"/>
              <w:left w:val="single" w:color="auto" w:sz="4" w:space="0"/>
            </w:tcBorders>
            <w:shd w:val="clear" w:color="auto" w:fill="FFFFFF"/>
            <w:vAlign w:val="top"/>
          </w:tcPr>
          <w:p>
            <w:pPr>
              <w:pStyle w:val="47"/>
              <w:shd w:val="clear" w:color="auto" w:fill="auto"/>
              <w:spacing w:line="240" w:lineRule="auto"/>
              <w:ind w:firstLine="180"/>
              <w:rPr>
                <w:rFonts w:ascii="宋体" w:hAnsi="宋体" w:eastAsia="宋体"/>
                <w:color w:val="auto"/>
                <w:sz w:val="21"/>
                <w:szCs w:val="21"/>
              </w:rPr>
            </w:pPr>
            <w:r>
              <w:rPr>
                <w:rFonts w:ascii="宋体" w:hAnsi="宋体" w:eastAsia="宋体"/>
                <w:color w:val="auto"/>
                <w:sz w:val="21"/>
                <w:szCs w:val="21"/>
              </w:rPr>
              <w:t>产品序列号：</w:t>
            </w:r>
          </w:p>
        </w:tc>
        <w:tc>
          <w:tcPr>
            <w:tcW w:w="1709" w:type="dxa"/>
            <w:tcBorders>
              <w:top w:val="single" w:color="auto" w:sz="4" w:space="0"/>
              <w:left w:val="single" w:color="auto" w:sz="4" w:space="0"/>
              <w:right w:val="single" w:color="auto" w:sz="4" w:space="0"/>
            </w:tcBorders>
            <w:shd w:val="clear" w:color="auto" w:fill="FFFFFF"/>
            <w:vAlign w:val="top"/>
          </w:tcPr>
          <w:p>
            <w:pPr>
              <w:pStyle w:val="47"/>
              <w:shd w:val="clear" w:color="auto" w:fill="auto"/>
              <w:spacing w:line="240" w:lineRule="auto"/>
              <w:ind w:firstLine="300"/>
              <w:rPr>
                <w:rFonts w:ascii="宋体" w:hAnsi="宋体" w:eastAsia="宋体"/>
                <w:color w:val="auto"/>
                <w:sz w:val="21"/>
                <w:szCs w:val="21"/>
              </w:rPr>
            </w:pPr>
            <w:r>
              <w:rPr>
                <w:rFonts w:ascii="宋体" w:hAnsi="宋体" w:eastAsia="宋体"/>
                <w:color w:val="auto"/>
                <w:sz w:val="21"/>
                <w:szCs w:val="21"/>
              </w:rPr>
              <w:t>产品数量：</w:t>
            </w:r>
          </w:p>
        </w:tc>
      </w:tr>
      <w:tr>
        <w:tblPrEx>
          <w:tblCellMar>
            <w:top w:w="0" w:type="dxa"/>
            <w:left w:w="10" w:type="dxa"/>
            <w:bottom w:w="0" w:type="dxa"/>
            <w:right w:w="10" w:type="dxa"/>
          </w:tblCellMar>
        </w:tblPrEx>
        <w:trPr>
          <w:trHeight w:val="523" w:hRule="exact"/>
          <w:jc w:val="center"/>
        </w:trPr>
        <w:tc>
          <w:tcPr>
            <w:tcW w:w="2237" w:type="dxa"/>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器械缺陷发生时间</w:t>
            </w:r>
          </w:p>
        </w:tc>
        <w:tc>
          <w:tcPr>
            <w:tcW w:w="6706" w:type="dxa"/>
            <w:gridSpan w:val="4"/>
            <w:tcBorders>
              <w:top w:val="single" w:color="auto" w:sz="4" w:space="0"/>
              <w:left w:val="single" w:color="auto" w:sz="4" w:space="0"/>
              <w:right w:val="single" w:color="auto" w:sz="4" w:space="0"/>
            </w:tcBorders>
            <w:shd w:val="clear" w:color="auto" w:fill="FFFFFF"/>
            <w:vAlign w:val="center"/>
          </w:tcPr>
          <w:p>
            <w:pPr>
              <w:pStyle w:val="47"/>
              <w:shd w:val="clear" w:color="auto" w:fill="auto"/>
              <w:tabs>
                <w:tab w:val="left" w:pos="629"/>
                <w:tab w:val="left" w:pos="1291"/>
              </w:tabs>
              <w:spacing w:line="240" w:lineRule="auto"/>
              <w:ind w:firstLine="0"/>
              <w:jc w:val="center"/>
              <w:rPr>
                <w:rFonts w:ascii="宋体" w:hAnsi="宋体" w:eastAsia="宋体"/>
                <w:color w:val="auto"/>
                <w:sz w:val="21"/>
                <w:szCs w:val="21"/>
              </w:rPr>
            </w:pPr>
            <w:r>
              <w:rPr>
                <w:rFonts w:ascii="宋体" w:hAnsi="宋体" w:eastAsia="宋体"/>
                <w:color w:val="auto"/>
                <w:sz w:val="21"/>
                <w:szCs w:val="21"/>
              </w:rPr>
              <w:t>年</w:t>
            </w:r>
            <w:r>
              <w:rPr>
                <w:rFonts w:ascii="宋体" w:hAnsi="宋体" w:eastAsia="宋体"/>
                <w:color w:val="auto"/>
                <w:sz w:val="21"/>
                <w:szCs w:val="21"/>
              </w:rPr>
              <w:tab/>
            </w:r>
            <w:r>
              <w:rPr>
                <w:rFonts w:ascii="宋体" w:hAnsi="宋体" w:eastAsia="宋体"/>
                <w:color w:val="auto"/>
                <w:sz w:val="21"/>
                <w:szCs w:val="21"/>
              </w:rPr>
              <w:t>月</w:t>
            </w:r>
            <w:r>
              <w:rPr>
                <w:rFonts w:ascii="宋体" w:hAnsi="宋体" w:eastAsia="宋体"/>
                <w:color w:val="auto"/>
                <w:sz w:val="21"/>
                <w:szCs w:val="21"/>
              </w:rPr>
              <w:tab/>
            </w:r>
            <w:r>
              <w:rPr>
                <w:rFonts w:ascii="宋体" w:hAnsi="宋体" w:eastAsia="宋体"/>
                <w:color w:val="auto"/>
                <w:sz w:val="21"/>
                <w:szCs w:val="21"/>
              </w:rPr>
              <w:t>日</w:t>
            </w:r>
          </w:p>
        </w:tc>
      </w:tr>
      <w:tr>
        <w:tblPrEx>
          <w:tblCellMar>
            <w:top w:w="0" w:type="dxa"/>
            <w:left w:w="10" w:type="dxa"/>
            <w:bottom w:w="0" w:type="dxa"/>
            <w:right w:w="10" w:type="dxa"/>
          </w:tblCellMar>
        </w:tblPrEx>
        <w:trPr>
          <w:trHeight w:val="638" w:hRule="exact"/>
          <w:jc w:val="center"/>
        </w:trPr>
        <w:tc>
          <w:tcPr>
            <w:tcW w:w="2237" w:type="dxa"/>
            <w:tcBorders>
              <w:top w:val="single" w:color="auto" w:sz="4" w:space="0"/>
              <w:left w:val="single" w:color="auto" w:sz="4" w:space="0"/>
              <w:bottom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器械缺陷的名称</w:t>
            </w:r>
          </w:p>
        </w:tc>
        <w:tc>
          <w:tcPr>
            <w:tcW w:w="6706" w:type="dxa"/>
            <w:gridSpan w:val="4"/>
            <w:tcBorders>
              <w:top w:val="single" w:color="auto" w:sz="4" w:space="0"/>
              <w:left w:val="single" w:color="auto" w:sz="4" w:space="0"/>
              <w:bottom w:val="single" w:color="auto" w:sz="4" w:space="0"/>
              <w:right w:val="single" w:color="auto" w:sz="4" w:space="0"/>
            </w:tcBorders>
            <w:shd w:val="clear" w:color="auto" w:fill="FFFFFF"/>
            <w:vAlign w:val="top"/>
          </w:tcPr>
          <w:p>
            <w:pPr>
              <w:rPr>
                <w:rFonts w:ascii="宋体" w:hAnsi="宋体" w:eastAsia="宋体"/>
                <w:color w:val="auto"/>
                <w:sz w:val="21"/>
                <w:szCs w:val="21"/>
              </w:rPr>
            </w:pPr>
          </w:p>
        </w:tc>
      </w:tr>
    </w:tbl>
    <w:p>
      <w:pPr>
        <w:spacing w:line="1" w:lineRule="exact"/>
        <w:rPr>
          <w:rFonts w:ascii="宋体" w:hAnsi="宋体" w:eastAsia="宋体"/>
          <w:color w:val="auto"/>
          <w:sz w:val="21"/>
          <w:szCs w:val="21"/>
        </w:rPr>
      </w:pPr>
    </w:p>
    <w:tbl>
      <w:tblPr>
        <w:tblStyle w:val="27"/>
        <w:tblW w:w="8943" w:type="dxa"/>
        <w:jc w:val="center"/>
        <w:tblLayout w:type="fixed"/>
        <w:tblCellMar>
          <w:top w:w="0" w:type="dxa"/>
          <w:left w:w="10" w:type="dxa"/>
          <w:bottom w:w="0" w:type="dxa"/>
          <w:right w:w="10" w:type="dxa"/>
        </w:tblCellMar>
      </w:tblPr>
      <w:tblGrid>
        <w:gridCol w:w="2242"/>
        <w:gridCol w:w="6701"/>
      </w:tblGrid>
      <w:tr>
        <w:tblPrEx>
          <w:tblCellMar>
            <w:top w:w="0" w:type="dxa"/>
            <w:left w:w="10" w:type="dxa"/>
            <w:bottom w:w="0" w:type="dxa"/>
            <w:right w:w="10" w:type="dxa"/>
          </w:tblCellMar>
        </w:tblPrEx>
        <w:trPr>
          <w:trHeight w:val="638" w:hRule="exact"/>
          <w:jc w:val="center"/>
        </w:trPr>
        <w:tc>
          <w:tcPr>
            <w:tcW w:w="2242" w:type="dxa"/>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缺陷发生原因分类</w:t>
            </w:r>
          </w:p>
        </w:tc>
        <w:tc>
          <w:tcPr>
            <w:tcW w:w="6701" w:type="dxa"/>
            <w:tcBorders>
              <w:top w:val="single" w:color="auto" w:sz="4" w:space="0"/>
              <w:left w:val="single" w:color="auto" w:sz="4" w:space="0"/>
              <w:right w:val="single" w:color="auto" w:sz="4" w:space="0"/>
            </w:tcBorders>
            <w:shd w:val="clear" w:color="auto" w:fill="FFFFFF"/>
            <w:vAlign w:val="center"/>
          </w:tcPr>
          <w:p>
            <w:pPr>
              <w:pStyle w:val="47"/>
              <w:shd w:val="clear" w:color="auto" w:fill="auto"/>
              <w:tabs>
                <w:tab w:val="left" w:pos="1310"/>
                <w:tab w:val="left" w:pos="2750"/>
                <w:tab w:val="left" w:pos="4258"/>
              </w:tabs>
              <w:spacing w:line="240" w:lineRule="auto"/>
              <w:ind w:firstLine="0"/>
              <w:rPr>
                <w:rFonts w:ascii="宋体" w:hAnsi="宋体" w:eastAsia="宋体"/>
                <w:color w:val="auto"/>
                <w:sz w:val="21"/>
                <w:szCs w:val="21"/>
              </w:rPr>
            </w:pPr>
            <w:r>
              <w:rPr>
                <w:rFonts w:ascii="宋体" w:hAnsi="宋体" w:eastAsia="宋体"/>
                <w:color w:val="auto"/>
                <w:sz w:val="21"/>
                <w:szCs w:val="21"/>
              </w:rPr>
              <w:t>□设计缺陷</w:t>
            </w:r>
            <w:r>
              <w:rPr>
                <w:rFonts w:ascii="宋体" w:hAnsi="宋体" w:eastAsia="宋体"/>
                <w:color w:val="auto"/>
                <w:sz w:val="21"/>
                <w:szCs w:val="21"/>
              </w:rPr>
              <w:tab/>
            </w:r>
            <w:r>
              <w:rPr>
                <w:rFonts w:ascii="宋体" w:hAnsi="宋体" w:eastAsia="宋体"/>
                <w:color w:val="auto"/>
                <w:sz w:val="21"/>
                <w:szCs w:val="21"/>
              </w:rPr>
              <w:t>□制造缺陷</w:t>
            </w:r>
            <w:r>
              <w:rPr>
                <w:rFonts w:ascii="宋体" w:hAnsi="宋体" w:eastAsia="宋体"/>
                <w:color w:val="auto"/>
                <w:sz w:val="21"/>
                <w:szCs w:val="21"/>
              </w:rPr>
              <w:tab/>
            </w:r>
            <w:r>
              <w:rPr>
                <w:rFonts w:ascii="宋体" w:hAnsi="宋体" w:eastAsia="宋体"/>
                <w:color w:val="auto"/>
                <w:sz w:val="21"/>
                <w:szCs w:val="21"/>
              </w:rPr>
              <w:t>□标识缺陷</w:t>
            </w:r>
            <w:r>
              <w:rPr>
                <w:rFonts w:ascii="宋体" w:hAnsi="宋体" w:eastAsia="宋体"/>
                <w:color w:val="auto"/>
                <w:sz w:val="21"/>
                <w:szCs w:val="21"/>
              </w:rPr>
              <w:tab/>
            </w:r>
            <w:r>
              <w:rPr>
                <w:rFonts w:ascii="宋体" w:hAnsi="宋体" w:eastAsia="宋体"/>
                <w:color w:val="auto"/>
                <w:sz w:val="21"/>
                <w:szCs w:val="21"/>
              </w:rPr>
              <w:t>□软件缺陷</w:t>
            </w:r>
          </w:p>
        </w:tc>
      </w:tr>
      <w:tr>
        <w:tblPrEx>
          <w:tblCellMar>
            <w:top w:w="0" w:type="dxa"/>
            <w:left w:w="10" w:type="dxa"/>
            <w:bottom w:w="0" w:type="dxa"/>
            <w:right w:w="10" w:type="dxa"/>
          </w:tblCellMar>
        </w:tblPrEx>
        <w:trPr>
          <w:trHeight w:val="1013" w:hRule="exact"/>
          <w:jc w:val="center"/>
        </w:trPr>
        <w:tc>
          <w:tcPr>
            <w:tcW w:w="2242" w:type="dxa"/>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器械缺陷情况描述</w:t>
            </w:r>
          </w:p>
        </w:tc>
        <w:tc>
          <w:tcPr>
            <w:tcW w:w="6701" w:type="dxa"/>
            <w:tcBorders>
              <w:top w:val="single" w:color="auto" w:sz="4" w:space="0"/>
              <w:left w:val="single" w:color="auto" w:sz="4" w:space="0"/>
              <w:right w:val="single" w:color="auto" w:sz="4" w:space="0"/>
            </w:tcBorders>
            <w:shd w:val="clear" w:color="auto" w:fill="FFFFFF"/>
            <w:vAlign w:val="top"/>
          </w:tcPr>
          <w:p>
            <w:pPr>
              <w:rPr>
                <w:rFonts w:ascii="宋体" w:hAnsi="宋体" w:eastAsia="宋体"/>
                <w:color w:val="auto"/>
                <w:sz w:val="21"/>
                <w:szCs w:val="21"/>
              </w:rPr>
            </w:pPr>
          </w:p>
        </w:tc>
      </w:tr>
      <w:tr>
        <w:tblPrEx>
          <w:tblCellMar>
            <w:top w:w="0" w:type="dxa"/>
            <w:left w:w="10" w:type="dxa"/>
            <w:bottom w:w="0" w:type="dxa"/>
            <w:right w:w="10" w:type="dxa"/>
          </w:tblCellMar>
        </w:tblPrEx>
        <w:trPr>
          <w:trHeight w:val="984" w:hRule="exact"/>
          <w:jc w:val="center"/>
        </w:trPr>
        <w:tc>
          <w:tcPr>
            <w:tcW w:w="2242" w:type="dxa"/>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应急对策</w:t>
            </w:r>
          </w:p>
        </w:tc>
        <w:tc>
          <w:tcPr>
            <w:tcW w:w="6701" w:type="dxa"/>
            <w:tcBorders>
              <w:top w:val="single" w:color="auto" w:sz="4" w:space="0"/>
              <w:left w:val="single" w:color="auto" w:sz="4" w:space="0"/>
              <w:right w:val="single" w:color="auto" w:sz="4" w:space="0"/>
            </w:tcBorders>
            <w:shd w:val="clear" w:color="auto" w:fill="FFFFFF"/>
            <w:vAlign w:val="top"/>
          </w:tcPr>
          <w:p>
            <w:pPr>
              <w:rPr>
                <w:rFonts w:ascii="宋体" w:hAnsi="宋体" w:eastAsia="宋体"/>
                <w:color w:val="auto"/>
                <w:sz w:val="21"/>
                <w:szCs w:val="21"/>
              </w:rPr>
            </w:pPr>
          </w:p>
        </w:tc>
      </w:tr>
      <w:tr>
        <w:tblPrEx>
          <w:tblCellMar>
            <w:top w:w="0" w:type="dxa"/>
            <w:left w:w="10" w:type="dxa"/>
            <w:bottom w:w="0" w:type="dxa"/>
            <w:right w:w="10" w:type="dxa"/>
          </w:tblCellMar>
        </w:tblPrEx>
        <w:trPr>
          <w:trHeight w:val="998" w:hRule="exact"/>
          <w:jc w:val="center"/>
        </w:trPr>
        <w:tc>
          <w:tcPr>
            <w:tcW w:w="2242" w:type="dxa"/>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原因分析</w:t>
            </w:r>
          </w:p>
        </w:tc>
        <w:tc>
          <w:tcPr>
            <w:tcW w:w="6701" w:type="dxa"/>
            <w:tcBorders>
              <w:top w:val="single" w:color="auto" w:sz="4" w:space="0"/>
              <w:left w:val="single" w:color="auto" w:sz="4" w:space="0"/>
              <w:right w:val="single" w:color="auto" w:sz="4" w:space="0"/>
            </w:tcBorders>
            <w:shd w:val="clear" w:color="auto" w:fill="FFFFFF"/>
            <w:vAlign w:val="top"/>
          </w:tcPr>
          <w:p>
            <w:pPr>
              <w:rPr>
                <w:rFonts w:ascii="宋体" w:hAnsi="宋体" w:eastAsia="宋体"/>
                <w:color w:val="auto"/>
                <w:sz w:val="21"/>
                <w:szCs w:val="21"/>
              </w:rPr>
            </w:pPr>
          </w:p>
        </w:tc>
      </w:tr>
      <w:tr>
        <w:tblPrEx>
          <w:tblCellMar>
            <w:top w:w="0" w:type="dxa"/>
            <w:left w:w="10" w:type="dxa"/>
            <w:bottom w:w="0" w:type="dxa"/>
            <w:right w:w="10" w:type="dxa"/>
          </w:tblCellMar>
        </w:tblPrEx>
        <w:trPr>
          <w:trHeight w:val="998" w:hRule="exact"/>
          <w:jc w:val="center"/>
        </w:trPr>
        <w:tc>
          <w:tcPr>
            <w:tcW w:w="2242" w:type="dxa"/>
            <w:tcBorders>
              <w:top w:val="single" w:color="auto" w:sz="4" w:space="0"/>
              <w:left w:val="single" w:color="auto" w:sz="4" w:space="0"/>
            </w:tcBorders>
            <w:shd w:val="clear" w:color="auto" w:fill="FFFFFF"/>
            <w:vAlign w:val="center"/>
          </w:tcPr>
          <w:p>
            <w:pPr>
              <w:pStyle w:val="47"/>
              <w:shd w:val="clear" w:color="auto" w:fill="auto"/>
              <w:spacing w:line="240" w:lineRule="auto"/>
              <w:ind w:firstLine="0"/>
              <w:jc w:val="center"/>
              <w:rPr>
                <w:rFonts w:ascii="宋体" w:hAnsi="宋体" w:eastAsia="宋体"/>
                <w:color w:val="auto"/>
                <w:sz w:val="21"/>
                <w:szCs w:val="21"/>
              </w:rPr>
            </w:pPr>
            <w:r>
              <w:rPr>
                <w:rFonts w:ascii="宋体" w:hAnsi="宋体" w:eastAsia="宋体"/>
                <w:color w:val="auto"/>
                <w:sz w:val="21"/>
                <w:szCs w:val="21"/>
              </w:rPr>
              <w:t>围堵措施</w:t>
            </w:r>
          </w:p>
        </w:tc>
        <w:tc>
          <w:tcPr>
            <w:tcW w:w="6701" w:type="dxa"/>
            <w:tcBorders>
              <w:top w:val="single" w:color="auto" w:sz="4" w:space="0"/>
              <w:left w:val="single" w:color="auto" w:sz="4" w:space="0"/>
              <w:right w:val="single" w:color="auto" w:sz="4" w:space="0"/>
            </w:tcBorders>
            <w:shd w:val="clear" w:color="auto" w:fill="FFFFFF"/>
            <w:vAlign w:val="top"/>
          </w:tcPr>
          <w:p>
            <w:pPr>
              <w:rPr>
                <w:rFonts w:ascii="宋体" w:hAnsi="宋体" w:eastAsia="宋体"/>
                <w:color w:val="auto"/>
                <w:sz w:val="21"/>
                <w:szCs w:val="21"/>
              </w:rPr>
            </w:pPr>
          </w:p>
        </w:tc>
      </w:tr>
      <w:tr>
        <w:tblPrEx>
          <w:tblCellMar>
            <w:top w:w="0" w:type="dxa"/>
            <w:left w:w="10" w:type="dxa"/>
            <w:bottom w:w="0" w:type="dxa"/>
            <w:right w:w="10" w:type="dxa"/>
          </w:tblCellMar>
        </w:tblPrEx>
        <w:trPr>
          <w:trHeight w:val="1853" w:hRule="exact"/>
          <w:jc w:val="center"/>
        </w:trPr>
        <w:tc>
          <w:tcPr>
            <w:tcW w:w="2242" w:type="dxa"/>
            <w:tcBorders>
              <w:top w:val="single" w:color="auto" w:sz="4" w:space="0"/>
              <w:left w:val="single" w:color="auto" w:sz="4" w:space="0"/>
              <w:bottom w:val="single" w:color="auto" w:sz="4" w:space="0"/>
            </w:tcBorders>
            <w:shd w:val="clear" w:color="auto" w:fill="FFFFFF"/>
            <w:vAlign w:val="center"/>
          </w:tcPr>
          <w:p>
            <w:pPr>
              <w:pStyle w:val="47"/>
              <w:shd w:val="clear" w:color="auto" w:fill="auto"/>
              <w:spacing w:line="312" w:lineRule="exact"/>
              <w:ind w:firstLine="0"/>
              <w:jc w:val="center"/>
              <w:rPr>
                <w:rFonts w:hint="default" w:ascii="宋体" w:hAnsi="宋体" w:eastAsia="宋体"/>
                <w:color w:val="auto"/>
                <w:sz w:val="21"/>
                <w:szCs w:val="21"/>
                <w:lang w:val="en-US" w:eastAsia="zh-CN"/>
              </w:rPr>
            </w:pPr>
            <w:r>
              <w:rPr>
                <w:rFonts w:ascii="宋体" w:hAnsi="宋体" w:eastAsia="宋体"/>
                <w:color w:val="auto"/>
                <w:sz w:val="21"/>
                <w:szCs w:val="21"/>
              </w:rPr>
              <w:t>针对本次器械缺陷的解决方案</w:t>
            </w:r>
            <w:r>
              <w:rPr>
                <w:rFonts w:hint="eastAsia" w:ascii="宋体" w:hAnsi="宋体" w:eastAsia="宋体"/>
                <w:color w:val="auto"/>
                <w:sz w:val="21"/>
                <w:szCs w:val="21"/>
                <w:lang w:val="en-US" w:eastAsia="zh-CN"/>
              </w:rPr>
              <w:t>及建议（继续、暂停、终止试验）</w:t>
            </w:r>
          </w:p>
        </w:tc>
        <w:tc>
          <w:tcPr>
            <w:tcW w:w="6701" w:type="dxa"/>
            <w:tcBorders>
              <w:top w:val="single" w:color="auto" w:sz="4" w:space="0"/>
              <w:left w:val="single" w:color="auto" w:sz="4" w:space="0"/>
              <w:bottom w:val="single" w:color="auto" w:sz="4" w:space="0"/>
              <w:right w:val="single" w:color="auto" w:sz="4" w:space="0"/>
            </w:tcBorders>
            <w:shd w:val="clear" w:color="auto" w:fill="FFFFFF"/>
            <w:vAlign w:val="top"/>
          </w:tcPr>
          <w:p>
            <w:pPr>
              <w:rPr>
                <w:rFonts w:ascii="宋体" w:hAnsi="宋体" w:eastAsia="宋体"/>
                <w:color w:val="auto"/>
                <w:sz w:val="21"/>
                <w:szCs w:val="21"/>
                <w:lang w:eastAsia="zh-CN"/>
              </w:rPr>
            </w:pPr>
          </w:p>
        </w:tc>
      </w:tr>
    </w:tbl>
    <w:p>
      <w:pPr>
        <w:spacing w:after="239" w:line="1" w:lineRule="exact"/>
        <w:rPr>
          <w:rFonts w:ascii="宋体" w:hAnsi="宋体" w:eastAsia="宋体"/>
          <w:color w:val="auto"/>
          <w:sz w:val="21"/>
          <w:szCs w:val="21"/>
          <w:lang w:eastAsia="zh-CN"/>
        </w:rPr>
      </w:pPr>
    </w:p>
    <w:p>
      <w:pPr>
        <w:pStyle w:val="33"/>
        <w:numPr>
          <w:ilvl w:val="0"/>
          <w:numId w:val="0"/>
        </w:numPr>
        <w:ind w:leftChars="0" w:firstLine="4830" w:firstLineChars="2300"/>
        <w:jc w:val="right"/>
        <w:rPr>
          <w:rFonts w:hint="eastAsia" w:ascii="宋体" w:hAnsi="宋体" w:eastAsia="宋体"/>
          <w:color w:val="auto"/>
          <w:sz w:val="21"/>
          <w:szCs w:val="21"/>
          <w:lang w:val="en-US" w:eastAsia="zh-CN"/>
        </w:rPr>
      </w:pPr>
      <w:r>
        <w:rPr>
          <w:rFonts w:ascii="宋体" w:hAnsi="宋体" w:eastAsia="宋体" w:cs="Times New Roman"/>
          <w:color w:val="auto"/>
          <w:sz w:val="21"/>
          <w:szCs w:val="21"/>
        </w:rPr>
        <w:t>XXX</w:t>
      </w:r>
      <w:r>
        <w:rPr>
          <w:rFonts w:ascii="宋体" w:hAnsi="宋体" w:eastAsia="宋体"/>
          <w:color w:val="auto"/>
          <w:sz w:val="21"/>
          <w:szCs w:val="21"/>
        </w:rPr>
        <w:t>公司（盖章）</w:t>
      </w:r>
    </w:p>
    <w:p>
      <w:pPr>
        <w:pStyle w:val="33"/>
        <w:numPr>
          <w:ilvl w:val="0"/>
          <w:numId w:val="0"/>
        </w:numPr>
        <w:ind w:leftChars="0" w:firstLine="4830" w:firstLineChars="2300"/>
        <w:jc w:val="right"/>
        <w:rPr>
          <w:rFonts w:hint="eastAsia" w:ascii="黑体" w:hAnsi="黑体" w:eastAsia="黑体" w:cs="黑体"/>
          <w:b/>
          <w:color w:val="auto"/>
          <w:kern w:val="0"/>
          <w:sz w:val="28"/>
          <w:szCs w:val="28"/>
        </w:rPr>
        <w:sectPr>
          <w:headerReference r:id="rId170" w:type="default"/>
          <w:footerReference r:id="rId171" w:type="default"/>
          <w:pgSz w:w="11906" w:h="16838"/>
          <w:pgMar w:top="1417" w:right="1191" w:bottom="1474" w:left="1474" w:header="0" w:footer="992" w:gutter="0"/>
          <w:pgNumType w:fmt="decimal" w:start="1"/>
          <w:cols w:space="0" w:num="1"/>
          <w:rtlGutter w:val="0"/>
          <w:docGrid w:type="lines" w:linePitch="312" w:charSpace="0"/>
        </w:sectPr>
      </w:pPr>
      <w:r>
        <w:rPr>
          <w:rFonts w:ascii="宋体" w:hAnsi="宋体" w:eastAsia="宋体"/>
          <w:color w:val="auto"/>
          <w:sz w:val="21"/>
          <w:szCs w:val="21"/>
        </w:rPr>
        <w:t>年</w:t>
      </w:r>
      <w:r>
        <w:rPr>
          <w:rFonts w:hint="eastAsia" w:ascii="宋体" w:hAnsi="宋体" w:eastAsia="宋体"/>
          <w:color w:val="auto"/>
          <w:sz w:val="21"/>
          <w:szCs w:val="21"/>
          <w:lang w:val="en-US" w:eastAsia="zh-CN"/>
        </w:rPr>
        <w:t xml:space="preserve">   月  日</w:t>
      </w:r>
    </w:p>
    <w:p>
      <w:pPr>
        <w:widowControl/>
        <w:spacing w:line="360" w:lineRule="auto"/>
        <w:jc w:val="center"/>
        <w:rPr>
          <w:rFonts w:ascii="黑体" w:hAnsi="黑体" w:eastAsia="黑体" w:cs="黑体"/>
          <w:b/>
          <w:color w:val="auto"/>
          <w:kern w:val="0"/>
          <w:sz w:val="28"/>
          <w:szCs w:val="28"/>
          <w:highlight w:val="none"/>
        </w:rPr>
      </w:pPr>
      <w:r>
        <w:rPr>
          <w:rFonts w:hint="eastAsia" w:ascii="黑体" w:hAnsi="黑体" w:eastAsia="黑体" w:cs="黑体"/>
          <w:b/>
          <w:color w:val="auto"/>
          <w:kern w:val="0"/>
          <w:sz w:val="28"/>
          <w:szCs w:val="28"/>
          <w:highlight w:val="none"/>
        </w:rPr>
        <w:t>临床试验方案设计规范</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rPr>
        <w:t>临床试验方案（protocol）是指导参与临床试验所有研究者如何启动和实施临床试验的研究计划书，也是试验结束后进行资料统计分析的重要依据，所以，临床试验方案常常是申报新药的正式文件之一，同时也决定了一项新药临床试验能否取得成功的关键。</w:t>
      </w:r>
      <w:r>
        <w:rPr>
          <w:rFonts w:cs="宋体" w:asciiTheme="minorEastAsia" w:hAnsiTheme="minorEastAsia"/>
          <w:color w:val="auto"/>
          <w:kern w:val="0"/>
          <w:sz w:val="24"/>
          <w:szCs w:val="24"/>
        </w:rPr>
        <w:t>临床试验方案由研究者或申办者拟订，应符合GCP要求。研究者和申办者均应在已制定的临床试验方案上签名并签署日期。</w:t>
      </w:r>
    </w:p>
    <w:p>
      <w:pPr>
        <w:widowControl/>
        <w:spacing w:line="360" w:lineRule="auto"/>
        <w:jc w:val="left"/>
        <w:rPr>
          <w:rFonts w:hint="default" w:cs="宋体" w:asciiTheme="minorEastAsia" w:hAnsiTheme="minorEastAsia" w:eastAsiaTheme="minorEastAsia"/>
          <w:color w:val="auto"/>
          <w:kern w:val="0"/>
          <w:sz w:val="24"/>
          <w:szCs w:val="24"/>
          <w:lang w:val="en-US" w:eastAsia="zh-CN"/>
        </w:rPr>
      </w:pPr>
      <w:r>
        <w:rPr>
          <w:rFonts w:hint="eastAsia" w:cs="宋体" w:asciiTheme="minorEastAsia" w:hAnsiTheme="minorEastAsia"/>
          <w:color w:val="auto"/>
          <w:kern w:val="0"/>
          <w:sz w:val="24"/>
          <w:szCs w:val="24"/>
        </w:rPr>
        <w:t>一、</w:t>
      </w:r>
      <w:r>
        <w:rPr>
          <w:rFonts w:hint="eastAsia" w:cs="宋体" w:asciiTheme="minorEastAsia" w:hAnsiTheme="minorEastAsia"/>
          <w:color w:val="auto"/>
          <w:kern w:val="0"/>
          <w:sz w:val="24"/>
          <w:szCs w:val="24"/>
          <w:lang w:val="en-US" w:eastAsia="zh-CN"/>
        </w:rPr>
        <w:t>药物临床试验方案设计</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cs="宋体" w:asciiTheme="minorEastAsia" w:hAnsiTheme="minorEastAsia"/>
          <w:b/>
          <w:color w:val="auto"/>
          <w:kern w:val="0"/>
          <w:sz w:val="24"/>
          <w:szCs w:val="24"/>
        </w:rPr>
      </w:pPr>
      <w:r>
        <w:rPr>
          <w:rFonts w:hint="eastAsia" w:cs="宋体" w:asciiTheme="minorEastAsia" w:hAnsiTheme="minorEastAsia"/>
          <w:color w:val="auto"/>
          <w:kern w:val="0"/>
          <w:sz w:val="24"/>
          <w:szCs w:val="24"/>
          <w:lang w:eastAsia="zh-CN"/>
        </w:rPr>
        <w:t>（</w:t>
      </w:r>
      <w:r>
        <w:rPr>
          <w:rFonts w:hint="eastAsia" w:cs="宋体" w:asciiTheme="minorEastAsia" w:hAnsiTheme="minorEastAsia"/>
          <w:color w:val="auto"/>
          <w:kern w:val="0"/>
          <w:sz w:val="24"/>
          <w:szCs w:val="24"/>
          <w:lang w:val="en-US" w:eastAsia="zh-CN"/>
        </w:rPr>
        <w:t>一</w:t>
      </w:r>
      <w:r>
        <w:rPr>
          <w:rFonts w:hint="eastAsia" w:cs="宋体" w:asciiTheme="minorEastAsia" w:hAnsiTheme="minorEastAsia"/>
          <w:color w:val="auto"/>
          <w:kern w:val="0"/>
          <w:sz w:val="24"/>
          <w:szCs w:val="24"/>
          <w:lang w:eastAsia="zh-CN"/>
        </w:rPr>
        <w:t>）</w:t>
      </w:r>
      <w:r>
        <w:rPr>
          <w:rFonts w:hint="eastAsia" w:cs="宋体" w:asciiTheme="minorEastAsia" w:hAnsiTheme="minorEastAsia"/>
          <w:color w:val="auto"/>
          <w:kern w:val="0"/>
          <w:sz w:val="24"/>
          <w:szCs w:val="24"/>
          <w:lang w:val="en-US" w:eastAsia="zh-CN"/>
        </w:rPr>
        <w:t>药物</w:t>
      </w:r>
      <w:r>
        <w:rPr>
          <w:rFonts w:cs="宋体" w:asciiTheme="minorEastAsia" w:hAnsiTheme="minorEastAsia"/>
          <w:color w:val="auto"/>
          <w:kern w:val="0"/>
          <w:sz w:val="24"/>
          <w:szCs w:val="24"/>
        </w:rPr>
        <w:t>临床试验设计的基本原则</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w:t>
      </w:r>
      <w:r>
        <w:rPr>
          <w:rFonts w:cs="宋体" w:asciiTheme="minorEastAsia" w:hAnsiTheme="minorEastAsia"/>
          <w:color w:val="auto"/>
          <w:kern w:val="0"/>
          <w:sz w:val="24"/>
          <w:szCs w:val="24"/>
        </w:rPr>
        <w:t>代表性：受试者样本符合总体规律；</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2.</w:t>
      </w:r>
      <w:r>
        <w:rPr>
          <w:rFonts w:cs="宋体" w:asciiTheme="minorEastAsia" w:hAnsiTheme="minorEastAsia"/>
          <w:color w:val="auto"/>
          <w:kern w:val="0"/>
          <w:sz w:val="24"/>
          <w:szCs w:val="24"/>
        </w:rPr>
        <w:t>重复：结果经得起重复验证；</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3.</w:t>
      </w:r>
      <w:r>
        <w:rPr>
          <w:rFonts w:cs="宋体" w:asciiTheme="minorEastAsia" w:hAnsiTheme="minorEastAsia"/>
          <w:color w:val="auto"/>
          <w:kern w:val="0"/>
          <w:sz w:val="24"/>
          <w:szCs w:val="24"/>
        </w:rPr>
        <w:t>随机：受试者随机分配入组；</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4.</w:t>
      </w:r>
      <w:r>
        <w:rPr>
          <w:rFonts w:cs="宋体" w:asciiTheme="minorEastAsia" w:hAnsiTheme="minorEastAsia"/>
          <w:color w:val="auto"/>
          <w:kern w:val="0"/>
          <w:sz w:val="24"/>
          <w:szCs w:val="24"/>
        </w:rPr>
        <w:t>对照与盲法：避免条件误差与主观因素。</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eastAsia="zh-CN"/>
        </w:rPr>
        <w:t>（</w:t>
      </w:r>
      <w:r>
        <w:rPr>
          <w:rFonts w:hint="eastAsia" w:cs="宋体" w:asciiTheme="minorEastAsia" w:hAnsiTheme="minorEastAsia"/>
          <w:color w:val="auto"/>
          <w:kern w:val="0"/>
          <w:sz w:val="24"/>
          <w:szCs w:val="24"/>
          <w:lang w:val="en-US" w:eastAsia="zh-CN"/>
        </w:rPr>
        <w:t>二</w:t>
      </w:r>
      <w:r>
        <w:rPr>
          <w:rFonts w:hint="eastAsia" w:cs="宋体" w:asciiTheme="minorEastAsia" w:hAnsiTheme="minorEastAsia"/>
          <w:color w:val="auto"/>
          <w:kern w:val="0"/>
          <w:sz w:val="24"/>
          <w:szCs w:val="24"/>
          <w:lang w:eastAsia="zh-CN"/>
        </w:rPr>
        <w:t>）</w:t>
      </w:r>
      <w:r>
        <w:rPr>
          <w:rFonts w:hint="eastAsia" w:cs="宋体" w:asciiTheme="minorEastAsia" w:hAnsiTheme="minorEastAsia"/>
          <w:color w:val="auto"/>
          <w:kern w:val="0"/>
          <w:sz w:val="24"/>
          <w:szCs w:val="24"/>
          <w:lang w:val="en-US" w:eastAsia="zh-CN"/>
        </w:rPr>
        <w:t>药物临床</w:t>
      </w:r>
      <w:r>
        <w:rPr>
          <w:rFonts w:cs="宋体" w:asciiTheme="minorEastAsia" w:hAnsiTheme="minorEastAsia"/>
          <w:color w:val="auto"/>
          <w:kern w:val="0"/>
          <w:sz w:val="24"/>
          <w:szCs w:val="24"/>
        </w:rPr>
        <w:t>试验方案的格式包括</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w:t>
      </w:r>
      <w:r>
        <w:rPr>
          <w:rFonts w:cs="宋体" w:asciiTheme="minorEastAsia" w:hAnsiTheme="minorEastAsia"/>
          <w:color w:val="auto"/>
          <w:kern w:val="0"/>
          <w:sz w:val="24"/>
          <w:szCs w:val="24"/>
        </w:rPr>
        <w:t>封页：包括题目、申办者和临床试验机构的名称与地址，拟订日期；</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lang w:val="en-US" w:eastAsia="zh-CN"/>
        </w:rPr>
        <w:t>2.</w:t>
      </w:r>
      <w:r>
        <w:rPr>
          <w:rFonts w:cs="宋体" w:asciiTheme="minorEastAsia" w:hAnsiTheme="minorEastAsia"/>
          <w:color w:val="auto"/>
          <w:kern w:val="0"/>
          <w:sz w:val="24"/>
          <w:szCs w:val="24"/>
        </w:rPr>
        <w:t>正文</w:t>
      </w:r>
      <w:r>
        <w:rPr>
          <w:rFonts w:hint="eastAsia" w:cs="宋体" w:asciiTheme="minorEastAsia" w:hAnsiTheme="minorEastAsia"/>
          <w:color w:val="auto"/>
          <w:kern w:val="0"/>
          <w:sz w:val="24"/>
          <w:szCs w:val="24"/>
          <w:lang w:eastAsia="zh-CN"/>
        </w:rPr>
        <w:t>：试验方案通常包括基本信息、研究背景资料、试验目的、试验设计、实施方式（方法、内容、步骤）等内容；</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3.</w:t>
      </w:r>
      <w:r>
        <w:rPr>
          <w:rFonts w:cs="宋体" w:asciiTheme="minorEastAsia" w:hAnsiTheme="minorEastAsia"/>
          <w:color w:val="auto"/>
          <w:kern w:val="0"/>
          <w:sz w:val="24"/>
          <w:szCs w:val="24"/>
        </w:rPr>
        <w:t>封底：各参与的临床试验机构与主要研究者、申办者的名称与联系方式；</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4.</w:t>
      </w:r>
      <w:r>
        <w:rPr>
          <w:rFonts w:cs="宋体" w:asciiTheme="minorEastAsia" w:hAnsiTheme="minorEastAsia"/>
          <w:color w:val="auto"/>
          <w:kern w:val="0"/>
          <w:sz w:val="24"/>
          <w:szCs w:val="24"/>
        </w:rPr>
        <w:t>主要参考文献。</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lang w:eastAsia="zh-CN"/>
        </w:rPr>
      </w:pPr>
      <w:r>
        <w:rPr>
          <w:rFonts w:hint="eastAsia" w:cs="宋体" w:asciiTheme="minorEastAsia" w:hAnsiTheme="minorEastAsia"/>
          <w:color w:val="auto"/>
          <w:kern w:val="0"/>
          <w:sz w:val="24"/>
          <w:szCs w:val="24"/>
          <w:lang w:eastAsia="zh-CN"/>
        </w:rPr>
        <w:t>（</w:t>
      </w:r>
      <w:r>
        <w:rPr>
          <w:rFonts w:hint="eastAsia" w:cs="宋体" w:asciiTheme="minorEastAsia" w:hAnsiTheme="minorEastAsia"/>
          <w:color w:val="auto"/>
          <w:kern w:val="0"/>
          <w:sz w:val="24"/>
          <w:szCs w:val="24"/>
        </w:rPr>
        <w:t>三</w:t>
      </w:r>
      <w:r>
        <w:rPr>
          <w:rFonts w:hint="eastAsia" w:cs="宋体" w:asciiTheme="minorEastAsia" w:hAnsiTheme="minorEastAsia"/>
          <w:color w:val="auto"/>
          <w:kern w:val="0"/>
          <w:sz w:val="24"/>
          <w:szCs w:val="24"/>
          <w:lang w:eastAsia="zh-CN"/>
        </w:rPr>
        <w:t>）</w:t>
      </w:r>
      <w:r>
        <w:rPr>
          <w:rFonts w:hint="eastAsia" w:cs="宋体" w:asciiTheme="minorEastAsia" w:hAnsiTheme="minorEastAsia"/>
          <w:color w:val="auto"/>
          <w:kern w:val="0"/>
          <w:sz w:val="24"/>
          <w:szCs w:val="24"/>
          <w:lang w:val="en-US" w:eastAsia="zh-CN"/>
        </w:rPr>
        <w:t>药物</w:t>
      </w:r>
      <w:r>
        <w:rPr>
          <w:rFonts w:cs="宋体" w:asciiTheme="minorEastAsia" w:hAnsiTheme="minorEastAsia"/>
          <w:color w:val="auto"/>
          <w:kern w:val="0"/>
          <w:sz w:val="24"/>
          <w:szCs w:val="24"/>
        </w:rPr>
        <w:t>临床试验方案设计主要内容</w:t>
      </w:r>
      <w:r>
        <w:rPr>
          <w:rFonts w:hint="eastAsia" w:cs="宋体" w:asciiTheme="minorEastAsia" w:hAnsiTheme="minorEastAsia"/>
          <w:color w:val="auto"/>
          <w:kern w:val="0"/>
          <w:sz w:val="24"/>
          <w:szCs w:val="24"/>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w:t>
      </w:r>
      <w:r>
        <w:rPr>
          <w:rFonts w:hint="eastAsia" w:cs="宋体" w:asciiTheme="minorEastAsia" w:hAnsiTheme="minorEastAsia"/>
          <w:color w:val="auto"/>
          <w:kern w:val="0"/>
          <w:sz w:val="24"/>
          <w:szCs w:val="24"/>
        </w:rPr>
        <w:t>试验方案中基本信息一般包含：</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w:t>
      </w:r>
      <w:r>
        <w:rPr>
          <w:rFonts w:hint="eastAsia" w:cs="宋体" w:asciiTheme="minorEastAsia" w:hAnsiTheme="minorEastAsia"/>
          <w:color w:val="auto"/>
          <w:kern w:val="0"/>
          <w:sz w:val="24"/>
          <w:szCs w:val="24"/>
        </w:rPr>
        <w:t>试验方案标题、编号、版本号和日期。</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（2）</w:t>
      </w:r>
      <w:r>
        <w:rPr>
          <w:rFonts w:hint="eastAsia" w:cs="宋体" w:asciiTheme="minorEastAsia" w:hAnsiTheme="minorEastAsia"/>
          <w:color w:val="auto"/>
          <w:kern w:val="0"/>
          <w:sz w:val="24"/>
          <w:szCs w:val="24"/>
        </w:rPr>
        <w:t>申办者的名称和地址。</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（3）</w:t>
      </w:r>
      <w:r>
        <w:rPr>
          <w:rFonts w:hint="eastAsia" w:cs="宋体" w:asciiTheme="minorEastAsia" w:hAnsiTheme="minorEastAsia"/>
          <w:color w:val="auto"/>
          <w:kern w:val="0"/>
          <w:sz w:val="24"/>
          <w:szCs w:val="24"/>
        </w:rPr>
        <w:t>申办者授权签署、修改试验方案的人员姓名、职务和单位。</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（4）</w:t>
      </w:r>
      <w:r>
        <w:rPr>
          <w:rFonts w:hint="eastAsia" w:cs="宋体" w:asciiTheme="minorEastAsia" w:hAnsiTheme="minorEastAsia"/>
          <w:color w:val="auto"/>
          <w:kern w:val="0"/>
          <w:sz w:val="24"/>
          <w:szCs w:val="24"/>
        </w:rPr>
        <w:t>申办者的医学专家姓名、职务、所在单位地址和电话。</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（5）</w:t>
      </w:r>
      <w:r>
        <w:rPr>
          <w:rFonts w:hint="eastAsia" w:cs="宋体" w:asciiTheme="minorEastAsia" w:hAnsiTheme="minorEastAsia"/>
          <w:color w:val="auto"/>
          <w:kern w:val="0"/>
          <w:sz w:val="24"/>
          <w:szCs w:val="24"/>
        </w:rPr>
        <w:t>研究者姓名、职称、职务，临床试验机构的地址和电话。</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（6）</w:t>
      </w:r>
      <w:r>
        <w:rPr>
          <w:rFonts w:hint="eastAsia" w:cs="宋体" w:asciiTheme="minorEastAsia" w:hAnsiTheme="minorEastAsia"/>
          <w:color w:val="auto"/>
          <w:kern w:val="0"/>
          <w:sz w:val="24"/>
          <w:szCs w:val="24"/>
        </w:rPr>
        <w:t>参与临床试验的单位及相关部门名称、地址。</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2.</w:t>
      </w:r>
      <w:r>
        <w:rPr>
          <w:rFonts w:hint="eastAsia" w:cs="宋体" w:asciiTheme="minorEastAsia" w:hAnsiTheme="minorEastAsia"/>
          <w:color w:val="auto"/>
          <w:kern w:val="0"/>
          <w:sz w:val="24"/>
          <w:szCs w:val="24"/>
        </w:rPr>
        <w:t>试验方案中研究背景资料通常包含：</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w:t>
      </w:r>
      <w:r>
        <w:rPr>
          <w:rFonts w:hint="eastAsia" w:cs="宋体" w:asciiTheme="minorEastAsia" w:hAnsiTheme="minorEastAsia"/>
          <w:color w:val="auto"/>
          <w:kern w:val="0"/>
          <w:sz w:val="24"/>
          <w:szCs w:val="24"/>
        </w:rPr>
        <w:t>试验用药品名称与介绍。</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（2）</w:t>
      </w:r>
      <w:r>
        <w:rPr>
          <w:rFonts w:hint="eastAsia" w:cs="宋体" w:asciiTheme="minorEastAsia" w:hAnsiTheme="minorEastAsia"/>
          <w:color w:val="auto"/>
          <w:kern w:val="0"/>
          <w:sz w:val="24"/>
          <w:szCs w:val="24"/>
        </w:rPr>
        <w:t>试验药物在非临床研究和临床研究中与临床试验相关、具有潜在临床意义的发现。</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（3）</w:t>
      </w:r>
      <w:r>
        <w:rPr>
          <w:rFonts w:hint="eastAsia" w:cs="宋体" w:asciiTheme="minorEastAsia" w:hAnsiTheme="minorEastAsia"/>
          <w:color w:val="auto"/>
          <w:kern w:val="0"/>
          <w:sz w:val="24"/>
          <w:szCs w:val="24"/>
        </w:rPr>
        <w:t>对受试人群的已知和潜在的风险和获益。</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（4）</w:t>
      </w:r>
      <w:r>
        <w:rPr>
          <w:rFonts w:hint="eastAsia" w:cs="宋体" w:asciiTheme="minorEastAsia" w:hAnsiTheme="minorEastAsia"/>
          <w:color w:val="auto"/>
          <w:kern w:val="0"/>
          <w:sz w:val="24"/>
          <w:szCs w:val="24"/>
        </w:rPr>
        <w:t>试验用药品的给药途径、给药剂量、给药方法及治疗时程的描述，并说明理由。</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（5）</w:t>
      </w:r>
      <w:r>
        <w:rPr>
          <w:rFonts w:hint="eastAsia" w:cs="宋体" w:asciiTheme="minorEastAsia" w:hAnsiTheme="minorEastAsia"/>
          <w:color w:val="auto"/>
          <w:kern w:val="0"/>
          <w:sz w:val="24"/>
          <w:szCs w:val="24"/>
        </w:rPr>
        <w:t>强调临床试验需要按照试验方案、本规范及相关法律法规实施。</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（6）</w:t>
      </w:r>
      <w:r>
        <w:rPr>
          <w:rFonts w:hint="eastAsia" w:cs="宋体" w:asciiTheme="minorEastAsia" w:hAnsiTheme="minorEastAsia"/>
          <w:color w:val="auto"/>
          <w:kern w:val="0"/>
          <w:sz w:val="24"/>
          <w:szCs w:val="24"/>
        </w:rPr>
        <w:t>临床试验的目标人群。</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（7）</w:t>
      </w:r>
      <w:r>
        <w:rPr>
          <w:rFonts w:hint="eastAsia" w:cs="宋体" w:asciiTheme="minorEastAsia" w:hAnsiTheme="minorEastAsia"/>
          <w:color w:val="auto"/>
          <w:kern w:val="0"/>
          <w:sz w:val="24"/>
          <w:szCs w:val="24"/>
        </w:rPr>
        <w:t>临床试验相关的研究背景资料、参考文献和数据来源。</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3.</w:t>
      </w:r>
      <w:r>
        <w:rPr>
          <w:rFonts w:hint="eastAsia" w:cs="宋体" w:asciiTheme="minorEastAsia" w:hAnsiTheme="minorEastAsia"/>
          <w:color w:val="auto"/>
          <w:kern w:val="0"/>
          <w:sz w:val="24"/>
          <w:szCs w:val="24"/>
        </w:rPr>
        <w:t>试验方案中应当详细描述临床试验的目的。</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4.</w:t>
      </w:r>
      <w:r>
        <w:rPr>
          <w:rFonts w:hint="eastAsia" w:cs="宋体" w:asciiTheme="minorEastAsia" w:hAnsiTheme="minorEastAsia"/>
          <w:color w:val="auto"/>
          <w:kern w:val="0"/>
          <w:sz w:val="24"/>
          <w:szCs w:val="24"/>
        </w:rPr>
        <w:t>临床试验的科学性和试验数据的可靠性，主要取决于试验设计，试验设计通常包括：</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w:t>
      </w:r>
      <w:r>
        <w:rPr>
          <w:rFonts w:hint="eastAsia" w:cs="宋体" w:asciiTheme="minorEastAsia" w:hAnsiTheme="minorEastAsia"/>
          <w:color w:val="auto"/>
          <w:kern w:val="0"/>
          <w:sz w:val="24"/>
          <w:szCs w:val="24"/>
        </w:rPr>
        <w:t>明确临床试验的主要终点和次要终点。</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（2）</w:t>
      </w:r>
      <w:r>
        <w:rPr>
          <w:rFonts w:hint="eastAsia" w:cs="宋体" w:asciiTheme="minorEastAsia" w:hAnsiTheme="minorEastAsia"/>
          <w:color w:val="auto"/>
          <w:kern w:val="0"/>
          <w:sz w:val="24"/>
          <w:szCs w:val="24"/>
        </w:rPr>
        <w:t>对照组选择的理由和试验设计的描述（如双盲、安慰剂对照、平行组设计），并对研究设计、流程和不同阶段以流程图形式表示。</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（3）</w:t>
      </w:r>
      <w:r>
        <w:rPr>
          <w:rFonts w:hint="eastAsia" w:cs="宋体" w:asciiTheme="minorEastAsia" w:hAnsiTheme="minorEastAsia"/>
          <w:color w:val="auto"/>
          <w:kern w:val="0"/>
          <w:sz w:val="24"/>
          <w:szCs w:val="24"/>
        </w:rPr>
        <w:t>减少或者控制偏倚所采取的措施，包括随机化和盲法的方法和过程。采用单盲或者开放性试验需要说明理由和控制偏倚的措施。</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（4）</w:t>
      </w:r>
      <w:r>
        <w:rPr>
          <w:rFonts w:hint="eastAsia" w:cs="宋体" w:asciiTheme="minorEastAsia" w:hAnsiTheme="minorEastAsia"/>
          <w:color w:val="auto"/>
          <w:kern w:val="0"/>
          <w:sz w:val="24"/>
          <w:szCs w:val="24"/>
        </w:rPr>
        <w:t>治疗方法、试验用药品的剂量、给药方案；试验用药品的剂型、包装、标签。</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（5）</w:t>
      </w:r>
      <w:r>
        <w:rPr>
          <w:rFonts w:hint="eastAsia" w:cs="宋体" w:asciiTheme="minorEastAsia" w:hAnsiTheme="minorEastAsia"/>
          <w:color w:val="auto"/>
          <w:kern w:val="0"/>
          <w:sz w:val="24"/>
          <w:szCs w:val="24"/>
        </w:rPr>
        <w:t>受试者参与临床试验的预期时长和具体安排，包括随访等。</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（6）</w:t>
      </w:r>
      <w:r>
        <w:rPr>
          <w:rFonts w:hint="eastAsia" w:cs="宋体" w:asciiTheme="minorEastAsia" w:hAnsiTheme="minorEastAsia"/>
          <w:color w:val="auto"/>
          <w:kern w:val="0"/>
          <w:sz w:val="24"/>
          <w:szCs w:val="24"/>
        </w:rPr>
        <w:t>受试者、部分临床试验及全部临床试验的“暂停试验标准”、“终止试验标准”。</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（7）</w:t>
      </w:r>
      <w:r>
        <w:rPr>
          <w:rFonts w:hint="eastAsia" w:cs="宋体" w:asciiTheme="minorEastAsia" w:hAnsiTheme="minorEastAsia"/>
          <w:color w:val="auto"/>
          <w:kern w:val="0"/>
          <w:sz w:val="24"/>
          <w:szCs w:val="24"/>
        </w:rPr>
        <w:t>试验用药品管理流程。</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（8）</w:t>
      </w:r>
      <w:r>
        <w:rPr>
          <w:rFonts w:hint="eastAsia" w:cs="宋体" w:asciiTheme="minorEastAsia" w:hAnsiTheme="minorEastAsia"/>
          <w:color w:val="auto"/>
          <w:kern w:val="0"/>
          <w:sz w:val="24"/>
          <w:szCs w:val="24"/>
        </w:rPr>
        <w:t>盲底保存和揭盲的程序。</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（9）</w:t>
      </w:r>
      <w:r>
        <w:rPr>
          <w:rFonts w:hint="eastAsia" w:cs="宋体" w:asciiTheme="minorEastAsia" w:hAnsiTheme="minorEastAsia"/>
          <w:color w:val="auto"/>
          <w:kern w:val="0"/>
          <w:sz w:val="24"/>
          <w:szCs w:val="24"/>
        </w:rPr>
        <w:t>明确何种试验数据可作为源数据直接记录在病例报告表中。</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5.</w:t>
      </w:r>
      <w:r>
        <w:rPr>
          <w:rFonts w:hint="eastAsia" w:cs="宋体" w:asciiTheme="minorEastAsia" w:hAnsiTheme="minorEastAsia"/>
          <w:color w:val="auto"/>
          <w:kern w:val="0"/>
          <w:sz w:val="24"/>
          <w:szCs w:val="24"/>
        </w:rPr>
        <w:t>试验方案中通常包括临床和实验室检查的项目内容。</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6.</w:t>
      </w:r>
      <w:r>
        <w:rPr>
          <w:rFonts w:hint="eastAsia" w:cs="宋体" w:asciiTheme="minorEastAsia" w:hAnsiTheme="minorEastAsia"/>
          <w:color w:val="auto"/>
          <w:kern w:val="0"/>
          <w:sz w:val="24"/>
          <w:szCs w:val="24"/>
        </w:rPr>
        <w:t>受试者的选择和退出通常包括：</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w:t>
      </w:r>
      <w:r>
        <w:rPr>
          <w:rFonts w:hint="eastAsia" w:cs="宋体" w:asciiTheme="minorEastAsia" w:hAnsiTheme="minorEastAsia"/>
          <w:color w:val="auto"/>
          <w:kern w:val="0"/>
          <w:sz w:val="24"/>
          <w:szCs w:val="24"/>
        </w:rPr>
        <w:t>受试者的入选标准。</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（2）</w:t>
      </w:r>
      <w:r>
        <w:rPr>
          <w:rFonts w:hint="eastAsia" w:cs="宋体" w:asciiTheme="minorEastAsia" w:hAnsiTheme="minorEastAsia"/>
          <w:color w:val="auto"/>
          <w:kern w:val="0"/>
          <w:sz w:val="24"/>
          <w:szCs w:val="24"/>
        </w:rPr>
        <w:t>受试者的排除标准。</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（3）</w:t>
      </w:r>
      <w:r>
        <w:rPr>
          <w:rFonts w:hint="eastAsia" w:cs="宋体" w:asciiTheme="minorEastAsia" w:hAnsiTheme="minorEastAsia"/>
          <w:color w:val="auto"/>
          <w:kern w:val="0"/>
          <w:sz w:val="24"/>
          <w:szCs w:val="24"/>
        </w:rPr>
        <w:t>受试者退出临床试验的标准和程序。</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7.</w:t>
      </w:r>
      <w:r>
        <w:rPr>
          <w:rFonts w:hint="eastAsia" w:cs="宋体" w:asciiTheme="minorEastAsia" w:hAnsiTheme="minorEastAsia"/>
          <w:color w:val="auto"/>
          <w:kern w:val="0"/>
          <w:sz w:val="24"/>
          <w:szCs w:val="24"/>
        </w:rPr>
        <w:t>受试者的治疗通常包括：</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w:t>
      </w:r>
      <w:r>
        <w:rPr>
          <w:rFonts w:hint="eastAsia" w:cs="宋体" w:asciiTheme="minorEastAsia" w:hAnsiTheme="minorEastAsia"/>
          <w:color w:val="auto"/>
          <w:kern w:val="0"/>
          <w:sz w:val="24"/>
          <w:szCs w:val="24"/>
        </w:rPr>
        <w:t>受试者在临床试验各组应用的所有试验用药品名称、给药剂量、给药方案、给药途径和治疗时间以及随访期限。</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（2）</w:t>
      </w:r>
      <w:r>
        <w:rPr>
          <w:rFonts w:hint="eastAsia" w:cs="宋体" w:asciiTheme="minorEastAsia" w:hAnsiTheme="minorEastAsia"/>
          <w:color w:val="auto"/>
          <w:kern w:val="0"/>
          <w:sz w:val="24"/>
          <w:szCs w:val="24"/>
        </w:rPr>
        <w:t>临床试验前和临床试验中允许的合并用药（包括急救治疗用药）或者治疗，和禁止使用的药物或者治疗。</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（3）</w:t>
      </w:r>
      <w:r>
        <w:rPr>
          <w:rFonts w:hint="eastAsia" w:cs="宋体" w:asciiTheme="minorEastAsia" w:hAnsiTheme="minorEastAsia"/>
          <w:color w:val="auto"/>
          <w:kern w:val="0"/>
          <w:sz w:val="24"/>
          <w:szCs w:val="24"/>
        </w:rPr>
        <w:t>评价受试者依从性的方法。</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8.</w:t>
      </w:r>
      <w:r>
        <w:rPr>
          <w:rFonts w:hint="eastAsia" w:cs="宋体" w:asciiTheme="minorEastAsia" w:hAnsiTheme="minorEastAsia"/>
          <w:color w:val="auto"/>
          <w:kern w:val="0"/>
          <w:sz w:val="24"/>
          <w:szCs w:val="24"/>
        </w:rPr>
        <w:t>制定明确的访视和随访计划，包括临床试验期间、临床试验终点、不良事件评估及试验结束后的随访和医疗处理。</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9.</w:t>
      </w:r>
      <w:r>
        <w:rPr>
          <w:rFonts w:hint="eastAsia" w:cs="宋体" w:asciiTheme="minorEastAsia" w:hAnsiTheme="minorEastAsia"/>
          <w:color w:val="auto"/>
          <w:kern w:val="0"/>
          <w:sz w:val="24"/>
          <w:szCs w:val="24"/>
        </w:rPr>
        <w:t>有效性评价通常包括：</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w:t>
      </w:r>
      <w:r>
        <w:rPr>
          <w:rFonts w:hint="eastAsia" w:cs="宋体" w:asciiTheme="minorEastAsia" w:hAnsiTheme="minorEastAsia"/>
          <w:color w:val="auto"/>
          <w:kern w:val="0"/>
          <w:sz w:val="24"/>
          <w:szCs w:val="24"/>
        </w:rPr>
        <w:t>详细描述临床试验的有效性指标。</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（2）</w:t>
      </w:r>
      <w:r>
        <w:rPr>
          <w:rFonts w:hint="eastAsia" w:cs="宋体" w:asciiTheme="minorEastAsia" w:hAnsiTheme="minorEastAsia"/>
          <w:color w:val="auto"/>
          <w:kern w:val="0"/>
          <w:sz w:val="24"/>
          <w:szCs w:val="24"/>
        </w:rPr>
        <w:t>详细描述有效性指标的评价、记录、分析方法和时间点。</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10.</w:t>
      </w:r>
      <w:r>
        <w:rPr>
          <w:rFonts w:hint="eastAsia" w:cs="宋体" w:asciiTheme="minorEastAsia" w:hAnsiTheme="minorEastAsia"/>
          <w:color w:val="auto"/>
          <w:kern w:val="0"/>
          <w:sz w:val="24"/>
          <w:szCs w:val="24"/>
        </w:rPr>
        <w:t>安全性评价通常包括：</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w:t>
      </w:r>
      <w:r>
        <w:rPr>
          <w:rFonts w:hint="eastAsia" w:cs="宋体" w:asciiTheme="minorEastAsia" w:hAnsiTheme="minorEastAsia"/>
          <w:color w:val="auto"/>
          <w:kern w:val="0"/>
          <w:sz w:val="24"/>
          <w:szCs w:val="24"/>
        </w:rPr>
        <w:t>详细描述临床试验的安全性指标。</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（2）</w:t>
      </w:r>
      <w:r>
        <w:rPr>
          <w:rFonts w:hint="eastAsia" w:cs="宋体" w:asciiTheme="minorEastAsia" w:hAnsiTheme="minorEastAsia"/>
          <w:color w:val="auto"/>
          <w:kern w:val="0"/>
          <w:sz w:val="24"/>
          <w:szCs w:val="24"/>
        </w:rPr>
        <w:t>详细描述安全性指标的评价、记录、分析方法和时间点。</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（3）</w:t>
      </w:r>
      <w:r>
        <w:rPr>
          <w:rFonts w:hint="eastAsia" w:cs="宋体" w:asciiTheme="minorEastAsia" w:hAnsiTheme="minorEastAsia"/>
          <w:color w:val="auto"/>
          <w:kern w:val="0"/>
          <w:sz w:val="24"/>
          <w:szCs w:val="24"/>
        </w:rPr>
        <w:t>不良事件和伴随疾病的记录和报告程序。</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（4）</w:t>
      </w:r>
      <w:r>
        <w:rPr>
          <w:rFonts w:hint="eastAsia" w:cs="宋体" w:asciiTheme="minorEastAsia" w:hAnsiTheme="minorEastAsia"/>
          <w:color w:val="auto"/>
          <w:kern w:val="0"/>
          <w:sz w:val="24"/>
          <w:szCs w:val="24"/>
        </w:rPr>
        <w:t>不良事件的随访方式与期限。</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11.</w:t>
      </w:r>
      <w:r>
        <w:rPr>
          <w:rFonts w:hint="eastAsia" w:cs="宋体" w:asciiTheme="minorEastAsia" w:hAnsiTheme="minorEastAsia"/>
          <w:color w:val="auto"/>
          <w:kern w:val="0"/>
          <w:sz w:val="24"/>
          <w:szCs w:val="24"/>
        </w:rPr>
        <w:t>统计通常包括：</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w:t>
      </w:r>
      <w:r>
        <w:rPr>
          <w:rFonts w:hint="eastAsia" w:cs="宋体" w:asciiTheme="minorEastAsia" w:hAnsiTheme="minorEastAsia"/>
          <w:color w:val="auto"/>
          <w:kern w:val="0"/>
          <w:sz w:val="24"/>
          <w:szCs w:val="24"/>
        </w:rPr>
        <w:t>确定受试者样本量，并根据前期试验或者文献数据说明理由。</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（2）</w:t>
      </w:r>
      <w:r>
        <w:rPr>
          <w:rFonts w:hint="eastAsia" w:cs="宋体" w:asciiTheme="minorEastAsia" w:hAnsiTheme="minorEastAsia"/>
          <w:color w:val="auto"/>
          <w:kern w:val="0"/>
          <w:sz w:val="24"/>
          <w:szCs w:val="24"/>
        </w:rPr>
        <w:t>显著性水平，如有调整说明考虑。</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（3）</w:t>
      </w:r>
      <w:r>
        <w:rPr>
          <w:rFonts w:hint="eastAsia" w:cs="宋体" w:asciiTheme="minorEastAsia" w:hAnsiTheme="minorEastAsia"/>
          <w:color w:val="auto"/>
          <w:kern w:val="0"/>
          <w:sz w:val="24"/>
          <w:szCs w:val="24"/>
        </w:rPr>
        <w:t>说明主要评价指标的统计假设，包括原假设和备择假设，简要描述拟采用的具体统计方法和统计分析软件。若需要进行期中分析，应当说明理由、分析时点及操作规程。</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（4）</w:t>
      </w:r>
      <w:r>
        <w:rPr>
          <w:rFonts w:hint="eastAsia" w:cs="宋体" w:asciiTheme="minorEastAsia" w:hAnsiTheme="minorEastAsia"/>
          <w:color w:val="auto"/>
          <w:kern w:val="0"/>
          <w:sz w:val="24"/>
          <w:szCs w:val="24"/>
        </w:rPr>
        <w:t>缺失数据、未用数据和不合逻辑数据的处理方法。</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（5）</w:t>
      </w:r>
      <w:r>
        <w:rPr>
          <w:rFonts w:hint="eastAsia" w:cs="宋体" w:asciiTheme="minorEastAsia" w:hAnsiTheme="minorEastAsia"/>
          <w:color w:val="auto"/>
          <w:kern w:val="0"/>
          <w:sz w:val="24"/>
          <w:szCs w:val="24"/>
        </w:rPr>
        <w:t>明确偏离原定统计分析计划的修改程序。</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（6）</w:t>
      </w:r>
      <w:r>
        <w:rPr>
          <w:rFonts w:hint="eastAsia" w:cs="宋体" w:asciiTheme="minorEastAsia" w:hAnsiTheme="minorEastAsia"/>
          <w:color w:val="auto"/>
          <w:kern w:val="0"/>
          <w:sz w:val="24"/>
          <w:szCs w:val="24"/>
        </w:rPr>
        <w:t>明确定义用于统计分析的受试者数据集，包括所有参加随机化的受试者、所有服用过试验用药品的受试者、所有符合入选的受试者和可用于临床试验结果评价的受试者。</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12.</w:t>
      </w:r>
      <w:r>
        <w:rPr>
          <w:rFonts w:hint="eastAsia" w:cs="宋体" w:asciiTheme="minorEastAsia" w:hAnsiTheme="minorEastAsia"/>
          <w:color w:val="auto"/>
          <w:kern w:val="0"/>
          <w:sz w:val="24"/>
          <w:szCs w:val="24"/>
        </w:rPr>
        <w:t>试验方案中应当包括实施临床试验质量控制和质量保证。</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13.</w:t>
      </w:r>
      <w:r>
        <w:rPr>
          <w:rFonts w:hint="eastAsia" w:cs="宋体" w:asciiTheme="minorEastAsia" w:hAnsiTheme="minorEastAsia"/>
          <w:color w:val="auto"/>
          <w:kern w:val="0"/>
          <w:sz w:val="24"/>
          <w:szCs w:val="24"/>
        </w:rPr>
        <w:t>试验方案中通常包括该试验相关的伦理学问题的考虑。</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14.</w:t>
      </w:r>
      <w:r>
        <w:rPr>
          <w:rFonts w:hint="eastAsia" w:cs="宋体" w:asciiTheme="minorEastAsia" w:hAnsiTheme="minorEastAsia"/>
          <w:color w:val="auto"/>
          <w:kern w:val="0"/>
          <w:sz w:val="24"/>
          <w:szCs w:val="24"/>
        </w:rPr>
        <w:t>试验方案中通常说明试验数据的采集与管理流程、数据管理与采集所使用的系统、数据管理各步骤及任务，以及数据管理的质量保障措施。</w:t>
      </w:r>
    </w:p>
    <w:p>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15.</w:t>
      </w:r>
      <w:r>
        <w:rPr>
          <w:rFonts w:hint="eastAsia" w:cs="宋体" w:asciiTheme="minorEastAsia" w:hAnsiTheme="minorEastAsia"/>
          <w:color w:val="auto"/>
          <w:kern w:val="0"/>
          <w:sz w:val="24"/>
          <w:szCs w:val="24"/>
        </w:rPr>
        <w:t xml:space="preserve"> 如果合同或者协议没有规定，试验方案中通常包括临床试验相关的直接查阅源文件、数据处理和记录保存、财务和保险。</w:t>
      </w:r>
    </w:p>
    <w:p>
      <w:pPr>
        <w:spacing w:line="360" w:lineRule="auto"/>
        <w:jc w:val="left"/>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16.</w:t>
      </w:r>
      <w:r>
        <w:rPr>
          <w:rFonts w:cs="宋体" w:asciiTheme="minorEastAsia" w:hAnsiTheme="minorEastAsia"/>
          <w:color w:val="auto"/>
          <w:kern w:val="0"/>
          <w:sz w:val="24"/>
          <w:szCs w:val="24"/>
        </w:rPr>
        <w:t>参考文献。</w:t>
      </w:r>
    </w:p>
    <w:p>
      <w:pPr>
        <w:spacing w:line="360" w:lineRule="auto"/>
        <w:jc w:val="left"/>
        <w:rPr>
          <w:rFonts w:hint="default" w:cs="宋体" w:asciiTheme="minorEastAsia" w:hAnsiTheme="minorEastAsia" w:eastAsiaTheme="minorEastAsia"/>
          <w:color w:val="auto"/>
          <w:kern w:val="0"/>
          <w:sz w:val="24"/>
          <w:szCs w:val="24"/>
          <w:lang w:val="en-US" w:eastAsia="zh-CN"/>
        </w:rPr>
      </w:pPr>
      <w:r>
        <w:rPr>
          <w:rFonts w:hint="eastAsia" w:cs="宋体" w:asciiTheme="minorEastAsia" w:hAnsiTheme="minorEastAsia"/>
          <w:color w:val="auto"/>
          <w:kern w:val="0"/>
          <w:sz w:val="24"/>
          <w:szCs w:val="24"/>
          <w:lang w:val="en-US" w:eastAsia="zh-CN"/>
        </w:rPr>
        <w:t>二、医疗器械临床试验</w:t>
      </w:r>
    </w:p>
    <w:p>
      <w:pPr>
        <w:widowControl/>
        <w:spacing w:line="360" w:lineRule="auto"/>
        <w:jc w:val="left"/>
        <w:rPr>
          <w:rFonts w:cs="宋体" w:asciiTheme="minorEastAsia" w:hAnsiTheme="minorEastAsia"/>
          <w:b/>
          <w:color w:val="auto"/>
          <w:kern w:val="0"/>
          <w:sz w:val="24"/>
          <w:szCs w:val="24"/>
        </w:rPr>
      </w:pPr>
      <w:r>
        <w:rPr>
          <w:rFonts w:hint="eastAsia" w:cs="宋体" w:asciiTheme="minorEastAsia" w:hAnsiTheme="minorEastAsia"/>
          <w:color w:val="auto"/>
          <w:kern w:val="0"/>
          <w:sz w:val="24"/>
          <w:szCs w:val="24"/>
          <w:lang w:val="en-US" w:eastAsia="zh-CN"/>
        </w:rPr>
        <w:t>（一）</w:t>
      </w:r>
      <w:r>
        <w:rPr>
          <w:rFonts w:cs="宋体" w:asciiTheme="minorEastAsia" w:hAnsiTheme="minorEastAsia"/>
          <w:color w:val="auto"/>
          <w:kern w:val="0"/>
          <w:sz w:val="24"/>
          <w:szCs w:val="24"/>
        </w:rPr>
        <w:t>临床试验设计的基本原则</w:t>
      </w:r>
    </w:p>
    <w:p>
      <w:pPr>
        <w:widowControl/>
        <w:spacing w:line="360" w:lineRule="auto"/>
        <w:jc w:val="left"/>
        <w:rPr>
          <w:rFonts w:hint="eastAsia" w:cs="宋体" w:asciiTheme="minorEastAsia" w:hAnsiTheme="minorEastAsia"/>
          <w:color w:val="auto"/>
          <w:kern w:val="0"/>
          <w:sz w:val="24"/>
          <w:szCs w:val="24"/>
          <w:lang w:val="en-US" w:eastAsia="zh-CN"/>
        </w:rPr>
      </w:pPr>
      <w:r>
        <w:rPr>
          <w:rFonts w:hint="eastAsia" w:cs="宋体" w:asciiTheme="minorEastAsia" w:hAnsiTheme="minorEastAsia"/>
          <w:color w:val="auto"/>
          <w:kern w:val="0"/>
          <w:sz w:val="24"/>
          <w:szCs w:val="24"/>
          <w:lang w:val="en-US" w:eastAsia="zh-CN"/>
        </w:rPr>
        <w:t xml:space="preserve"> 1.遵守相关法规（合规性）</w:t>
      </w:r>
    </w:p>
    <w:p>
      <w:pPr>
        <w:widowControl/>
        <w:spacing w:line="360" w:lineRule="auto"/>
        <w:jc w:val="left"/>
        <w:rPr>
          <w:rFonts w:hint="eastAsia" w:cs="宋体" w:asciiTheme="minorEastAsia" w:hAnsiTheme="minorEastAsia"/>
          <w:color w:val="auto"/>
          <w:kern w:val="0"/>
          <w:sz w:val="24"/>
          <w:szCs w:val="24"/>
          <w:lang w:val="en-US" w:eastAsia="zh-CN"/>
        </w:rPr>
      </w:pPr>
      <w:r>
        <w:rPr>
          <w:rFonts w:hint="eastAsia" w:cs="宋体" w:asciiTheme="minorEastAsia" w:hAnsiTheme="minorEastAsia"/>
          <w:color w:val="auto"/>
          <w:kern w:val="0"/>
          <w:sz w:val="24"/>
          <w:szCs w:val="24"/>
          <w:lang w:val="en-US" w:eastAsia="zh-CN"/>
        </w:rPr>
        <w:t>2.符合医学专业和统计数据原则（科学性）</w:t>
      </w:r>
    </w:p>
    <w:p>
      <w:pPr>
        <w:widowControl/>
        <w:spacing w:line="360" w:lineRule="auto"/>
        <w:jc w:val="left"/>
        <w:rPr>
          <w:rFonts w:hint="eastAsia" w:cs="宋体" w:asciiTheme="minorEastAsia" w:hAnsiTheme="minorEastAsia"/>
          <w:color w:val="auto"/>
          <w:kern w:val="0"/>
          <w:sz w:val="24"/>
          <w:szCs w:val="24"/>
          <w:lang w:val="en-US" w:eastAsia="zh-CN"/>
        </w:rPr>
      </w:pPr>
      <w:r>
        <w:rPr>
          <w:rFonts w:hint="eastAsia" w:cs="宋体" w:asciiTheme="minorEastAsia" w:hAnsiTheme="minorEastAsia"/>
          <w:color w:val="auto"/>
          <w:kern w:val="0"/>
          <w:sz w:val="24"/>
          <w:szCs w:val="24"/>
          <w:lang w:val="en-US" w:eastAsia="zh-CN"/>
        </w:rPr>
        <w:t>3.阐明试验目的和操作要求（目的性）</w:t>
      </w:r>
    </w:p>
    <w:p>
      <w:pPr>
        <w:widowControl/>
        <w:spacing w:line="360" w:lineRule="auto"/>
        <w:jc w:val="left"/>
        <w:rPr>
          <w:rFonts w:hint="eastAsia" w:cs="宋体" w:asciiTheme="minorEastAsia" w:hAnsiTheme="minorEastAsia"/>
          <w:color w:val="auto"/>
          <w:kern w:val="0"/>
          <w:sz w:val="24"/>
          <w:szCs w:val="24"/>
          <w:lang w:val="en-US" w:eastAsia="zh-CN"/>
        </w:rPr>
      </w:pPr>
      <w:r>
        <w:rPr>
          <w:rFonts w:hint="eastAsia" w:cs="宋体" w:asciiTheme="minorEastAsia" w:hAnsiTheme="minorEastAsia"/>
          <w:color w:val="auto"/>
          <w:kern w:val="0"/>
          <w:sz w:val="24"/>
          <w:szCs w:val="24"/>
          <w:lang w:val="en-US" w:eastAsia="zh-CN"/>
        </w:rPr>
        <w:t>4.符合伦理学，保障受试者权益和安全性（伦理性）</w:t>
      </w:r>
    </w:p>
    <w:p>
      <w:pPr>
        <w:widowControl/>
        <w:spacing w:line="360" w:lineRule="auto"/>
        <w:jc w:val="left"/>
        <w:rPr>
          <w:rFonts w:hint="eastAsia" w:cs="宋体" w:asciiTheme="minorEastAsia" w:hAnsiTheme="minorEastAsia"/>
          <w:color w:val="auto"/>
          <w:kern w:val="0"/>
          <w:sz w:val="24"/>
          <w:szCs w:val="24"/>
          <w:lang w:val="en-US" w:eastAsia="zh-CN"/>
        </w:rPr>
      </w:pPr>
      <w:r>
        <w:rPr>
          <w:rFonts w:hint="eastAsia" w:cs="宋体" w:asciiTheme="minorEastAsia" w:hAnsiTheme="minorEastAsia"/>
          <w:color w:val="auto"/>
          <w:kern w:val="0"/>
          <w:sz w:val="24"/>
          <w:szCs w:val="24"/>
          <w:lang w:val="en-US" w:eastAsia="zh-CN"/>
        </w:rPr>
        <w:t>5.质量控制和管理（真实可靠和可操作性）</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lang w:val="en-US" w:eastAsia="zh-CN"/>
        </w:rPr>
      </w:pPr>
      <w:r>
        <w:rPr>
          <w:rFonts w:hint="eastAsia" w:cs="宋体" w:asciiTheme="minorEastAsia" w:hAnsiTheme="minorEastAsia"/>
          <w:color w:val="auto"/>
          <w:kern w:val="0"/>
          <w:sz w:val="24"/>
          <w:szCs w:val="24"/>
          <w:lang w:val="en-US" w:eastAsia="zh-CN"/>
        </w:rPr>
        <w:t>（二）制定方案的制定要求</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lang w:val="en-US" w:eastAsia="zh-CN"/>
        </w:rPr>
      </w:pPr>
      <w:r>
        <w:rPr>
          <w:rFonts w:hint="eastAsia" w:cs="宋体" w:asciiTheme="minorEastAsia" w:hAnsiTheme="minorEastAsia"/>
          <w:color w:val="auto"/>
          <w:kern w:val="0"/>
          <w:sz w:val="24"/>
          <w:szCs w:val="24"/>
          <w:lang w:val="en-US" w:eastAsia="zh-CN"/>
        </w:rPr>
        <w:t>1.申办者制定</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lang w:val="en-US" w:eastAsia="zh-CN"/>
        </w:rPr>
      </w:pPr>
      <w:r>
        <w:rPr>
          <w:rFonts w:hint="eastAsia" w:cs="宋体" w:asciiTheme="minorEastAsia" w:hAnsiTheme="minorEastAsia"/>
          <w:color w:val="auto"/>
          <w:kern w:val="0"/>
          <w:sz w:val="24"/>
          <w:szCs w:val="24"/>
          <w:lang w:val="en-US" w:eastAsia="zh-CN"/>
        </w:rPr>
        <w:t>2.研究者和研究机构同意</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lang w:val="en-US" w:eastAsia="zh-CN"/>
        </w:rPr>
      </w:pPr>
      <w:r>
        <w:rPr>
          <w:rFonts w:hint="eastAsia" w:cs="宋体" w:asciiTheme="minorEastAsia" w:hAnsiTheme="minorEastAsia"/>
          <w:color w:val="auto"/>
          <w:kern w:val="0"/>
          <w:sz w:val="24"/>
          <w:szCs w:val="24"/>
          <w:lang w:val="en-US" w:eastAsia="zh-CN"/>
        </w:rPr>
        <w:t>3.修正程序合规</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cs="宋体" w:asciiTheme="minorEastAsia" w:hAnsiTheme="minorEastAsia"/>
          <w:color w:val="auto"/>
          <w:kern w:val="0"/>
          <w:sz w:val="24"/>
          <w:szCs w:val="24"/>
          <w:lang w:val="en-US" w:eastAsia="zh-CN"/>
        </w:rPr>
      </w:pPr>
      <w:r>
        <w:rPr>
          <w:rFonts w:hint="eastAsia" w:cs="宋体" w:asciiTheme="minorEastAsia" w:hAnsiTheme="minorEastAsia"/>
          <w:color w:val="auto"/>
          <w:kern w:val="0"/>
          <w:sz w:val="24"/>
          <w:szCs w:val="24"/>
          <w:lang w:val="en-US" w:eastAsia="zh-CN"/>
        </w:rPr>
        <w:t>4.申办方、研究者、研究机构签名（盖章）和注明日期及版本</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cs="宋体" w:asciiTheme="minorEastAsia" w:hAnsiTheme="minorEastAsia"/>
          <w:color w:val="auto"/>
          <w:kern w:val="0"/>
          <w:sz w:val="24"/>
          <w:szCs w:val="24"/>
          <w:lang w:val="en-US" w:eastAsia="zh-CN"/>
        </w:rPr>
      </w:pPr>
      <w:r>
        <w:rPr>
          <w:rFonts w:hint="eastAsia" w:cs="宋体" w:asciiTheme="minorEastAsia" w:hAnsiTheme="minorEastAsia"/>
          <w:color w:val="auto"/>
          <w:kern w:val="0"/>
          <w:sz w:val="24"/>
          <w:szCs w:val="24"/>
          <w:lang w:val="en-US" w:eastAsia="zh-CN"/>
        </w:rPr>
        <w:t>5.多中心试验需同一试验方案标准和时间表</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asciiTheme="minorEastAsia" w:hAnsiTheme="minorEastAsia" w:eastAsiaTheme="minorEastAsia" w:cstheme="minorEastAsia"/>
          <w:color w:val="auto"/>
          <w:sz w:val="24"/>
          <w:szCs w:val="24"/>
          <w:lang w:val="en-US" w:eastAsia="zh-CN"/>
        </w:rPr>
      </w:pPr>
      <w:r>
        <w:rPr>
          <w:rFonts w:hint="eastAsia" w:cs="宋体" w:asciiTheme="minorEastAsia" w:hAnsiTheme="minorEastAsia"/>
          <w:color w:val="auto"/>
          <w:kern w:val="0"/>
          <w:sz w:val="24"/>
          <w:szCs w:val="24"/>
          <w:lang w:eastAsia="zh-CN"/>
        </w:rPr>
        <w:t>（</w:t>
      </w:r>
      <w:r>
        <w:rPr>
          <w:rFonts w:hint="eastAsia" w:cs="宋体" w:asciiTheme="minorEastAsia" w:hAnsiTheme="minorEastAsia"/>
          <w:color w:val="auto"/>
          <w:kern w:val="0"/>
          <w:sz w:val="24"/>
          <w:szCs w:val="24"/>
          <w:lang w:val="en-US" w:eastAsia="zh-CN"/>
        </w:rPr>
        <w:t>三</w:t>
      </w:r>
      <w:r>
        <w:rPr>
          <w:rFonts w:hint="eastAsia" w:cs="宋体" w:asciiTheme="minorEastAsia" w:hAnsiTheme="minorEastAsia"/>
          <w:color w:val="auto"/>
          <w:kern w:val="0"/>
          <w:sz w:val="24"/>
          <w:szCs w:val="24"/>
          <w:lang w:eastAsia="zh-CN"/>
        </w:rPr>
        <w:t>）</w:t>
      </w:r>
      <w:r>
        <w:rPr>
          <w:rFonts w:hint="eastAsia" w:asciiTheme="minorEastAsia" w:hAnsiTheme="minorEastAsia" w:cstheme="minorEastAsia"/>
          <w:color w:val="auto"/>
          <w:sz w:val="24"/>
          <w:szCs w:val="24"/>
        </w:rPr>
        <w:t>医疗器械临床试验方案一般包含产品基本信息、临床试验基本信息、试验目的、风险受益分析、试验设计要素、试验设计的合理性论证、统计学考虑、实施方式（方法、内容、步骤）、临床试验终点、数据管理、对临床试验方案修正的规定、不良事件和器械缺陷定义和报告的规定、伦理学考虑等内容。医疗器械临床试验方案范本</w:t>
      </w:r>
      <w:r>
        <w:rPr>
          <w:rFonts w:hint="eastAsia" w:asciiTheme="minorEastAsia" w:hAnsiTheme="minorEastAsia" w:cstheme="minorEastAsia"/>
          <w:color w:val="auto"/>
          <w:sz w:val="24"/>
          <w:szCs w:val="24"/>
          <w:lang w:val="en-US" w:eastAsia="zh-CN"/>
        </w:rPr>
        <w:t>见附件1。</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b w:val="0"/>
          <w:bCs w:val="0"/>
          <w:color w:val="auto"/>
          <w:sz w:val="24"/>
          <w:szCs w:val="24"/>
          <w:lang w:val="en-US" w:eastAsia="zh-CN"/>
        </w:rPr>
      </w:pPr>
      <w:r>
        <w:rPr>
          <w:rFonts w:hint="eastAsia" w:asciiTheme="minorEastAsia" w:hAnsiTheme="minorEastAsia"/>
          <w:b w:val="0"/>
          <w:bCs w:val="0"/>
          <w:color w:val="auto"/>
          <w:sz w:val="24"/>
          <w:szCs w:val="24"/>
          <w:lang w:val="en-US" w:eastAsia="zh-CN"/>
        </w:rPr>
        <w:t>四、参考文献</w:t>
      </w:r>
    </w:p>
    <w:p>
      <w:pPr>
        <w:pStyle w:val="36"/>
        <w:keepNext w:val="0"/>
        <w:keepLines w:val="0"/>
        <w:pageBreakBefore w:val="0"/>
        <w:widowControl w:val="0"/>
        <w:numPr>
          <w:ilvl w:val="0"/>
          <w:numId w:val="76"/>
        </w:numPr>
        <w:tabs>
          <w:tab w:val="left" w:pos="2790"/>
        </w:tabs>
        <w:kinsoku/>
        <w:wordWrap w:val="0"/>
        <w:overflowPunct/>
        <w:topLinePunct w:val="0"/>
        <w:autoSpaceDE/>
        <w:autoSpaceDN/>
        <w:bidi w:val="0"/>
        <w:adjustRightInd/>
        <w:snapToGrid/>
        <w:spacing w:line="360" w:lineRule="auto"/>
        <w:ind w:left="0"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76"/>
        </w:numPr>
        <w:tabs>
          <w:tab w:val="left" w:pos="2790"/>
        </w:tabs>
        <w:kinsoku/>
        <w:wordWrap w:val="0"/>
        <w:overflowPunct/>
        <w:topLinePunct w:val="0"/>
        <w:autoSpaceDE/>
        <w:autoSpaceDN/>
        <w:bidi w:val="0"/>
        <w:adjustRightInd/>
        <w:snapToGrid/>
        <w:spacing w:line="360" w:lineRule="auto"/>
        <w:ind w:left="0" w:firstLine="0" w:firstLine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国家药品监督管理局，国家卫生健康委员会. 关于发布《医疗器械临床试验质量管理规范》的公告（2022年第28号）.[2022-03-31]. https://www.nmpa.gov.cn/xxgk/ggtg/qtggtg/20220331144903101.html.</w:t>
      </w:r>
    </w:p>
    <w:p>
      <w:pPr>
        <w:pStyle w:val="36"/>
        <w:keepNext w:val="0"/>
        <w:keepLines w:val="0"/>
        <w:pageBreakBefore w:val="0"/>
        <w:widowControl w:val="0"/>
        <w:numPr>
          <w:ilvl w:val="0"/>
          <w:numId w:val="76"/>
        </w:numPr>
        <w:tabs>
          <w:tab w:val="left" w:pos="2790"/>
        </w:tabs>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color w:val="auto"/>
          <w:sz w:val="24"/>
          <w:szCs w:val="24"/>
        </w:rPr>
      </w:pPr>
      <w:r>
        <w:rPr>
          <w:rFonts w:hint="eastAsia" w:asciiTheme="minorEastAsia" w:hAnsiTheme="minorEastAsia"/>
          <w:color w:val="auto"/>
          <w:sz w:val="24"/>
          <w:szCs w:val="24"/>
          <w:lang w:val="en-US" w:eastAsia="zh-CN"/>
        </w:rPr>
        <w:t xml:space="preserve">国家药监局. 关于实施《医疗器械临床试验质量管理规范》有关事项的通告（2022年第21号）医疗器械/体外诊断试剂临床试验严重不良事件报告表范本[2022-03-31]. </w:t>
      </w:r>
      <w:r>
        <w:rPr>
          <w:rFonts w:hint="eastAsia" w:asciiTheme="minorEastAsia" w:hAnsiTheme="minorEastAsia"/>
          <w:color w:val="auto"/>
          <w:sz w:val="24"/>
          <w:szCs w:val="24"/>
          <w:u w:val="none"/>
          <w:lang w:val="en-US" w:eastAsia="zh-CN"/>
        </w:rPr>
        <w:t>https://www.nmpa.gov.cn/ylqx/ylqxggtg/20220331161452151.html</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五、</w:t>
      </w:r>
      <w:r>
        <w:rPr>
          <w:rFonts w:hint="eastAsia" w:ascii="宋体" w:hAnsi="宋体" w:eastAsia="宋体" w:cs="宋体"/>
          <w:color w:val="auto"/>
          <w:sz w:val="24"/>
          <w:szCs w:val="24"/>
          <w:lang w:val="en-US" w:eastAsia="zh-CN"/>
        </w:rPr>
        <w:t xml:space="preserve">附件 </w:t>
      </w:r>
    </w:p>
    <w:p>
      <w:pPr>
        <w:pStyle w:val="33"/>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附件1：医疗器械临床试验方案范本</w:t>
      </w:r>
    </w:p>
    <w:p>
      <w:pPr>
        <w:pStyle w:val="9"/>
        <w:tabs>
          <w:tab w:val="left" w:pos="450"/>
        </w:tabs>
        <w:jc w:val="center"/>
        <w:rPr>
          <w:rFonts w:hint="eastAsia" w:ascii="宋体" w:hAnsi="宋体" w:eastAsia="宋体" w:cs="宋体"/>
          <w:color w:val="auto"/>
          <w:sz w:val="24"/>
          <w:szCs w:val="24"/>
        </w:rPr>
        <w:sectPr>
          <w:headerReference r:id="rId172" w:type="default"/>
          <w:footerReference r:id="rId173"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pStyle w:val="9"/>
        <w:tabs>
          <w:tab w:val="left" w:pos="450"/>
        </w:tabs>
        <w:jc w:val="center"/>
        <w:rPr>
          <w:rFonts w:hint="eastAsia" w:ascii="黑体" w:hAnsi="黑体" w:eastAsia="黑体" w:cs="黑体"/>
          <w:color w:val="auto"/>
          <w:sz w:val="28"/>
          <w:szCs w:val="28"/>
        </w:rPr>
      </w:pPr>
      <w:r>
        <w:rPr>
          <w:rFonts w:hint="eastAsia" w:ascii="黑体" w:hAnsi="黑体" w:eastAsia="黑体" w:cs="黑体"/>
          <w:color w:val="auto"/>
          <w:sz w:val="28"/>
          <w:szCs w:val="28"/>
        </w:rPr>
        <w:t>医疗器械临床试验方案范本</w:t>
      </w:r>
    </w:p>
    <w:p>
      <w:pPr>
        <w:pStyle w:val="11"/>
        <w:ind w:left="1020" w:hanging="600"/>
        <w:rPr>
          <w:rFonts w:ascii="宋体" w:eastAsia="宋体"/>
          <w:color w:val="auto"/>
          <w:sz w:val="24"/>
          <w:szCs w:val="24"/>
        </w:rPr>
      </w:pPr>
      <w:r>
        <w:rPr>
          <w:rFonts w:hint="eastAsia" w:ascii="宋体" w:eastAsia="宋体"/>
          <w:color w:val="auto"/>
          <w:sz w:val="24"/>
          <w:szCs w:val="24"/>
        </w:rPr>
        <w:t>方案编号：</w:t>
      </w:r>
    </w:p>
    <w:p>
      <w:pPr>
        <w:pStyle w:val="10"/>
        <w:spacing w:before="156" w:after="156"/>
        <w:ind w:firstLine="2387" w:firstLineChars="700"/>
        <w:rPr>
          <w:b/>
          <w:color w:val="auto"/>
          <w:sz w:val="24"/>
          <w:szCs w:val="24"/>
        </w:rPr>
      </w:pPr>
      <w:r>
        <w:rPr>
          <w:rFonts w:hint="eastAsia"/>
          <w:b/>
          <w:color w:val="auto"/>
          <w:spacing w:val="50"/>
          <w:sz w:val="24"/>
          <w:szCs w:val="24"/>
        </w:rPr>
        <w:t>×××</w:t>
      </w:r>
      <w:r>
        <w:rPr>
          <w:rFonts w:hint="eastAsia"/>
          <w:b/>
          <w:color w:val="auto"/>
          <w:sz w:val="24"/>
          <w:szCs w:val="24"/>
        </w:rPr>
        <w:t>临床试验方案</w:t>
      </w:r>
    </w:p>
    <w:p>
      <w:pPr>
        <w:spacing w:before="50" w:after="50"/>
        <w:rPr>
          <w:rFonts w:ascii="宋体"/>
          <w:color w:val="auto"/>
          <w:sz w:val="24"/>
          <w:szCs w:val="24"/>
        </w:rPr>
      </w:pPr>
    </w:p>
    <w:p>
      <w:pPr>
        <w:pStyle w:val="10"/>
        <w:spacing w:before="156" w:after="156"/>
        <w:ind w:firstLine="360" w:firstLineChars="150"/>
        <w:rPr>
          <w:color w:val="auto"/>
          <w:sz w:val="24"/>
          <w:szCs w:val="24"/>
        </w:rPr>
      </w:pPr>
      <w:r>
        <w:rPr>
          <w:rFonts w:hint="eastAsia"/>
          <w:color w:val="auto"/>
          <w:sz w:val="24"/>
          <w:szCs w:val="24"/>
        </w:rPr>
        <w:t>试验医疗器械名称：</w:t>
      </w:r>
    </w:p>
    <w:p>
      <w:pPr>
        <w:pStyle w:val="11"/>
        <w:ind w:left="980" w:hanging="560"/>
        <w:rPr>
          <w:rFonts w:ascii="宋体" w:eastAsia="宋体"/>
          <w:color w:val="auto"/>
          <w:sz w:val="24"/>
          <w:szCs w:val="24"/>
        </w:rPr>
      </w:pPr>
      <w:r>
        <w:rPr>
          <w:rFonts w:hint="eastAsia" w:ascii="宋体" w:eastAsia="宋体"/>
          <w:color w:val="auto"/>
          <w:sz w:val="24"/>
          <w:szCs w:val="24"/>
        </w:rPr>
        <w:t>型号规格：</w:t>
      </w:r>
    </w:p>
    <w:p>
      <w:pPr>
        <w:pStyle w:val="11"/>
        <w:ind w:left="980" w:hanging="560"/>
        <w:rPr>
          <w:rFonts w:ascii="宋体" w:eastAsia="宋体"/>
          <w:color w:val="auto"/>
          <w:sz w:val="24"/>
          <w:szCs w:val="24"/>
        </w:rPr>
      </w:pPr>
      <w:r>
        <w:rPr>
          <w:rFonts w:hint="eastAsia" w:ascii="宋体" w:eastAsia="宋体"/>
          <w:color w:val="auto"/>
          <w:sz w:val="24"/>
          <w:szCs w:val="24"/>
        </w:rPr>
        <w:t>需进行临床试验审批的第三类医疗器械  是□  否□</w:t>
      </w:r>
    </w:p>
    <w:p>
      <w:pPr>
        <w:pStyle w:val="11"/>
        <w:ind w:left="980" w:hanging="560"/>
        <w:rPr>
          <w:rFonts w:ascii="宋体" w:eastAsia="宋体"/>
          <w:color w:val="auto"/>
          <w:sz w:val="24"/>
          <w:szCs w:val="24"/>
        </w:rPr>
      </w:pPr>
      <w:r>
        <w:rPr>
          <w:rFonts w:hint="eastAsia" w:ascii="宋体" w:eastAsia="宋体"/>
          <w:color w:val="auto"/>
          <w:sz w:val="24"/>
          <w:szCs w:val="24"/>
        </w:rPr>
        <w:t>方案版本号和日期：</w:t>
      </w:r>
    </w:p>
    <w:p>
      <w:pPr>
        <w:pStyle w:val="11"/>
        <w:ind w:left="980" w:hanging="560"/>
        <w:rPr>
          <w:rFonts w:ascii="宋体" w:eastAsia="宋体"/>
          <w:color w:val="auto"/>
          <w:sz w:val="24"/>
          <w:szCs w:val="24"/>
        </w:rPr>
      </w:pPr>
      <w:r>
        <w:rPr>
          <w:rFonts w:hint="eastAsia" w:ascii="宋体" w:eastAsia="宋体"/>
          <w:color w:val="auto"/>
          <w:sz w:val="24"/>
          <w:szCs w:val="24"/>
        </w:rPr>
        <w:t>临床试验机构：</w:t>
      </w:r>
    </w:p>
    <w:p>
      <w:pPr>
        <w:pStyle w:val="11"/>
        <w:ind w:left="980" w:hanging="560"/>
        <w:rPr>
          <w:rFonts w:ascii="宋体" w:eastAsia="宋体"/>
          <w:color w:val="auto"/>
          <w:sz w:val="24"/>
          <w:szCs w:val="24"/>
        </w:rPr>
      </w:pPr>
      <w:r>
        <w:rPr>
          <w:rFonts w:hint="eastAsia" w:ascii="宋体" w:eastAsia="宋体"/>
          <w:color w:val="auto"/>
          <w:sz w:val="24"/>
          <w:szCs w:val="24"/>
        </w:rPr>
        <w:t>主要研究者：</w:t>
      </w:r>
    </w:p>
    <w:p>
      <w:pPr>
        <w:pStyle w:val="11"/>
        <w:ind w:left="980" w:hanging="560"/>
        <w:rPr>
          <w:rFonts w:ascii="宋体" w:eastAsia="宋体"/>
          <w:color w:val="auto"/>
          <w:sz w:val="24"/>
          <w:szCs w:val="24"/>
        </w:rPr>
      </w:pPr>
      <w:r>
        <w:rPr>
          <w:rFonts w:hint="eastAsia" w:ascii="宋体" w:eastAsia="宋体"/>
          <w:color w:val="auto"/>
          <w:sz w:val="24"/>
          <w:szCs w:val="24"/>
        </w:rPr>
        <w:t>临床试验组长单位/协调研究者（</w:t>
      </w:r>
      <w:r>
        <w:rPr>
          <w:rFonts w:ascii="宋体" w:eastAsia="宋体" w:cs="Times New Roman"/>
          <w:color w:val="auto"/>
          <w:sz w:val="24"/>
          <w:szCs w:val="24"/>
        </w:rPr>
        <w:t>多中心临床试验</w:t>
      </w:r>
      <w:r>
        <w:rPr>
          <w:rFonts w:hint="eastAsia" w:ascii="宋体" w:eastAsia="宋体" w:cs="Times New Roman"/>
          <w:color w:val="auto"/>
          <w:sz w:val="24"/>
          <w:szCs w:val="24"/>
        </w:rPr>
        <w:t>适用</w:t>
      </w:r>
      <w:r>
        <w:rPr>
          <w:rFonts w:hint="eastAsia" w:ascii="宋体" w:eastAsia="宋体"/>
          <w:color w:val="auto"/>
          <w:sz w:val="24"/>
          <w:szCs w:val="24"/>
        </w:rPr>
        <w:t>）：</w:t>
      </w:r>
    </w:p>
    <w:p>
      <w:pPr>
        <w:pStyle w:val="11"/>
        <w:ind w:left="980" w:hanging="56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申办者：</w:t>
      </w:r>
    </w:p>
    <w:p>
      <w:pPr>
        <w:spacing w:before="50" w:after="50"/>
        <w:rPr>
          <w:rFonts w:ascii="宋体"/>
          <w:color w:val="auto"/>
          <w:sz w:val="24"/>
          <w:szCs w:val="24"/>
        </w:rPr>
      </w:pPr>
    </w:p>
    <w:p>
      <w:pPr>
        <w:spacing w:before="50" w:after="50"/>
        <w:rPr>
          <w:rFonts w:ascii="宋体"/>
          <w:color w:val="auto"/>
          <w:sz w:val="24"/>
          <w:szCs w:val="24"/>
        </w:rPr>
      </w:pPr>
    </w:p>
    <w:p>
      <w:pPr>
        <w:spacing w:before="50" w:after="50"/>
        <w:rPr>
          <w:rFonts w:ascii="宋体"/>
          <w:color w:val="auto"/>
          <w:sz w:val="24"/>
          <w:szCs w:val="24"/>
        </w:rPr>
      </w:pPr>
    </w:p>
    <w:p>
      <w:pPr>
        <w:spacing w:before="50" w:after="50"/>
        <w:jc w:val="center"/>
        <w:rPr>
          <w:rFonts w:ascii="黑体" w:hAnsi="黑体" w:eastAsia="黑体"/>
          <w:color w:val="auto"/>
          <w:sz w:val="24"/>
          <w:szCs w:val="24"/>
        </w:rPr>
      </w:pPr>
      <w:r>
        <w:rPr>
          <w:color w:val="auto"/>
          <w:sz w:val="24"/>
          <w:szCs w:val="24"/>
        </w:rPr>
        <w:br w:type="page"/>
      </w:r>
      <w:r>
        <w:rPr>
          <w:rFonts w:hint="eastAsia" w:ascii="黑体" w:hAnsi="黑体" w:eastAsia="黑体"/>
          <w:color w:val="auto"/>
          <w:sz w:val="24"/>
          <w:szCs w:val="24"/>
        </w:rPr>
        <w:t>填写说明</w:t>
      </w:r>
    </w:p>
    <w:p>
      <w:pPr>
        <w:pStyle w:val="9"/>
        <w:jc w:val="center"/>
        <w:rPr>
          <w:rFonts w:ascii="宋体" w:eastAsia="宋体"/>
          <w:color w:val="auto"/>
          <w:sz w:val="24"/>
          <w:szCs w:val="24"/>
        </w:rPr>
      </w:pPr>
    </w:p>
    <w:p>
      <w:pPr>
        <w:pStyle w:val="25"/>
        <w:spacing w:after="0" w:line="560" w:lineRule="exact"/>
        <w:ind w:firstLine="0" w:firstLineChars="0"/>
        <w:rPr>
          <w:rFonts w:ascii="Times New Roman" w:hAnsi="Times New Roman" w:eastAsia="宋体"/>
          <w:color w:val="auto"/>
          <w:sz w:val="24"/>
          <w:szCs w:val="24"/>
        </w:rPr>
      </w:pPr>
      <w:r>
        <w:rPr>
          <w:rFonts w:ascii="Times New Roman" w:hAnsi="Times New Roman" w:eastAsia="宋体"/>
          <w:color w:val="auto"/>
          <w:sz w:val="24"/>
          <w:szCs w:val="24"/>
        </w:rPr>
        <w:t>1.申办者应当根据试验目的，综合考虑试验医疗器械的风险、技术特征、适用范围等，组织制定科学、合理的临床试验方案。</w:t>
      </w:r>
    </w:p>
    <w:p>
      <w:pPr>
        <w:pStyle w:val="25"/>
        <w:spacing w:after="0" w:line="560" w:lineRule="exact"/>
        <w:ind w:firstLine="0" w:firstLineChars="0"/>
        <w:rPr>
          <w:rFonts w:ascii="Times New Roman" w:hAnsi="Times New Roman" w:eastAsia="宋体"/>
          <w:color w:val="auto"/>
          <w:sz w:val="24"/>
          <w:szCs w:val="24"/>
        </w:rPr>
      </w:pPr>
      <w:r>
        <w:rPr>
          <w:rFonts w:ascii="Times New Roman" w:hAnsi="Times New Roman" w:eastAsia="宋体"/>
          <w:color w:val="auto"/>
          <w:sz w:val="24"/>
          <w:szCs w:val="24"/>
        </w:rPr>
        <w:t>2.本方案应当由主要研究者签名和注明日期，经医疗器械临床试验机构审核签章后交申办者。</w:t>
      </w:r>
    </w:p>
    <w:p>
      <w:pPr>
        <w:pStyle w:val="9"/>
        <w:spacing w:after="0" w:line="56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3.可附方案历次修订情况以及理由。</w:t>
      </w:r>
    </w:p>
    <w:p>
      <w:pPr>
        <w:pStyle w:val="9"/>
        <w:spacing w:after="0" w:line="56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4.方案应当有目录。</w:t>
      </w:r>
    </w:p>
    <w:p>
      <w:pPr>
        <w:pStyle w:val="9"/>
        <w:spacing w:after="0" w:line="560" w:lineRule="exac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5.可根据需要增加缩略语表、参考文献等内容。</w:t>
      </w: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9"/>
        <w:spacing w:after="0" w:line="560" w:lineRule="exact"/>
        <w:rPr>
          <w:rFonts w:ascii="Times New Roman" w:hAnsi="Times New Roman" w:eastAsia="宋体" w:cs="Times New Roman"/>
          <w:color w:val="auto"/>
          <w:sz w:val="24"/>
          <w:szCs w:val="24"/>
        </w:rPr>
      </w:pP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一、申办者信息</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（一）申办者名称</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（二）申办者地址</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（三）申办者联系方式</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二、临床试验机构和主要研究者信息</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三、临床试验的背景资料</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（一）研发背景</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（二）产品基本信息（包括结构组成、工作原理、作用机理、产品特点等）</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（三）适用范围</w:t>
      </w:r>
      <w:r>
        <w:rPr>
          <w:rFonts w:hint="eastAsia" w:ascii="Times New Roman" w:hAnsi="Times New Roman" w:eastAsia="宋体" w:cs="Times New Roman"/>
          <w:color w:val="auto"/>
          <w:sz w:val="24"/>
          <w:szCs w:val="24"/>
        </w:rPr>
        <w:t>以</w:t>
      </w:r>
      <w:r>
        <w:rPr>
          <w:rFonts w:ascii="Times New Roman" w:hAnsi="Times New Roman" w:eastAsia="宋体" w:cs="Times New Roman"/>
          <w:color w:val="auto"/>
          <w:sz w:val="24"/>
          <w:szCs w:val="24"/>
        </w:rPr>
        <w:t>及相关信息（包括适应症、适用人群、使用部位、与人体接触的方式和时间、疾病的严重程度和阶段、使用条件、重复使用、使用方法、禁忌症、警告</w:t>
      </w:r>
      <w:r>
        <w:rPr>
          <w:rFonts w:hint="eastAsia" w:ascii="Times New Roman" w:hAnsi="Times New Roman" w:eastAsia="宋体" w:cs="Times New Roman"/>
          <w:color w:val="auto"/>
          <w:sz w:val="24"/>
          <w:szCs w:val="24"/>
        </w:rPr>
        <w:t>以</w:t>
      </w:r>
      <w:r>
        <w:rPr>
          <w:rFonts w:ascii="Times New Roman" w:hAnsi="Times New Roman" w:eastAsia="宋体" w:cs="Times New Roman"/>
          <w:color w:val="auto"/>
          <w:sz w:val="24"/>
          <w:szCs w:val="24"/>
        </w:rPr>
        <w:t>及预防措施等）</w:t>
      </w:r>
    </w:p>
    <w:p>
      <w:pPr>
        <w:pStyle w:val="20"/>
        <w:spacing w:line="560" w:lineRule="exact"/>
        <w:ind w:left="0" w:firstLine="480" w:firstLineChars="200"/>
        <w:rPr>
          <w:rFonts w:ascii="Times New Roman" w:hAnsi="Times New Roman" w:eastAsia="黑体" w:cs="Times New Roman"/>
          <w:color w:val="auto"/>
          <w:sz w:val="24"/>
          <w:szCs w:val="24"/>
        </w:rPr>
      </w:pPr>
      <w:r>
        <w:rPr>
          <w:rFonts w:ascii="Times New Roman" w:hAnsi="Times New Roman" w:eastAsia="黑体" w:cs="Times New Roman"/>
          <w:color w:val="auto"/>
          <w:sz w:val="24"/>
          <w:szCs w:val="24"/>
        </w:rPr>
        <w:t>四、试验目的</w:t>
      </w:r>
    </w:p>
    <w:p>
      <w:pPr>
        <w:pStyle w:val="20"/>
        <w:spacing w:line="560" w:lineRule="exact"/>
        <w:ind w:left="0" w:firstLine="480" w:firstLineChars="200"/>
        <w:rPr>
          <w:rFonts w:ascii="Times New Roman" w:hAnsi="Times New Roman" w:eastAsia="黑体" w:cs="Times New Roman"/>
          <w:color w:val="auto"/>
          <w:sz w:val="24"/>
          <w:szCs w:val="24"/>
        </w:rPr>
      </w:pPr>
      <w:r>
        <w:rPr>
          <w:rFonts w:ascii="Times New Roman" w:hAnsi="Times New Roman" w:eastAsia="黑体" w:cs="Times New Roman"/>
          <w:color w:val="auto"/>
          <w:sz w:val="24"/>
          <w:szCs w:val="24"/>
        </w:rPr>
        <w:t>五、试验设计</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（一）总体设计</w:t>
      </w:r>
      <w:r>
        <w:rPr>
          <w:rFonts w:hint="eastAsia" w:ascii="Times New Roman" w:hAnsi="Times New Roman" w:eastAsia="宋体" w:cs="Times New Roman"/>
          <w:color w:val="auto"/>
          <w:sz w:val="24"/>
          <w:szCs w:val="24"/>
        </w:rPr>
        <w:t>以</w:t>
      </w:r>
      <w:r>
        <w:rPr>
          <w:rFonts w:ascii="Times New Roman" w:hAnsi="Times New Roman" w:eastAsia="宋体" w:cs="Times New Roman"/>
          <w:color w:val="auto"/>
          <w:sz w:val="24"/>
          <w:szCs w:val="24"/>
        </w:rPr>
        <w:t>及确定依据</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（二）受试者选择</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1.入选标准</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2.排除标准</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3.受试者退出标准和程序</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（三）评价方法</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1.有效性评价</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（1）评价指标以及其观察目的、定义、观察时间点、测定方法、计算公式（如适用）、判定标准（适用于定性指标和等级指标）等。如适用，明确规定主要评价指标和次要评价指标。</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（2）确定依据</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2.安全性评价</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（1）评价指标以及其观察目的、定义、观察时间点、测定方法、计算公式（如适用）、判定标准（适用于定性指标和等级指标）等。如适用，明确规定主要评价指标和次要评价指标。</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（2）确定依据</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（四）试验医疗器械和对照医疗器械/对照诊疗方法（如适用）</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（五）试验流程</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1.试验流程图</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2.试验实施（方法、内容、步骤等）</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3.用械规范</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4.合并治疗（如用药）规范</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（六）偏倚控制措施</w:t>
      </w:r>
    </w:p>
    <w:p>
      <w:pPr>
        <w:pStyle w:val="20"/>
        <w:spacing w:line="560" w:lineRule="exact"/>
        <w:ind w:left="0" w:firstLine="480" w:firstLineChars="200"/>
        <w:rPr>
          <w:rFonts w:ascii="Times New Roman" w:hAnsi="Times New Roman" w:eastAsia="黑体" w:cs="Times New Roman"/>
          <w:color w:val="auto"/>
          <w:sz w:val="24"/>
          <w:szCs w:val="24"/>
        </w:rPr>
      </w:pPr>
      <w:r>
        <w:rPr>
          <w:rFonts w:ascii="Times New Roman" w:hAnsi="Times New Roman" w:eastAsia="黑体" w:cs="Times New Roman"/>
          <w:color w:val="auto"/>
          <w:sz w:val="24"/>
          <w:szCs w:val="24"/>
        </w:rPr>
        <w:t>六、统计学考虑</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（一）样本量估算</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1.计算公式、各参数取值（如显著性水平、把握度、预期脱落率、界值等）以及其确定依据，计算结果</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2.样本量分配以及其确定依据（如适用）</w:t>
      </w:r>
    </w:p>
    <w:p>
      <w:pPr>
        <w:pStyle w:val="23"/>
        <w:spacing w:after="0"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（二）分析数据集</w:t>
      </w:r>
    </w:p>
    <w:p>
      <w:pPr>
        <w:pStyle w:val="23"/>
        <w:spacing w:after="0"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（三）受试者剔除标准</w:t>
      </w:r>
    </w:p>
    <w:p>
      <w:pPr>
        <w:pStyle w:val="23"/>
        <w:spacing w:after="0"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（四）统计方法</w:t>
      </w:r>
    </w:p>
    <w:p>
      <w:pPr>
        <w:pStyle w:val="23"/>
        <w:spacing w:after="0"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（五）缺失值和异常值的处理</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七、监查计划</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八、数据管理</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九、风险受益分析</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十、临床试验的质量控制</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十一、临床试验的伦理问题</w:t>
      </w:r>
      <w:r>
        <w:rPr>
          <w:rFonts w:hint="eastAsia" w:ascii="黑体" w:hAnsi="黑体" w:eastAsia="黑体" w:cs="Times New Roman"/>
          <w:color w:val="auto"/>
          <w:sz w:val="24"/>
          <w:szCs w:val="24"/>
        </w:rPr>
        <w:t>以</w:t>
      </w:r>
      <w:r>
        <w:rPr>
          <w:rFonts w:ascii="黑体" w:hAnsi="黑体" w:eastAsia="黑体" w:cs="Times New Roman"/>
          <w:color w:val="auto"/>
          <w:sz w:val="24"/>
          <w:szCs w:val="24"/>
        </w:rPr>
        <w:t>及知情同意</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（一）伦理方面的考虑</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（二）知情同意过程</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十二、对不良事件和器械缺陷报告的规定</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（一）不良事件的定义和报告规定</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（二）器械缺陷</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（三）严重不良事件的定义</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（四）报告程序、联络人信息</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十三、临床试验方案的偏离与临床试验方案修正的规定</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十四、直接访问源数据、文件</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十五、临床试验报告</w:t>
      </w:r>
      <w:r>
        <w:rPr>
          <w:rFonts w:hint="eastAsia" w:ascii="黑体" w:hAnsi="黑体" w:eastAsia="黑体" w:cs="Times New Roman"/>
          <w:color w:val="auto"/>
          <w:sz w:val="24"/>
          <w:szCs w:val="24"/>
        </w:rPr>
        <w:t>应当</w:t>
      </w:r>
      <w:r>
        <w:rPr>
          <w:rFonts w:ascii="黑体" w:hAnsi="黑体" w:eastAsia="黑体" w:cs="Times New Roman"/>
          <w:color w:val="auto"/>
          <w:sz w:val="24"/>
          <w:szCs w:val="24"/>
        </w:rPr>
        <w:t>涵盖的内容</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十六、保密原则</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十七、各方承担的职责</w:t>
      </w:r>
    </w:p>
    <w:p>
      <w:pPr>
        <w:pStyle w:val="20"/>
        <w:spacing w:line="560" w:lineRule="exact"/>
        <w:ind w:left="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十八、其他需要说明的内容</w:t>
      </w:r>
    </w:p>
    <w:p>
      <w:pPr>
        <w:pStyle w:val="12"/>
        <w:spacing w:after="0"/>
        <w:ind w:left="0" w:leftChars="0"/>
        <w:rPr>
          <w:rFonts w:ascii="Times New Roman" w:hAnsi="Times New Roman" w:eastAsia="宋体" w:cs="Times New Roman"/>
          <w:b/>
          <w:color w:val="auto"/>
          <w:sz w:val="24"/>
          <w:szCs w:val="24"/>
        </w:rPr>
      </w:pPr>
      <w:r>
        <w:rPr>
          <w:rFonts w:ascii="Times New Roman" w:hAnsi="Times New Roman" w:eastAsia="黑体" w:cs="Times New Roman"/>
          <w:color w:val="auto"/>
          <w:sz w:val="24"/>
          <w:szCs w:val="24"/>
        </w:rPr>
        <w:t>研究者声明</w:t>
      </w:r>
    </w:p>
    <w:p>
      <w:pPr>
        <w:pStyle w:val="12"/>
        <w:spacing w:after="0"/>
        <w:ind w:left="0" w:leftChars="0" w:firstLine="480" w:firstLineChars="200"/>
        <w:rPr>
          <w:rFonts w:ascii="宋体" w:eastAsia="宋体" w:cs="Times New Roman"/>
          <w:color w:val="auto"/>
          <w:sz w:val="24"/>
          <w:szCs w:val="24"/>
        </w:rPr>
      </w:pPr>
      <w:r>
        <w:rPr>
          <w:rFonts w:ascii="宋体" w:eastAsia="宋体" w:cs="Times New Roman"/>
          <w:color w:val="auto"/>
          <w:sz w:val="24"/>
          <w:szCs w:val="24"/>
        </w:rPr>
        <w:t>我同意：</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1.严格按照赫尔辛基宣言、中国现行法规、以及试验方案的要求进行本次临床试验。</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2.将所要求的全部数据准确记录于病例报告表（CRF）中，配合完成临床试验报告。</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3.试验医疗器械仅用于本次临床试验，在临床试验过程中完整准确地记录试验医疗器械的接收和使用情况，并保存记录。</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4.允许申办者授权或派遣的监查员、稽查员和监管部门对该项临床试验进行监查、稽查和检查。</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5.严格履行各方签署的临床试验合同/协议条款。</w:t>
      </w:r>
    </w:p>
    <w:p>
      <w:pPr>
        <w:pStyle w:val="20"/>
        <w:spacing w:line="560" w:lineRule="exact"/>
        <w:ind w:left="0" w:firstLine="480" w:firstLineChars="200"/>
        <w:rPr>
          <w:rFonts w:ascii="Times New Roman" w:hAnsi="Times New Roman" w:eastAsia="宋体" w:cs="Times New Roman"/>
          <w:color w:val="auto"/>
          <w:sz w:val="24"/>
          <w:szCs w:val="24"/>
        </w:rPr>
      </w:pP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我已全部阅读了临床试验方案，包括以上的声明，我同意以上全部内容。</w:t>
      </w:r>
    </w:p>
    <w:tbl>
      <w:tblPr>
        <w:tblStyle w:val="27"/>
        <w:tblW w:w="7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0" w:hRule="atLeast"/>
          <w:jc w:val="center"/>
        </w:trPr>
        <w:tc>
          <w:tcPr>
            <w:tcW w:w="7920" w:type="dxa"/>
            <w:tcBorders>
              <w:top w:val="single" w:color="auto" w:sz="4" w:space="0"/>
              <w:left w:val="single" w:color="auto" w:sz="4" w:space="0"/>
              <w:bottom w:val="single" w:color="auto" w:sz="4" w:space="0"/>
              <w:right w:val="single" w:color="auto" w:sz="4" w:space="0"/>
            </w:tcBorders>
          </w:tcPr>
          <w:p>
            <w:pPr>
              <w:spacing w:before="50" w:after="50"/>
              <w:rPr>
                <w:rFonts w:ascii="宋体"/>
                <w:color w:val="auto"/>
                <w:sz w:val="24"/>
                <w:szCs w:val="24"/>
              </w:rPr>
            </w:pPr>
            <w:r>
              <w:rPr>
                <w:rFonts w:hint="eastAsia" w:ascii="宋体"/>
                <w:color w:val="auto"/>
                <w:sz w:val="24"/>
                <w:szCs w:val="24"/>
              </w:rPr>
              <w:t>主要研究者</w:t>
            </w:r>
          </w:p>
          <w:p>
            <w:pPr>
              <w:spacing w:before="50" w:after="50"/>
              <w:rPr>
                <w:rFonts w:ascii="宋体"/>
                <w:color w:val="auto"/>
                <w:sz w:val="24"/>
                <w:szCs w:val="24"/>
              </w:rPr>
            </w:pPr>
            <w:r>
              <w:rPr>
                <w:rFonts w:hint="eastAsia" w:ascii="宋体"/>
                <w:color w:val="auto"/>
                <w:sz w:val="24"/>
                <w:szCs w:val="24"/>
              </w:rPr>
              <w:t xml:space="preserve">                              签名</w:t>
            </w:r>
          </w:p>
          <w:p>
            <w:pPr>
              <w:spacing w:before="50" w:after="50"/>
              <w:ind w:left="5600" w:hanging="4800" w:hangingChars="2000"/>
              <w:rPr>
                <w:rFonts w:ascii="宋体"/>
                <w:color w:val="auto"/>
                <w:sz w:val="24"/>
                <w:szCs w:val="24"/>
              </w:rPr>
            </w:pPr>
            <w:r>
              <w:rPr>
                <w:rFonts w:hint="eastAsia" w:ascii="宋体"/>
                <w:color w:val="auto"/>
                <w:sz w:val="24"/>
                <w:szCs w:val="24"/>
              </w:rPr>
              <w:t>　　　　　　　　　　　　　　　年　　月　　日</w:t>
            </w:r>
          </w:p>
        </w:tc>
      </w:tr>
    </w:tbl>
    <w:p>
      <w:pPr>
        <w:spacing w:line="240" w:lineRule="exact"/>
        <w:rPr>
          <w:rFonts w:ascii="宋体"/>
          <w:color w:val="auto"/>
          <w:sz w:val="24"/>
          <w:szCs w:val="24"/>
        </w:rPr>
      </w:pPr>
    </w:p>
    <w:tbl>
      <w:tblPr>
        <w:tblStyle w:val="27"/>
        <w:tblW w:w="7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7920" w:type="dxa"/>
          </w:tcPr>
          <w:p>
            <w:pPr>
              <w:spacing w:before="50" w:after="50"/>
              <w:rPr>
                <w:rFonts w:ascii="宋体"/>
                <w:color w:val="auto"/>
                <w:sz w:val="24"/>
                <w:szCs w:val="24"/>
              </w:rPr>
            </w:pPr>
            <w:r>
              <w:rPr>
                <w:rFonts w:hint="eastAsia" w:ascii="宋体"/>
                <w:color w:val="auto"/>
                <w:sz w:val="24"/>
                <w:szCs w:val="24"/>
              </w:rPr>
              <w:t>医疗器械临床试验机构</w:t>
            </w:r>
          </w:p>
          <w:p>
            <w:pPr>
              <w:spacing w:before="50" w:after="50"/>
              <w:rPr>
                <w:rFonts w:ascii="宋体"/>
                <w:color w:val="auto"/>
                <w:sz w:val="24"/>
                <w:szCs w:val="24"/>
              </w:rPr>
            </w:pPr>
            <w:r>
              <w:rPr>
                <w:rFonts w:hint="eastAsia" w:ascii="宋体"/>
                <w:color w:val="auto"/>
                <w:sz w:val="24"/>
                <w:szCs w:val="24"/>
              </w:rPr>
              <w:t>　　　　　　　　　　　　　　　　　　　　　　　　　　　　　　　　　　　　　　</w:t>
            </w:r>
          </w:p>
          <w:p>
            <w:pPr>
              <w:spacing w:before="50" w:after="50"/>
              <w:ind w:left="5880" w:hanging="5040" w:hangingChars="2100"/>
              <w:rPr>
                <w:rFonts w:ascii="宋体"/>
                <w:color w:val="auto"/>
                <w:sz w:val="24"/>
                <w:szCs w:val="24"/>
              </w:rPr>
            </w:pPr>
            <w:r>
              <w:rPr>
                <w:rFonts w:hint="eastAsia" w:ascii="宋体"/>
                <w:color w:val="auto"/>
                <w:sz w:val="24"/>
                <w:szCs w:val="24"/>
              </w:rPr>
              <w:t>　　　　　　　　　　　　　　　 　签章</w:t>
            </w:r>
          </w:p>
          <w:p>
            <w:pPr>
              <w:spacing w:before="50" w:after="50"/>
              <w:rPr>
                <w:rFonts w:ascii="宋体"/>
                <w:color w:val="auto"/>
                <w:sz w:val="24"/>
                <w:szCs w:val="24"/>
              </w:rPr>
            </w:pPr>
            <w:r>
              <w:rPr>
                <w:rFonts w:hint="eastAsia" w:ascii="宋体"/>
                <w:color w:val="auto"/>
                <w:sz w:val="24"/>
                <w:szCs w:val="24"/>
              </w:rPr>
              <w:t>　　　　　　　　　　　　　　　　年　　月　　日　　</w:t>
            </w:r>
          </w:p>
        </w:tc>
      </w:tr>
    </w:tbl>
    <w:p>
      <w:pPr>
        <w:spacing w:line="240" w:lineRule="exact"/>
        <w:rPr>
          <w:rFonts w:ascii="宋体"/>
          <w:color w:val="auto"/>
          <w:sz w:val="24"/>
          <w:szCs w:val="24"/>
        </w:rPr>
      </w:pPr>
    </w:p>
    <w:tbl>
      <w:tblPr>
        <w:tblStyle w:val="27"/>
        <w:tblW w:w="7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jc w:val="center"/>
        </w:trPr>
        <w:tc>
          <w:tcPr>
            <w:tcW w:w="7932" w:type="dxa"/>
          </w:tcPr>
          <w:p>
            <w:pPr>
              <w:spacing w:before="50" w:after="50"/>
              <w:rPr>
                <w:rFonts w:hint="eastAsia" w:ascii="宋体"/>
                <w:color w:val="auto"/>
                <w:sz w:val="24"/>
                <w:szCs w:val="24"/>
              </w:rPr>
            </w:pPr>
            <w:r>
              <w:rPr>
                <w:rFonts w:hint="eastAsia" w:ascii="宋体"/>
                <w:color w:val="auto"/>
                <w:sz w:val="24"/>
                <w:szCs w:val="24"/>
              </w:rPr>
              <w:t>申办者　　　　　　　　　</w:t>
            </w:r>
          </w:p>
          <w:p>
            <w:pPr>
              <w:spacing w:before="50" w:after="50"/>
              <w:rPr>
                <w:rFonts w:ascii="宋体"/>
                <w:color w:val="auto"/>
                <w:sz w:val="24"/>
                <w:szCs w:val="24"/>
              </w:rPr>
            </w:pPr>
            <w:r>
              <w:rPr>
                <w:rFonts w:hint="eastAsia" w:ascii="宋体"/>
                <w:color w:val="auto"/>
                <w:sz w:val="24"/>
                <w:szCs w:val="24"/>
              </w:rPr>
              <w:t>　　　　　　　　　　　　　　　　　　　</w:t>
            </w:r>
          </w:p>
          <w:p>
            <w:pPr>
              <w:spacing w:before="50" w:after="50"/>
              <w:ind w:left="5880" w:hanging="5040" w:hangingChars="2100"/>
              <w:rPr>
                <w:rFonts w:ascii="宋体"/>
                <w:color w:val="auto"/>
                <w:sz w:val="24"/>
                <w:szCs w:val="24"/>
              </w:rPr>
            </w:pPr>
            <w:r>
              <w:rPr>
                <w:rFonts w:hint="eastAsia" w:ascii="宋体"/>
                <w:color w:val="auto"/>
                <w:sz w:val="24"/>
                <w:szCs w:val="24"/>
              </w:rPr>
              <w:t>　　　　　　　　　　　　　　　 　签章</w:t>
            </w:r>
          </w:p>
          <w:p>
            <w:pPr>
              <w:spacing w:before="50" w:after="50"/>
              <w:rPr>
                <w:rFonts w:ascii="宋体"/>
                <w:color w:val="auto"/>
                <w:sz w:val="24"/>
                <w:szCs w:val="24"/>
              </w:rPr>
            </w:pPr>
            <w:r>
              <w:rPr>
                <w:rFonts w:hint="eastAsia" w:ascii="宋体"/>
                <w:color w:val="auto"/>
                <w:sz w:val="24"/>
                <w:szCs w:val="24"/>
              </w:rPr>
              <w:t>　　　　　　　　　　　　　　　　年　　月　　日　　</w:t>
            </w:r>
          </w:p>
        </w:tc>
      </w:tr>
    </w:tbl>
    <w:p>
      <w:pPr>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906"/>
        <w:gridCol w:w="915"/>
        <w:gridCol w:w="3072"/>
        <w:gridCol w:w="2715"/>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36"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90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3072"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2715"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217"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3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0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3.0</w:t>
            </w:r>
          </w:p>
        </w:tc>
        <w:tc>
          <w:tcPr>
            <w:tcW w:w="91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3072" w:type="dxa"/>
            <w:vAlign w:val="center"/>
          </w:tcPr>
          <w:p>
            <w:pPr>
              <w:rPr>
                <w:rFonts w:hint="default" w:ascii="宋体" w:hAnsi="宋体" w:eastAsia="宋体" w:cs="宋体"/>
                <w:color w:val="auto"/>
                <w:lang w:val="en-US" w:eastAsia="zh-CN"/>
              </w:rPr>
            </w:pPr>
            <w:r>
              <w:rPr>
                <w:rFonts w:hint="eastAsia" w:ascii="宋体" w:hAnsi="宋体" w:eastAsia="宋体" w:cs="宋体"/>
                <w:color w:val="auto"/>
                <w:lang w:val="en-US" w:eastAsia="zh-CN"/>
              </w:rPr>
              <w:t>1.根据最新版药物和</w:t>
            </w:r>
            <w:r>
              <w:rPr>
                <w:rFonts w:hint="eastAsia" w:ascii="宋体" w:hAnsi="宋体" w:cs="宋体"/>
                <w:color w:val="auto"/>
                <w:lang w:val="en-US" w:eastAsia="zh-CN"/>
              </w:rPr>
              <w:t>器械</w:t>
            </w:r>
            <w:r>
              <w:rPr>
                <w:rFonts w:hint="eastAsia" w:ascii="宋体" w:hAnsi="宋体" w:eastAsia="宋体" w:cs="宋体"/>
                <w:color w:val="auto"/>
                <w:lang w:val="en-US" w:eastAsia="zh-CN"/>
              </w:rPr>
              <w:t>GCP</w:t>
            </w:r>
            <w:r>
              <w:rPr>
                <w:rFonts w:hint="eastAsia" w:ascii="宋体" w:hAnsi="宋体" w:cs="宋体"/>
                <w:color w:val="auto"/>
                <w:lang w:val="en-US" w:eastAsia="zh-CN"/>
              </w:rPr>
              <w:t>修订临床试验方案主要内容相关规定。</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2.为确保制度的严谨性，增加参考文献。</w:t>
            </w:r>
          </w:p>
        </w:tc>
        <w:tc>
          <w:tcPr>
            <w:tcW w:w="2715" w:type="dxa"/>
            <w:vAlign w:val="center"/>
          </w:tcPr>
          <w:p>
            <w:pPr>
              <w:rPr>
                <w:rFonts w:hint="default" w:ascii="宋体" w:hAnsi="宋体" w:eastAsia="宋体" w:cs="宋体"/>
                <w:color w:val="auto"/>
                <w:lang w:val="en-US" w:eastAsia="zh-CN"/>
              </w:rPr>
            </w:pPr>
            <w:r>
              <w:rPr>
                <w:rFonts w:hint="eastAsia" w:ascii="宋体" w:hAnsi="宋体" w:eastAsia="宋体" w:cs="宋体"/>
                <w:color w:val="auto"/>
                <w:lang w:val="en-US" w:eastAsia="zh-CN"/>
              </w:rPr>
              <w:t>1.</w:t>
            </w:r>
            <w:r>
              <w:rPr>
                <w:rFonts w:hint="eastAsia" w:ascii="宋体" w:hAnsi="宋体" w:cs="宋体"/>
                <w:color w:val="auto"/>
                <w:lang w:val="en-US" w:eastAsia="zh-CN"/>
              </w:rPr>
              <w:t>修订药物和医疗器械临床试验方案主要内容。</w:t>
            </w:r>
          </w:p>
          <w:p>
            <w:pPr>
              <w:rPr>
                <w:rFonts w:hint="eastAsia"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新增参考文献。</w:t>
            </w:r>
          </w:p>
          <w:p>
            <w:pPr>
              <w:rPr>
                <w:rFonts w:hint="eastAsia" w:ascii="宋体" w:hAnsi="宋体" w:eastAsia="宋体" w:cs="宋体"/>
                <w:color w:val="auto"/>
                <w:lang w:val="en-US" w:eastAsia="zh-CN"/>
              </w:rPr>
            </w:pPr>
          </w:p>
        </w:tc>
        <w:tc>
          <w:tcPr>
            <w:tcW w:w="1217" w:type="dxa"/>
            <w:vAlign w:val="center"/>
          </w:tcPr>
          <w:p>
            <w:pPr>
              <w:rPr>
                <w:rFonts w:hint="eastAsia" w:ascii="宋体" w:hAnsi="宋体" w:eastAsia="宋体" w:cs="宋体"/>
                <w:color w:val="auto"/>
                <w:lang w:val="en-US" w:eastAsia="zh-CN"/>
              </w:rPr>
            </w:pPr>
          </w:p>
        </w:tc>
      </w:tr>
    </w:tbl>
    <w:p>
      <w:pPr>
        <w:spacing w:line="360" w:lineRule="auto"/>
        <w:jc w:val="left"/>
        <w:rPr>
          <w:rFonts w:cs="宋体" w:asciiTheme="minorEastAsia" w:hAnsiTheme="minorEastAsia"/>
          <w:color w:val="auto"/>
          <w:kern w:val="0"/>
          <w:sz w:val="24"/>
          <w:szCs w:val="24"/>
        </w:rPr>
      </w:pPr>
    </w:p>
    <w:p>
      <w:pPr>
        <w:widowControl/>
        <w:spacing w:line="360" w:lineRule="auto"/>
        <w:ind w:firstLine="2479" w:firstLineChars="1029"/>
        <w:rPr>
          <w:rFonts w:cs="宋体" w:asciiTheme="majorEastAsia" w:hAnsiTheme="majorEastAsia" w:eastAsiaTheme="majorEastAsia"/>
          <w:b/>
          <w:color w:val="auto"/>
          <w:kern w:val="0"/>
          <w:sz w:val="24"/>
          <w:szCs w:val="24"/>
        </w:rPr>
      </w:pPr>
    </w:p>
    <w:p>
      <w:pPr>
        <w:widowControl/>
        <w:spacing w:line="360" w:lineRule="auto"/>
        <w:ind w:firstLine="2479" w:firstLineChars="1029"/>
        <w:rPr>
          <w:rFonts w:cs="宋体" w:asciiTheme="majorEastAsia" w:hAnsiTheme="majorEastAsia" w:eastAsiaTheme="majorEastAsia"/>
          <w:b/>
          <w:color w:val="auto"/>
          <w:kern w:val="0"/>
          <w:sz w:val="24"/>
          <w:szCs w:val="24"/>
        </w:rPr>
      </w:pPr>
    </w:p>
    <w:p>
      <w:pPr>
        <w:widowControl/>
        <w:spacing w:line="360" w:lineRule="auto"/>
        <w:ind w:firstLine="2479" w:firstLineChars="1029"/>
        <w:rPr>
          <w:rFonts w:cs="宋体" w:asciiTheme="majorEastAsia" w:hAnsiTheme="majorEastAsia" w:eastAsiaTheme="majorEastAsia"/>
          <w:b/>
          <w:color w:val="auto"/>
          <w:kern w:val="0"/>
          <w:sz w:val="24"/>
          <w:szCs w:val="24"/>
        </w:rPr>
      </w:pPr>
    </w:p>
    <w:p>
      <w:pPr>
        <w:widowControl/>
        <w:spacing w:line="360" w:lineRule="auto"/>
        <w:rPr>
          <w:rFonts w:cs="宋体" w:asciiTheme="majorEastAsia" w:hAnsiTheme="majorEastAsia" w:eastAsiaTheme="majorEastAsia"/>
          <w:b/>
          <w:color w:val="auto"/>
          <w:kern w:val="0"/>
          <w:sz w:val="24"/>
          <w:szCs w:val="24"/>
        </w:rPr>
      </w:pPr>
    </w:p>
    <w:p>
      <w:pPr>
        <w:widowControl/>
        <w:spacing w:line="360" w:lineRule="auto"/>
        <w:jc w:val="center"/>
        <w:rPr>
          <w:rFonts w:ascii="黑体" w:hAnsi="黑体" w:eastAsia="黑体" w:cs="黑体"/>
          <w:b/>
          <w:color w:val="auto"/>
          <w:kern w:val="0"/>
          <w:sz w:val="28"/>
          <w:szCs w:val="28"/>
        </w:rPr>
        <w:sectPr>
          <w:headerReference r:id="rId174" w:type="default"/>
          <w:footerReference r:id="rId175" w:type="default"/>
          <w:pgSz w:w="11906" w:h="16838"/>
          <w:pgMar w:top="1417" w:right="1191" w:bottom="1474" w:left="1474" w:header="0" w:footer="992" w:gutter="0"/>
          <w:pgBorders>
            <w:top w:val="none" w:sz="0" w:space="0"/>
            <w:left w:val="none" w:sz="0" w:space="0"/>
            <w:bottom w:val="none" w:sz="0" w:space="0"/>
            <w:right w:val="none" w:sz="0" w:space="0"/>
          </w:pgBorders>
          <w:pgNumType w:fmt="decimal"/>
          <w:cols w:space="0" w:num="1"/>
          <w:docGrid w:type="lines" w:linePitch="312" w:charSpace="0"/>
        </w:sectPr>
      </w:pPr>
    </w:p>
    <w:p>
      <w:pPr>
        <w:widowControl/>
        <w:spacing w:line="360" w:lineRule="auto"/>
        <w:jc w:val="center"/>
        <w:rPr>
          <w:rFonts w:ascii="黑体" w:hAnsi="黑体" w:eastAsia="黑体" w:cs="黑体"/>
          <w:b/>
          <w:color w:val="auto"/>
          <w:kern w:val="0"/>
          <w:sz w:val="28"/>
          <w:szCs w:val="28"/>
        </w:rPr>
      </w:pPr>
      <w:r>
        <w:rPr>
          <w:rFonts w:hint="eastAsia" w:ascii="黑体" w:hAnsi="黑体" w:eastAsia="黑体" w:cs="黑体"/>
          <w:b/>
          <w:color w:val="auto"/>
          <w:kern w:val="0"/>
          <w:sz w:val="28"/>
          <w:szCs w:val="28"/>
        </w:rPr>
        <w:t>病例报告表设计规范</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cs="宋体" w:asciiTheme="minorEastAsia" w:hAnsiTheme="minorEastAsia"/>
          <w:color w:val="auto"/>
          <w:kern w:val="0"/>
          <w:sz w:val="24"/>
          <w:szCs w:val="24"/>
        </w:rPr>
      </w:pPr>
      <w:r>
        <w:rPr>
          <w:rFonts w:cs="宋体" w:asciiTheme="minorEastAsia" w:hAnsiTheme="minorEastAsia"/>
          <w:color w:val="auto"/>
          <w:kern w:val="0"/>
          <w:sz w:val="24"/>
          <w:szCs w:val="24"/>
        </w:rPr>
        <w:t>病例报告表（case report form, CRF）</w:t>
      </w:r>
      <w:r>
        <w:rPr>
          <w:rFonts w:hint="eastAsia" w:cs="宋体" w:asciiTheme="minorEastAsia" w:hAnsiTheme="minorEastAsia"/>
          <w:color w:val="auto"/>
          <w:kern w:val="0"/>
          <w:sz w:val="24"/>
          <w:szCs w:val="24"/>
        </w:rPr>
        <w:t>，指按照试验方案要求设计，用以记录受试者相关信息的纸质或者电子文件。</w:t>
      </w:r>
      <w:r>
        <w:rPr>
          <w:rFonts w:cs="宋体" w:asciiTheme="minorEastAsia" w:hAnsiTheme="minorEastAsia"/>
          <w:color w:val="auto"/>
          <w:kern w:val="0"/>
          <w:sz w:val="24"/>
          <w:szCs w:val="24"/>
        </w:rPr>
        <w:t>是用以记录每例受试者在临床试验过程中主要临床资料的表格，是研究者记录试验数据的重要载体</w:t>
      </w:r>
      <w:r>
        <w:rPr>
          <w:rFonts w:hint="eastAsia" w:cs="宋体" w:asciiTheme="minorEastAsia" w:hAnsiTheme="minorEastAsia"/>
          <w:color w:val="auto"/>
          <w:kern w:val="0"/>
          <w:sz w:val="24"/>
          <w:szCs w:val="24"/>
          <w:lang w:eastAsia="zh-CN"/>
        </w:rPr>
        <w:t>。</w:t>
      </w:r>
      <w:r>
        <w:rPr>
          <w:rFonts w:cs="宋体" w:asciiTheme="minorEastAsia" w:hAnsiTheme="minorEastAsia"/>
          <w:color w:val="auto"/>
          <w:kern w:val="0"/>
          <w:sz w:val="24"/>
          <w:szCs w:val="24"/>
        </w:rPr>
        <w:t>每项临床试验开始前均应预先按临床试验方案设计CRF。设计科学的CRF是保证正确、完整、及时、合法记录试验数据的关键。CRF符合“科学性”和“易操作性”，并便于使用（填写、监查、稽查）。设计时应考虑以下内容：①临床试验流程；②研究人员的填写；③数据录入和分析；④监查员的审核。CRF应能收集试验方案要求的用于评价安全性和有效性资料的数据。不应收集与试验方案无关和/或研究无关的数据。凡发现有遗漏或多余的数据应注明理由。</w:t>
      </w:r>
      <w:r>
        <w:rPr>
          <w:rFonts w:hint="eastAsia" w:cs="宋体" w:asciiTheme="minorEastAsia" w:hAnsiTheme="minorEastAsia"/>
          <w:color w:val="auto"/>
          <w:kern w:val="0"/>
          <w:sz w:val="24"/>
          <w:szCs w:val="24"/>
        </w:rPr>
        <w:t>方案进行更改时，CRF应作相应的修改。</w:t>
      </w:r>
      <w:r>
        <w:rPr>
          <w:rFonts w:cs="宋体" w:asciiTheme="minorEastAsia" w:hAnsiTheme="minorEastAsia"/>
          <w:color w:val="auto"/>
          <w:kern w:val="0"/>
          <w:sz w:val="24"/>
          <w:szCs w:val="24"/>
        </w:rPr>
        <w:t>为保护受试者的隐私，设计病例报告表时应规定受试者姓名的填写方法，不应填写受试者全名，仅填写名字的拼音首写字母。应有每次随访结束后最后审核页上研究者签名和签署日期的位置。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一、目的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为加强对药物</w:t>
      </w:r>
      <w:r>
        <w:rPr>
          <w:rFonts w:hint="eastAsia" w:asciiTheme="minorEastAsia" w:hAnsiTheme="minorEastAsia" w:cstheme="minorEastAsia"/>
          <w:color w:val="auto"/>
          <w:sz w:val="24"/>
          <w:szCs w:val="24"/>
          <w:lang w:val="en-US" w:eastAsia="zh-CN"/>
        </w:rPr>
        <w:t>/医疗器械临床</w:t>
      </w:r>
      <w:r>
        <w:rPr>
          <w:rFonts w:hint="eastAsia" w:asciiTheme="minorEastAsia" w:hAnsiTheme="minorEastAsia" w:cstheme="minorEastAsia"/>
          <w:color w:val="auto"/>
          <w:sz w:val="24"/>
          <w:szCs w:val="24"/>
        </w:rPr>
        <w:t>研究的监督管理，保证药物</w:t>
      </w:r>
      <w:r>
        <w:rPr>
          <w:rFonts w:hint="eastAsia" w:asciiTheme="minorEastAsia" w:hAnsiTheme="minorEastAsia" w:cstheme="minorEastAsia"/>
          <w:color w:val="auto"/>
          <w:sz w:val="24"/>
          <w:szCs w:val="24"/>
          <w:lang w:val="en-US" w:eastAsia="zh-CN"/>
        </w:rPr>
        <w:t>/医疗器械临床试验</w:t>
      </w:r>
      <w:r>
        <w:rPr>
          <w:rFonts w:hint="eastAsia" w:asciiTheme="minorEastAsia" w:hAnsiTheme="minorEastAsia" w:cstheme="minorEastAsia"/>
          <w:color w:val="auto"/>
          <w:sz w:val="24"/>
          <w:szCs w:val="24"/>
        </w:rPr>
        <w:t>病</w:t>
      </w:r>
      <w:r>
        <w:rPr>
          <w:rFonts w:hint="eastAsia" w:asciiTheme="minorEastAsia" w:hAnsiTheme="minorEastAsia" w:cstheme="minorEastAsia"/>
          <w:color w:val="auto"/>
          <w:sz w:val="24"/>
          <w:szCs w:val="24"/>
          <w:lang w:val="en-US" w:eastAsia="zh-CN"/>
        </w:rPr>
        <w:t>例</w:t>
      </w:r>
      <w:r>
        <w:rPr>
          <w:rFonts w:hint="eastAsia" w:asciiTheme="minorEastAsia" w:hAnsiTheme="minorEastAsia" w:cstheme="minorEastAsia"/>
          <w:color w:val="auto"/>
          <w:sz w:val="24"/>
          <w:szCs w:val="24"/>
        </w:rPr>
        <w:t>报告表记录真实、规范、完整。提高药物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 xml:space="preserve">临床试验的质量，制订本规程。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二、范围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适用于本</w:t>
      </w:r>
      <w:r>
        <w:rPr>
          <w:rFonts w:hint="eastAsia" w:asciiTheme="minorEastAsia" w:hAnsiTheme="minorEastAsia" w:cstheme="minorEastAsia"/>
          <w:color w:val="auto"/>
          <w:sz w:val="24"/>
          <w:szCs w:val="24"/>
          <w:lang w:val="en-US" w:eastAsia="zh-CN"/>
        </w:rPr>
        <w:t>机构</w:t>
      </w:r>
      <w:r>
        <w:rPr>
          <w:rFonts w:hint="eastAsia" w:asciiTheme="minorEastAsia" w:hAnsiTheme="minorEastAsia" w:cstheme="minorEastAsia"/>
          <w:color w:val="auto"/>
          <w:sz w:val="24"/>
          <w:szCs w:val="24"/>
        </w:rPr>
        <w:t>进行的药物</w:t>
      </w:r>
      <w:r>
        <w:rPr>
          <w:rFonts w:hint="eastAsia" w:asciiTheme="minorEastAsia" w:hAnsiTheme="minorEastAsia" w:cstheme="minorEastAsia"/>
          <w:color w:val="auto"/>
          <w:sz w:val="24"/>
          <w:szCs w:val="24"/>
          <w:lang w:val="en-US" w:eastAsia="zh-CN"/>
        </w:rPr>
        <w:t>/医疗器械</w:t>
      </w:r>
      <w:r>
        <w:rPr>
          <w:rFonts w:hint="eastAsia" w:asciiTheme="minorEastAsia" w:hAnsiTheme="minorEastAsia" w:cstheme="minorEastAsia"/>
          <w:color w:val="auto"/>
          <w:sz w:val="24"/>
          <w:szCs w:val="24"/>
        </w:rPr>
        <w:t xml:space="preserve">临床试验病例报告表的记录。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outlineLvl w:val="9"/>
        <w:rPr>
          <w:rFonts w:hint="eastAsia" w:asciiTheme="minorEastAsia" w:hAnsiTheme="minorEastAsia" w:cstheme="minorEastAsia"/>
          <w:color w:val="auto"/>
          <w:sz w:val="24"/>
          <w:szCs w:val="24"/>
        </w:rPr>
      </w:pPr>
      <w:r>
        <w:rPr>
          <w:rFonts w:hint="eastAsia" w:asciiTheme="minorEastAsia" w:hAnsiTheme="minorEastAsia" w:cstheme="minorEastAsia"/>
          <w:color w:val="auto"/>
          <w:kern w:val="2"/>
          <w:sz w:val="24"/>
          <w:szCs w:val="24"/>
          <w:lang w:val="en-US" w:eastAsia="zh-CN" w:bidi="ar-SA"/>
        </w:rPr>
        <w:t>三</w:t>
      </w:r>
      <w:r>
        <w:rPr>
          <w:rFonts w:hint="eastAsia" w:asciiTheme="minorEastAsia" w:hAnsiTheme="minorEastAsia" w:eastAsiaTheme="minorEastAsia" w:cstheme="minorEastAsia"/>
          <w:color w:val="auto"/>
          <w:kern w:val="2"/>
          <w:sz w:val="24"/>
          <w:szCs w:val="24"/>
          <w:lang w:val="en-US" w:eastAsia="zh-CN" w:bidi="ar-SA"/>
        </w:rPr>
        <w:t>、</w:t>
      </w:r>
      <w:r>
        <w:rPr>
          <w:rFonts w:hint="eastAsia" w:asciiTheme="minorEastAsia" w:hAnsiTheme="minorEastAsia" w:cstheme="minorEastAsia"/>
          <w:color w:val="auto"/>
          <w:sz w:val="24"/>
          <w:szCs w:val="24"/>
        </w:rPr>
        <w:t>规程</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eastAsia="zh-CN"/>
        </w:rPr>
        <w:t>（</w:t>
      </w:r>
      <w:r>
        <w:rPr>
          <w:rFonts w:hint="eastAsia" w:cs="宋体" w:asciiTheme="minorEastAsia" w:hAnsiTheme="minorEastAsia"/>
          <w:color w:val="auto"/>
          <w:kern w:val="0"/>
          <w:sz w:val="24"/>
          <w:szCs w:val="24"/>
        </w:rPr>
        <w:t>一</w:t>
      </w:r>
      <w:r>
        <w:rPr>
          <w:rFonts w:hint="eastAsia" w:cs="宋体" w:asciiTheme="minorEastAsia" w:hAnsiTheme="minorEastAsia"/>
          <w:color w:val="auto"/>
          <w:kern w:val="0"/>
          <w:sz w:val="24"/>
          <w:szCs w:val="24"/>
          <w:lang w:eastAsia="zh-CN"/>
        </w:rPr>
        <w:t>）</w:t>
      </w:r>
      <w:r>
        <w:rPr>
          <w:rFonts w:cs="宋体" w:asciiTheme="minorEastAsia" w:hAnsiTheme="minorEastAsia"/>
          <w:color w:val="auto"/>
          <w:kern w:val="0"/>
          <w:sz w:val="24"/>
          <w:szCs w:val="24"/>
        </w:rPr>
        <w:t>CRF的格式与内容</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cs="宋体" w:asciiTheme="minorEastAsia" w:hAnsiTheme="minorEastAsia" w:eastAsiaTheme="minorEastAsia"/>
          <w:color w:val="auto"/>
          <w:kern w:val="0"/>
          <w:sz w:val="24"/>
          <w:szCs w:val="24"/>
          <w:lang w:eastAsia="zh-CN"/>
        </w:rPr>
      </w:pPr>
      <w:r>
        <w:rPr>
          <w:rFonts w:cs="宋体" w:asciiTheme="minorEastAsia" w:hAnsiTheme="minorEastAsia"/>
          <w:color w:val="auto"/>
          <w:kern w:val="0"/>
          <w:sz w:val="24"/>
          <w:szCs w:val="24"/>
        </w:rPr>
        <w:t>病例报告表的格式与内容因药物</w:t>
      </w:r>
      <w:r>
        <w:rPr>
          <w:rFonts w:hint="eastAsia" w:cs="宋体" w:asciiTheme="minorEastAsia" w:hAnsiTheme="minorEastAsia"/>
          <w:color w:val="auto"/>
          <w:kern w:val="0"/>
          <w:sz w:val="24"/>
          <w:szCs w:val="24"/>
          <w:lang w:val="en-US" w:eastAsia="zh-CN"/>
        </w:rPr>
        <w:t>或医疗器械</w:t>
      </w:r>
      <w:r>
        <w:rPr>
          <w:rFonts w:cs="宋体" w:asciiTheme="minorEastAsia" w:hAnsiTheme="minorEastAsia"/>
          <w:color w:val="auto"/>
          <w:kern w:val="0"/>
          <w:sz w:val="24"/>
          <w:szCs w:val="24"/>
        </w:rPr>
        <w:t>临床试验类别和目标适应症的不同而异，但其基本要求相似。</w:t>
      </w:r>
      <w:r>
        <w:rPr>
          <w:rFonts w:hint="eastAsia" w:cs="宋体" w:asciiTheme="minorEastAsia" w:hAnsiTheme="minorEastAsia"/>
          <w:color w:val="auto"/>
          <w:kern w:val="0"/>
          <w:sz w:val="24"/>
          <w:szCs w:val="24"/>
        </w:rPr>
        <w:t>申办者应当设计病例报告表并明确何种试验数据可作为源数据直接记录在病例报告表中。病例报告表应当清晰、简洁和前后一致。</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1.</w:t>
      </w:r>
      <w:r>
        <w:rPr>
          <w:rFonts w:cs="宋体" w:asciiTheme="minorEastAsia" w:hAnsiTheme="minorEastAsia"/>
          <w:color w:val="auto"/>
          <w:kern w:val="0"/>
          <w:sz w:val="24"/>
          <w:szCs w:val="24"/>
        </w:rPr>
        <w:t>封页：①标题、受试药通用名</w:t>
      </w:r>
      <w:r>
        <w:rPr>
          <w:rFonts w:hint="eastAsia" w:cs="宋体" w:asciiTheme="minorEastAsia" w:hAnsiTheme="minorEastAsia"/>
          <w:color w:val="auto"/>
          <w:kern w:val="0"/>
          <w:sz w:val="24"/>
          <w:szCs w:val="24"/>
          <w:lang w:val="en-US" w:eastAsia="zh-CN"/>
        </w:rPr>
        <w:t>/试验医疗器械名称</w:t>
      </w:r>
      <w:r>
        <w:rPr>
          <w:rFonts w:cs="宋体" w:asciiTheme="minorEastAsia" w:hAnsiTheme="minorEastAsia"/>
          <w:color w:val="auto"/>
          <w:kern w:val="0"/>
          <w:sz w:val="24"/>
          <w:szCs w:val="24"/>
        </w:rPr>
        <w:t>、研究类型；②页眉</w:t>
      </w:r>
      <w:r>
        <w:rPr>
          <w:rFonts w:hint="eastAsia" w:cs="宋体" w:asciiTheme="minorEastAsia" w:hAnsiTheme="minorEastAsia"/>
          <w:color w:val="auto"/>
          <w:kern w:val="0"/>
          <w:sz w:val="24"/>
          <w:szCs w:val="24"/>
          <w:lang w:val="en-US" w:eastAsia="zh-CN"/>
        </w:rPr>
        <w:t>和页脚：</w:t>
      </w:r>
      <w:r>
        <w:rPr>
          <w:rFonts w:hint="eastAsia" w:cs="宋体" w:asciiTheme="minorEastAsia" w:hAnsiTheme="minorEastAsia"/>
          <w:color w:val="auto"/>
          <w:kern w:val="0"/>
          <w:sz w:val="24"/>
          <w:szCs w:val="24"/>
        </w:rPr>
        <w:t>纸质CRF页眉通常包含方案版本号、研究中心ID-受试者ID、受试者姓名缩写、访视描述、访视序号,页脚通常包含CRF版本号和页码。纸质CRF每一页的方案版本号、研究中心ID-受试者ID、受试者姓名缩写应该一致。CRF的页码应连续的</w:t>
      </w:r>
      <w:r>
        <w:rPr>
          <w:rFonts w:hint="eastAsia" w:cs="宋体" w:asciiTheme="minorEastAsia" w:hAnsiTheme="minorEastAsia"/>
          <w:color w:val="auto"/>
          <w:kern w:val="0"/>
          <w:sz w:val="24"/>
          <w:szCs w:val="24"/>
          <w:lang w:eastAsia="zh-CN"/>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2</w:t>
      </w:r>
      <w:r>
        <w:rPr>
          <w:rFonts w:hint="eastAsia" w:cs="宋体" w:asciiTheme="minorEastAsia" w:hAnsiTheme="minorEastAsia"/>
          <w:color w:val="auto"/>
          <w:kern w:val="0"/>
          <w:sz w:val="24"/>
          <w:szCs w:val="24"/>
          <w:lang w:val="en-US" w:eastAsia="zh-CN"/>
        </w:rPr>
        <w:t>.</w:t>
      </w:r>
      <w:r>
        <w:rPr>
          <w:rFonts w:cs="宋体" w:asciiTheme="minorEastAsia" w:hAnsiTheme="minorEastAsia"/>
          <w:color w:val="auto"/>
          <w:kern w:val="0"/>
          <w:sz w:val="24"/>
          <w:szCs w:val="24"/>
        </w:rPr>
        <w:t>填表注意事项</w:t>
      </w:r>
      <w:r>
        <w:rPr>
          <w:rFonts w:hint="eastAsia" w:cs="宋体" w:asciiTheme="minorEastAsia" w:hAnsiTheme="minorEastAsia"/>
          <w:color w:val="auto"/>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3</w:t>
      </w:r>
      <w:r>
        <w:rPr>
          <w:rFonts w:hint="eastAsia" w:cs="宋体" w:asciiTheme="minorEastAsia" w:hAnsiTheme="minorEastAsia"/>
          <w:color w:val="auto"/>
          <w:kern w:val="0"/>
          <w:sz w:val="24"/>
          <w:szCs w:val="24"/>
          <w:lang w:val="en-US" w:eastAsia="zh-CN"/>
        </w:rPr>
        <w:t>.</w:t>
      </w:r>
      <w:r>
        <w:rPr>
          <w:rFonts w:cs="宋体" w:asciiTheme="minorEastAsia" w:hAnsiTheme="minorEastAsia"/>
          <w:color w:val="auto"/>
          <w:kern w:val="0"/>
          <w:sz w:val="24"/>
          <w:szCs w:val="24"/>
        </w:rPr>
        <w:t>试验流程表</w:t>
      </w:r>
      <w:r>
        <w:rPr>
          <w:rFonts w:hint="eastAsia" w:cs="宋体" w:asciiTheme="minorEastAsia" w:hAnsiTheme="minorEastAsia"/>
          <w:color w:val="auto"/>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4</w:t>
      </w:r>
      <w:r>
        <w:rPr>
          <w:rFonts w:hint="eastAsia" w:cs="宋体" w:asciiTheme="minorEastAsia" w:hAnsiTheme="minorEastAsia"/>
          <w:color w:val="auto"/>
          <w:kern w:val="0"/>
          <w:sz w:val="24"/>
          <w:szCs w:val="24"/>
          <w:lang w:val="en-US" w:eastAsia="zh-CN"/>
        </w:rPr>
        <w:t>.</w:t>
      </w:r>
      <w:r>
        <w:rPr>
          <w:rFonts w:cs="宋体" w:asciiTheme="minorEastAsia" w:hAnsiTheme="minorEastAsia"/>
          <w:color w:val="auto"/>
          <w:kern w:val="0"/>
          <w:sz w:val="24"/>
          <w:szCs w:val="24"/>
        </w:rPr>
        <w:t>受试者一般资料</w:t>
      </w:r>
      <w:r>
        <w:rPr>
          <w:rFonts w:hint="eastAsia" w:cs="宋体" w:asciiTheme="minorEastAsia" w:hAnsiTheme="minorEastAsia"/>
          <w:color w:val="auto"/>
          <w:kern w:val="0"/>
          <w:sz w:val="24"/>
          <w:szCs w:val="24"/>
          <w:lang w:eastAsia="zh-CN"/>
        </w:rPr>
        <w:t>，</w:t>
      </w:r>
      <w:r>
        <w:rPr>
          <w:rFonts w:cs="宋体" w:asciiTheme="minorEastAsia" w:hAnsiTheme="minorEastAsia"/>
          <w:color w:val="auto"/>
          <w:kern w:val="0"/>
          <w:sz w:val="24"/>
          <w:szCs w:val="24"/>
        </w:rPr>
        <w:t>含受试者联系方式</w:t>
      </w:r>
      <w:r>
        <w:rPr>
          <w:rFonts w:hint="eastAsia" w:cs="宋体" w:asciiTheme="minorEastAsia" w:hAnsiTheme="minorEastAsia"/>
          <w:color w:val="auto"/>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5</w:t>
      </w:r>
      <w:r>
        <w:rPr>
          <w:rFonts w:hint="eastAsia" w:cs="宋体" w:asciiTheme="minorEastAsia" w:hAnsiTheme="minorEastAsia"/>
          <w:color w:val="auto"/>
          <w:kern w:val="0"/>
          <w:sz w:val="24"/>
          <w:szCs w:val="24"/>
          <w:lang w:val="en-US" w:eastAsia="zh-CN"/>
        </w:rPr>
        <w:t>.</w:t>
      </w:r>
      <w:r>
        <w:rPr>
          <w:rFonts w:cs="宋体" w:asciiTheme="minorEastAsia" w:hAnsiTheme="minorEastAsia"/>
          <w:color w:val="auto"/>
          <w:kern w:val="0"/>
          <w:sz w:val="24"/>
          <w:szCs w:val="24"/>
        </w:rPr>
        <w:t>受试者入选标准</w:t>
      </w:r>
      <w:r>
        <w:rPr>
          <w:rFonts w:hint="eastAsia" w:cs="宋体" w:asciiTheme="minorEastAsia" w:hAnsiTheme="minorEastAsia"/>
          <w:color w:val="auto"/>
          <w:kern w:val="0"/>
          <w:sz w:val="24"/>
          <w:szCs w:val="24"/>
          <w:lang w:eastAsia="zh-CN"/>
        </w:rPr>
        <w:t>，</w:t>
      </w:r>
      <w:r>
        <w:rPr>
          <w:rFonts w:cs="宋体" w:asciiTheme="minorEastAsia" w:hAnsiTheme="minorEastAsia"/>
          <w:color w:val="auto"/>
          <w:kern w:val="0"/>
          <w:sz w:val="24"/>
          <w:szCs w:val="24"/>
        </w:rPr>
        <w:t>是否符合纳入标准及不符合任一条排除标准</w:t>
      </w:r>
      <w:r>
        <w:rPr>
          <w:rFonts w:hint="eastAsia" w:cs="宋体" w:asciiTheme="minorEastAsia" w:hAnsiTheme="minorEastAsia"/>
          <w:color w:val="auto"/>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6</w:t>
      </w:r>
      <w:r>
        <w:rPr>
          <w:rFonts w:hint="eastAsia" w:cs="宋体" w:asciiTheme="minorEastAsia" w:hAnsiTheme="minorEastAsia"/>
          <w:color w:val="auto"/>
          <w:kern w:val="0"/>
          <w:sz w:val="24"/>
          <w:szCs w:val="24"/>
          <w:lang w:val="en-US" w:eastAsia="zh-CN"/>
        </w:rPr>
        <w:t>.</w:t>
      </w:r>
      <w:r>
        <w:rPr>
          <w:rFonts w:cs="宋体" w:asciiTheme="minorEastAsia" w:hAnsiTheme="minorEastAsia"/>
          <w:color w:val="auto"/>
          <w:kern w:val="0"/>
          <w:sz w:val="24"/>
          <w:szCs w:val="24"/>
        </w:rPr>
        <w:t>各次临床及实验室检查访视表</w:t>
      </w:r>
      <w:r>
        <w:rPr>
          <w:rFonts w:hint="eastAsia" w:cs="宋体" w:asciiTheme="minorEastAsia" w:hAnsiTheme="minorEastAsia"/>
          <w:color w:val="auto"/>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7</w:t>
      </w:r>
      <w:r>
        <w:rPr>
          <w:rFonts w:hint="eastAsia" w:cs="宋体" w:asciiTheme="minorEastAsia" w:hAnsiTheme="minorEastAsia"/>
          <w:color w:val="auto"/>
          <w:kern w:val="0"/>
          <w:sz w:val="24"/>
          <w:szCs w:val="24"/>
          <w:lang w:val="en-US" w:eastAsia="zh-CN"/>
        </w:rPr>
        <w:t>.</w:t>
      </w:r>
      <w:r>
        <w:rPr>
          <w:rFonts w:cs="宋体" w:asciiTheme="minorEastAsia" w:hAnsiTheme="minorEastAsia"/>
          <w:color w:val="auto"/>
          <w:kern w:val="0"/>
          <w:sz w:val="24"/>
          <w:szCs w:val="24"/>
        </w:rPr>
        <w:t>各次</w:t>
      </w:r>
      <w:r>
        <w:rPr>
          <w:rFonts w:hint="eastAsia" w:cs="宋体" w:asciiTheme="minorEastAsia" w:hAnsiTheme="minorEastAsia"/>
          <w:color w:val="auto"/>
          <w:kern w:val="0"/>
          <w:sz w:val="24"/>
          <w:szCs w:val="24"/>
          <w:lang w:val="en-US" w:eastAsia="zh-CN"/>
        </w:rPr>
        <w:t>药物/医疗器械发放及</w:t>
      </w:r>
      <w:r>
        <w:rPr>
          <w:rFonts w:cs="宋体" w:asciiTheme="minorEastAsia" w:hAnsiTheme="minorEastAsia"/>
          <w:color w:val="auto"/>
          <w:kern w:val="0"/>
          <w:sz w:val="24"/>
          <w:szCs w:val="24"/>
        </w:rPr>
        <w:t>回收记录</w:t>
      </w:r>
      <w:r>
        <w:rPr>
          <w:rFonts w:hint="eastAsia" w:cs="宋体" w:asciiTheme="minorEastAsia" w:hAnsiTheme="minorEastAsia"/>
          <w:color w:val="auto"/>
          <w:kern w:val="0"/>
          <w:sz w:val="24"/>
          <w:szCs w:val="24"/>
          <w:lang w:eastAsia="zh-CN"/>
        </w:rPr>
        <w:t>，</w:t>
      </w:r>
      <w:r>
        <w:rPr>
          <w:rFonts w:cs="宋体" w:asciiTheme="minorEastAsia" w:hAnsiTheme="minorEastAsia"/>
          <w:color w:val="auto"/>
          <w:kern w:val="0"/>
          <w:sz w:val="24"/>
          <w:szCs w:val="24"/>
        </w:rPr>
        <w:t>包括已发放药物标签</w:t>
      </w:r>
      <w:r>
        <w:rPr>
          <w:rFonts w:hint="eastAsia" w:cs="宋体" w:asciiTheme="minorEastAsia" w:hAnsiTheme="minorEastAsia"/>
          <w:color w:val="auto"/>
          <w:kern w:val="0"/>
          <w:sz w:val="24"/>
          <w:szCs w:val="24"/>
          <w:lang w:val="en-US" w:eastAsia="zh-CN"/>
        </w:rPr>
        <w:t>/医疗器械</w:t>
      </w:r>
      <w:r>
        <w:rPr>
          <w:rFonts w:cs="宋体" w:asciiTheme="minorEastAsia" w:hAnsiTheme="minorEastAsia"/>
          <w:color w:val="auto"/>
          <w:kern w:val="0"/>
          <w:sz w:val="24"/>
          <w:szCs w:val="24"/>
        </w:rPr>
        <w:t>粘贴处</w:t>
      </w:r>
      <w:r>
        <w:rPr>
          <w:rFonts w:hint="eastAsia" w:cs="宋体" w:asciiTheme="minorEastAsia" w:hAnsiTheme="minorEastAsia"/>
          <w:color w:val="auto"/>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8</w:t>
      </w:r>
      <w:r>
        <w:rPr>
          <w:rFonts w:hint="eastAsia" w:cs="宋体" w:asciiTheme="minorEastAsia" w:hAnsiTheme="minorEastAsia"/>
          <w:color w:val="auto"/>
          <w:kern w:val="0"/>
          <w:sz w:val="24"/>
          <w:szCs w:val="24"/>
          <w:lang w:val="en-US" w:eastAsia="zh-CN"/>
        </w:rPr>
        <w:t>.</w:t>
      </w:r>
      <w:r>
        <w:rPr>
          <w:rFonts w:cs="宋体" w:asciiTheme="minorEastAsia" w:hAnsiTheme="minorEastAsia"/>
          <w:color w:val="auto"/>
          <w:kern w:val="0"/>
          <w:sz w:val="24"/>
          <w:szCs w:val="24"/>
        </w:rPr>
        <w:t>不良事件观察表</w:t>
      </w:r>
      <w:r>
        <w:rPr>
          <w:rFonts w:hint="eastAsia" w:cs="宋体" w:asciiTheme="minorEastAsia" w:hAnsiTheme="minorEastAsia"/>
          <w:color w:val="auto"/>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9</w:t>
      </w:r>
      <w:r>
        <w:rPr>
          <w:rFonts w:hint="eastAsia" w:cs="宋体" w:asciiTheme="minorEastAsia" w:hAnsiTheme="minorEastAsia"/>
          <w:color w:val="auto"/>
          <w:kern w:val="0"/>
          <w:sz w:val="24"/>
          <w:szCs w:val="24"/>
          <w:lang w:val="en-US" w:eastAsia="zh-CN"/>
        </w:rPr>
        <w:t>.</w:t>
      </w:r>
      <w:r>
        <w:rPr>
          <w:rFonts w:cs="宋体" w:asciiTheme="minorEastAsia" w:hAnsiTheme="minorEastAsia"/>
          <w:color w:val="auto"/>
          <w:kern w:val="0"/>
          <w:sz w:val="24"/>
          <w:szCs w:val="24"/>
        </w:rPr>
        <w:t>严重不良事件报告表</w:t>
      </w:r>
      <w:r>
        <w:rPr>
          <w:rFonts w:hint="eastAsia" w:cs="宋体" w:asciiTheme="minorEastAsia" w:hAnsiTheme="minorEastAsia"/>
          <w:color w:val="auto"/>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10</w:t>
      </w:r>
      <w:r>
        <w:rPr>
          <w:rFonts w:hint="eastAsia" w:cs="宋体" w:asciiTheme="minorEastAsia" w:hAnsiTheme="minorEastAsia"/>
          <w:color w:val="auto"/>
          <w:kern w:val="0"/>
          <w:sz w:val="24"/>
          <w:szCs w:val="24"/>
          <w:lang w:val="en-US" w:eastAsia="zh-CN"/>
        </w:rPr>
        <w:t>.</w:t>
      </w:r>
      <w:r>
        <w:rPr>
          <w:rFonts w:cs="宋体" w:asciiTheme="minorEastAsia" w:hAnsiTheme="minorEastAsia"/>
          <w:color w:val="auto"/>
          <w:kern w:val="0"/>
          <w:sz w:val="24"/>
          <w:szCs w:val="24"/>
        </w:rPr>
        <w:t>疗效及不良反应判断总表</w:t>
      </w:r>
      <w:r>
        <w:rPr>
          <w:rFonts w:hint="eastAsia" w:cs="宋体" w:asciiTheme="minorEastAsia" w:hAnsiTheme="minorEastAsia"/>
          <w:color w:val="auto"/>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11</w:t>
      </w:r>
      <w:r>
        <w:rPr>
          <w:rFonts w:hint="eastAsia" w:cs="宋体" w:asciiTheme="minorEastAsia" w:hAnsiTheme="minorEastAsia"/>
          <w:color w:val="auto"/>
          <w:kern w:val="0"/>
          <w:sz w:val="24"/>
          <w:szCs w:val="24"/>
          <w:lang w:val="en-US" w:eastAsia="zh-CN"/>
        </w:rPr>
        <w:t>.</w:t>
      </w:r>
      <w:r>
        <w:rPr>
          <w:rFonts w:cs="宋体" w:asciiTheme="minorEastAsia" w:hAnsiTheme="minorEastAsia"/>
          <w:color w:val="auto"/>
          <w:kern w:val="0"/>
          <w:sz w:val="24"/>
          <w:szCs w:val="24"/>
        </w:rPr>
        <w:t>主要研究者申明、申办单位监查员申明</w:t>
      </w:r>
      <w:r>
        <w:rPr>
          <w:rFonts w:hint="eastAsia" w:cs="宋体" w:asciiTheme="minorEastAsia" w:hAnsiTheme="minorEastAsia"/>
          <w:color w:val="auto"/>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rPr>
        <w:t>12</w:t>
      </w:r>
      <w:r>
        <w:rPr>
          <w:rFonts w:hint="eastAsia" w:cs="宋体" w:asciiTheme="minorEastAsia" w:hAnsiTheme="minorEastAsia"/>
          <w:color w:val="auto"/>
          <w:kern w:val="0"/>
          <w:sz w:val="24"/>
          <w:szCs w:val="24"/>
          <w:lang w:val="en-US" w:eastAsia="zh-CN"/>
        </w:rPr>
        <w:t>.</w:t>
      </w:r>
      <w:r>
        <w:rPr>
          <w:rFonts w:cs="宋体" w:asciiTheme="minorEastAsia" w:hAnsiTheme="minorEastAsia"/>
          <w:color w:val="auto"/>
          <w:kern w:val="0"/>
          <w:sz w:val="24"/>
          <w:szCs w:val="24"/>
        </w:rPr>
        <w:t>附页 附加说明前述表格中未能记录的内容</w:t>
      </w:r>
      <w:r>
        <w:rPr>
          <w:rFonts w:hint="eastAsia" w:cs="宋体" w:asciiTheme="minorEastAsia" w:hAnsiTheme="minorEastAsia"/>
          <w:color w:val="auto"/>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left"/>
        <w:textAlignment w:val="auto"/>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13</w:t>
      </w:r>
      <w:r>
        <w:rPr>
          <w:rFonts w:hint="eastAsia" w:cs="宋体" w:asciiTheme="minorEastAsia" w:hAnsiTheme="minorEastAsia"/>
          <w:color w:val="auto"/>
          <w:kern w:val="0"/>
          <w:sz w:val="24"/>
          <w:szCs w:val="24"/>
          <w:lang w:val="en-US" w:eastAsia="zh-CN"/>
        </w:rPr>
        <w:t>.</w:t>
      </w:r>
      <w:r>
        <w:rPr>
          <w:rFonts w:cs="宋体" w:asciiTheme="minorEastAsia" w:hAnsiTheme="minorEastAsia"/>
          <w:color w:val="auto"/>
          <w:kern w:val="0"/>
          <w:sz w:val="24"/>
          <w:szCs w:val="24"/>
        </w:rPr>
        <w:t>检查单及其它检查复印件或原件粘贴页</w:t>
      </w:r>
      <w:r>
        <w:rPr>
          <w:rFonts w:hint="eastAsia" w:cs="宋体" w:asciiTheme="minorEastAsia" w:hAnsiTheme="minorEastAsia"/>
          <w:color w:val="auto"/>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rPr>
        <w:t>14</w:t>
      </w:r>
      <w:r>
        <w:rPr>
          <w:rFonts w:hint="eastAsia" w:cs="宋体" w:asciiTheme="minorEastAsia" w:hAnsiTheme="minorEastAsia"/>
          <w:color w:val="auto"/>
          <w:kern w:val="0"/>
          <w:sz w:val="24"/>
          <w:szCs w:val="24"/>
          <w:lang w:val="en-US" w:eastAsia="zh-CN"/>
        </w:rPr>
        <w:t>.</w:t>
      </w:r>
      <w:r>
        <w:rPr>
          <w:rFonts w:cs="宋体" w:asciiTheme="minorEastAsia" w:hAnsiTheme="minorEastAsia"/>
          <w:color w:val="auto"/>
          <w:kern w:val="0"/>
          <w:sz w:val="24"/>
          <w:szCs w:val="24"/>
        </w:rPr>
        <w:t>封底</w:t>
      </w:r>
      <w:r>
        <w:rPr>
          <w:rFonts w:hint="eastAsia" w:cs="宋体" w:asciiTheme="minorEastAsia" w:hAnsiTheme="minorEastAsia"/>
          <w:color w:val="auto"/>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eastAsia="zh-CN"/>
        </w:rPr>
        <w:t>（</w:t>
      </w:r>
      <w:r>
        <w:rPr>
          <w:rFonts w:hint="eastAsia" w:cs="宋体" w:asciiTheme="minorEastAsia" w:hAnsiTheme="minorEastAsia"/>
          <w:color w:val="auto"/>
          <w:kern w:val="0"/>
          <w:sz w:val="24"/>
          <w:szCs w:val="24"/>
        </w:rPr>
        <w:t>二</w:t>
      </w:r>
      <w:r>
        <w:rPr>
          <w:rFonts w:hint="eastAsia" w:cs="宋体" w:asciiTheme="minorEastAsia" w:hAnsiTheme="minorEastAsia"/>
          <w:color w:val="auto"/>
          <w:kern w:val="0"/>
          <w:sz w:val="24"/>
          <w:szCs w:val="24"/>
          <w:lang w:eastAsia="zh-CN"/>
        </w:rPr>
        <w:t>）</w:t>
      </w:r>
      <w:r>
        <w:rPr>
          <w:rFonts w:cs="宋体" w:asciiTheme="minorEastAsia" w:hAnsiTheme="minorEastAsia"/>
          <w:color w:val="auto"/>
          <w:kern w:val="0"/>
          <w:sz w:val="24"/>
          <w:szCs w:val="24"/>
        </w:rPr>
        <w:t>CRF设计规范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rPr>
        <w:t>申办者应当设计病例报告表并明确何种试验数据可作为源数据直接记录在病例报告表中</w:t>
      </w:r>
      <w:r>
        <w:rPr>
          <w:rFonts w:hint="eastAsia" w:cs="宋体" w:asciiTheme="minorEastAsia" w:hAnsiTheme="minorEastAsia"/>
          <w:color w:val="auto"/>
          <w:kern w:val="0"/>
          <w:sz w:val="24"/>
          <w:szCs w:val="24"/>
          <w:lang w:eastAsia="zh-CN"/>
        </w:rPr>
        <w:t>，</w:t>
      </w:r>
      <w:r>
        <w:rPr>
          <w:rFonts w:cs="宋体" w:asciiTheme="minorEastAsia" w:hAnsiTheme="minorEastAsia"/>
          <w:color w:val="auto"/>
          <w:kern w:val="0"/>
          <w:sz w:val="24"/>
          <w:szCs w:val="24"/>
        </w:rPr>
        <w:t>并由临床试验各参研单位研究者共同讨论完善。</w:t>
      </w:r>
      <w:r>
        <w:rPr>
          <w:rFonts w:hint="eastAsia" w:cs="宋体" w:asciiTheme="minorEastAsia" w:hAnsiTheme="minorEastAsia"/>
          <w:color w:val="auto"/>
          <w:kern w:val="0"/>
          <w:sz w:val="24"/>
          <w:szCs w:val="24"/>
        </w:rPr>
        <w:t>病例报告表应当清晰、简洁和前后一致。</w:t>
      </w:r>
      <w:r>
        <w:rPr>
          <w:rFonts w:cs="宋体" w:asciiTheme="minorEastAsia" w:hAnsiTheme="minorEastAsia"/>
          <w:color w:val="auto"/>
          <w:kern w:val="0"/>
          <w:sz w:val="24"/>
          <w:szCs w:val="24"/>
        </w:rPr>
        <w:t>CRF应完整</w:t>
      </w:r>
      <w:r>
        <w:rPr>
          <w:rFonts w:hint="eastAsia" w:cs="宋体" w:asciiTheme="minorEastAsia" w:hAnsiTheme="minorEastAsia"/>
          <w:color w:val="auto"/>
          <w:kern w:val="0"/>
          <w:sz w:val="24"/>
          <w:szCs w:val="24"/>
        </w:rPr>
        <w:t>、</w:t>
      </w:r>
      <w:r>
        <w:rPr>
          <w:rFonts w:cs="宋体" w:asciiTheme="minorEastAsia" w:hAnsiTheme="minorEastAsia"/>
          <w:color w:val="auto"/>
          <w:kern w:val="0"/>
          <w:sz w:val="24"/>
          <w:szCs w:val="24"/>
        </w:rPr>
        <w:t>准确、简明、清晰，填写简便、省时，文字准确、无歧义，计量单位正确、清楚，专业术语规范，填写项目排序及流程图符合逻辑。若临床试验实施中发现CRF有错误、遗漏之处，应及时制定修改页，并通知各</w:t>
      </w:r>
      <w:r>
        <w:rPr>
          <w:rFonts w:hint="eastAsia" w:cs="宋体" w:asciiTheme="minorEastAsia" w:hAnsiTheme="minorEastAsia"/>
          <w:color w:val="auto"/>
          <w:kern w:val="0"/>
          <w:sz w:val="24"/>
          <w:szCs w:val="24"/>
        </w:rPr>
        <w:t>专业科室</w:t>
      </w:r>
      <w:r>
        <w:rPr>
          <w:rFonts w:cs="宋体" w:asciiTheme="minorEastAsia" w:hAnsiTheme="minorEastAsia"/>
          <w:color w:val="auto"/>
          <w:kern w:val="0"/>
          <w:sz w:val="24"/>
          <w:szCs w:val="24"/>
        </w:rPr>
        <w:t>研究者进行修正、补充。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三</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注意事项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设计</w:t>
      </w:r>
      <w:r>
        <w:rPr>
          <w:rFonts w:hint="eastAsia" w:ascii="宋体" w:hAnsi="宋体" w:eastAsia="宋体" w:cs="宋体"/>
          <w:color w:val="auto"/>
          <w:sz w:val="24"/>
          <w:szCs w:val="24"/>
        </w:rPr>
        <w:t>应界面友好，方便研究者、数据录入人员、数据库管理者、统计分析人员的使用，最好在设计时各方充分交流；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）注意格式，页面清晰可辨，字体大小和样式统一，填写栏/框大小适宜，易于填写；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）问题的设计、提示及说明清晰简洁，应避免双重否定，尽可能采用简单肯定句来提出问题；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）相似类型的问题使用相同的编码，且尽量使用国际标准编码；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）编码应按照顺序排列，尽量避免使用单个选择框，以区分“不选”还是“漏选”；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）应尽量避免画圈勾选答案的设计，</w:t>
      </w:r>
      <w:r>
        <w:rPr>
          <w:rFonts w:hint="eastAsia" w:ascii="宋体" w:hAnsi="宋体" w:eastAsia="宋体" w:cs="宋体"/>
          <w:color w:val="auto"/>
          <w:sz w:val="24"/>
          <w:szCs w:val="24"/>
          <w:lang w:val="en-US" w:eastAsia="zh-CN"/>
        </w:rPr>
        <w:t>可选</w:t>
      </w:r>
      <w:r>
        <w:rPr>
          <w:rFonts w:hint="eastAsia" w:ascii="宋体" w:hAnsi="宋体" w:eastAsia="宋体" w:cs="宋体"/>
          <w:color w:val="auto"/>
          <w:sz w:val="24"/>
          <w:szCs w:val="24"/>
        </w:rPr>
        <w:t>用复选框；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）每个问题或栏目之间使用醒目的标识隔开；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）尽量减少开放式问题和自由文本答案的设计；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）规定并明确测量单位；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）尽可能使用预编码答案，比如是/否，男/女等；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）同一个部分的表格最好不要跨页；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）如果一个问题的答案较复杂，化解成几个小的问题，以便于答案的收集。</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450" w:lineRule="atLeast"/>
        <w:ind w:left="0" w:leftChars="0" w:firstLine="0" w:firstLineChars="0"/>
        <w:jc w:val="left"/>
        <w:textAlignment w:val="auto"/>
        <w:rPr>
          <w:rFonts w:hint="eastAsia" w:asciiTheme="minorEastAsia" w:hAnsiTheme="minorEastAsia" w:eastAsiaTheme="minorEastAsia" w:cstheme="minorEastAsia"/>
          <w:b w:val="0"/>
          <w:bCs w:val="0"/>
          <w:color w:val="auto"/>
          <w:shd w:val="clear" w:color="auto" w:fill="FFFFFF"/>
        </w:rPr>
      </w:pPr>
      <w:r>
        <w:rPr>
          <w:rFonts w:hint="eastAsia" w:asciiTheme="minorEastAsia" w:hAnsiTheme="minorEastAsia" w:eastAsiaTheme="minorEastAsia" w:cstheme="minorEastAsia"/>
          <w:b w:val="0"/>
          <w:bCs w:val="0"/>
          <w:color w:val="auto"/>
          <w:shd w:val="clear" w:color="auto" w:fill="FFFFFF"/>
          <w:lang w:eastAsia="zh-CN"/>
        </w:rPr>
        <w:t>五、</w:t>
      </w:r>
      <w:r>
        <w:rPr>
          <w:rFonts w:hint="eastAsia" w:asciiTheme="minorEastAsia" w:hAnsiTheme="minorEastAsia" w:eastAsiaTheme="minorEastAsia" w:cstheme="minorEastAsia"/>
          <w:b w:val="0"/>
          <w:bCs w:val="0"/>
          <w:color w:val="auto"/>
          <w:shd w:val="clear" w:color="auto" w:fill="FFFFFF"/>
        </w:rPr>
        <w:t>参考文献</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[1]国家药监局 国家卫生健康委. 关于发布药物临床试验质量管理规范的公告（2020年第57号）[EB/OL].[2020-04-26]. https://www.nmpa.gov.cn/zhuanti/ypzhcglbf/ypzhcglbfzhcwj/20200426162401243.html.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 xml:space="preserve">[2]国家药品监督管理局，国家卫生健康委员会. 关于发布《医疗器械临床试验质量管理规范》的公告（2022年第28号）.[2022-03-31]. </w:t>
      </w:r>
      <w:r>
        <w:rPr>
          <w:rFonts w:hint="eastAsia" w:asciiTheme="minorEastAsia" w:hAnsiTheme="minorEastAsia" w:eastAsiaTheme="minorEastAsia" w:cstheme="minorEastAsia"/>
          <w:color w:val="auto"/>
          <w:u w:val="none"/>
          <w:shd w:val="clear" w:color="auto" w:fill="FFFFFF"/>
        </w:rPr>
        <w:t>https://www.nmpa.gov.cn/xxgk/ggtg/qtggtg/20220331144903101.html.</w:t>
      </w:r>
    </w:p>
    <w:p>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450" w:lineRule="atLeast"/>
        <w:ind w:left="0" w:leftChars="0" w:firstLine="0" w:firstLineChars="0"/>
        <w:textAlignment w:val="auto"/>
        <w:rPr>
          <w:rFonts w:hint="eastAsia"/>
          <w:color w:val="auto"/>
        </w:rPr>
      </w:pPr>
      <w:r>
        <w:rPr>
          <w:rFonts w:hint="eastAsia" w:asciiTheme="minorEastAsia" w:hAnsiTheme="minorEastAsia" w:eastAsiaTheme="minorEastAsia" w:cstheme="minorEastAsia"/>
          <w:color w:val="auto"/>
          <w:shd w:val="clear" w:color="auto" w:fill="FFFFFF"/>
        </w:rPr>
        <w:t>[</w:t>
      </w:r>
      <w:r>
        <w:rPr>
          <w:rFonts w:hint="eastAsia" w:asciiTheme="minorEastAsia" w:hAnsiTheme="minorEastAsia" w:eastAsiaTheme="minorEastAsia" w:cstheme="minorEastAsia"/>
          <w:color w:val="auto"/>
          <w:shd w:val="clear" w:color="auto" w:fill="FFFFFF"/>
          <w:lang w:val="en-US" w:eastAsia="zh-CN"/>
        </w:rPr>
        <w:t>3</w:t>
      </w:r>
      <w:r>
        <w:rPr>
          <w:rFonts w:hint="eastAsia" w:asciiTheme="minorEastAsia" w:hAnsiTheme="minorEastAsia" w:eastAsiaTheme="minorEastAsia" w:cstheme="minorEastAsia"/>
          <w:color w:val="auto"/>
          <w:shd w:val="clear" w:color="auto" w:fill="FFFFFF"/>
        </w:rPr>
        <w:t>]国家药监局</w:t>
      </w:r>
      <w:r>
        <w:rPr>
          <w:rFonts w:hint="eastAsia" w:asciiTheme="minorEastAsia" w:hAnsiTheme="minorEastAsia" w:eastAsiaTheme="minorEastAsia" w:cstheme="minorEastAsia"/>
          <w:color w:val="auto"/>
          <w:shd w:val="clear" w:color="auto" w:fill="FFFFFF"/>
          <w:lang w:val="en-US" w:eastAsia="zh-CN"/>
        </w:rPr>
        <w:t xml:space="preserve">. </w:t>
      </w:r>
      <w:r>
        <w:rPr>
          <w:rFonts w:hint="eastAsia" w:asciiTheme="minorEastAsia" w:hAnsiTheme="minorEastAsia" w:eastAsiaTheme="minorEastAsia" w:cstheme="minorEastAsia"/>
          <w:color w:val="auto"/>
          <w:shd w:val="clear" w:color="auto" w:fill="FFFFFF"/>
        </w:rPr>
        <w:t>关于发布药物临床试验必备文件保存指导原则的通告（2020年第37号）</w:t>
      </w:r>
      <w:r>
        <w:rPr>
          <w:rFonts w:hint="eastAsia" w:asciiTheme="minorEastAsia" w:hAnsiTheme="minorEastAsia" w:eastAsiaTheme="minorEastAsia" w:cstheme="minorEastAsia"/>
          <w:color w:val="auto"/>
          <w:shd w:val="clear" w:color="auto" w:fill="FFFFFF"/>
          <w:lang w:val="en-US" w:eastAsia="zh-CN"/>
        </w:rPr>
        <w:t>.[2020-06-08]. https://www.nmpa.gov.cn/yaopin/ypggtg/ypqtgg/20200608094301326.html.</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5"/>
        <w:gridCol w:w="906"/>
        <w:gridCol w:w="915"/>
        <w:gridCol w:w="3397"/>
        <w:gridCol w:w="2391"/>
        <w:gridCol w:w="12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35"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90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3397"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2391"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204"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3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0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3.0</w:t>
            </w:r>
          </w:p>
        </w:tc>
        <w:tc>
          <w:tcPr>
            <w:tcW w:w="91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3397" w:type="dxa"/>
            <w:vAlign w:val="center"/>
          </w:tcPr>
          <w:p>
            <w:pPr>
              <w:rPr>
                <w:rFonts w:hint="default" w:ascii="宋体" w:hAnsi="宋体" w:eastAsia="宋体" w:cs="宋体"/>
                <w:color w:val="auto"/>
                <w:lang w:val="en-US" w:eastAsia="zh-CN"/>
              </w:rPr>
            </w:pPr>
            <w:r>
              <w:rPr>
                <w:rFonts w:hint="eastAsia" w:ascii="宋体" w:hAnsi="宋体" w:eastAsia="宋体" w:cs="宋体"/>
                <w:color w:val="auto"/>
                <w:lang w:val="en-US" w:eastAsia="zh-CN"/>
              </w:rPr>
              <w:t>1.根据最新版GCP的要求的实际工作需要，修订规程。</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2.为确保制度的严谨性，增加参考文献。</w:t>
            </w:r>
          </w:p>
        </w:tc>
        <w:tc>
          <w:tcPr>
            <w:tcW w:w="2391" w:type="dxa"/>
            <w:vAlign w:val="center"/>
          </w:tcPr>
          <w:p>
            <w:pPr>
              <w:rPr>
                <w:rFonts w:hint="default" w:ascii="宋体" w:hAnsi="宋体" w:eastAsia="宋体" w:cs="宋体"/>
                <w:color w:val="auto"/>
                <w:lang w:val="en-US" w:eastAsia="zh-CN"/>
              </w:rPr>
            </w:pPr>
            <w:r>
              <w:rPr>
                <w:rFonts w:hint="eastAsia"/>
                <w:color w:val="auto"/>
                <w:lang w:val="en-US" w:eastAsia="zh-CN"/>
              </w:rPr>
              <w:t>1.</w:t>
            </w:r>
            <w:r>
              <w:rPr>
                <w:rFonts w:hint="eastAsia" w:ascii="宋体" w:hAnsi="宋体" w:eastAsia="宋体" w:cs="宋体"/>
                <w:color w:val="auto"/>
                <w:lang w:val="en-US" w:eastAsia="zh-CN"/>
              </w:rPr>
              <w:t>修订对病例报告表格式的相关规定，增加“注意事项”内容。</w:t>
            </w:r>
          </w:p>
          <w:p>
            <w:pPr>
              <w:rPr>
                <w:rFonts w:hint="default"/>
                <w:color w:val="auto"/>
                <w:lang w:val="en-US" w:eastAsia="zh-CN"/>
              </w:rPr>
            </w:pPr>
            <w:r>
              <w:rPr>
                <w:rFonts w:hint="eastAsia" w:ascii="宋体" w:hAnsi="宋体" w:eastAsia="宋体" w:cs="宋体"/>
                <w:color w:val="auto"/>
                <w:lang w:val="en-US" w:eastAsia="zh-CN"/>
              </w:rPr>
              <w:t>2.新增参考文献。</w:t>
            </w:r>
          </w:p>
        </w:tc>
        <w:tc>
          <w:tcPr>
            <w:tcW w:w="1204" w:type="dxa"/>
            <w:vAlign w:val="center"/>
          </w:tcPr>
          <w:p>
            <w:pPr>
              <w:jc w:val="left"/>
              <w:rPr>
                <w:rFonts w:hint="default" w:ascii="宋体" w:hAnsi="宋体" w:eastAsia="宋体" w:cs="宋体"/>
                <w:color w:val="auto"/>
                <w:lang w:val="en-US" w:eastAsia="zh-CN"/>
              </w:rPr>
            </w:pPr>
          </w:p>
        </w:tc>
      </w:tr>
    </w:tbl>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cs="宋体" w:asciiTheme="majorEastAsia" w:hAnsiTheme="majorEastAsia" w:eastAsiaTheme="majorEastAsia"/>
          <w:b/>
          <w:color w:val="auto"/>
          <w:kern w:val="0"/>
          <w:sz w:val="24"/>
          <w:szCs w:val="24"/>
        </w:rPr>
      </w:pPr>
    </w:p>
    <w:p>
      <w:pPr>
        <w:widowControl/>
        <w:spacing w:line="360" w:lineRule="auto"/>
        <w:ind w:firstLine="3070" w:firstLineChars="1274"/>
        <w:rPr>
          <w:rFonts w:cs="宋体" w:asciiTheme="majorEastAsia" w:hAnsiTheme="majorEastAsia" w:eastAsiaTheme="majorEastAsia"/>
          <w:b/>
          <w:color w:val="auto"/>
          <w:kern w:val="0"/>
          <w:sz w:val="24"/>
          <w:szCs w:val="24"/>
        </w:rPr>
      </w:pPr>
    </w:p>
    <w:p>
      <w:pPr>
        <w:widowControl/>
        <w:spacing w:line="360" w:lineRule="auto"/>
        <w:ind w:firstLine="3070" w:firstLineChars="1274"/>
        <w:rPr>
          <w:rFonts w:cs="宋体" w:asciiTheme="majorEastAsia" w:hAnsiTheme="majorEastAsia" w:eastAsiaTheme="majorEastAsia"/>
          <w:b/>
          <w:color w:val="auto"/>
          <w:kern w:val="0"/>
          <w:sz w:val="24"/>
          <w:szCs w:val="24"/>
        </w:rPr>
      </w:pPr>
    </w:p>
    <w:p>
      <w:pPr>
        <w:widowControl/>
        <w:spacing w:line="360" w:lineRule="auto"/>
        <w:ind w:firstLine="3070" w:firstLineChars="1274"/>
        <w:rPr>
          <w:rFonts w:cs="宋体" w:asciiTheme="majorEastAsia" w:hAnsiTheme="majorEastAsia" w:eastAsiaTheme="majorEastAsia"/>
          <w:b/>
          <w:color w:val="auto"/>
          <w:kern w:val="0"/>
          <w:sz w:val="24"/>
          <w:szCs w:val="24"/>
        </w:rPr>
      </w:pPr>
    </w:p>
    <w:p>
      <w:pPr>
        <w:widowControl/>
        <w:spacing w:line="360" w:lineRule="auto"/>
        <w:ind w:firstLine="3070" w:firstLineChars="1274"/>
        <w:rPr>
          <w:rFonts w:cs="宋体" w:asciiTheme="majorEastAsia" w:hAnsiTheme="majorEastAsia" w:eastAsiaTheme="majorEastAsia"/>
          <w:b/>
          <w:color w:val="auto"/>
          <w:kern w:val="0"/>
          <w:sz w:val="24"/>
          <w:szCs w:val="24"/>
        </w:rPr>
      </w:pPr>
    </w:p>
    <w:p>
      <w:pPr>
        <w:widowControl/>
        <w:spacing w:line="360" w:lineRule="auto"/>
        <w:ind w:firstLine="3070" w:firstLineChars="1274"/>
        <w:rPr>
          <w:rFonts w:cs="宋体" w:asciiTheme="majorEastAsia" w:hAnsiTheme="majorEastAsia" w:eastAsiaTheme="majorEastAsia"/>
          <w:b/>
          <w:color w:val="auto"/>
          <w:kern w:val="0"/>
          <w:sz w:val="24"/>
          <w:szCs w:val="24"/>
        </w:rPr>
      </w:pPr>
    </w:p>
    <w:p>
      <w:pPr>
        <w:widowControl/>
        <w:spacing w:line="360" w:lineRule="auto"/>
        <w:ind w:firstLine="3070" w:firstLineChars="1274"/>
        <w:rPr>
          <w:rFonts w:cs="宋体" w:asciiTheme="majorEastAsia" w:hAnsiTheme="majorEastAsia" w:eastAsiaTheme="majorEastAsia"/>
          <w:b/>
          <w:color w:val="auto"/>
          <w:kern w:val="0"/>
          <w:sz w:val="24"/>
          <w:szCs w:val="24"/>
        </w:rPr>
      </w:pPr>
    </w:p>
    <w:p>
      <w:pPr>
        <w:widowControl/>
        <w:spacing w:line="360" w:lineRule="auto"/>
        <w:ind w:firstLine="3070" w:firstLineChars="1274"/>
        <w:rPr>
          <w:rFonts w:cs="宋体" w:asciiTheme="majorEastAsia" w:hAnsiTheme="majorEastAsia" w:eastAsiaTheme="majorEastAsia"/>
          <w:b/>
          <w:color w:val="auto"/>
          <w:kern w:val="0"/>
          <w:sz w:val="24"/>
          <w:szCs w:val="24"/>
        </w:rPr>
      </w:pPr>
    </w:p>
    <w:p>
      <w:pPr>
        <w:widowControl/>
        <w:spacing w:line="360" w:lineRule="auto"/>
        <w:ind w:firstLine="3070" w:firstLineChars="1274"/>
        <w:rPr>
          <w:rFonts w:cs="宋体" w:asciiTheme="majorEastAsia" w:hAnsiTheme="majorEastAsia" w:eastAsiaTheme="majorEastAsia"/>
          <w:b/>
          <w:color w:val="auto"/>
          <w:kern w:val="0"/>
          <w:sz w:val="24"/>
          <w:szCs w:val="24"/>
        </w:rPr>
      </w:pPr>
    </w:p>
    <w:p>
      <w:pPr>
        <w:widowControl/>
        <w:spacing w:line="360" w:lineRule="auto"/>
        <w:ind w:firstLine="3070" w:firstLineChars="1274"/>
        <w:rPr>
          <w:rFonts w:cs="宋体" w:asciiTheme="majorEastAsia" w:hAnsiTheme="majorEastAsia" w:eastAsiaTheme="majorEastAsia"/>
          <w:b/>
          <w:color w:val="auto"/>
          <w:kern w:val="0"/>
          <w:sz w:val="24"/>
          <w:szCs w:val="24"/>
        </w:rPr>
      </w:pPr>
    </w:p>
    <w:p>
      <w:pPr>
        <w:widowControl/>
        <w:spacing w:line="360" w:lineRule="auto"/>
        <w:ind w:firstLine="3070" w:firstLineChars="1274"/>
        <w:rPr>
          <w:rFonts w:cs="宋体" w:asciiTheme="majorEastAsia" w:hAnsiTheme="majorEastAsia" w:eastAsiaTheme="majorEastAsia"/>
          <w:b/>
          <w:color w:val="auto"/>
          <w:kern w:val="0"/>
          <w:sz w:val="24"/>
          <w:szCs w:val="24"/>
        </w:rPr>
      </w:pPr>
    </w:p>
    <w:p>
      <w:pPr>
        <w:widowControl/>
        <w:spacing w:line="360" w:lineRule="auto"/>
        <w:ind w:firstLine="3070" w:firstLineChars="1274"/>
        <w:rPr>
          <w:rFonts w:cs="宋体" w:asciiTheme="majorEastAsia" w:hAnsiTheme="majorEastAsia" w:eastAsiaTheme="majorEastAsia"/>
          <w:b/>
          <w:color w:val="auto"/>
          <w:kern w:val="0"/>
          <w:sz w:val="24"/>
          <w:szCs w:val="24"/>
        </w:rPr>
      </w:pPr>
    </w:p>
    <w:p>
      <w:pPr>
        <w:widowControl/>
        <w:spacing w:line="360" w:lineRule="auto"/>
        <w:jc w:val="center"/>
        <w:rPr>
          <w:rFonts w:ascii="黑体" w:hAnsi="黑体" w:eastAsia="黑体" w:cs="黑体"/>
          <w:b/>
          <w:color w:val="auto"/>
          <w:kern w:val="0"/>
          <w:sz w:val="28"/>
          <w:szCs w:val="28"/>
        </w:rPr>
        <w:sectPr>
          <w:headerReference r:id="rId176" w:type="default"/>
          <w:footerReference r:id="rId177"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widowControl/>
        <w:spacing w:line="360" w:lineRule="auto"/>
        <w:jc w:val="center"/>
        <w:rPr>
          <w:rFonts w:ascii="黑体" w:hAnsi="黑体" w:eastAsia="黑体" w:cs="黑体"/>
          <w:b/>
          <w:bCs w:val="0"/>
          <w:color w:val="auto"/>
          <w:kern w:val="0"/>
          <w:sz w:val="28"/>
          <w:szCs w:val="28"/>
        </w:rPr>
      </w:pPr>
      <w:r>
        <w:rPr>
          <w:rFonts w:hint="eastAsia" w:ascii="黑体" w:hAnsi="黑体" w:eastAsia="黑体" w:cs="黑体"/>
          <w:b/>
          <w:bCs w:val="0"/>
          <w:color w:val="auto"/>
          <w:kern w:val="0"/>
          <w:sz w:val="28"/>
          <w:szCs w:val="28"/>
        </w:rPr>
        <w:t>知情同意书设计规范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cs="宋体" w:asciiTheme="minorEastAsia" w:hAnsiTheme="minorEastAsia"/>
          <w:color w:val="auto"/>
          <w:kern w:val="0"/>
          <w:sz w:val="24"/>
          <w:szCs w:val="24"/>
        </w:rPr>
      </w:pPr>
      <w:r>
        <w:rPr>
          <w:rFonts w:cs="宋体" w:asciiTheme="minorEastAsia" w:hAnsiTheme="minorEastAsia"/>
          <w:color w:val="auto"/>
          <w:kern w:val="0"/>
          <w:sz w:val="24"/>
          <w:szCs w:val="24"/>
        </w:rPr>
        <w:t>知情同意（Informed Consent），指向受试者告知一项试验的各方面情况后，受试者自愿确认其同意参加该项临床试验的过程，须以签名和注明日期的知情同意书作为文件证明。</w:t>
      </w:r>
      <w:r>
        <w:rPr>
          <w:rFonts w:hint="eastAsia" w:cs="宋体" w:asciiTheme="minorEastAsia" w:hAnsiTheme="minorEastAsia"/>
          <w:color w:val="auto"/>
          <w:kern w:val="0"/>
          <w:sz w:val="24"/>
          <w:szCs w:val="24"/>
        </w:rPr>
        <w:t xml:space="preserve">     </w:t>
      </w: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rPr>
        <w:t>一、</w:t>
      </w:r>
      <w:r>
        <w:rPr>
          <w:rFonts w:cs="宋体" w:asciiTheme="minorEastAsia" w:hAnsiTheme="minorEastAsia"/>
          <w:color w:val="auto"/>
          <w:kern w:val="0"/>
          <w:sz w:val="24"/>
          <w:szCs w:val="24"/>
        </w:rPr>
        <w:t>知情同意书设计要求：</w:t>
      </w: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eastAsia="zh-CN"/>
        </w:rPr>
        <w:t>（</w:t>
      </w:r>
      <w:r>
        <w:rPr>
          <w:rFonts w:hint="eastAsia" w:cs="宋体" w:asciiTheme="minorEastAsia" w:hAnsiTheme="minorEastAsia"/>
          <w:color w:val="auto"/>
          <w:kern w:val="0"/>
          <w:sz w:val="24"/>
          <w:szCs w:val="24"/>
          <w:lang w:val="en-US" w:eastAsia="zh-CN"/>
        </w:rPr>
        <w:t>一</w:t>
      </w:r>
      <w:r>
        <w:rPr>
          <w:rFonts w:hint="eastAsia" w:cs="宋体" w:asciiTheme="minorEastAsia" w:hAnsiTheme="minorEastAsia"/>
          <w:color w:val="auto"/>
          <w:kern w:val="0"/>
          <w:sz w:val="24"/>
          <w:szCs w:val="24"/>
          <w:lang w:eastAsia="zh-CN"/>
        </w:rPr>
        <w:t>）</w:t>
      </w:r>
      <w:r>
        <w:rPr>
          <w:rFonts w:cs="宋体" w:asciiTheme="minorEastAsia" w:hAnsiTheme="minorEastAsia"/>
          <w:color w:val="auto"/>
          <w:kern w:val="0"/>
          <w:sz w:val="24"/>
          <w:szCs w:val="24"/>
        </w:rPr>
        <w:t>书面文字应通俗易懂，不使用过分技术性的语言；</w:t>
      </w: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eastAsia="zh-CN"/>
        </w:rPr>
        <w:t>（</w:t>
      </w:r>
      <w:r>
        <w:rPr>
          <w:rFonts w:hint="eastAsia" w:cs="宋体" w:asciiTheme="minorEastAsia" w:hAnsiTheme="minorEastAsia"/>
          <w:color w:val="auto"/>
          <w:kern w:val="0"/>
          <w:sz w:val="24"/>
          <w:szCs w:val="24"/>
          <w:lang w:val="en-US" w:eastAsia="zh-CN"/>
        </w:rPr>
        <w:t>二</w:t>
      </w:r>
      <w:r>
        <w:rPr>
          <w:rFonts w:hint="eastAsia" w:cs="宋体" w:asciiTheme="minorEastAsia" w:hAnsiTheme="minorEastAsia"/>
          <w:color w:val="auto"/>
          <w:kern w:val="0"/>
          <w:sz w:val="24"/>
          <w:szCs w:val="24"/>
          <w:lang w:eastAsia="zh-CN"/>
        </w:rPr>
        <w:t>）</w:t>
      </w:r>
      <w:r>
        <w:rPr>
          <w:rFonts w:cs="宋体" w:asciiTheme="minorEastAsia" w:hAnsiTheme="minorEastAsia"/>
          <w:color w:val="auto"/>
          <w:kern w:val="0"/>
          <w:sz w:val="24"/>
          <w:szCs w:val="24"/>
        </w:rPr>
        <w:t>疗效描述时不宜使用过分乐观的表述；</w:t>
      </w: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eastAsia="zh-CN"/>
        </w:rPr>
        <w:t>（</w:t>
      </w:r>
      <w:r>
        <w:rPr>
          <w:rFonts w:hint="eastAsia" w:cs="宋体" w:asciiTheme="minorEastAsia" w:hAnsiTheme="minorEastAsia"/>
          <w:color w:val="auto"/>
          <w:kern w:val="0"/>
          <w:sz w:val="24"/>
          <w:szCs w:val="24"/>
          <w:lang w:val="en-US" w:eastAsia="zh-CN"/>
        </w:rPr>
        <w:t>三</w:t>
      </w:r>
      <w:r>
        <w:rPr>
          <w:rFonts w:hint="eastAsia" w:cs="宋体" w:asciiTheme="minorEastAsia" w:hAnsiTheme="minorEastAsia"/>
          <w:color w:val="auto"/>
          <w:kern w:val="0"/>
          <w:sz w:val="24"/>
          <w:szCs w:val="24"/>
          <w:lang w:eastAsia="zh-CN"/>
        </w:rPr>
        <w:t>）</w:t>
      </w:r>
      <w:r>
        <w:rPr>
          <w:rFonts w:cs="宋体" w:asciiTheme="minorEastAsia" w:hAnsiTheme="minorEastAsia"/>
          <w:color w:val="auto"/>
          <w:kern w:val="0"/>
          <w:sz w:val="24"/>
          <w:szCs w:val="24"/>
        </w:rPr>
        <w:t>对于风险的表述尽量客观，对不良反应的叙述应尽量完整、详细；</w:t>
      </w:r>
    </w:p>
    <w:p>
      <w:pPr>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cs="宋体" w:asciiTheme="minorEastAsia" w:hAnsiTheme="minorEastAsia"/>
          <w:color w:val="auto"/>
          <w:kern w:val="0"/>
          <w:sz w:val="24"/>
          <w:szCs w:val="24"/>
        </w:rPr>
      </w:pPr>
      <w:r>
        <w:rPr>
          <w:rFonts w:hint="eastAsia" w:cs="宋体" w:asciiTheme="minorEastAsia" w:hAnsiTheme="minorEastAsia"/>
          <w:color w:val="auto"/>
          <w:kern w:val="0"/>
          <w:sz w:val="24"/>
          <w:szCs w:val="24"/>
          <w:lang w:eastAsia="zh-CN"/>
        </w:rPr>
        <w:t>（</w:t>
      </w:r>
      <w:r>
        <w:rPr>
          <w:rFonts w:hint="eastAsia" w:cs="宋体" w:asciiTheme="minorEastAsia" w:hAnsiTheme="minorEastAsia"/>
          <w:color w:val="auto"/>
          <w:kern w:val="0"/>
          <w:sz w:val="24"/>
          <w:szCs w:val="24"/>
          <w:lang w:val="en-US" w:eastAsia="zh-CN"/>
        </w:rPr>
        <w:t>四</w:t>
      </w:r>
      <w:r>
        <w:rPr>
          <w:rFonts w:hint="eastAsia" w:cs="宋体" w:asciiTheme="minorEastAsia" w:hAnsiTheme="minorEastAsia"/>
          <w:color w:val="auto"/>
          <w:kern w:val="0"/>
          <w:sz w:val="24"/>
          <w:szCs w:val="24"/>
          <w:lang w:eastAsia="zh-CN"/>
        </w:rPr>
        <w:t>）</w:t>
      </w:r>
      <w:r>
        <w:rPr>
          <w:rFonts w:cs="宋体" w:asciiTheme="minorEastAsia" w:hAnsiTheme="minorEastAsia"/>
          <w:color w:val="auto"/>
          <w:kern w:val="0"/>
          <w:sz w:val="24"/>
          <w:szCs w:val="24"/>
        </w:rPr>
        <w:t>试验的内容和步骤应有较完整的描述。</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宋体" w:asciiTheme="minorEastAsia" w:hAnsiTheme="minorEastAsia"/>
          <w:color w:val="auto"/>
          <w:kern w:val="0"/>
          <w:sz w:val="24"/>
          <w:szCs w:val="24"/>
          <w:lang w:eastAsia="zh-CN"/>
        </w:rPr>
      </w:pPr>
      <w:r>
        <w:rPr>
          <w:rFonts w:hint="eastAsia" w:cs="宋体" w:asciiTheme="minorEastAsia" w:hAnsiTheme="minorEastAsia"/>
          <w:color w:val="auto"/>
          <w:kern w:val="0"/>
          <w:sz w:val="24"/>
          <w:szCs w:val="24"/>
          <w:lang w:val="en-US" w:eastAsia="zh-CN"/>
        </w:rPr>
        <w:t>二、</w:t>
      </w:r>
      <w:r>
        <w:rPr>
          <w:rFonts w:hint="eastAsia" w:cs="宋体" w:asciiTheme="minorEastAsia" w:hAnsiTheme="minorEastAsia"/>
          <w:color w:val="auto"/>
          <w:kern w:val="0"/>
          <w:sz w:val="24"/>
          <w:szCs w:val="24"/>
          <w:lang w:eastAsia="zh-CN"/>
        </w:rPr>
        <w:t>知情同意书</w:t>
      </w:r>
      <w:r>
        <w:rPr>
          <w:rFonts w:hint="eastAsia" w:cs="宋体" w:asciiTheme="minorEastAsia" w:hAnsiTheme="minorEastAsia"/>
          <w:color w:val="auto"/>
          <w:kern w:val="0"/>
          <w:sz w:val="24"/>
          <w:szCs w:val="24"/>
          <w:lang w:val="en-US" w:eastAsia="zh-CN"/>
        </w:rPr>
        <w:t>内容要求</w:t>
      </w:r>
      <w:r>
        <w:rPr>
          <w:rFonts w:hint="eastAsia" w:cs="宋体" w:asciiTheme="minorEastAsia" w:hAnsiTheme="minorEastAsia"/>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（一）药物临床试验</w:t>
      </w:r>
      <w:r>
        <w:rPr>
          <w:rFonts w:hint="eastAsia" w:asciiTheme="minorEastAsia" w:hAnsiTheme="minorEastAsia"/>
          <w:color w:val="auto"/>
          <w:sz w:val="24"/>
          <w:szCs w:val="24"/>
        </w:rPr>
        <w:t>知情同意书和提供给受试者的其他资料应当包括：</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w:t>
      </w:r>
      <w:r>
        <w:rPr>
          <w:rFonts w:hint="eastAsia" w:asciiTheme="minorEastAsia" w:hAnsiTheme="minorEastAsia"/>
          <w:color w:val="auto"/>
          <w:sz w:val="24"/>
          <w:szCs w:val="24"/>
        </w:rPr>
        <w:t>临床试验概况。</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2.</w:t>
      </w:r>
      <w:r>
        <w:rPr>
          <w:rFonts w:hint="eastAsia" w:asciiTheme="minorEastAsia" w:hAnsiTheme="minorEastAsia"/>
          <w:color w:val="auto"/>
          <w:sz w:val="24"/>
          <w:szCs w:val="24"/>
        </w:rPr>
        <w:t>试验目的。</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3.</w:t>
      </w:r>
      <w:r>
        <w:rPr>
          <w:rFonts w:hint="eastAsia" w:asciiTheme="minorEastAsia" w:hAnsiTheme="minorEastAsia"/>
          <w:color w:val="auto"/>
          <w:sz w:val="24"/>
          <w:szCs w:val="24"/>
        </w:rPr>
        <w:t>试验治疗和随机分配至各组的可能性。</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4.</w:t>
      </w:r>
      <w:r>
        <w:rPr>
          <w:rFonts w:hint="eastAsia" w:asciiTheme="minorEastAsia" w:hAnsiTheme="minorEastAsia"/>
          <w:color w:val="auto"/>
          <w:sz w:val="24"/>
          <w:szCs w:val="24"/>
        </w:rPr>
        <w:t>受试者需要遵守的试验步骤，包括创伤性医疗操作。</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5.</w:t>
      </w:r>
      <w:r>
        <w:rPr>
          <w:rFonts w:hint="eastAsia" w:asciiTheme="minorEastAsia" w:hAnsiTheme="minorEastAsia"/>
          <w:color w:val="auto"/>
          <w:sz w:val="24"/>
          <w:szCs w:val="24"/>
        </w:rPr>
        <w:t>受试者的义务。</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6.</w:t>
      </w:r>
      <w:r>
        <w:rPr>
          <w:rFonts w:hint="eastAsia" w:asciiTheme="minorEastAsia" w:hAnsiTheme="minorEastAsia"/>
          <w:color w:val="auto"/>
          <w:sz w:val="24"/>
          <w:szCs w:val="24"/>
        </w:rPr>
        <w:t>临床试验所涉及试验性的内容。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7.</w:t>
      </w:r>
      <w:r>
        <w:rPr>
          <w:rFonts w:hint="eastAsia" w:asciiTheme="minorEastAsia" w:hAnsiTheme="minorEastAsia"/>
          <w:color w:val="auto"/>
          <w:sz w:val="24"/>
          <w:szCs w:val="24"/>
        </w:rPr>
        <w:t>试验可能致受试者的风险或者不便，尤其是存在影响胚胎、胎儿或者哺乳婴儿的风险时。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8.</w:t>
      </w:r>
      <w:r>
        <w:rPr>
          <w:rFonts w:hint="eastAsia" w:asciiTheme="minorEastAsia" w:hAnsiTheme="minorEastAsia"/>
          <w:color w:val="auto"/>
          <w:sz w:val="24"/>
          <w:szCs w:val="24"/>
        </w:rPr>
        <w:t>试验预期的获益，以及不能获益的可能性。</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9.</w:t>
      </w:r>
      <w:r>
        <w:rPr>
          <w:rFonts w:hint="eastAsia" w:asciiTheme="minorEastAsia" w:hAnsiTheme="minorEastAsia"/>
          <w:color w:val="auto"/>
          <w:sz w:val="24"/>
          <w:szCs w:val="24"/>
        </w:rPr>
        <w:t>其他可选的药物和治疗方法，及其重要的潜在获益和风险。</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10.</w:t>
      </w:r>
      <w:r>
        <w:rPr>
          <w:rFonts w:hint="eastAsia" w:asciiTheme="minorEastAsia" w:hAnsiTheme="minorEastAsia"/>
          <w:color w:val="auto"/>
          <w:sz w:val="24"/>
          <w:szCs w:val="24"/>
        </w:rPr>
        <w:t>受试者发生与试验相关的损害时，可获得补偿以及治疗。</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11.</w:t>
      </w:r>
      <w:r>
        <w:rPr>
          <w:rFonts w:hint="eastAsia" w:asciiTheme="minorEastAsia" w:hAnsiTheme="minorEastAsia"/>
          <w:color w:val="auto"/>
          <w:sz w:val="24"/>
          <w:szCs w:val="24"/>
        </w:rPr>
        <w:t>受试者参加临床试验可能获得的补偿。</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12.</w:t>
      </w:r>
      <w:r>
        <w:rPr>
          <w:rFonts w:hint="eastAsia" w:asciiTheme="minorEastAsia" w:hAnsiTheme="minorEastAsia"/>
          <w:color w:val="auto"/>
          <w:sz w:val="24"/>
          <w:szCs w:val="24"/>
        </w:rPr>
        <w:t>受试者参加临床试验预期的花费。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13.</w:t>
      </w:r>
      <w:r>
        <w:rPr>
          <w:rFonts w:hint="eastAsia" w:asciiTheme="minorEastAsia" w:hAnsiTheme="minorEastAsia"/>
          <w:color w:val="auto"/>
          <w:sz w:val="24"/>
          <w:szCs w:val="24"/>
        </w:rPr>
        <w:t>受试者参加试验是自愿的，可以拒绝参加或者有权在试验任何阶段随时退出试验而不会遭到歧视或者报复，其医疗待遇与权益不会受到影响。</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14.</w:t>
      </w:r>
      <w:r>
        <w:rPr>
          <w:rFonts w:hint="eastAsia" w:asciiTheme="minorEastAsia" w:hAnsiTheme="minorEastAsia"/>
          <w:color w:val="auto"/>
          <w:sz w:val="24"/>
          <w:szCs w:val="24"/>
        </w:rPr>
        <w:t>在不违反保密原则和相关法规的情况下，监查员、稽查员、伦理委员会和药品监督管理部门检查人员可以查阅受试者的原始医学记录，以核实临床试验的过程和数据。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15.</w:t>
      </w:r>
      <w:r>
        <w:rPr>
          <w:rFonts w:hint="eastAsia" w:asciiTheme="minorEastAsia" w:hAnsiTheme="minorEastAsia"/>
          <w:color w:val="auto"/>
          <w:sz w:val="24"/>
          <w:szCs w:val="24"/>
        </w:rPr>
        <w:t>受试者相关身份鉴别记录的保密事宜，不公开使用。如果发布临床试验结果，受试者的身份信息仍保密。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16.</w:t>
      </w:r>
      <w:r>
        <w:rPr>
          <w:rFonts w:hint="eastAsia" w:asciiTheme="minorEastAsia" w:hAnsiTheme="minorEastAsia"/>
          <w:color w:val="auto"/>
          <w:sz w:val="24"/>
          <w:szCs w:val="24"/>
        </w:rPr>
        <w:t>有新的可能影响受试者继续参加试验的信息时，将及时告知受试者或者其监护人。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17.</w:t>
      </w:r>
      <w:r>
        <w:rPr>
          <w:rFonts w:hint="eastAsia" w:asciiTheme="minorEastAsia" w:hAnsiTheme="minorEastAsia"/>
          <w:color w:val="auto"/>
          <w:sz w:val="24"/>
          <w:szCs w:val="24"/>
        </w:rPr>
        <w:t>当存在有关试验信息和受试者权益的问题，以及发生试验相关损害时，受试者可联系的研究者和伦理委员会及其联系方式。</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18.</w:t>
      </w:r>
      <w:r>
        <w:rPr>
          <w:rFonts w:hint="eastAsia" w:asciiTheme="minorEastAsia" w:hAnsiTheme="minorEastAsia"/>
          <w:color w:val="auto"/>
          <w:sz w:val="24"/>
          <w:szCs w:val="24"/>
        </w:rPr>
        <w:t>受试者可能被终止试验的情况以及理由。</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19.</w:t>
      </w:r>
      <w:r>
        <w:rPr>
          <w:rFonts w:hint="eastAsia" w:asciiTheme="minorEastAsia" w:hAnsiTheme="minorEastAsia"/>
          <w:color w:val="auto"/>
          <w:sz w:val="24"/>
          <w:szCs w:val="24"/>
        </w:rPr>
        <w:t>受试者参加试验的预期持续时间。</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20.</w:t>
      </w:r>
      <w:r>
        <w:rPr>
          <w:rFonts w:hint="eastAsia" w:asciiTheme="minorEastAsia" w:hAnsiTheme="minorEastAsia"/>
          <w:color w:val="auto"/>
          <w:sz w:val="24"/>
          <w:szCs w:val="24"/>
        </w:rPr>
        <w:t xml:space="preserve">参加该试验的预计受试者人数。 </w:t>
      </w:r>
    </w:p>
    <w:p>
      <w:pPr>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（二）</w:t>
      </w:r>
      <w:r>
        <w:rPr>
          <w:rFonts w:hint="eastAsia" w:asciiTheme="minorEastAsia" w:hAnsiTheme="minorEastAsia"/>
          <w:color w:val="auto"/>
          <w:sz w:val="24"/>
          <w:szCs w:val="24"/>
        </w:rPr>
        <w:t>医疗器械临床试验</w:t>
      </w:r>
      <w:r>
        <w:rPr>
          <w:rFonts w:hint="eastAsia" w:asciiTheme="minorEastAsia" w:hAnsiTheme="minorEastAsia"/>
          <w:color w:val="auto"/>
          <w:sz w:val="24"/>
          <w:szCs w:val="24"/>
          <w:lang w:val="en-US" w:eastAsia="zh-CN"/>
        </w:rPr>
        <w:t>中</w:t>
      </w:r>
      <w:r>
        <w:rPr>
          <w:rFonts w:hint="eastAsia" w:asciiTheme="minorEastAsia" w:hAnsiTheme="minorEastAsia"/>
          <w:color w:val="auto"/>
          <w:sz w:val="24"/>
          <w:szCs w:val="24"/>
        </w:rPr>
        <w:t>知情同意书一般应当包括下列内容以及对事项的说明：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w:t>
      </w:r>
      <w:r>
        <w:rPr>
          <w:rFonts w:hint="eastAsia" w:asciiTheme="minorEastAsia" w:hAnsiTheme="minorEastAsia"/>
          <w:color w:val="auto"/>
          <w:sz w:val="24"/>
          <w:szCs w:val="24"/>
        </w:rPr>
        <w:t>主要研究者的姓名以及相关信息；</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2.</w:t>
      </w:r>
      <w:r>
        <w:rPr>
          <w:rFonts w:hint="eastAsia" w:asciiTheme="minorEastAsia" w:hAnsiTheme="minorEastAsia"/>
          <w:color w:val="auto"/>
          <w:sz w:val="24"/>
          <w:szCs w:val="24"/>
        </w:rPr>
        <w:t>医疗器械临床试验机构的名称；</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3.</w:t>
      </w:r>
      <w:r>
        <w:rPr>
          <w:rFonts w:hint="eastAsia" w:asciiTheme="minorEastAsia" w:hAnsiTheme="minorEastAsia"/>
          <w:color w:val="auto"/>
          <w:sz w:val="24"/>
          <w:szCs w:val="24"/>
        </w:rPr>
        <w:t>临床试验名称、目的、方法、内容；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4.</w:t>
      </w:r>
      <w:r>
        <w:rPr>
          <w:rFonts w:hint="eastAsia" w:asciiTheme="minorEastAsia" w:hAnsiTheme="minorEastAsia"/>
          <w:color w:val="auto"/>
          <w:sz w:val="24"/>
          <w:szCs w:val="24"/>
        </w:rPr>
        <w:t>临床试验过程、期限；</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5.</w:t>
      </w:r>
      <w:r>
        <w:rPr>
          <w:rFonts w:hint="eastAsia" w:asciiTheme="minorEastAsia" w:hAnsiTheme="minorEastAsia"/>
          <w:color w:val="auto"/>
          <w:sz w:val="24"/>
          <w:szCs w:val="24"/>
        </w:rPr>
        <w:t>临床试验的资金来源、可能的利益冲突；</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6.</w:t>
      </w:r>
      <w:r>
        <w:rPr>
          <w:rFonts w:hint="eastAsia" w:asciiTheme="minorEastAsia" w:hAnsiTheme="minorEastAsia"/>
          <w:color w:val="auto"/>
          <w:sz w:val="24"/>
          <w:szCs w:val="24"/>
        </w:rPr>
        <w:t>预期受试者可能的受益和已知的、可以预见的风险以及可能发生的不良事件；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7.</w:t>
      </w:r>
      <w:r>
        <w:rPr>
          <w:rFonts w:hint="eastAsia" w:asciiTheme="minorEastAsia" w:hAnsiTheme="minorEastAsia"/>
          <w:color w:val="auto"/>
          <w:sz w:val="24"/>
          <w:szCs w:val="24"/>
        </w:rPr>
        <w:t>受试者可以获得的替代诊疗方法以及其潜在受益和风险的信息；</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8.</w:t>
      </w:r>
      <w:r>
        <w:rPr>
          <w:rFonts w:hint="eastAsia" w:asciiTheme="minorEastAsia" w:hAnsiTheme="minorEastAsia"/>
          <w:color w:val="auto"/>
          <w:sz w:val="24"/>
          <w:szCs w:val="24"/>
        </w:rPr>
        <w:t>适用时，说明受试者可能被分配到临床试验的不同组别；</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9.</w:t>
      </w:r>
      <w:r>
        <w:rPr>
          <w:rFonts w:hint="eastAsia" w:asciiTheme="minorEastAsia" w:hAnsiTheme="minorEastAsia"/>
          <w:color w:val="auto"/>
          <w:sz w:val="24"/>
          <w:szCs w:val="24"/>
        </w:rPr>
        <w:t>受试者参加临床试验是自愿的，且在临床试验的任何阶段有权退出而不会受到歧视或者报复，其医疗待遇与权益不受影响；</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10.</w:t>
      </w:r>
      <w:r>
        <w:rPr>
          <w:rFonts w:hint="eastAsia" w:asciiTheme="minorEastAsia" w:hAnsiTheme="minorEastAsia"/>
          <w:color w:val="auto"/>
          <w:sz w:val="24"/>
          <w:szCs w:val="24"/>
        </w:rPr>
        <w:t>告知受试者参加临床试验的个人资料属于保密，但医疗器械临床试验机构管理部门、伦理委员会、药品监督管理部门、卫生健康管理部门或者监查员、稽查员在工作需要时按照规定程序可以查阅受试者参加临床试验的个人资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11.</w:t>
      </w:r>
      <w:r>
        <w:rPr>
          <w:rFonts w:hint="eastAsia" w:asciiTheme="minorEastAsia" w:hAnsiTheme="minorEastAsia"/>
          <w:color w:val="auto"/>
          <w:sz w:val="24"/>
          <w:szCs w:val="24"/>
        </w:rPr>
        <w:t>受试者在临床试验期间可能获得的免费诊疗项目和其他相关补偿；</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12.</w:t>
      </w:r>
      <w:r>
        <w:rPr>
          <w:rFonts w:hint="eastAsia" w:asciiTheme="minorEastAsia" w:hAnsiTheme="minorEastAsia"/>
          <w:color w:val="auto"/>
          <w:sz w:val="24"/>
          <w:szCs w:val="24"/>
        </w:rPr>
        <w:t>如发生与临床试验相关的伤害，受试者可以获得的治疗和/或赔偿；</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13.</w:t>
      </w:r>
      <w:r>
        <w:rPr>
          <w:rFonts w:hint="eastAsia" w:asciiTheme="minorEastAsia" w:hAnsiTheme="minorEastAsia"/>
          <w:color w:val="auto"/>
          <w:sz w:val="24"/>
          <w:szCs w:val="24"/>
        </w:rPr>
        <w:t>受试者在临床试验期间可以随时了解与其相关的信息资料。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heme="minorEastAsia" w:hAnsiTheme="minorEastAsia"/>
          <w:color w:val="auto"/>
          <w:sz w:val="24"/>
          <w:szCs w:val="24"/>
        </w:rPr>
      </w:pPr>
      <w:r>
        <w:rPr>
          <w:rFonts w:hint="eastAsia" w:asciiTheme="minorEastAsia" w:hAnsiTheme="minorEastAsia"/>
          <w:color w:val="auto"/>
          <w:sz w:val="24"/>
          <w:szCs w:val="24"/>
        </w:rPr>
        <w:t>知情同意书应当注明制定的版本和日期或者修订后的版本和日期。知情同意书应当采用受试者能够理解的语言和文字。知情同意书不应当含有会引起受试者放弃合法权益以及免除医疗器械临床试验机构和主要研究者、申办者应当负责任的内容。</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三</w:t>
      </w:r>
      <w:r>
        <w:rPr>
          <w:rFonts w:hint="eastAsia" w:asciiTheme="minorEastAsia" w:hAnsiTheme="minorEastAsia"/>
          <w:color w:val="auto"/>
          <w:sz w:val="24"/>
          <w:szCs w:val="24"/>
          <w:lang w:eastAsia="zh-CN"/>
        </w:rPr>
        <w:t>、</w:t>
      </w:r>
      <w:r>
        <w:rPr>
          <w:rFonts w:hint="eastAsia" w:asciiTheme="minorEastAsia" w:hAnsiTheme="minorEastAsia"/>
          <w:color w:val="auto"/>
          <w:sz w:val="24"/>
          <w:szCs w:val="24"/>
        </w:rPr>
        <w:t>知情同意书一式两份，一份保存于受试者文件夹，另一份交受试者保存。</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四</w:t>
      </w:r>
      <w:r>
        <w:rPr>
          <w:rFonts w:hint="eastAsia" w:asciiTheme="minorEastAsia" w:hAnsiTheme="minorEastAsia"/>
          <w:color w:val="auto"/>
          <w:sz w:val="24"/>
          <w:szCs w:val="24"/>
          <w:lang w:eastAsia="zh-CN"/>
        </w:rPr>
        <w:t>、</w:t>
      </w:r>
      <w:r>
        <w:rPr>
          <w:rFonts w:hint="eastAsia" w:asciiTheme="minorEastAsia" w:hAnsiTheme="minorEastAsia"/>
          <w:color w:val="auto"/>
          <w:sz w:val="24"/>
          <w:szCs w:val="24"/>
        </w:rPr>
        <w:t>知情同意的过程应清楚地在原始病历中记录。</w:t>
      </w:r>
    </w:p>
    <w:p>
      <w:pPr>
        <w:pStyle w:val="38"/>
        <w:keepNext w:val="0"/>
        <w:keepLines w:val="0"/>
        <w:pageBreakBefore w:val="0"/>
        <w:widowControl w:val="0"/>
        <w:kinsoku/>
        <w:wordWrap/>
        <w:overflowPunct/>
        <w:topLinePunct w:val="0"/>
        <w:autoSpaceDE/>
        <w:autoSpaceDN/>
        <w:bidi w:val="0"/>
        <w:snapToGrid/>
        <w:spacing w:line="360" w:lineRule="auto"/>
        <w:ind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五、参考文献</w:t>
      </w:r>
    </w:p>
    <w:p>
      <w:pPr>
        <w:pStyle w:val="36"/>
        <w:keepNext w:val="0"/>
        <w:keepLines w:val="0"/>
        <w:pageBreakBefore w:val="0"/>
        <w:widowControl w:val="0"/>
        <w:numPr>
          <w:ilvl w:val="0"/>
          <w:numId w:val="77"/>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77"/>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 xml:space="preserve">国家药品监督管理局，国家卫生健康委员会. 关于发布《医疗器械临床试验质量管理规范》的公告（2022年第28号）.[2022-03-31]. </w:t>
      </w:r>
      <w:r>
        <w:rPr>
          <w:rFonts w:hint="eastAsia" w:asciiTheme="minorEastAsia" w:hAnsiTheme="minorEastAsia"/>
          <w:color w:val="auto"/>
          <w:sz w:val="24"/>
          <w:szCs w:val="24"/>
          <w:u w:val="none"/>
          <w:lang w:val="en-US" w:eastAsia="zh-CN"/>
        </w:rPr>
        <w:t>https://www.nmpa.gov.cn/xxgk/ggtg/qtggtg/20220331144903101.html.</w:t>
      </w:r>
    </w:p>
    <w:p>
      <w:pPr>
        <w:pStyle w:val="36"/>
        <w:keepNext w:val="0"/>
        <w:keepLines w:val="0"/>
        <w:pageBreakBefore w:val="0"/>
        <w:widowControl w:val="0"/>
        <w:numPr>
          <w:ilvl w:val="0"/>
          <w:numId w:val="77"/>
        </w:numPr>
        <w:tabs>
          <w:tab w:val="left" w:pos="2790"/>
        </w:tabs>
        <w:kinsoku/>
        <w:wordWrap w:val="0"/>
        <w:overflowPunct/>
        <w:topLinePunct w:val="0"/>
        <w:autoSpaceDE/>
        <w:autoSpaceDN/>
        <w:bidi w:val="0"/>
        <w:adjustRightInd/>
        <w:snapToGrid/>
        <w:spacing w:line="360" w:lineRule="auto"/>
        <w:ind w:left="142" w:firstLine="0" w:firstLineChars="0"/>
        <w:jc w:val="left"/>
        <w:textAlignment w:val="auto"/>
        <w:rPr>
          <w:rFonts w:hint="eastAsia" w:asciiTheme="minorEastAsia" w:hAnsiTheme="minorEastAsia" w:eastAsiaTheme="minorEastAsia"/>
          <w:color w:val="auto"/>
          <w:sz w:val="24"/>
          <w:szCs w:val="24"/>
          <w:lang w:val="en-US" w:eastAsia="zh-CN"/>
        </w:rPr>
      </w:pPr>
      <w:r>
        <w:rPr>
          <w:rFonts w:hint="eastAsia" w:asciiTheme="minorEastAsia" w:hAnsiTheme="minorEastAsia"/>
          <w:color w:val="auto"/>
          <w:sz w:val="24"/>
          <w:szCs w:val="24"/>
        </w:rPr>
        <w:t>卫生健康委 教育部 科技部 中医药局</w:t>
      </w:r>
      <w:r>
        <w:rPr>
          <w:rFonts w:hint="eastAsia" w:asciiTheme="minorEastAsia" w:hAnsiTheme="minorEastAsia"/>
          <w:color w:val="auto"/>
          <w:sz w:val="24"/>
          <w:szCs w:val="24"/>
          <w:lang w:val="en-US" w:eastAsia="zh-CN"/>
        </w:rPr>
        <w:t>. 关于印发涉及人的生命科学和医学研究伦理审查办法的通知（国卫科教发〔2023〕4号）. [2023-02-27]. http://www.nhc.gov.cn/qjjys/s7946/202302/c3374c180dc5489d85f95df5b46afaf5.shtml</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5"/>
        <w:gridCol w:w="906"/>
        <w:gridCol w:w="915"/>
        <w:gridCol w:w="3397"/>
        <w:gridCol w:w="2391"/>
        <w:gridCol w:w="12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5" w:hRule="atLeast"/>
          <w:jc w:val="center"/>
        </w:trPr>
        <w:tc>
          <w:tcPr>
            <w:tcW w:w="635"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90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3397"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2391"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204"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9" w:hRule="atLeast"/>
          <w:jc w:val="center"/>
        </w:trPr>
        <w:tc>
          <w:tcPr>
            <w:tcW w:w="63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0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3.0</w:t>
            </w:r>
          </w:p>
        </w:tc>
        <w:tc>
          <w:tcPr>
            <w:tcW w:w="91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3397" w:type="dxa"/>
            <w:vAlign w:val="center"/>
          </w:tcPr>
          <w:p>
            <w:pPr>
              <w:rPr>
                <w:rFonts w:hint="default" w:ascii="宋体" w:hAnsi="宋体" w:eastAsia="宋体" w:cs="宋体"/>
                <w:color w:val="auto"/>
                <w:lang w:val="en-US" w:eastAsia="zh-CN"/>
              </w:rPr>
            </w:pPr>
            <w:r>
              <w:rPr>
                <w:rFonts w:hint="eastAsia" w:ascii="宋体" w:hAnsi="宋体" w:eastAsia="宋体" w:cs="宋体"/>
                <w:color w:val="auto"/>
                <w:lang w:val="en-US" w:eastAsia="zh-CN"/>
              </w:rPr>
              <w:t>1.根据最新版GCP，修订药物和医疗器械临床试验中对知情同意书内容的规定。</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2.为确保制度的严谨性，增加参考文献。</w:t>
            </w:r>
          </w:p>
        </w:tc>
        <w:tc>
          <w:tcPr>
            <w:tcW w:w="2391" w:type="dxa"/>
            <w:vAlign w:val="center"/>
          </w:tcPr>
          <w:p>
            <w:pPr>
              <w:rPr>
                <w:rFonts w:hint="default" w:ascii="宋体" w:hAnsi="宋体" w:eastAsia="宋体" w:cs="宋体"/>
                <w:color w:val="auto"/>
                <w:lang w:val="en-US" w:eastAsia="zh-CN"/>
              </w:rPr>
            </w:pPr>
            <w:r>
              <w:rPr>
                <w:rFonts w:hint="eastAsia"/>
                <w:color w:val="auto"/>
                <w:lang w:val="en-US" w:eastAsia="zh-CN"/>
              </w:rPr>
              <w:t>1.</w:t>
            </w:r>
            <w:r>
              <w:rPr>
                <w:rFonts w:hint="eastAsia" w:ascii="宋体" w:hAnsi="宋体" w:eastAsia="宋体" w:cs="宋体"/>
                <w:color w:val="auto"/>
                <w:lang w:val="en-US" w:eastAsia="zh-CN"/>
              </w:rPr>
              <w:t>修订药物和医疗器械临床试验中对知情同意书内容的规定。</w:t>
            </w:r>
          </w:p>
          <w:p>
            <w:pPr>
              <w:rPr>
                <w:rFonts w:hint="default"/>
                <w:color w:val="auto"/>
                <w:lang w:val="en-US" w:eastAsia="zh-CN"/>
              </w:rPr>
            </w:pPr>
            <w:r>
              <w:rPr>
                <w:rFonts w:hint="eastAsia" w:ascii="宋体" w:hAnsi="宋体" w:eastAsia="宋体" w:cs="宋体"/>
                <w:color w:val="auto"/>
                <w:lang w:val="en-US" w:eastAsia="zh-CN"/>
              </w:rPr>
              <w:t>2.新增参考文献。</w:t>
            </w:r>
          </w:p>
        </w:tc>
        <w:tc>
          <w:tcPr>
            <w:tcW w:w="1204" w:type="dxa"/>
            <w:vAlign w:val="center"/>
          </w:tcPr>
          <w:p>
            <w:pPr>
              <w:jc w:val="left"/>
              <w:rPr>
                <w:rFonts w:hint="default" w:ascii="宋体" w:hAnsi="宋体" w:eastAsia="宋体" w:cs="宋体"/>
                <w:color w:val="auto"/>
                <w:lang w:val="en-US" w:eastAsia="zh-CN"/>
              </w:rPr>
            </w:pPr>
          </w:p>
        </w:tc>
      </w:tr>
    </w:tbl>
    <w:p>
      <w:pPr>
        <w:widowControl/>
        <w:spacing w:line="360" w:lineRule="auto"/>
        <w:jc w:val="center"/>
        <w:rPr>
          <w:rFonts w:hint="eastAsia" w:ascii="黑体" w:hAnsi="黑体" w:eastAsia="黑体" w:cs="黑体"/>
          <w:b/>
          <w:color w:val="auto"/>
          <w:kern w:val="0"/>
          <w:sz w:val="28"/>
          <w:szCs w:val="28"/>
        </w:rPr>
        <w:sectPr>
          <w:headerReference r:id="rId178" w:type="default"/>
          <w:footerReference r:id="rId179"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widowControl/>
        <w:spacing w:line="360" w:lineRule="auto"/>
        <w:jc w:val="center"/>
        <w:rPr>
          <w:rFonts w:ascii="黑体" w:hAnsi="黑体" w:eastAsia="黑体" w:cs="黑体"/>
          <w:b/>
          <w:color w:val="auto"/>
          <w:kern w:val="0"/>
          <w:sz w:val="28"/>
          <w:szCs w:val="28"/>
        </w:rPr>
      </w:pPr>
      <w:r>
        <w:rPr>
          <w:rFonts w:hint="eastAsia" w:ascii="黑体" w:hAnsi="黑体" w:eastAsia="黑体" w:cs="黑体"/>
          <w:b/>
          <w:color w:val="auto"/>
          <w:kern w:val="0"/>
          <w:sz w:val="28"/>
          <w:szCs w:val="28"/>
        </w:rPr>
        <w:t>临床试验总结报告</w:t>
      </w:r>
      <w:r>
        <w:rPr>
          <w:rFonts w:hint="eastAsia" w:ascii="黑体" w:hAnsi="黑体" w:eastAsia="黑体" w:cs="黑体"/>
          <w:b/>
          <w:color w:val="auto"/>
          <w:kern w:val="0"/>
          <w:sz w:val="28"/>
          <w:szCs w:val="28"/>
          <w:lang w:eastAsia="zh-CN"/>
        </w:rPr>
        <w:t>设计</w:t>
      </w:r>
      <w:r>
        <w:rPr>
          <w:rFonts w:hint="eastAsia" w:ascii="黑体" w:hAnsi="黑体" w:eastAsia="黑体" w:cs="黑体"/>
          <w:b/>
          <w:color w:val="auto"/>
          <w:kern w:val="0"/>
          <w:sz w:val="28"/>
          <w:szCs w:val="28"/>
        </w:rPr>
        <w:t>规范</w:t>
      </w:r>
    </w:p>
    <w:p>
      <w:pPr>
        <w:widowControl/>
        <w:spacing w:line="360" w:lineRule="auto"/>
        <w:ind w:firstLine="480" w:firstLineChars="200"/>
        <w:jc w:val="left"/>
        <w:rPr>
          <w:rFonts w:hint="default" w:cs="宋体" w:asciiTheme="minorEastAsia" w:hAnsiTheme="minorEastAsia" w:eastAsiaTheme="minorEastAsia"/>
          <w:color w:val="auto"/>
          <w:kern w:val="0"/>
          <w:sz w:val="24"/>
          <w:szCs w:val="24"/>
          <w:lang w:val="en-US" w:eastAsia="zh-CN"/>
        </w:rPr>
      </w:pPr>
      <w:r>
        <w:rPr>
          <w:rFonts w:cs="宋体" w:asciiTheme="minorEastAsia" w:hAnsiTheme="minorEastAsia"/>
          <w:color w:val="auto"/>
          <w:kern w:val="0"/>
          <w:sz w:val="24"/>
          <w:szCs w:val="24"/>
        </w:rPr>
        <w:t>临床试验总结报告是对药物</w:t>
      </w:r>
      <w:r>
        <w:rPr>
          <w:rFonts w:hint="eastAsia" w:cs="宋体" w:asciiTheme="minorEastAsia" w:hAnsiTheme="minorEastAsia"/>
          <w:color w:val="auto"/>
          <w:kern w:val="0"/>
          <w:sz w:val="24"/>
          <w:szCs w:val="24"/>
          <w:lang w:val="en-US" w:eastAsia="zh-CN"/>
        </w:rPr>
        <w:t>或医疗器械</w:t>
      </w:r>
      <w:r>
        <w:rPr>
          <w:rFonts w:cs="宋体" w:asciiTheme="minorEastAsia" w:hAnsiTheme="minorEastAsia"/>
          <w:color w:val="auto"/>
          <w:kern w:val="0"/>
          <w:sz w:val="24"/>
          <w:szCs w:val="24"/>
        </w:rPr>
        <w:t>临床研究过程和结果的总结，其内容是评估拟上市药物</w:t>
      </w:r>
      <w:r>
        <w:rPr>
          <w:rFonts w:hint="eastAsia" w:cs="宋体" w:asciiTheme="minorEastAsia" w:hAnsiTheme="minorEastAsia"/>
          <w:color w:val="auto"/>
          <w:kern w:val="0"/>
          <w:sz w:val="24"/>
          <w:szCs w:val="24"/>
          <w:lang w:val="en-US" w:eastAsia="zh-CN"/>
        </w:rPr>
        <w:t>或医疗器械</w:t>
      </w:r>
      <w:r>
        <w:rPr>
          <w:rFonts w:cs="宋体" w:asciiTheme="minorEastAsia" w:hAnsiTheme="minorEastAsia"/>
          <w:color w:val="auto"/>
          <w:kern w:val="0"/>
          <w:sz w:val="24"/>
          <w:szCs w:val="24"/>
        </w:rPr>
        <w:t>有效性和安全性的重要依据，是药品注册所需的重要文件。临床试验总结报告应符合</w:t>
      </w:r>
      <w:r>
        <w:rPr>
          <w:rFonts w:hint="eastAsia" w:cs="宋体" w:asciiTheme="minorEastAsia" w:hAnsiTheme="minorEastAsia"/>
          <w:color w:val="auto"/>
          <w:kern w:val="0"/>
          <w:sz w:val="24"/>
          <w:szCs w:val="24"/>
          <w:lang w:val="en-US" w:eastAsia="zh-CN"/>
        </w:rPr>
        <w:t>GCP</w:t>
      </w:r>
      <w:r>
        <w:rPr>
          <w:rFonts w:cs="宋体" w:asciiTheme="minorEastAsia" w:hAnsiTheme="minorEastAsia"/>
          <w:color w:val="auto"/>
          <w:kern w:val="0"/>
          <w:sz w:val="24"/>
          <w:szCs w:val="24"/>
        </w:rPr>
        <w:t>、《临床研究报告的结构和内容指导原则》和药品</w:t>
      </w:r>
      <w:r>
        <w:rPr>
          <w:rFonts w:hint="eastAsia" w:cs="宋体" w:asciiTheme="minorEastAsia" w:hAnsiTheme="minorEastAsia"/>
          <w:color w:val="auto"/>
          <w:kern w:val="0"/>
          <w:sz w:val="24"/>
          <w:szCs w:val="24"/>
          <w:lang w:val="en-US" w:eastAsia="zh-CN"/>
        </w:rPr>
        <w:t>或医疗器械</w:t>
      </w:r>
      <w:r>
        <w:rPr>
          <w:rFonts w:cs="宋体" w:asciiTheme="minorEastAsia" w:hAnsiTheme="minorEastAsia"/>
          <w:color w:val="auto"/>
          <w:kern w:val="0"/>
          <w:sz w:val="24"/>
          <w:szCs w:val="24"/>
        </w:rPr>
        <w:t>注册的要求。临床试验总结报告的主要内容应与试验方案要求一致。临床试验总结报告</w:t>
      </w:r>
      <w:r>
        <w:rPr>
          <w:rFonts w:hint="eastAsia" w:cs="宋体" w:asciiTheme="minorEastAsia" w:hAnsiTheme="minorEastAsia"/>
          <w:color w:val="auto"/>
          <w:kern w:val="0"/>
          <w:sz w:val="24"/>
          <w:szCs w:val="24"/>
          <w:lang w:val="en-US" w:eastAsia="zh-CN"/>
        </w:rPr>
        <w:t>应按照临床试验档案管理制度的要求进行保存。</w:t>
      </w:r>
    </w:p>
    <w:p>
      <w:pPr>
        <w:widowControl/>
        <w:spacing w:line="360" w:lineRule="auto"/>
        <w:ind w:firstLine="480" w:firstLineChars="200"/>
        <w:jc w:val="left"/>
        <w:rPr>
          <w:rFonts w:cs="宋体" w:asciiTheme="minorEastAsia" w:hAnsiTheme="minorEastAsia"/>
          <w:color w:val="auto"/>
          <w:kern w:val="0"/>
          <w:sz w:val="24"/>
          <w:szCs w:val="24"/>
        </w:rPr>
      </w:pPr>
      <w:r>
        <w:rPr>
          <w:rFonts w:cs="宋体" w:asciiTheme="minorEastAsia" w:hAnsiTheme="minorEastAsia"/>
          <w:color w:val="auto"/>
          <w:kern w:val="0"/>
          <w:sz w:val="24"/>
          <w:szCs w:val="24"/>
        </w:rPr>
        <w:t>临床研究总结报告的结构和内容：</w:t>
      </w:r>
    </w:p>
    <w:p>
      <w:pPr>
        <w:widowControl/>
        <w:spacing w:line="360" w:lineRule="auto"/>
        <w:jc w:val="left"/>
        <w:rPr>
          <w:rFonts w:cs="宋体" w:asciiTheme="minorEastAsia" w:hAnsiTheme="minorEastAsia"/>
          <w:color w:val="auto"/>
          <w:kern w:val="0"/>
          <w:sz w:val="24"/>
          <w:szCs w:val="24"/>
        </w:rPr>
      </w:pPr>
      <w:r>
        <w:rPr>
          <w:rFonts w:hint="eastAsia" w:cs="宋体" w:asciiTheme="minorEastAsia" w:hAnsiTheme="minorEastAsia"/>
          <w:color w:val="auto"/>
          <w:kern w:val="0"/>
          <w:sz w:val="24"/>
          <w:szCs w:val="24"/>
        </w:rPr>
        <w:t>一、</w:t>
      </w:r>
      <w:r>
        <w:rPr>
          <w:rFonts w:cs="宋体" w:asciiTheme="minorEastAsia" w:hAnsiTheme="minorEastAsia"/>
          <w:color w:val="auto"/>
          <w:kern w:val="0"/>
          <w:sz w:val="24"/>
          <w:szCs w:val="24"/>
        </w:rPr>
        <w:t>首篇</w:t>
      </w:r>
    </w:p>
    <w:p>
      <w:pPr>
        <w:widowControl/>
        <w:spacing w:line="360" w:lineRule="auto"/>
        <w:ind w:firstLine="240" w:firstLineChars="100"/>
        <w:jc w:val="left"/>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1、</w:t>
      </w:r>
      <w:r>
        <w:rPr>
          <w:rFonts w:cs="宋体" w:asciiTheme="minorEastAsia" w:hAnsiTheme="minorEastAsia"/>
          <w:color w:val="auto"/>
          <w:kern w:val="0"/>
          <w:sz w:val="24"/>
          <w:szCs w:val="24"/>
        </w:rPr>
        <w:t>标题 含受试药</w:t>
      </w:r>
      <w:r>
        <w:rPr>
          <w:rFonts w:hint="eastAsia" w:cs="宋体" w:asciiTheme="minorEastAsia" w:hAnsiTheme="minorEastAsia"/>
          <w:color w:val="auto"/>
          <w:kern w:val="0"/>
          <w:sz w:val="24"/>
          <w:szCs w:val="24"/>
          <w:lang w:val="en-US" w:eastAsia="zh-CN"/>
        </w:rPr>
        <w:t>/试验医疗器械</w:t>
      </w:r>
      <w:r>
        <w:rPr>
          <w:rFonts w:cs="宋体" w:asciiTheme="minorEastAsia" w:hAnsiTheme="minorEastAsia"/>
          <w:color w:val="auto"/>
          <w:kern w:val="0"/>
          <w:sz w:val="24"/>
          <w:szCs w:val="24"/>
        </w:rPr>
        <w:t>通用名、研究类型</w:t>
      </w:r>
      <w:r>
        <w:rPr>
          <w:rFonts w:hint="eastAsia" w:cs="宋体" w:asciiTheme="minorEastAsia" w:hAnsiTheme="minorEastAsia"/>
          <w:color w:val="auto"/>
          <w:kern w:val="0"/>
          <w:sz w:val="24"/>
          <w:szCs w:val="24"/>
        </w:rPr>
        <w:t>。</w:t>
      </w:r>
    </w:p>
    <w:p>
      <w:pPr>
        <w:widowControl/>
        <w:spacing w:line="360" w:lineRule="auto"/>
        <w:ind w:firstLine="240" w:firstLineChars="100"/>
        <w:jc w:val="left"/>
        <w:rPr>
          <w:rFonts w:hint="eastAsia" w:cs="宋体" w:asciiTheme="minorEastAsia" w:hAnsiTheme="minorEastAsia" w:eastAsiaTheme="minorEastAsia"/>
          <w:color w:val="auto"/>
          <w:kern w:val="0"/>
          <w:sz w:val="24"/>
          <w:szCs w:val="24"/>
          <w:lang w:eastAsia="zh-CN"/>
        </w:rPr>
      </w:pPr>
      <w:r>
        <w:rPr>
          <w:rFonts w:cs="宋体" w:asciiTheme="minorEastAsia" w:hAnsiTheme="minorEastAsia"/>
          <w:color w:val="auto"/>
          <w:kern w:val="0"/>
          <w:sz w:val="24"/>
          <w:szCs w:val="24"/>
        </w:rPr>
        <w:t> </w:t>
      </w:r>
      <w:r>
        <w:rPr>
          <w:rFonts w:hint="eastAsia" w:cs="宋体" w:asciiTheme="minorEastAsia" w:hAnsiTheme="minorEastAsia"/>
          <w:color w:val="auto"/>
          <w:kern w:val="0"/>
          <w:sz w:val="24"/>
          <w:szCs w:val="24"/>
        </w:rPr>
        <w:t>2、</w:t>
      </w:r>
      <w:r>
        <w:rPr>
          <w:rFonts w:cs="宋体" w:asciiTheme="minorEastAsia" w:hAnsiTheme="minorEastAsia"/>
          <w:color w:val="auto"/>
          <w:kern w:val="0"/>
          <w:sz w:val="24"/>
          <w:szCs w:val="24"/>
        </w:rPr>
        <w:t>首页 包括研究编号、研究单位（盖章）、研究负责人（签名）、主要研究人员（主要研究者、主要疗效指标观察者）、统计分析负责人、临床研究报告撰写人、研究起止日期、报告日期、原始资料保存地、申请单位（盖章）、及其联系人和联系方式等</w:t>
      </w:r>
      <w:r>
        <w:rPr>
          <w:rFonts w:hint="eastAsia" w:cs="宋体" w:asciiTheme="minorEastAsia" w:hAnsiTheme="minorEastAsia"/>
          <w:color w:val="auto"/>
          <w:kern w:val="0"/>
          <w:sz w:val="24"/>
          <w:szCs w:val="24"/>
        </w:rPr>
        <w:t>。</w:t>
      </w:r>
    </w:p>
    <w:p>
      <w:pPr>
        <w:widowControl/>
        <w:spacing w:line="360" w:lineRule="auto"/>
        <w:ind w:firstLine="240" w:firstLineChars="100"/>
        <w:jc w:val="left"/>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 xml:space="preserve"> </w:t>
      </w:r>
      <w:r>
        <w:rPr>
          <w:rFonts w:cs="宋体" w:asciiTheme="minorEastAsia" w:hAnsiTheme="minorEastAsia"/>
          <w:color w:val="auto"/>
          <w:kern w:val="0"/>
          <w:sz w:val="24"/>
          <w:szCs w:val="24"/>
        </w:rPr>
        <w:t xml:space="preserve"> </w:t>
      </w:r>
      <w:r>
        <w:rPr>
          <w:rFonts w:hint="eastAsia" w:cs="宋体" w:asciiTheme="minorEastAsia" w:hAnsiTheme="minorEastAsia"/>
          <w:color w:val="auto"/>
          <w:kern w:val="0"/>
          <w:sz w:val="24"/>
          <w:szCs w:val="24"/>
        </w:rPr>
        <w:t>3、</w:t>
      </w:r>
      <w:r>
        <w:rPr>
          <w:rFonts w:cs="宋体" w:asciiTheme="minorEastAsia" w:hAnsiTheme="minorEastAsia"/>
          <w:color w:val="auto"/>
          <w:kern w:val="0"/>
          <w:sz w:val="24"/>
          <w:szCs w:val="24"/>
        </w:rPr>
        <w:t>摘要 对临床研究摘要介绍，包括文字叙述，重要数据及P值等。</w:t>
      </w:r>
    </w:p>
    <w:p>
      <w:pPr>
        <w:widowControl/>
        <w:spacing w:line="360" w:lineRule="auto"/>
        <w:ind w:firstLine="240" w:firstLineChars="100"/>
        <w:jc w:val="left"/>
        <w:rPr>
          <w:rFonts w:hint="eastAsia" w:cs="宋体" w:asciiTheme="minorEastAsia" w:hAnsiTheme="minorEastAsia" w:eastAsiaTheme="minorEastAsia"/>
          <w:color w:val="auto"/>
          <w:kern w:val="0"/>
          <w:sz w:val="24"/>
          <w:szCs w:val="24"/>
          <w:lang w:eastAsia="zh-CN"/>
        </w:rPr>
      </w:pPr>
      <w:r>
        <w:rPr>
          <w:rFonts w:cs="宋体" w:asciiTheme="minorEastAsia" w:hAnsiTheme="minorEastAsia"/>
          <w:color w:val="auto"/>
          <w:kern w:val="0"/>
          <w:sz w:val="24"/>
          <w:szCs w:val="24"/>
        </w:rPr>
        <w:t> </w:t>
      </w:r>
      <w:r>
        <w:rPr>
          <w:rFonts w:hint="eastAsia" w:cs="宋体" w:asciiTheme="minorEastAsia" w:hAnsiTheme="minorEastAsia"/>
          <w:color w:val="auto"/>
          <w:kern w:val="0"/>
          <w:sz w:val="24"/>
          <w:szCs w:val="24"/>
        </w:rPr>
        <w:t>4、</w:t>
      </w:r>
      <w:r>
        <w:rPr>
          <w:rFonts w:cs="宋体" w:asciiTheme="minorEastAsia" w:hAnsiTheme="minorEastAsia"/>
          <w:color w:val="auto"/>
          <w:kern w:val="0"/>
          <w:sz w:val="24"/>
          <w:szCs w:val="24"/>
        </w:rPr>
        <w:t>缩略语 临床研究报告中所用缩略语全称</w:t>
      </w:r>
      <w:r>
        <w:rPr>
          <w:rFonts w:hint="eastAsia" w:cs="宋体" w:asciiTheme="minorEastAsia" w:hAnsiTheme="minorEastAsia"/>
          <w:color w:val="auto"/>
          <w:kern w:val="0"/>
          <w:sz w:val="24"/>
          <w:szCs w:val="24"/>
        </w:rPr>
        <w:t>。</w:t>
      </w:r>
    </w:p>
    <w:p>
      <w:pPr>
        <w:widowControl/>
        <w:spacing w:line="360" w:lineRule="auto"/>
        <w:ind w:firstLine="240" w:firstLineChars="100"/>
        <w:jc w:val="left"/>
        <w:rPr>
          <w:rFonts w:cs="宋体" w:asciiTheme="minorEastAsia" w:hAnsiTheme="minorEastAsia"/>
          <w:color w:val="auto"/>
          <w:kern w:val="0"/>
          <w:sz w:val="24"/>
          <w:szCs w:val="24"/>
        </w:rPr>
      </w:pPr>
      <w:r>
        <w:rPr>
          <w:rFonts w:cs="宋体" w:asciiTheme="minorEastAsia" w:hAnsiTheme="minorEastAsia"/>
          <w:color w:val="auto"/>
          <w:kern w:val="0"/>
          <w:sz w:val="24"/>
          <w:szCs w:val="24"/>
        </w:rPr>
        <w:t> </w:t>
      </w:r>
      <w:r>
        <w:rPr>
          <w:rFonts w:hint="eastAsia" w:cs="宋体" w:asciiTheme="minorEastAsia" w:hAnsiTheme="minorEastAsia"/>
          <w:color w:val="auto"/>
          <w:kern w:val="0"/>
          <w:sz w:val="24"/>
          <w:szCs w:val="24"/>
        </w:rPr>
        <w:t>5、 伦</w:t>
      </w:r>
      <w:r>
        <w:rPr>
          <w:rFonts w:cs="宋体" w:asciiTheme="minorEastAsia" w:hAnsiTheme="minorEastAsia"/>
          <w:color w:val="auto"/>
          <w:kern w:val="0"/>
          <w:sz w:val="24"/>
          <w:szCs w:val="24"/>
        </w:rPr>
        <w:t>理学 申明已完成的临床研究严格遵守赫尔辛基宣言的人体医学研究的伦理准则。研究方案及其修订申请均经伦理委员会审核批准，并于附件中提供对受试者介绍的研究信息及知情同意</w:t>
      </w:r>
      <w:r>
        <w:rPr>
          <w:rFonts w:hint="eastAsia" w:cs="宋体" w:asciiTheme="minorEastAsia" w:hAnsiTheme="minorEastAsia"/>
          <w:color w:val="auto"/>
          <w:kern w:val="0"/>
          <w:sz w:val="24"/>
          <w:szCs w:val="24"/>
        </w:rPr>
        <w:t>样本。</w:t>
      </w:r>
      <w:r>
        <w:rPr>
          <w:rFonts w:cs="宋体" w:asciiTheme="minorEastAsia" w:hAnsiTheme="minorEastAsia"/>
          <w:color w:val="auto"/>
          <w:kern w:val="0"/>
          <w:sz w:val="24"/>
          <w:szCs w:val="24"/>
        </w:rPr>
        <w:t xml:space="preserve">    </w:t>
      </w:r>
    </w:p>
    <w:p>
      <w:pPr>
        <w:widowControl/>
        <w:spacing w:line="360" w:lineRule="auto"/>
        <w:ind w:firstLine="120" w:firstLineChars="50"/>
        <w:jc w:val="left"/>
        <w:rPr>
          <w:rFonts w:cs="宋体" w:asciiTheme="minorEastAsia" w:hAnsiTheme="minorEastAsia"/>
          <w:color w:val="auto"/>
          <w:kern w:val="0"/>
          <w:sz w:val="24"/>
          <w:szCs w:val="24"/>
        </w:rPr>
      </w:pPr>
      <w:r>
        <w:rPr>
          <w:rFonts w:hint="eastAsia" w:cs="宋体" w:asciiTheme="minorEastAsia" w:hAnsiTheme="minorEastAsia"/>
          <w:color w:val="auto"/>
          <w:kern w:val="0"/>
          <w:sz w:val="24"/>
          <w:szCs w:val="24"/>
        </w:rPr>
        <w:t>二、</w:t>
      </w:r>
      <w:r>
        <w:rPr>
          <w:rFonts w:cs="宋体" w:asciiTheme="minorEastAsia" w:hAnsiTheme="minorEastAsia"/>
          <w:color w:val="auto"/>
          <w:kern w:val="0"/>
          <w:sz w:val="24"/>
          <w:szCs w:val="24"/>
        </w:rPr>
        <w:t>报告正文</w:t>
      </w:r>
    </w:p>
    <w:p>
      <w:pPr>
        <w:widowControl/>
        <w:spacing w:line="360" w:lineRule="auto"/>
        <w:ind w:firstLine="240" w:firstLineChars="100"/>
        <w:jc w:val="left"/>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1、</w:t>
      </w:r>
      <w:r>
        <w:rPr>
          <w:rFonts w:cs="宋体" w:asciiTheme="minorEastAsia" w:hAnsiTheme="minorEastAsia"/>
          <w:color w:val="auto"/>
          <w:kern w:val="0"/>
          <w:sz w:val="24"/>
          <w:szCs w:val="24"/>
        </w:rPr>
        <w:t>引言 介绍受试药品</w:t>
      </w:r>
      <w:r>
        <w:rPr>
          <w:rFonts w:hint="eastAsia" w:cs="宋体" w:asciiTheme="minorEastAsia" w:hAnsiTheme="minorEastAsia"/>
          <w:color w:val="auto"/>
          <w:kern w:val="0"/>
          <w:sz w:val="24"/>
          <w:szCs w:val="24"/>
          <w:lang w:val="en-US" w:eastAsia="zh-CN"/>
        </w:rPr>
        <w:t>/试验医疗器械</w:t>
      </w:r>
      <w:r>
        <w:rPr>
          <w:rFonts w:cs="宋体" w:asciiTheme="minorEastAsia" w:hAnsiTheme="minorEastAsia"/>
          <w:color w:val="auto"/>
          <w:kern w:val="0"/>
          <w:sz w:val="24"/>
          <w:szCs w:val="24"/>
        </w:rPr>
        <w:t>研发背景及依据，所针对的目标适应症人群、目前治疗方法及效果，本研究实施的合法依据及申办者与临床研究单位。</w:t>
      </w:r>
    </w:p>
    <w:p>
      <w:pPr>
        <w:widowControl/>
        <w:spacing w:line="360" w:lineRule="auto"/>
        <w:ind w:firstLine="240" w:firstLineChars="100"/>
        <w:jc w:val="left"/>
        <w:rPr>
          <w:rFonts w:hint="eastAsia" w:cs="宋体" w:asciiTheme="minorEastAsia" w:hAnsiTheme="minorEastAsia" w:eastAsiaTheme="minorEastAsia"/>
          <w:color w:val="auto"/>
          <w:kern w:val="0"/>
          <w:sz w:val="24"/>
          <w:szCs w:val="24"/>
          <w:lang w:eastAsia="zh-CN"/>
        </w:rPr>
      </w:pPr>
      <w:r>
        <w:rPr>
          <w:rFonts w:cs="宋体" w:asciiTheme="minorEastAsia" w:hAnsiTheme="minorEastAsia"/>
          <w:color w:val="auto"/>
          <w:kern w:val="0"/>
          <w:sz w:val="24"/>
          <w:szCs w:val="24"/>
        </w:rPr>
        <w:t> </w:t>
      </w:r>
      <w:r>
        <w:rPr>
          <w:rFonts w:hint="eastAsia" w:cs="宋体" w:asciiTheme="minorEastAsia" w:hAnsiTheme="minorEastAsia"/>
          <w:color w:val="auto"/>
          <w:kern w:val="0"/>
          <w:sz w:val="24"/>
          <w:szCs w:val="24"/>
        </w:rPr>
        <w:t>2、</w:t>
      </w:r>
      <w:r>
        <w:rPr>
          <w:rFonts w:cs="宋体" w:asciiTheme="minorEastAsia" w:hAnsiTheme="minorEastAsia"/>
          <w:color w:val="auto"/>
          <w:kern w:val="0"/>
          <w:sz w:val="24"/>
          <w:szCs w:val="24"/>
        </w:rPr>
        <w:t>试验目的</w:t>
      </w:r>
    </w:p>
    <w:p>
      <w:pPr>
        <w:widowControl/>
        <w:spacing w:line="360" w:lineRule="auto"/>
        <w:ind w:firstLine="240" w:firstLineChars="100"/>
        <w:jc w:val="left"/>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 xml:space="preserve"> 三、</w:t>
      </w:r>
      <w:r>
        <w:rPr>
          <w:rFonts w:cs="宋体" w:asciiTheme="minorEastAsia" w:hAnsiTheme="minorEastAsia"/>
          <w:color w:val="auto"/>
          <w:kern w:val="0"/>
          <w:sz w:val="24"/>
          <w:szCs w:val="24"/>
        </w:rPr>
        <w:t>试验设计</w:t>
      </w:r>
    </w:p>
    <w:p>
      <w:pPr>
        <w:widowControl/>
        <w:spacing w:line="360" w:lineRule="auto"/>
        <w:ind w:firstLine="240" w:firstLineChars="100"/>
        <w:jc w:val="left"/>
        <w:rPr>
          <w:rFonts w:hint="eastAsia" w:cs="宋体" w:asciiTheme="minorEastAsia" w:hAnsiTheme="minorEastAsia" w:eastAsiaTheme="minorEastAsia"/>
          <w:color w:val="auto"/>
          <w:kern w:val="0"/>
          <w:sz w:val="24"/>
          <w:szCs w:val="24"/>
          <w:lang w:eastAsia="zh-CN"/>
        </w:rPr>
      </w:pPr>
      <w:r>
        <w:rPr>
          <w:rFonts w:cs="宋体" w:asciiTheme="minorEastAsia" w:hAnsiTheme="minorEastAsia"/>
          <w:color w:val="auto"/>
          <w:kern w:val="0"/>
          <w:sz w:val="24"/>
          <w:szCs w:val="24"/>
        </w:rPr>
        <w:t> </w:t>
      </w:r>
      <w:r>
        <w:rPr>
          <w:rFonts w:hint="eastAsia" w:cs="宋体" w:asciiTheme="minorEastAsia" w:hAnsiTheme="minorEastAsia"/>
          <w:color w:val="auto"/>
          <w:kern w:val="0"/>
          <w:sz w:val="24"/>
          <w:szCs w:val="24"/>
        </w:rPr>
        <w:t>1、</w:t>
      </w:r>
      <w:r>
        <w:rPr>
          <w:rFonts w:cs="宋体" w:asciiTheme="minorEastAsia" w:hAnsiTheme="minorEastAsia"/>
          <w:color w:val="auto"/>
          <w:kern w:val="0"/>
          <w:sz w:val="24"/>
          <w:szCs w:val="24"/>
        </w:rPr>
        <w:t>总体描述 包括受试对象及样本量，设盲方法，程度与理由，对照类型及依据与合</w:t>
      </w:r>
      <w:r>
        <w:rPr>
          <w:rFonts w:hint="eastAsia" w:cs="宋体" w:asciiTheme="minorEastAsia" w:hAnsiTheme="minorEastAsia"/>
          <w:color w:val="auto"/>
          <w:kern w:val="0"/>
          <w:sz w:val="24"/>
          <w:szCs w:val="24"/>
        </w:rPr>
        <w:t xml:space="preserve">  </w:t>
      </w:r>
      <w:r>
        <w:rPr>
          <w:rFonts w:cs="宋体" w:asciiTheme="minorEastAsia" w:hAnsiTheme="minorEastAsia"/>
          <w:color w:val="auto"/>
          <w:kern w:val="0"/>
          <w:sz w:val="24"/>
          <w:szCs w:val="24"/>
        </w:rPr>
        <w:t>法性，随机化分组方法，试验时间及顺序等。</w:t>
      </w:r>
    </w:p>
    <w:p>
      <w:pPr>
        <w:widowControl/>
        <w:spacing w:line="360" w:lineRule="auto"/>
        <w:ind w:firstLine="240" w:firstLineChars="100"/>
        <w:jc w:val="left"/>
        <w:rPr>
          <w:rFonts w:hint="eastAsia" w:cs="宋体" w:asciiTheme="minorEastAsia" w:hAnsiTheme="minorEastAsia" w:eastAsiaTheme="minorEastAsia"/>
          <w:color w:val="auto"/>
          <w:kern w:val="0"/>
          <w:sz w:val="24"/>
          <w:szCs w:val="24"/>
          <w:lang w:eastAsia="zh-CN"/>
        </w:rPr>
      </w:pPr>
      <w:r>
        <w:rPr>
          <w:rFonts w:cs="宋体" w:asciiTheme="minorEastAsia" w:hAnsiTheme="minorEastAsia"/>
          <w:color w:val="auto"/>
          <w:kern w:val="0"/>
          <w:sz w:val="24"/>
          <w:szCs w:val="24"/>
        </w:rPr>
        <w:t> </w:t>
      </w:r>
      <w:r>
        <w:rPr>
          <w:rFonts w:hint="eastAsia" w:cs="宋体" w:asciiTheme="minorEastAsia" w:hAnsiTheme="minorEastAsia"/>
          <w:color w:val="auto"/>
          <w:kern w:val="0"/>
          <w:sz w:val="24"/>
          <w:szCs w:val="24"/>
        </w:rPr>
        <w:t>2、</w:t>
      </w:r>
      <w:r>
        <w:rPr>
          <w:rFonts w:cs="宋体" w:asciiTheme="minorEastAsia" w:hAnsiTheme="minorEastAsia"/>
          <w:color w:val="auto"/>
          <w:kern w:val="0"/>
          <w:sz w:val="24"/>
          <w:szCs w:val="24"/>
        </w:rPr>
        <w:t>研究对象选择 确定合理可行的入选标准，排除标准和剔除标准，中止标准。</w:t>
      </w:r>
    </w:p>
    <w:p>
      <w:pPr>
        <w:widowControl/>
        <w:spacing w:line="360" w:lineRule="auto"/>
        <w:ind w:firstLine="240" w:firstLineChars="100"/>
        <w:jc w:val="left"/>
        <w:rPr>
          <w:rFonts w:hint="eastAsia" w:cs="宋体" w:asciiTheme="minorEastAsia" w:hAnsiTheme="minorEastAsia" w:eastAsiaTheme="minorEastAsia"/>
          <w:color w:val="auto"/>
          <w:kern w:val="0"/>
          <w:sz w:val="24"/>
          <w:szCs w:val="24"/>
          <w:lang w:val="en-US" w:eastAsia="zh-CN"/>
        </w:rPr>
      </w:pPr>
      <w:r>
        <w:rPr>
          <w:rFonts w:cs="宋体" w:asciiTheme="minorEastAsia" w:hAnsiTheme="minorEastAsia"/>
          <w:color w:val="auto"/>
          <w:kern w:val="0"/>
          <w:sz w:val="24"/>
          <w:szCs w:val="24"/>
        </w:rPr>
        <w:t> </w:t>
      </w:r>
      <w:r>
        <w:rPr>
          <w:rFonts w:hint="eastAsia" w:cs="宋体" w:asciiTheme="minorEastAsia" w:hAnsiTheme="minorEastAsia"/>
          <w:color w:val="auto"/>
          <w:kern w:val="0"/>
          <w:sz w:val="24"/>
          <w:szCs w:val="24"/>
        </w:rPr>
        <w:t>3、</w:t>
      </w:r>
      <w:r>
        <w:rPr>
          <w:rFonts w:cs="宋体" w:asciiTheme="minorEastAsia" w:hAnsiTheme="minorEastAsia"/>
          <w:color w:val="auto"/>
          <w:kern w:val="0"/>
          <w:sz w:val="24"/>
          <w:szCs w:val="24"/>
        </w:rPr>
        <w:t>试验药物</w:t>
      </w:r>
      <w:r>
        <w:rPr>
          <w:rFonts w:hint="eastAsia" w:cs="宋体" w:asciiTheme="minorEastAsia" w:hAnsiTheme="minorEastAsia"/>
          <w:color w:val="auto"/>
          <w:kern w:val="0"/>
          <w:sz w:val="24"/>
          <w:szCs w:val="24"/>
          <w:lang w:val="en-US" w:eastAsia="zh-CN"/>
        </w:rPr>
        <w:t>/医疗器械</w:t>
      </w:r>
      <w:r>
        <w:rPr>
          <w:rFonts w:cs="宋体" w:asciiTheme="minorEastAsia" w:hAnsiTheme="minorEastAsia"/>
          <w:color w:val="auto"/>
          <w:kern w:val="0"/>
          <w:sz w:val="24"/>
          <w:szCs w:val="24"/>
        </w:rPr>
        <w:t>的详细信息</w:t>
      </w:r>
      <w:r>
        <w:rPr>
          <w:rFonts w:hint="eastAsia" w:cs="宋体" w:asciiTheme="minorEastAsia" w:hAnsiTheme="minorEastAsia"/>
          <w:color w:val="auto"/>
          <w:kern w:val="0"/>
          <w:sz w:val="24"/>
          <w:szCs w:val="24"/>
        </w:rPr>
        <w:t>：</w:t>
      </w:r>
      <w:r>
        <w:rPr>
          <w:rFonts w:hint="eastAsia" w:cs="宋体" w:asciiTheme="minorEastAsia" w:hAnsiTheme="minorEastAsia"/>
          <w:color w:val="auto"/>
          <w:kern w:val="0"/>
          <w:sz w:val="24"/>
          <w:szCs w:val="24"/>
          <w:lang w:val="en-US" w:eastAsia="zh-CN"/>
        </w:rPr>
        <w:t>试验药物</w:t>
      </w:r>
      <w:r>
        <w:rPr>
          <w:rFonts w:cs="宋体" w:asciiTheme="minorEastAsia" w:hAnsiTheme="minorEastAsia"/>
          <w:color w:val="auto"/>
          <w:kern w:val="0"/>
          <w:sz w:val="24"/>
          <w:szCs w:val="24"/>
        </w:rPr>
        <w:t>列出试验用药名称、剂型、规格、来源、批号、有效期和保存条件；试验用药的用法用量（包括剂量确定依据、给药途径、方式、给药间隔时间等）；对照药选择理由与依据；其他药品使用、禁用及记录要求。</w:t>
      </w:r>
      <w:r>
        <w:rPr>
          <w:rFonts w:hint="eastAsia" w:cs="宋体" w:asciiTheme="minorEastAsia" w:hAnsiTheme="minorEastAsia"/>
          <w:color w:val="auto"/>
          <w:kern w:val="0"/>
          <w:sz w:val="24"/>
          <w:szCs w:val="24"/>
          <w:lang w:val="en-US" w:eastAsia="zh-CN"/>
        </w:rPr>
        <w:t>试验医疗器械列出医疗器械名称、型号、规格、来源、批号、有效期和保存条件；试验医疗器械的适用方法，阳性对照的选择理由与依据，其他医疗器械、药品或治疗适用、禁用及记录要求。</w:t>
      </w:r>
    </w:p>
    <w:p>
      <w:pPr>
        <w:widowControl/>
        <w:spacing w:line="360" w:lineRule="auto"/>
        <w:ind w:firstLine="240" w:firstLineChars="100"/>
        <w:jc w:val="left"/>
        <w:rPr>
          <w:rFonts w:hint="eastAsia" w:cs="宋体" w:asciiTheme="minorEastAsia" w:hAnsiTheme="minorEastAsia" w:eastAsiaTheme="minorEastAsia"/>
          <w:color w:val="auto"/>
          <w:kern w:val="0"/>
          <w:sz w:val="24"/>
          <w:szCs w:val="24"/>
          <w:lang w:eastAsia="zh-CN"/>
        </w:rPr>
      </w:pPr>
      <w:r>
        <w:rPr>
          <w:rFonts w:cs="宋体" w:asciiTheme="minorEastAsia" w:hAnsiTheme="minorEastAsia"/>
          <w:color w:val="auto"/>
          <w:kern w:val="0"/>
          <w:sz w:val="24"/>
          <w:szCs w:val="24"/>
        </w:rPr>
        <w:t> </w:t>
      </w:r>
      <w:r>
        <w:rPr>
          <w:rFonts w:hint="eastAsia" w:cs="宋体" w:asciiTheme="minorEastAsia" w:hAnsiTheme="minorEastAsia"/>
          <w:color w:val="auto"/>
          <w:kern w:val="0"/>
          <w:sz w:val="24"/>
          <w:szCs w:val="24"/>
        </w:rPr>
        <w:t>4、</w:t>
      </w:r>
      <w:r>
        <w:rPr>
          <w:rFonts w:cs="宋体" w:asciiTheme="minorEastAsia" w:hAnsiTheme="minorEastAsia"/>
          <w:color w:val="auto"/>
          <w:kern w:val="0"/>
          <w:sz w:val="24"/>
          <w:szCs w:val="24"/>
        </w:rPr>
        <w:t>随机与盲法</w:t>
      </w:r>
      <w:r>
        <w:rPr>
          <w:rFonts w:hint="eastAsia" w:cs="宋体" w:asciiTheme="minorEastAsia" w:hAnsiTheme="minorEastAsia"/>
          <w:color w:val="auto"/>
          <w:kern w:val="0"/>
          <w:sz w:val="24"/>
          <w:szCs w:val="24"/>
        </w:rPr>
        <w:t xml:space="preserve">  </w:t>
      </w:r>
      <w:r>
        <w:rPr>
          <w:rFonts w:cs="宋体" w:asciiTheme="minorEastAsia" w:hAnsiTheme="minorEastAsia"/>
          <w:color w:val="auto"/>
          <w:kern w:val="0"/>
          <w:sz w:val="24"/>
          <w:szCs w:val="24"/>
        </w:rPr>
        <w:t>随机化分组方法、随即号码和分组表；盲法操作方式（如何标注</w:t>
      </w:r>
      <w:r>
        <w:rPr>
          <w:rFonts w:hint="eastAsia" w:cs="宋体" w:asciiTheme="minorEastAsia" w:hAnsiTheme="minorEastAsia"/>
          <w:color w:val="auto"/>
          <w:kern w:val="0"/>
          <w:sz w:val="24"/>
          <w:szCs w:val="24"/>
          <w:lang w:val="en-US" w:eastAsia="zh-CN"/>
        </w:rPr>
        <w:t>标签</w:t>
      </w:r>
      <w:r>
        <w:rPr>
          <w:rFonts w:cs="宋体" w:asciiTheme="minorEastAsia" w:hAnsiTheme="minorEastAsia"/>
          <w:color w:val="auto"/>
          <w:kern w:val="0"/>
          <w:sz w:val="24"/>
          <w:szCs w:val="24"/>
        </w:rPr>
        <w:t>、破盲标签、破盲信封、双模拟技术等），盲底保存，紧急破盲前提条件（如严重不良事件、泄密）和程序，不设盲的合理理由等。</w:t>
      </w:r>
    </w:p>
    <w:p>
      <w:pPr>
        <w:widowControl/>
        <w:spacing w:line="360" w:lineRule="auto"/>
        <w:ind w:firstLine="240" w:firstLineChars="100"/>
        <w:jc w:val="left"/>
        <w:rPr>
          <w:rFonts w:hint="eastAsia" w:cs="宋体" w:asciiTheme="minorEastAsia" w:hAnsiTheme="minorEastAsia" w:eastAsiaTheme="minorEastAsia"/>
          <w:color w:val="auto"/>
          <w:kern w:val="0"/>
          <w:sz w:val="24"/>
          <w:szCs w:val="24"/>
          <w:lang w:eastAsia="zh-CN"/>
        </w:rPr>
      </w:pPr>
      <w:r>
        <w:rPr>
          <w:rFonts w:cs="宋体" w:asciiTheme="minorEastAsia" w:hAnsiTheme="minorEastAsia"/>
          <w:color w:val="auto"/>
          <w:kern w:val="0"/>
          <w:sz w:val="24"/>
          <w:szCs w:val="24"/>
        </w:rPr>
        <w:t> </w:t>
      </w:r>
      <w:r>
        <w:rPr>
          <w:rFonts w:hint="eastAsia" w:cs="宋体" w:asciiTheme="minorEastAsia" w:hAnsiTheme="minorEastAsia"/>
          <w:color w:val="auto"/>
          <w:kern w:val="0"/>
          <w:sz w:val="24"/>
          <w:szCs w:val="24"/>
        </w:rPr>
        <w:t>5、</w:t>
      </w:r>
      <w:r>
        <w:rPr>
          <w:rFonts w:cs="宋体" w:asciiTheme="minorEastAsia" w:hAnsiTheme="minorEastAsia"/>
          <w:color w:val="auto"/>
          <w:kern w:val="0"/>
          <w:sz w:val="24"/>
          <w:szCs w:val="24"/>
        </w:rPr>
        <w:t>观察指标</w:t>
      </w:r>
      <w:r>
        <w:rPr>
          <w:rFonts w:hint="eastAsia" w:cs="宋体" w:asciiTheme="minorEastAsia" w:hAnsiTheme="minorEastAsia"/>
          <w:color w:val="auto"/>
          <w:kern w:val="0"/>
          <w:sz w:val="24"/>
          <w:szCs w:val="24"/>
        </w:rPr>
        <w:t xml:space="preserve">  </w:t>
      </w:r>
      <w:r>
        <w:rPr>
          <w:rFonts w:cs="宋体" w:asciiTheme="minorEastAsia" w:hAnsiTheme="minorEastAsia"/>
          <w:color w:val="auto"/>
          <w:kern w:val="0"/>
          <w:sz w:val="24"/>
          <w:szCs w:val="24"/>
        </w:rPr>
        <w:t>一般的临床和实验室检查项目及检查时间；特异的有效性和安全性指标和实验室检查项目和检查时间；若采用非常规、非标准的特殊指标，应对其准确性、可靠性和相关性进行必要的说明；测定药物浓度时，说明生物样本采样时间点，研究时和食物、吸烟、饮酒及同时使用其他药物的关系，样本处理和检测方法的方法学确证等。</w:t>
      </w:r>
    </w:p>
    <w:p>
      <w:pPr>
        <w:widowControl/>
        <w:spacing w:line="360" w:lineRule="auto"/>
        <w:ind w:firstLine="240" w:firstLineChars="100"/>
        <w:jc w:val="left"/>
        <w:rPr>
          <w:rFonts w:hint="eastAsia" w:cs="宋体" w:asciiTheme="minorEastAsia" w:hAnsiTheme="minorEastAsia" w:eastAsiaTheme="minorEastAsia"/>
          <w:color w:val="auto"/>
          <w:kern w:val="0"/>
          <w:sz w:val="24"/>
          <w:szCs w:val="24"/>
          <w:lang w:eastAsia="zh-CN"/>
        </w:rPr>
      </w:pPr>
      <w:r>
        <w:rPr>
          <w:rFonts w:hint="eastAsia" w:cs="宋体" w:asciiTheme="minorEastAsia" w:hAnsiTheme="minorEastAsia"/>
          <w:color w:val="auto"/>
          <w:kern w:val="0"/>
          <w:sz w:val="24"/>
          <w:szCs w:val="24"/>
        </w:rPr>
        <w:t xml:space="preserve">  6、</w:t>
      </w:r>
      <w:r>
        <w:rPr>
          <w:rFonts w:cs="宋体" w:asciiTheme="minorEastAsia" w:hAnsiTheme="minorEastAsia"/>
          <w:color w:val="auto"/>
          <w:kern w:val="0"/>
          <w:sz w:val="24"/>
          <w:szCs w:val="24"/>
        </w:rPr>
        <w:t>疗效判断标准 应清晰描述</w:t>
      </w:r>
      <w:r>
        <w:rPr>
          <w:rFonts w:hint="eastAsia" w:cs="宋体" w:asciiTheme="minorEastAsia" w:hAnsiTheme="minorEastAsia"/>
          <w:color w:val="auto"/>
          <w:kern w:val="0"/>
          <w:sz w:val="24"/>
          <w:szCs w:val="24"/>
        </w:rPr>
        <w:t>。</w:t>
      </w:r>
    </w:p>
    <w:p>
      <w:pPr>
        <w:widowControl/>
        <w:spacing w:line="360" w:lineRule="auto"/>
        <w:ind w:firstLine="240" w:firstLineChars="100"/>
        <w:jc w:val="left"/>
        <w:rPr>
          <w:rFonts w:hint="eastAsia" w:cs="宋体" w:asciiTheme="minorEastAsia" w:hAnsiTheme="minorEastAsia" w:eastAsiaTheme="minorEastAsia"/>
          <w:color w:val="auto"/>
          <w:kern w:val="0"/>
          <w:sz w:val="24"/>
          <w:szCs w:val="24"/>
          <w:lang w:eastAsia="zh-CN"/>
        </w:rPr>
      </w:pPr>
      <w:r>
        <w:rPr>
          <w:rFonts w:cs="宋体" w:asciiTheme="minorEastAsia" w:hAnsiTheme="minorEastAsia"/>
          <w:color w:val="auto"/>
          <w:kern w:val="0"/>
          <w:sz w:val="24"/>
          <w:szCs w:val="24"/>
        </w:rPr>
        <w:t> </w:t>
      </w:r>
      <w:r>
        <w:rPr>
          <w:rFonts w:hint="eastAsia" w:cs="宋体" w:asciiTheme="minorEastAsia" w:hAnsiTheme="minorEastAsia"/>
          <w:color w:val="auto"/>
          <w:kern w:val="0"/>
          <w:sz w:val="24"/>
          <w:szCs w:val="24"/>
        </w:rPr>
        <w:t>7、</w:t>
      </w:r>
      <w:r>
        <w:rPr>
          <w:rFonts w:cs="宋体" w:asciiTheme="minorEastAsia" w:hAnsiTheme="minorEastAsia"/>
          <w:color w:val="auto"/>
          <w:kern w:val="0"/>
          <w:sz w:val="24"/>
          <w:szCs w:val="24"/>
        </w:rPr>
        <w:t>安全性评价</w:t>
      </w:r>
      <w:r>
        <w:rPr>
          <w:rFonts w:hint="eastAsia" w:cs="宋体" w:asciiTheme="minorEastAsia" w:hAnsiTheme="minorEastAsia"/>
          <w:color w:val="auto"/>
          <w:kern w:val="0"/>
          <w:sz w:val="24"/>
          <w:szCs w:val="24"/>
        </w:rPr>
        <w:t xml:space="preserve"> </w:t>
      </w:r>
      <w:r>
        <w:rPr>
          <w:rFonts w:cs="宋体" w:asciiTheme="minorEastAsia" w:hAnsiTheme="minorEastAsia"/>
          <w:color w:val="auto"/>
          <w:kern w:val="0"/>
          <w:sz w:val="24"/>
          <w:szCs w:val="24"/>
        </w:rPr>
        <w:t>说明不良事件数据的获得方法；不良事件与所试药物</w:t>
      </w:r>
      <w:r>
        <w:rPr>
          <w:rFonts w:hint="eastAsia" w:cs="宋体" w:asciiTheme="minorEastAsia" w:hAnsiTheme="minorEastAsia"/>
          <w:color w:val="auto"/>
          <w:kern w:val="0"/>
          <w:sz w:val="24"/>
          <w:szCs w:val="24"/>
          <w:lang w:val="en-US" w:eastAsia="zh-CN"/>
        </w:rPr>
        <w:t>/医疗器械</w:t>
      </w:r>
      <w:r>
        <w:rPr>
          <w:rFonts w:cs="宋体" w:asciiTheme="minorEastAsia" w:hAnsiTheme="minorEastAsia"/>
          <w:color w:val="auto"/>
          <w:kern w:val="0"/>
          <w:sz w:val="24"/>
          <w:szCs w:val="24"/>
        </w:rPr>
        <w:t>关系的判断标准。</w:t>
      </w:r>
    </w:p>
    <w:p>
      <w:pPr>
        <w:widowControl/>
        <w:spacing w:line="360" w:lineRule="auto"/>
        <w:ind w:firstLine="240" w:firstLineChars="100"/>
        <w:jc w:val="left"/>
        <w:rPr>
          <w:rFonts w:hint="eastAsia" w:cs="宋体" w:asciiTheme="minorEastAsia" w:hAnsiTheme="minorEastAsia" w:eastAsiaTheme="minorEastAsia"/>
          <w:color w:val="auto"/>
          <w:kern w:val="0"/>
          <w:sz w:val="24"/>
          <w:szCs w:val="24"/>
          <w:lang w:eastAsia="zh-CN"/>
        </w:rPr>
      </w:pPr>
      <w:r>
        <w:rPr>
          <w:rFonts w:cs="宋体" w:asciiTheme="minorEastAsia" w:hAnsiTheme="minorEastAsia"/>
          <w:color w:val="auto"/>
          <w:kern w:val="0"/>
          <w:sz w:val="24"/>
          <w:szCs w:val="24"/>
        </w:rPr>
        <w:t> </w:t>
      </w:r>
      <w:r>
        <w:rPr>
          <w:rFonts w:hint="eastAsia" w:cs="宋体" w:asciiTheme="minorEastAsia" w:hAnsiTheme="minorEastAsia"/>
          <w:color w:val="auto"/>
          <w:kern w:val="0"/>
          <w:sz w:val="24"/>
          <w:szCs w:val="24"/>
        </w:rPr>
        <w:t>8、</w:t>
      </w:r>
      <w:r>
        <w:rPr>
          <w:rFonts w:cs="宋体" w:asciiTheme="minorEastAsia" w:hAnsiTheme="minorEastAsia"/>
          <w:color w:val="auto"/>
          <w:kern w:val="0"/>
          <w:sz w:val="24"/>
          <w:szCs w:val="24"/>
        </w:rPr>
        <w:t>数据质量保证</w:t>
      </w:r>
      <w:r>
        <w:rPr>
          <w:rFonts w:hint="eastAsia" w:cs="宋体" w:asciiTheme="minorEastAsia" w:hAnsiTheme="minorEastAsia"/>
          <w:color w:val="auto"/>
          <w:kern w:val="0"/>
          <w:sz w:val="24"/>
          <w:szCs w:val="24"/>
        </w:rPr>
        <w:t xml:space="preserve">  </w:t>
      </w:r>
      <w:r>
        <w:rPr>
          <w:rFonts w:cs="宋体" w:asciiTheme="minorEastAsia" w:hAnsiTheme="minorEastAsia"/>
          <w:color w:val="auto"/>
          <w:kern w:val="0"/>
          <w:sz w:val="24"/>
          <w:szCs w:val="24"/>
        </w:rPr>
        <w:t>说明保证观察指标检测结果准确可靠的质控手段，必要时提供质控的有关文件式证明。对各中心采取的质控措施，如培训、中心实验室集中测定，研究者会议、数据核实、监查、稽查等。</w:t>
      </w:r>
    </w:p>
    <w:p>
      <w:pPr>
        <w:widowControl/>
        <w:spacing w:line="360" w:lineRule="auto"/>
        <w:ind w:firstLine="240" w:firstLineChars="100"/>
        <w:jc w:val="left"/>
        <w:rPr>
          <w:rFonts w:hint="eastAsia" w:cs="宋体" w:asciiTheme="minorEastAsia" w:hAnsiTheme="minorEastAsia" w:eastAsiaTheme="minorEastAsia"/>
          <w:color w:val="auto"/>
          <w:kern w:val="0"/>
          <w:sz w:val="24"/>
          <w:szCs w:val="24"/>
          <w:lang w:eastAsia="zh-CN"/>
        </w:rPr>
      </w:pPr>
      <w:r>
        <w:rPr>
          <w:rFonts w:cs="宋体" w:asciiTheme="minorEastAsia" w:hAnsiTheme="minorEastAsia"/>
          <w:color w:val="auto"/>
          <w:kern w:val="0"/>
          <w:sz w:val="24"/>
          <w:szCs w:val="24"/>
        </w:rPr>
        <w:t> </w:t>
      </w:r>
      <w:r>
        <w:rPr>
          <w:rFonts w:hint="eastAsia" w:cs="宋体" w:asciiTheme="minorEastAsia" w:hAnsiTheme="minorEastAsia"/>
          <w:color w:val="auto"/>
          <w:kern w:val="0"/>
          <w:sz w:val="24"/>
          <w:szCs w:val="24"/>
        </w:rPr>
        <w:t>9、</w:t>
      </w:r>
      <w:r>
        <w:rPr>
          <w:rFonts w:cs="宋体" w:asciiTheme="minorEastAsia" w:hAnsiTheme="minorEastAsia"/>
          <w:color w:val="auto"/>
          <w:kern w:val="0"/>
          <w:sz w:val="24"/>
          <w:szCs w:val="24"/>
        </w:rPr>
        <w:t>数据管理与统计分析</w:t>
      </w:r>
      <w:r>
        <w:rPr>
          <w:rFonts w:hint="eastAsia" w:cs="宋体" w:asciiTheme="minorEastAsia" w:hAnsiTheme="minorEastAsia"/>
          <w:color w:val="auto"/>
          <w:kern w:val="0"/>
          <w:sz w:val="24"/>
          <w:szCs w:val="24"/>
        </w:rPr>
        <w:t xml:space="preserve">  </w:t>
      </w:r>
      <w:r>
        <w:rPr>
          <w:rFonts w:cs="宋体" w:asciiTheme="minorEastAsia" w:hAnsiTheme="minorEastAsia"/>
          <w:color w:val="auto"/>
          <w:kern w:val="0"/>
          <w:sz w:val="24"/>
          <w:szCs w:val="24"/>
        </w:rPr>
        <w:t>数据管理的目的在于把试验数据迅速、完整、无误地纳入报告，所有涉及数据管理的各种步骤均需记录在案，以便对数据质量及试验实施进行检查，用适当的程序保证数据库的保密性，应具有计算机数据库的维护和支持程序。临床试验资料的统计分析过程及其结果的表达必须采用规范的统计学方法。临床试验各阶段均需有生物统计学专业人员参与，并由其拟订统计分析计划。对治疗作用的评价应将可信区间与假设检验的结果一并考虑。所选用统计数据集需加以说明，对于遗漏、未用或多余的资料须加以说明，临床试验的统计报告必须与临床试验总结报告相符。</w:t>
      </w:r>
    </w:p>
    <w:p>
      <w:pPr>
        <w:widowControl/>
        <w:spacing w:line="360" w:lineRule="auto"/>
        <w:ind w:firstLine="240" w:firstLineChars="100"/>
        <w:jc w:val="left"/>
        <w:rPr>
          <w:rFonts w:cs="宋体" w:asciiTheme="minorEastAsia" w:hAnsiTheme="minorEastAsia"/>
          <w:color w:val="auto"/>
          <w:kern w:val="0"/>
          <w:sz w:val="24"/>
          <w:szCs w:val="24"/>
        </w:rPr>
      </w:pPr>
      <w:r>
        <w:rPr>
          <w:rFonts w:cs="宋体" w:asciiTheme="minorEastAsia" w:hAnsiTheme="minorEastAsia"/>
          <w:color w:val="auto"/>
          <w:kern w:val="0"/>
          <w:sz w:val="24"/>
          <w:szCs w:val="24"/>
        </w:rPr>
        <w:t> </w:t>
      </w:r>
      <w:r>
        <w:rPr>
          <w:rFonts w:hint="eastAsia" w:cs="宋体" w:asciiTheme="minorEastAsia" w:hAnsiTheme="minorEastAsia"/>
          <w:color w:val="auto"/>
          <w:kern w:val="0"/>
          <w:sz w:val="24"/>
          <w:szCs w:val="24"/>
        </w:rPr>
        <w:t>10、</w:t>
      </w:r>
      <w:r>
        <w:rPr>
          <w:rFonts w:cs="宋体" w:asciiTheme="minorEastAsia" w:hAnsiTheme="minorEastAsia"/>
          <w:color w:val="auto"/>
          <w:kern w:val="0"/>
          <w:sz w:val="24"/>
          <w:szCs w:val="24"/>
        </w:rPr>
        <w:t>方案修改</w:t>
      </w:r>
      <w:r>
        <w:rPr>
          <w:rFonts w:hint="eastAsia" w:cs="宋体" w:asciiTheme="minorEastAsia" w:hAnsiTheme="minorEastAsia"/>
          <w:color w:val="auto"/>
          <w:kern w:val="0"/>
          <w:sz w:val="24"/>
          <w:szCs w:val="24"/>
        </w:rPr>
        <w:t xml:space="preserve">  </w:t>
      </w:r>
    </w:p>
    <w:p>
      <w:pPr>
        <w:widowControl/>
        <w:spacing w:line="360" w:lineRule="auto"/>
        <w:ind w:firstLine="480" w:firstLineChars="200"/>
        <w:jc w:val="left"/>
        <w:rPr>
          <w:rFonts w:hint="eastAsia" w:cs="宋体" w:asciiTheme="minorEastAsia" w:hAnsiTheme="minorEastAsia" w:eastAsiaTheme="minorEastAsia"/>
          <w:color w:val="auto"/>
          <w:kern w:val="0"/>
          <w:sz w:val="24"/>
          <w:szCs w:val="24"/>
          <w:lang w:eastAsia="zh-CN"/>
        </w:rPr>
      </w:pPr>
      <w:r>
        <w:rPr>
          <w:rFonts w:cs="宋体" w:asciiTheme="minorEastAsia" w:hAnsiTheme="minorEastAsia"/>
          <w:color w:val="auto"/>
          <w:kern w:val="0"/>
          <w:sz w:val="24"/>
          <w:szCs w:val="24"/>
        </w:rPr>
        <w:t>试验进行中对方案的任何修改均需说明，并描述更改时间、理由、过程及有无备案，并讨论其对整个研究结果评价的影响。一般修改应在破盲前进行。</w:t>
      </w:r>
    </w:p>
    <w:p>
      <w:pPr>
        <w:widowControl/>
        <w:spacing w:line="360" w:lineRule="auto"/>
        <w:ind w:firstLine="480" w:firstLineChars="200"/>
        <w:jc w:val="left"/>
        <w:rPr>
          <w:rFonts w:cs="宋体" w:asciiTheme="minorEastAsia" w:hAnsiTheme="minorEastAsia"/>
          <w:color w:val="auto"/>
          <w:kern w:val="0"/>
          <w:sz w:val="24"/>
          <w:szCs w:val="24"/>
        </w:rPr>
      </w:pPr>
      <w:r>
        <w:rPr>
          <w:rFonts w:cs="宋体" w:asciiTheme="minorEastAsia" w:hAnsiTheme="minorEastAsia"/>
          <w:color w:val="auto"/>
          <w:kern w:val="0"/>
          <w:sz w:val="24"/>
          <w:szCs w:val="24"/>
        </w:rPr>
        <w:t> </w:t>
      </w:r>
      <w:r>
        <w:rPr>
          <w:rFonts w:hint="eastAsia" w:cs="宋体" w:asciiTheme="minorEastAsia" w:hAnsiTheme="minorEastAsia"/>
          <w:color w:val="auto"/>
          <w:kern w:val="0"/>
          <w:sz w:val="24"/>
          <w:szCs w:val="24"/>
        </w:rPr>
        <w:t>11、</w:t>
      </w:r>
      <w:r>
        <w:rPr>
          <w:rFonts w:cs="宋体" w:asciiTheme="minorEastAsia" w:hAnsiTheme="minorEastAsia"/>
          <w:color w:val="auto"/>
          <w:kern w:val="0"/>
          <w:sz w:val="24"/>
          <w:szCs w:val="24"/>
        </w:rPr>
        <w:t>结果用文字及图表方式描述</w:t>
      </w:r>
      <w:r>
        <w:rPr>
          <w:rFonts w:hint="eastAsia" w:cs="宋体" w:asciiTheme="minorEastAsia" w:hAnsiTheme="minorEastAsia"/>
          <w:color w:val="auto"/>
          <w:kern w:val="0"/>
          <w:sz w:val="24"/>
          <w:szCs w:val="24"/>
        </w:rPr>
        <w:t xml:space="preserve">  </w:t>
      </w:r>
    </w:p>
    <w:p>
      <w:pPr>
        <w:widowControl/>
        <w:spacing w:line="360" w:lineRule="auto"/>
        <w:ind w:firstLine="480" w:firstLineChars="200"/>
        <w:jc w:val="left"/>
        <w:rPr>
          <w:rFonts w:hint="eastAsia" w:cs="宋体" w:asciiTheme="minorEastAsia" w:hAnsiTheme="minorEastAsia" w:eastAsiaTheme="minorEastAsia"/>
          <w:color w:val="auto"/>
          <w:kern w:val="0"/>
          <w:sz w:val="24"/>
          <w:szCs w:val="24"/>
          <w:lang w:eastAsia="zh-CN"/>
        </w:rPr>
      </w:pPr>
      <w:r>
        <w:rPr>
          <w:rFonts w:cs="宋体" w:asciiTheme="minorEastAsia" w:hAnsiTheme="minorEastAsia"/>
          <w:color w:val="auto"/>
          <w:kern w:val="0"/>
          <w:sz w:val="24"/>
          <w:szCs w:val="24"/>
        </w:rPr>
        <w:t>随机进入各组的实际病例数，脱落和剔除的病例及其理由；不同组间的基线特征比较，以确定可比性；对所有疗效评价指标（包括主要和次要终点指标）进行统计分析和临床意义分析，并比较处理组间差异。如有可能，应说明效应产生的时间过程。统计结果的解释应着重考虑其临床意义；有效性。分析数据集包括分析集（ITT）和符合方案集（PP）。尽可能采用统计表，统计图表示疗效评价结果，统计检验结果应包括有统计意义的检验水准、统计量值和精确的P值，并应注明所使用的统计软件；多中心研究评价疗效时，应考虑中心间存在的差异及其影响；安全性评价应有临床不良事件和实验室指标合理的统计分析，对严重不良事件应详细描述和评价；只要使用过至少一次试验用药者均应列入安全性分析集；对试验用药的所有不良事件均应进行分析，并以图表方式表示；还应分析不良事件与试验用药的关系；并应比较组间差异。</w:t>
      </w:r>
    </w:p>
    <w:p>
      <w:pPr>
        <w:widowControl/>
        <w:spacing w:line="360" w:lineRule="auto"/>
        <w:ind w:firstLine="480" w:firstLineChars="200"/>
        <w:jc w:val="left"/>
        <w:rPr>
          <w:rFonts w:cs="宋体" w:asciiTheme="minorEastAsia" w:hAnsiTheme="minorEastAsia"/>
          <w:color w:val="auto"/>
          <w:kern w:val="0"/>
          <w:sz w:val="24"/>
          <w:szCs w:val="24"/>
        </w:rPr>
      </w:pPr>
      <w:r>
        <w:rPr>
          <w:rFonts w:cs="宋体" w:asciiTheme="minorEastAsia" w:hAnsiTheme="minorEastAsia"/>
          <w:color w:val="auto"/>
          <w:kern w:val="0"/>
          <w:sz w:val="24"/>
          <w:szCs w:val="24"/>
        </w:rPr>
        <w:t xml:space="preserve">  </w:t>
      </w:r>
      <w:r>
        <w:rPr>
          <w:rFonts w:hint="eastAsia" w:cs="宋体" w:asciiTheme="minorEastAsia" w:hAnsiTheme="minorEastAsia"/>
          <w:color w:val="auto"/>
          <w:kern w:val="0"/>
          <w:sz w:val="24"/>
          <w:szCs w:val="24"/>
        </w:rPr>
        <w:t>12、</w:t>
      </w:r>
      <w:r>
        <w:rPr>
          <w:rFonts w:cs="宋体" w:asciiTheme="minorEastAsia" w:hAnsiTheme="minorEastAsia"/>
          <w:color w:val="auto"/>
          <w:kern w:val="0"/>
          <w:sz w:val="24"/>
          <w:szCs w:val="24"/>
        </w:rPr>
        <w:t>结论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cs="宋体" w:asciiTheme="minorEastAsia" w:hAnsiTheme="minorEastAsia"/>
          <w:color w:val="auto"/>
          <w:kern w:val="0"/>
          <w:sz w:val="24"/>
          <w:szCs w:val="24"/>
        </w:rPr>
      </w:pPr>
      <w:r>
        <w:rPr>
          <w:rFonts w:cs="宋体" w:asciiTheme="minorEastAsia" w:hAnsiTheme="minorEastAsia"/>
          <w:color w:val="auto"/>
          <w:kern w:val="0"/>
          <w:sz w:val="24"/>
          <w:szCs w:val="24"/>
        </w:rPr>
        <w:t>通过研究报告正文的图表说明、论证和分析，对临床研究的有效性和安全性结果进行总结，讨论并权衡受试药</w:t>
      </w:r>
      <w:r>
        <w:rPr>
          <w:rFonts w:hint="eastAsia" w:cs="宋体" w:asciiTheme="minorEastAsia" w:hAnsiTheme="minorEastAsia"/>
          <w:color w:val="auto"/>
          <w:kern w:val="0"/>
          <w:sz w:val="24"/>
          <w:szCs w:val="24"/>
          <w:lang w:val="en-US" w:eastAsia="zh-CN"/>
        </w:rPr>
        <w:t>/试验医疗器械</w:t>
      </w:r>
      <w:r>
        <w:rPr>
          <w:rFonts w:cs="宋体" w:asciiTheme="minorEastAsia" w:hAnsiTheme="minorEastAsia"/>
          <w:color w:val="auto"/>
          <w:kern w:val="0"/>
          <w:sz w:val="24"/>
          <w:szCs w:val="24"/>
        </w:rPr>
        <w:t>的利益风险。讨论中不简单重复结果，也不引出新的问题。讨论应清晰明确，对其意义和可能的问题应加以评述，阐明对个体患者或针对人群治疗时所获得的利益和需注意的问题以及今后进一步研究的意义。</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b w:val="0"/>
          <w:bCs w:val="0"/>
          <w:color w:val="auto"/>
          <w:sz w:val="24"/>
          <w:szCs w:val="24"/>
          <w:lang w:val="en-US" w:eastAsia="zh-CN"/>
        </w:rPr>
      </w:pPr>
      <w:r>
        <w:rPr>
          <w:rFonts w:hint="eastAsia" w:asciiTheme="minorEastAsia" w:hAnsiTheme="minorEastAsia"/>
          <w:b w:val="0"/>
          <w:bCs w:val="0"/>
          <w:color w:val="auto"/>
          <w:sz w:val="24"/>
          <w:szCs w:val="24"/>
          <w:lang w:val="en-US" w:eastAsia="zh-CN"/>
        </w:rPr>
        <w:t>四、参考文献</w:t>
      </w:r>
    </w:p>
    <w:p>
      <w:pPr>
        <w:pStyle w:val="36"/>
        <w:keepNext w:val="0"/>
        <w:keepLines w:val="0"/>
        <w:pageBreakBefore w:val="0"/>
        <w:widowControl w:val="0"/>
        <w:numPr>
          <w:ilvl w:val="0"/>
          <w:numId w:val="78"/>
        </w:numPr>
        <w:tabs>
          <w:tab w:val="left" w:pos="2790"/>
        </w:tabs>
        <w:kinsoku/>
        <w:wordWrap w:val="0"/>
        <w:overflowPunct/>
        <w:topLinePunct w:val="0"/>
        <w:autoSpaceDE/>
        <w:autoSpaceDN/>
        <w:bidi w:val="0"/>
        <w:adjustRightInd/>
        <w:snapToGrid/>
        <w:spacing w:line="360" w:lineRule="auto"/>
        <w:ind w:left="0"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78"/>
        </w:numPr>
        <w:tabs>
          <w:tab w:val="left" w:pos="2790"/>
        </w:tabs>
        <w:kinsoku/>
        <w:wordWrap w:val="0"/>
        <w:overflowPunct/>
        <w:topLinePunct w:val="0"/>
        <w:autoSpaceDE/>
        <w:autoSpaceDN/>
        <w:bidi w:val="0"/>
        <w:adjustRightInd/>
        <w:snapToGrid/>
        <w:spacing w:line="360" w:lineRule="auto"/>
        <w:ind w:left="0" w:firstLine="0" w:firstLine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国家药品监督管理局，国家卫生健康委员会. 关于发布《医疗器械临床试验质量管理规范》的公告（2022年第28号）.[2022-03-31]. https://www.nmpa.gov.cn/xxgk/ggtg/qtggtg/20220331144903101.html.</w:t>
      </w:r>
    </w:p>
    <w:p>
      <w:pPr>
        <w:pStyle w:val="36"/>
        <w:keepNext w:val="0"/>
        <w:keepLines w:val="0"/>
        <w:pageBreakBefore w:val="0"/>
        <w:widowControl w:val="0"/>
        <w:numPr>
          <w:ilvl w:val="0"/>
          <w:numId w:val="78"/>
        </w:numPr>
        <w:tabs>
          <w:tab w:val="left" w:pos="2790"/>
        </w:tabs>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color w:val="auto"/>
          <w:sz w:val="24"/>
          <w:szCs w:val="24"/>
        </w:rPr>
      </w:pPr>
      <w:r>
        <w:rPr>
          <w:rFonts w:hint="eastAsia" w:asciiTheme="minorEastAsia" w:hAnsiTheme="minorEastAsia"/>
          <w:color w:val="auto"/>
          <w:sz w:val="24"/>
          <w:szCs w:val="24"/>
          <w:lang w:val="en-US" w:eastAsia="zh-CN"/>
        </w:rPr>
        <w:t>国家药监局. 关于实施《医疗器械临床试验质量管理规范》有关事项的通告（2022年第21号）</w:t>
      </w:r>
      <w:r>
        <w:rPr>
          <w:rFonts w:hint="eastAsia" w:cs="宋体" w:asciiTheme="minorEastAsia" w:hAnsiTheme="minorEastAsia"/>
          <w:color w:val="auto"/>
          <w:kern w:val="0"/>
          <w:sz w:val="24"/>
          <w:szCs w:val="24"/>
          <w:lang w:val="en-US" w:eastAsia="zh-CN"/>
        </w:rPr>
        <w:t>医疗器械临床试验报告范本</w:t>
      </w:r>
      <w:r>
        <w:rPr>
          <w:rFonts w:hint="eastAsia" w:asciiTheme="minorEastAsia" w:hAnsiTheme="minorEastAsia"/>
          <w:color w:val="auto"/>
          <w:sz w:val="24"/>
          <w:szCs w:val="24"/>
          <w:lang w:val="en-US" w:eastAsia="zh-CN"/>
        </w:rPr>
        <w:t xml:space="preserve">[2022-03-31]. </w:t>
      </w:r>
      <w:r>
        <w:rPr>
          <w:rFonts w:hint="eastAsia" w:asciiTheme="minorEastAsia" w:hAnsiTheme="minorEastAsia"/>
          <w:color w:val="auto"/>
          <w:sz w:val="24"/>
          <w:szCs w:val="24"/>
          <w:u w:val="none"/>
          <w:lang w:val="en-US" w:eastAsia="zh-CN"/>
        </w:rPr>
        <w:t>https://www.nmpa.gov.cn/ylqx/ylqxggtg/20220331161452151.html</w:t>
      </w:r>
    </w:p>
    <w:p>
      <w:pPr>
        <w:numPr>
          <w:ilvl w:val="0"/>
          <w:numId w:val="0"/>
        </w:numPr>
        <w:spacing w:line="360" w:lineRule="auto"/>
        <w:ind w:left="0" w:leftChars="0" w:firstLine="0" w:firstLineChars="0"/>
        <w:jc w:val="left"/>
        <w:rPr>
          <w:rFonts w:hint="eastAsia" w:cs="宋体" w:asciiTheme="minorEastAsia" w:hAnsiTheme="minorEastAsia"/>
          <w:color w:val="auto"/>
          <w:kern w:val="0"/>
          <w:sz w:val="24"/>
          <w:szCs w:val="24"/>
        </w:rPr>
      </w:pPr>
      <w:r>
        <w:rPr>
          <w:rFonts w:hint="eastAsia" w:cs="宋体" w:asciiTheme="minorEastAsia" w:hAnsiTheme="minorEastAsia"/>
          <w:color w:val="auto"/>
          <w:kern w:val="0"/>
          <w:sz w:val="24"/>
          <w:szCs w:val="24"/>
          <w:lang w:val="en-US" w:eastAsia="zh-CN" w:bidi="ar-SA"/>
        </w:rPr>
        <w:t>五</w:t>
      </w:r>
      <w:r>
        <w:rPr>
          <w:rFonts w:hint="eastAsia" w:cs="宋体" w:asciiTheme="minorEastAsia" w:hAnsiTheme="minorEastAsia" w:eastAsiaTheme="minorEastAsia"/>
          <w:color w:val="auto"/>
          <w:kern w:val="0"/>
          <w:sz w:val="24"/>
          <w:szCs w:val="24"/>
          <w:lang w:val="en-US" w:eastAsia="zh-CN" w:bidi="ar-SA"/>
        </w:rPr>
        <w:t>、</w:t>
      </w:r>
      <w:r>
        <w:rPr>
          <w:rFonts w:hint="eastAsia" w:cs="宋体" w:asciiTheme="minorEastAsia" w:hAnsiTheme="minorEastAsia"/>
          <w:color w:val="auto"/>
          <w:kern w:val="0"/>
          <w:sz w:val="24"/>
          <w:szCs w:val="24"/>
        </w:rPr>
        <w:t>附件</w:t>
      </w:r>
    </w:p>
    <w:p>
      <w:pPr>
        <w:numPr>
          <w:ilvl w:val="0"/>
          <w:numId w:val="0"/>
        </w:numPr>
        <w:spacing w:line="360" w:lineRule="auto"/>
        <w:ind w:leftChars="0"/>
        <w:jc w:val="left"/>
        <w:rPr>
          <w:rFonts w:hint="default" w:cs="宋体" w:asciiTheme="minorEastAsia" w:hAnsiTheme="minorEastAsia"/>
          <w:color w:val="auto"/>
          <w:kern w:val="0"/>
          <w:sz w:val="24"/>
          <w:szCs w:val="24"/>
          <w:lang w:val="en-US" w:eastAsia="zh-CN"/>
        </w:rPr>
      </w:pPr>
      <w:r>
        <w:rPr>
          <w:rFonts w:hint="eastAsia" w:cs="宋体" w:asciiTheme="minorEastAsia" w:hAnsiTheme="minorEastAsia"/>
          <w:color w:val="auto"/>
          <w:kern w:val="0"/>
          <w:sz w:val="24"/>
          <w:szCs w:val="24"/>
          <w:lang w:val="en-US" w:eastAsia="zh-CN"/>
        </w:rPr>
        <w:t>附件1：医疗器械临床试验报告范本</w:t>
      </w:r>
    </w:p>
    <w:p>
      <w:pPr>
        <w:spacing w:line="300" w:lineRule="exact"/>
        <w:rPr>
          <w:rFonts w:ascii="黑体" w:hAnsi="黑体" w:eastAsia="黑体"/>
          <w:color w:val="auto"/>
          <w:sz w:val="32"/>
          <w:szCs w:val="32"/>
        </w:rPr>
      </w:pPr>
    </w:p>
    <w:p>
      <w:pPr>
        <w:pStyle w:val="9"/>
        <w:spacing w:after="0"/>
        <w:jc w:val="center"/>
        <w:rPr>
          <w:rFonts w:hint="eastAsia" w:ascii="黑体" w:hAnsi="黑体" w:eastAsia="黑体" w:cs="黑体"/>
          <w:b/>
          <w:bCs/>
          <w:color w:val="auto"/>
          <w:sz w:val="24"/>
          <w:szCs w:val="24"/>
        </w:rPr>
      </w:pPr>
    </w:p>
    <w:p>
      <w:pPr>
        <w:pStyle w:val="9"/>
        <w:spacing w:after="0"/>
        <w:jc w:val="center"/>
        <w:rPr>
          <w:rFonts w:hint="eastAsia" w:ascii="黑体" w:hAnsi="黑体" w:eastAsia="黑体" w:cs="黑体"/>
          <w:b/>
          <w:bCs/>
          <w:color w:val="auto"/>
          <w:sz w:val="24"/>
          <w:szCs w:val="24"/>
        </w:rPr>
      </w:pPr>
    </w:p>
    <w:p>
      <w:pPr>
        <w:pStyle w:val="9"/>
        <w:spacing w:after="0"/>
        <w:jc w:val="center"/>
        <w:rPr>
          <w:rFonts w:hint="eastAsia" w:ascii="黑体" w:hAnsi="黑体" w:eastAsia="黑体" w:cs="黑体"/>
          <w:b/>
          <w:bCs/>
          <w:color w:val="auto"/>
          <w:sz w:val="24"/>
          <w:szCs w:val="24"/>
        </w:rPr>
      </w:pPr>
    </w:p>
    <w:p>
      <w:pPr>
        <w:pStyle w:val="9"/>
        <w:spacing w:after="0"/>
        <w:jc w:val="center"/>
        <w:rPr>
          <w:rFonts w:hint="eastAsia" w:ascii="黑体" w:hAnsi="黑体" w:eastAsia="黑体" w:cs="黑体"/>
          <w:b/>
          <w:bCs/>
          <w:color w:val="auto"/>
          <w:sz w:val="24"/>
          <w:szCs w:val="24"/>
        </w:rPr>
      </w:pPr>
    </w:p>
    <w:p>
      <w:pPr>
        <w:pStyle w:val="9"/>
        <w:spacing w:after="0"/>
        <w:jc w:val="center"/>
        <w:rPr>
          <w:rFonts w:hint="eastAsia" w:ascii="黑体" w:hAnsi="黑体" w:eastAsia="黑体" w:cs="黑体"/>
          <w:b/>
          <w:bCs/>
          <w:color w:val="auto"/>
          <w:sz w:val="24"/>
          <w:szCs w:val="24"/>
        </w:rPr>
      </w:pPr>
    </w:p>
    <w:p>
      <w:pPr>
        <w:numPr>
          <w:ilvl w:val="0"/>
          <w:numId w:val="0"/>
        </w:numPr>
        <w:spacing w:line="360" w:lineRule="auto"/>
        <w:ind w:leftChars="0"/>
        <w:jc w:val="left"/>
        <w:rPr>
          <w:rFonts w:hint="default" w:cs="宋体" w:asciiTheme="minorEastAsia" w:hAnsiTheme="minorEastAsia"/>
          <w:color w:val="auto"/>
          <w:kern w:val="0"/>
          <w:sz w:val="24"/>
          <w:szCs w:val="24"/>
          <w:lang w:val="en-US" w:eastAsia="zh-CN"/>
        </w:rPr>
      </w:pPr>
      <w:r>
        <w:rPr>
          <w:rFonts w:hint="eastAsia" w:cs="宋体" w:asciiTheme="minorEastAsia" w:hAnsiTheme="minorEastAsia"/>
          <w:color w:val="auto"/>
          <w:kern w:val="0"/>
          <w:sz w:val="24"/>
          <w:szCs w:val="24"/>
          <w:lang w:val="en-US" w:eastAsia="zh-CN"/>
        </w:rPr>
        <w:t>附件1：医疗器械临床试验报告范本</w:t>
      </w:r>
    </w:p>
    <w:p>
      <w:pPr>
        <w:pStyle w:val="9"/>
        <w:spacing w:after="0"/>
        <w:jc w:val="center"/>
        <w:rPr>
          <w:rFonts w:hint="eastAsia" w:ascii="黑体" w:hAnsi="黑体" w:eastAsia="黑体" w:cs="黑体"/>
          <w:b/>
          <w:bCs/>
          <w:color w:val="auto"/>
          <w:sz w:val="24"/>
          <w:szCs w:val="24"/>
        </w:rPr>
      </w:pPr>
      <w:r>
        <w:rPr>
          <w:rFonts w:hint="eastAsia" w:ascii="黑体" w:hAnsi="黑体" w:eastAsia="黑体" w:cs="黑体"/>
          <w:b/>
          <w:bCs/>
          <w:color w:val="auto"/>
          <w:sz w:val="24"/>
          <w:szCs w:val="24"/>
        </w:rPr>
        <w:t>医疗器械临床试验报告范本</w:t>
      </w:r>
    </w:p>
    <w:p>
      <w:pPr>
        <w:pStyle w:val="9"/>
        <w:rPr>
          <w:rFonts w:ascii="宋体" w:eastAsia="宋体"/>
          <w:color w:val="auto"/>
          <w:sz w:val="24"/>
          <w:szCs w:val="24"/>
        </w:rPr>
      </w:pPr>
      <w:r>
        <w:rPr>
          <w:rFonts w:hint="eastAsia" w:ascii="宋体" w:eastAsia="宋体"/>
          <w:color w:val="auto"/>
          <w:sz w:val="24"/>
          <w:szCs w:val="24"/>
        </w:rPr>
        <w:t>报告编号/版本号：</w:t>
      </w:r>
    </w:p>
    <w:p>
      <w:pPr>
        <w:pStyle w:val="10"/>
        <w:spacing w:before="156" w:after="156"/>
        <w:ind w:firstLine="2387" w:firstLineChars="700"/>
        <w:rPr>
          <w:b/>
          <w:color w:val="auto"/>
          <w:sz w:val="24"/>
          <w:szCs w:val="24"/>
        </w:rPr>
      </w:pPr>
      <w:r>
        <w:rPr>
          <w:rFonts w:hint="eastAsia"/>
          <w:b/>
          <w:color w:val="auto"/>
          <w:spacing w:val="50"/>
          <w:sz w:val="24"/>
          <w:szCs w:val="24"/>
        </w:rPr>
        <w:t>×××</w:t>
      </w:r>
      <w:r>
        <w:rPr>
          <w:rFonts w:hint="eastAsia"/>
          <w:b/>
          <w:color w:val="auto"/>
          <w:sz w:val="24"/>
          <w:szCs w:val="24"/>
        </w:rPr>
        <w:t>临床试验报告</w:t>
      </w:r>
    </w:p>
    <w:p>
      <w:pPr>
        <w:pStyle w:val="10"/>
        <w:spacing w:before="156" w:after="156"/>
        <w:ind w:firstLine="360" w:firstLineChars="150"/>
        <w:rPr>
          <w:color w:val="auto"/>
          <w:sz w:val="24"/>
          <w:szCs w:val="24"/>
        </w:rPr>
      </w:pPr>
      <w:r>
        <w:rPr>
          <w:rFonts w:hint="eastAsia"/>
          <w:color w:val="auto"/>
          <w:sz w:val="24"/>
          <w:szCs w:val="24"/>
        </w:rPr>
        <w:t>试验医疗器械名称：</w:t>
      </w:r>
    </w:p>
    <w:p>
      <w:pPr>
        <w:pStyle w:val="11"/>
        <w:ind w:left="980" w:hanging="560"/>
        <w:rPr>
          <w:rFonts w:ascii="宋体" w:eastAsia="宋体"/>
          <w:color w:val="auto"/>
          <w:sz w:val="24"/>
          <w:szCs w:val="24"/>
        </w:rPr>
      </w:pPr>
      <w:r>
        <w:rPr>
          <w:rFonts w:hint="eastAsia" w:ascii="宋体" w:eastAsia="宋体"/>
          <w:color w:val="auto"/>
          <w:sz w:val="24"/>
          <w:szCs w:val="24"/>
        </w:rPr>
        <w:t>临床试验使用的型号规格：</w:t>
      </w:r>
    </w:p>
    <w:p>
      <w:pPr>
        <w:pStyle w:val="11"/>
        <w:ind w:left="199" w:leftChars="47" w:hanging="100" w:firstLineChars="0"/>
        <w:rPr>
          <w:rFonts w:ascii="宋体" w:eastAsia="宋体"/>
          <w:color w:val="auto"/>
          <w:sz w:val="24"/>
          <w:szCs w:val="24"/>
        </w:rPr>
      </w:pPr>
      <w:r>
        <w:rPr>
          <w:rFonts w:hint="eastAsia" w:ascii="宋体" w:eastAsia="宋体"/>
          <w:color w:val="auto"/>
          <w:sz w:val="24"/>
          <w:szCs w:val="24"/>
        </w:rPr>
        <w:t xml:space="preserve">  需进行临床试验审批的第三类医疗器械 是□  否□</w:t>
      </w:r>
    </w:p>
    <w:p>
      <w:pPr>
        <w:pStyle w:val="11"/>
        <w:ind w:left="980" w:hanging="560"/>
        <w:rPr>
          <w:rFonts w:ascii="宋体" w:eastAsia="宋体"/>
          <w:color w:val="auto"/>
          <w:sz w:val="24"/>
          <w:szCs w:val="24"/>
        </w:rPr>
      </w:pPr>
      <w:r>
        <w:rPr>
          <w:rFonts w:hint="eastAsia" w:ascii="宋体" w:eastAsia="宋体"/>
          <w:color w:val="auto"/>
          <w:sz w:val="24"/>
          <w:szCs w:val="24"/>
        </w:rPr>
        <w:t>临床试验机构：</w:t>
      </w:r>
    </w:p>
    <w:p>
      <w:pPr>
        <w:pStyle w:val="11"/>
        <w:ind w:left="980" w:hanging="560"/>
        <w:rPr>
          <w:rFonts w:ascii="宋体" w:eastAsia="宋体"/>
          <w:color w:val="auto"/>
          <w:sz w:val="24"/>
          <w:szCs w:val="24"/>
        </w:rPr>
      </w:pPr>
      <w:r>
        <w:rPr>
          <w:rFonts w:hint="eastAsia" w:ascii="宋体" w:eastAsia="宋体"/>
          <w:color w:val="auto"/>
          <w:sz w:val="24"/>
          <w:szCs w:val="24"/>
        </w:rPr>
        <w:t>主要研究者：</w:t>
      </w:r>
    </w:p>
    <w:p>
      <w:pPr>
        <w:pStyle w:val="11"/>
        <w:ind w:left="980" w:hanging="560"/>
        <w:rPr>
          <w:rFonts w:ascii="宋体" w:eastAsia="宋体"/>
          <w:color w:val="auto"/>
          <w:sz w:val="24"/>
          <w:szCs w:val="24"/>
        </w:rPr>
      </w:pPr>
      <w:r>
        <w:rPr>
          <w:rFonts w:hint="eastAsia" w:ascii="宋体" w:eastAsia="宋体"/>
          <w:color w:val="auto"/>
          <w:sz w:val="24"/>
          <w:szCs w:val="24"/>
        </w:rPr>
        <w:t>临床试验组长单位/协调研究者（</w:t>
      </w:r>
      <w:r>
        <w:rPr>
          <w:rFonts w:ascii="宋体" w:eastAsia="宋体" w:cs="Times New Roman"/>
          <w:color w:val="auto"/>
          <w:sz w:val="24"/>
          <w:szCs w:val="24"/>
        </w:rPr>
        <w:t>多中心临床试验</w:t>
      </w:r>
      <w:r>
        <w:rPr>
          <w:rFonts w:hint="eastAsia" w:ascii="宋体" w:eastAsia="宋体" w:cs="Times New Roman"/>
          <w:color w:val="auto"/>
          <w:sz w:val="24"/>
          <w:szCs w:val="24"/>
        </w:rPr>
        <w:t>适用</w:t>
      </w:r>
      <w:r>
        <w:rPr>
          <w:rFonts w:hint="eastAsia" w:ascii="宋体" w:eastAsia="宋体"/>
          <w:color w:val="auto"/>
          <w:sz w:val="24"/>
          <w:szCs w:val="24"/>
        </w:rPr>
        <w:t>）：</w:t>
      </w:r>
    </w:p>
    <w:p>
      <w:pPr>
        <w:pStyle w:val="11"/>
        <w:ind w:left="980" w:hanging="560"/>
        <w:rPr>
          <w:rFonts w:ascii="宋体" w:eastAsia="宋体"/>
          <w:color w:val="auto"/>
          <w:sz w:val="24"/>
          <w:szCs w:val="24"/>
        </w:rPr>
      </w:pPr>
      <w:r>
        <w:rPr>
          <w:rFonts w:hint="eastAsia" w:ascii="宋体" w:eastAsia="宋体"/>
          <w:color w:val="auto"/>
          <w:sz w:val="24"/>
          <w:szCs w:val="24"/>
        </w:rPr>
        <w:t>临床试验开始时间：</w:t>
      </w:r>
    </w:p>
    <w:p>
      <w:pPr>
        <w:pStyle w:val="11"/>
        <w:ind w:left="980" w:hanging="560"/>
        <w:rPr>
          <w:rFonts w:ascii="宋体" w:eastAsia="宋体"/>
          <w:color w:val="auto"/>
          <w:sz w:val="24"/>
          <w:szCs w:val="24"/>
        </w:rPr>
      </w:pPr>
      <w:r>
        <w:rPr>
          <w:rFonts w:hint="eastAsia" w:ascii="宋体" w:eastAsia="宋体"/>
          <w:color w:val="auto"/>
          <w:sz w:val="24"/>
          <w:szCs w:val="24"/>
        </w:rPr>
        <w:t>临床试验结束时间：</w:t>
      </w:r>
    </w:p>
    <w:p>
      <w:pPr>
        <w:pStyle w:val="11"/>
        <w:ind w:left="980" w:hanging="560"/>
        <w:rPr>
          <w:rFonts w:ascii="宋体" w:eastAsia="宋体"/>
          <w:color w:val="auto"/>
          <w:sz w:val="24"/>
          <w:szCs w:val="24"/>
        </w:rPr>
      </w:pPr>
      <w:r>
        <w:rPr>
          <w:rFonts w:hint="eastAsia" w:ascii="宋体" w:eastAsia="宋体"/>
          <w:color w:val="auto"/>
          <w:sz w:val="24"/>
          <w:szCs w:val="24"/>
        </w:rPr>
        <w:t>方案编号：</w:t>
      </w:r>
    </w:p>
    <w:p>
      <w:pPr>
        <w:pStyle w:val="11"/>
        <w:ind w:left="980" w:hanging="560"/>
        <w:rPr>
          <w:rFonts w:ascii="宋体" w:eastAsia="宋体"/>
          <w:color w:val="auto"/>
          <w:sz w:val="24"/>
          <w:szCs w:val="24"/>
        </w:rPr>
      </w:pPr>
      <w:r>
        <w:rPr>
          <w:rFonts w:hint="eastAsia" w:ascii="宋体" w:eastAsia="宋体"/>
          <w:color w:val="auto"/>
          <w:sz w:val="24"/>
          <w:szCs w:val="24"/>
        </w:rPr>
        <w:t>方案版本号和日期：</w:t>
      </w:r>
    </w:p>
    <w:p>
      <w:pPr>
        <w:pStyle w:val="11"/>
        <w:ind w:left="980" w:hanging="560"/>
        <w:rPr>
          <w:rFonts w:ascii="宋体" w:eastAsia="宋体"/>
          <w:color w:val="auto"/>
          <w:sz w:val="24"/>
          <w:szCs w:val="24"/>
        </w:rPr>
      </w:pPr>
      <w:r>
        <w:rPr>
          <w:rFonts w:hint="eastAsia" w:ascii="宋体" w:eastAsia="宋体"/>
          <w:color w:val="auto"/>
          <w:sz w:val="24"/>
          <w:szCs w:val="24"/>
        </w:rPr>
        <w:t>申办者：</w:t>
      </w:r>
    </w:p>
    <w:p>
      <w:pPr>
        <w:pStyle w:val="11"/>
        <w:ind w:left="980" w:hanging="560"/>
        <w:rPr>
          <w:rFonts w:ascii="宋体" w:eastAsia="宋体"/>
          <w:color w:val="auto"/>
          <w:sz w:val="24"/>
          <w:szCs w:val="24"/>
        </w:rPr>
      </w:pPr>
    </w:p>
    <w:p>
      <w:pPr>
        <w:pStyle w:val="11"/>
        <w:ind w:left="980" w:hanging="560"/>
        <w:rPr>
          <w:rFonts w:ascii="宋体" w:eastAsia="宋体"/>
          <w:color w:val="auto"/>
          <w:sz w:val="24"/>
          <w:szCs w:val="24"/>
        </w:rPr>
      </w:pPr>
      <w:r>
        <w:rPr>
          <w:rFonts w:hint="eastAsia" w:ascii="宋体" w:eastAsia="宋体"/>
          <w:color w:val="auto"/>
          <w:sz w:val="24"/>
          <w:szCs w:val="24"/>
        </w:rPr>
        <w:t>原始资料保存地点：</w:t>
      </w:r>
    </w:p>
    <w:p>
      <w:pPr>
        <w:spacing w:before="50" w:after="50"/>
        <w:rPr>
          <w:rFonts w:ascii="宋体"/>
          <w:color w:val="auto"/>
          <w:sz w:val="24"/>
          <w:szCs w:val="24"/>
        </w:rPr>
      </w:pPr>
    </w:p>
    <w:p>
      <w:pPr>
        <w:wordWrap w:val="0"/>
        <w:spacing w:before="50" w:after="50"/>
        <w:ind w:firstLine="480" w:firstLineChars="200"/>
        <w:jc w:val="right"/>
        <w:rPr>
          <w:rFonts w:ascii="宋体" w:hAnsi="宋体" w:cs="宋体"/>
          <w:color w:val="auto"/>
          <w:kern w:val="0"/>
          <w:sz w:val="24"/>
          <w:szCs w:val="24"/>
        </w:rPr>
      </w:pPr>
      <w:r>
        <w:rPr>
          <w:rFonts w:hint="eastAsia" w:ascii="宋体" w:hAnsi="宋体" w:cs="宋体"/>
          <w:color w:val="auto"/>
          <w:kern w:val="0"/>
          <w:sz w:val="24"/>
          <w:szCs w:val="24"/>
        </w:rPr>
        <w:t xml:space="preserve">年  月  日       </w:t>
      </w:r>
    </w:p>
    <w:p>
      <w:pPr>
        <w:pStyle w:val="9"/>
        <w:jc w:val="center"/>
        <w:rPr>
          <w:rFonts w:ascii="黑体" w:hAnsi="黑体" w:eastAsia="黑体"/>
          <w:color w:val="auto"/>
          <w:sz w:val="24"/>
          <w:szCs w:val="24"/>
        </w:rPr>
      </w:pPr>
      <w:r>
        <w:rPr>
          <w:rFonts w:hint="eastAsia" w:ascii="黑体" w:hAnsi="黑体" w:eastAsia="黑体"/>
          <w:color w:val="auto"/>
          <w:sz w:val="24"/>
          <w:szCs w:val="24"/>
        </w:rPr>
        <w:t>填写说明</w:t>
      </w:r>
    </w:p>
    <w:p>
      <w:pPr>
        <w:pStyle w:val="25"/>
        <w:ind w:firstLine="480" w:firstLineChars="200"/>
        <w:rPr>
          <w:rFonts w:ascii="Times New Roman" w:hAnsi="Times New Roman" w:eastAsia="宋体"/>
          <w:color w:val="auto"/>
          <w:sz w:val="24"/>
          <w:szCs w:val="24"/>
        </w:rPr>
      </w:pPr>
    </w:p>
    <w:p>
      <w:pPr>
        <w:pStyle w:val="25"/>
        <w:spacing w:after="0"/>
        <w:ind w:firstLine="0" w:firstLineChars="0"/>
        <w:rPr>
          <w:rFonts w:ascii="Times New Roman" w:hAnsi="Times New Roman" w:eastAsia="宋体"/>
          <w:color w:val="auto"/>
          <w:sz w:val="24"/>
          <w:szCs w:val="24"/>
        </w:rPr>
      </w:pPr>
      <w:r>
        <w:rPr>
          <w:rFonts w:ascii="Times New Roman" w:hAnsi="Times New Roman" w:eastAsia="宋体"/>
          <w:color w:val="auto"/>
          <w:sz w:val="24"/>
          <w:szCs w:val="24"/>
        </w:rPr>
        <w:t>1.申办者、主要研究者应当本着认真负责的态度，严格按照临床试验方案实施临床试验，公正、客观地</w:t>
      </w:r>
      <w:r>
        <w:rPr>
          <w:rFonts w:hint="eastAsia" w:ascii="Times New Roman" w:hAnsi="Times New Roman" w:eastAsia="宋体"/>
          <w:color w:val="auto"/>
          <w:sz w:val="24"/>
          <w:szCs w:val="24"/>
        </w:rPr>
        <w:t>完成</w:t>
      </w:r>
      <w:r>
        <w:rPr>
          <w:rFonts w:ascii="Times New Roman" w:hAnsi="Times New Roman" w:eastAsia="宋体"/>
          <w:color w:val="auto"/>
          <w:sz w:val="24"/>
          <w:szCs w:val="24"/>
        </w:rPr>
        <w:t>临床试验报告。</w:t>
      </w:r>
    </w:p>
    <w:p>
      <w:pPr>
        <w:pStyle w:val="25"/>
        <w:spacing w:after="0"/>
        <w:ind w:firstLine="0" w:firstLineChars="0"/>
        <w:rPr>
          <w:rFonts w:ascii="Times New Roman" w:hAnsi="Times New Roman" w:eastAsia="宋体"/>
          <w:color w:val="auto"/>
          <w:sz w:val="24"/>
          <w:szCs w:val="24"/>
        </w:rPr>
      </w:pPr>
      <w:r>
        <w:rPr>
          <w:rFonts w:ascii="Times New Roman" w:hAnsi="Times New Roman" w:eastAsia="宋体"/>
          <w:color w:val="auto"/>
          <w:sz w:val="24"/>
          <w:szCs w:val="24"/>
        </w:rPr>
        <w:t>2.申办者、主要研究者应当对试验报告的真实性和科学性负责。</w:t>
      </w:r>
    </w:p>
    <w:p>
      <w:pPr>
        <w:pStyle w:val="25"/>
        <w:spacing w:after="0"/>
        <w:ind w:firstLine="0" w:firstLineChars="0"/>
        <w:rPr>
          <w:rFonts w:ascii="Times New Roman" w:hAnsi="Times New Roman" w:eastAsia="宋体"/>
          <w:color w:val="auto"/>
          <w:sz w:val="24"/>
          <w:szCs w:val="24"/>
        </w:rPr>
      </w:pPr>
      <w:r>
        <w:rPr>
          <w:rFonts w:ascii="Times New Roman" w:hAnsi="Times New Roman" w:eastAsia="宋体"/>
          <w:color w:val="auto"/>
          <w:sz w:val="24"/>
          <w:szCs w:val="24"/>
        </w:rPr>
        <w:t>3.本报告应当由主要研究者签名和注明日期，经医疗器械临床试验机构审核签章后交申办者。多中心临床试验报告应当由协调研究者签名、注明日期，经组长单位医疗器械临床试验机构审核签章后交申办者。</w:t>
      </w:r>
    </w:p>
    <w:p>
      <w:pPr>
        <w:pStyle w:val="25"/>
        <w:spacing w:after="0"/>
        <w:ind w:firstLine="0" w:firstLineChars="0"/>
        <w:rPr>
          <w:rFonts w:ascii="Times New Roman" w:hAnsi="Times New Roman" w:eastAsia="宋体"/>
          <w:color w:val="auto"/>
          <w:sz w:val="24"/>
          <w:szCs w:val="24"/>
        </w:rPr>
      </w:pPr>
      <w:r>
        <w:rPr>
          <w:rFonts w:ascii="Times New Roman" w:hAnsi="Times New Roman" w:eastAsia="宋体"/>
          <w:color w:val="auto"/>
          <w:sz w:val="24"/>
          <w:szCs w:val="24"/>
        </w:rPr>
        <w:t>4.报告应当有目录。</w:t>
      </w:r>
    </w:p>
    <w:p>
      <w:pPr>
        <w:pStyle w:val="25"/>
        <w:spacing w:after="0"/>
        <w:ind w:firstLine="0" w:firstLineChars="0"/>
        <w:rPr>
          <w:rFonts w:ascii="Times New Roman" w:hAnsi="Times New Roman" w:eastAsia="宋体"/>
          <w:color w:val="auto"/>
          <w:sz w:val="24"/>
          <w:szCs w:val="24"/>
        </w:rPr>
      </w:pPr>
      <w:r>
        <w:rPr>
          <w:rFonts w:ascii="Times New Roman" w:hAnsi="Times New Roman" w:eastAsia="宋体"/>
          <w:color w:val="auto"/>
          <w:sz w:val="24"/>
          <w:szCs w:val="24"/>
        </w:rPr>
        <w:t>5.可根据报告需要增加缩略语表、参考文献等内容。</w:t>
      </w:r>
    </w:p>
    <w:p>
      <w:pPr>
        <w:pStyle w:val="25"/>
        <w:ind w:firstLine="280"/>
        <w:rPr>
          <w:rFonts w:ascii="宋体" w:eastAsia="宋体"/>
          <w:color w:val="auto"/>
          <w:sz w:val="24"/>
          <w:szCs w:val="24"/>
        </w:rPr>
      </w:pPr>
    </w:p>
    <w:p>
      <w:pPr>
        <w:pStyle w:val="25"/>
        <w:ind w:firstLine="280"/>
        <w:rPr>
          <w:rFonts w:ascii="宋体" w:eastAsia="宋体"/>
          <w:color w:val="auto"/>
          <w:sz w:val="24"/>
          <w:szCs w:val="24"/>
        </w:rPr>
      </w:pPr>
    </w:p>
    <w:p>
      <w:pPr>
        <w:pStyle w:val="25"/>
        <w:ind w:firstLine="280"/>
        <w:rPr>
          <w:rFonts w:ascii="宋体" w:eastAsia="宋体"/>
          <w:color w:val="auto"/>
          <w:sz w:val="24"/>
          <w:szCs w:val="24"/>
        </w:rPr>
      </w:pPr>
    </w:p>
    <w:p>
      <w:pPr>
        <w:pStyle w:val="25"/>
        <w:ind w:firstLine="280"/>
        <w:rPr>
          <w:rFonts w:ascii="宋体" w:eastAsia="宋体"/>
          <w:color w:val="auto"/>
          <w:sz w:val="24"/>
          <w:szCs w:val="24"/>
        </w:rPr>
      </w:pPr>
    </w:p>
    <w:p>
      <w:pPr>
        <w:pStyle w:val="11"/>
        <w:spacing w:line="560" w:lineRule="exact"/>
        <w:ind w:left="0" w:leftChars="0" w:firstLine="480" w:firstLineChars="200"/>
        <w:rPr>
          <w:rFonts w:ascii="Times New Roman" w:hAnsi="Times New Roman" w:eastAsia="黑体" w:cs="Times New Roman"/>
          <w:color w:val="auto"/>
          <w:sz w:val="24"/>
          <w:szCs w:val="24"/>
        </w:rPr>
      </w:pPr>
      <w:r>
        <w:rPr>
          <w:rFonts w:ascii="Times New Roman" w:hAnsi="Times New Roman" w:eastAsia="黑体" w:cs="Times New Roman"/>
          <w:color w:val="auto"/>
          <w:sz w:val="24"/>
          <w:szCs w:val="24"/>
        </w:rPr>
        <w:t>一、报告摘要</w:t>
      </w:r>
    </w:p>
    <w:p>
      <w:pPr>
        <w:pStyle w:val="11"/>
        <w:spacing w:line="560" w:lineRule="exact"/>
        <w:ind w:left="0" w:leftChars="0" w:firstLine="480" w:firstLineChars="200"/>
        <w:rPr>
          <w:rFonts w:ascii="Times New Roman" w:hAnsi="Times New Roman" w:eastAsia="黑体" w:cs="Times New Roman"/>
          <w:color w:val="auto"/>
          <w:sz w:val="24"/>
          <w:szCs w:val="24"/>
        </w:rPr>
      </w:pPr>
      <w:r>
        <w:rPr>
          <w:rFonts w:ascii="Times New Roman" w:hAnsi="Times New Roman" w:eastAsia="黑体" w:cs="Times New Roman"/>
          <w:color w:val="auto"/>
          <w:sz w:val="24"/>
          <w:szCs w:val="24"/>
        </w:rPr>
        <w:t>二、临床试验的背景</w:t>
      </w:r>
    </w:p>
    <w:p>
      <w:pPr>
        <w:pStyle w:val="11"/>
        <w:spacing w:line="560" w:lineRule="exact"/>
        <w:ind w:left="0" w:leftChars="0" w:firstLine="480" w:firstLineChars="200"/>
        <w:rPr>
          <w:rFonts w:ascii="Times New Roman" w:hAnsi="Times New Roman" w:eastAsia="黑体" w:cs="Times New Roman"/>
          <w:color w:val="auto"/>
          <w:sz w:val="24"/>
          <w:szCs w:val="24"/>
        </w:rPr>
      </w:pPr>
      <w:r>
        <w:rPr>
          <w:rFonts w:ascii="Times New Roman" w:hAnsi="Times New Roman" w:eastAsia="黑体" w:cs="Times New Roman"/>
          <w:color w:val="auto"/>
          <w:sz w:val="24"/>
          <w:szCs w:val="24"/>
        </w:rPr>
        <w:t>三、临床试验目的</w:t>
      </w:r>
    </w:p>
    <w:p>
      <w:pPr>
        <w:pStyle w:val="11"/>
        <w:spacing w:line="560" w:lineRule="exact"/>
        <w:ind w:left="0" w:leftChars="0" w:firstLine="480" w:firstLineChars="200"/>
        <w:rPr>
          <w:rFonts w:ascii="Times New Roman" w:hAnsi="Times New Roman" w:eastAsia="黑体" w:cs="Times New Roman"/>
          <w:color w:val="auto"/>
          <w:sz w:val="24"/>
          <w:szCs w:val="24"/>
        </w:rPr>
      </w:pPr>
      <w:r>
        <w:rPr>
          <w:rFonts w:ascii="Times New Roman" w:hAnsi="Times New Roman" w:eastAsia="黑体" w:cs="Times New Roman"/>
          <w:color w:val="auto"/>
          <w:sz w:val="24"/>
          <w:szCs w:val="24"/>
        </w:rPr>
        <w:t>四、临床试验的实施</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（一）试验流程图</w:t>
      </w:r>
    </w:p>
    <w:p>
      <w:pPr>
        <w:pStyle w:val="6"/>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（二）受试者选择</w:t>
      </w:r>
      <w:r>
        <w:rPr>
          <w:rFonts w:ascii="Times New Roman" w:hAnsi="Times New Roman" w:eastAsia="宋体" w:cs="Times New Roman"/>
          <w:color w:val="auto"/>
          <w:sz w:val="24"/>
          <w:szCs w:val="24"/>
        </w:rPr>
        <w:tab/>
      </w:r>
    </w:p>
    <w:p>
      <w:pPr>
        <w:pStyle w:val="26"/>
        <w:spacing w:after="0" w:line="560" w:lineRule="exact"/>
        <w:ind w:left="0" w:leftChars="0" w:firstLine="56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1.入选标准</w:t>
      </w:r>
      <w:r>
        <w:rPr>
          <w:rFonts w:ascii="Times New Roman" w:hAnsi="Times New Roman" w:eastAsia="宋体" w:cs="Times New Roman"/>
          <w:color w:val="auto"/>
          <w:sz w:val="24"/>
          <w:szCs w:val="24"/>
        </w:rPr>
        <w:tab/>
      </w:r>
      <w:r>
        <w:rPr>
          <w:rFonts w:ascii="Times New Roman" w:hAnsi="Times New Roman" w:eastAsia="宋体" w:cs="Times New Roman"/>
          <w:color w:val="auto"/>
          <w:sz w:val="24"/>
          <w:szCs w:val="24"/>
        </w:rPr>
        <w:t xml:space="preserve">  </w:t>
      </w:r>
    </w:p>
    <w:p>
      <w:pPr>
        <w:pStyle w:val="26"/>
        <w:spacing w:after="0" w:line="560" w:lineRule="exact"/>
        <w:ind w:left="0" w:leftChars="0" w:firstLine="56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2.排除标准</w:t>
      </w:r>
      <w:r>
        <w:rPr>
          <w:rFonts w:ascii="Times New Roman" w:hAnsi="Times New Roman" w:eastAsia="宋体" w:cs="Times New Roman"/>
          <w:color w:val="auto"/>
          <w:sz w:val="24"/>
          <w:szCs w:val="24"/>
        </w:rPr>
        <w:tab/>
      </w:r>
    </w:p>
    <w:p>
      <w:pPr>
        <w:pStyle w:val="26"/>
        <w:spacing w:after="0" w:line="560" w:lineRule="exact"/>
        <w:ind w:left="0" w:leftChars="0" w:firstLine="56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3.受试者退出标准</w:t>
      </w:r>
    </w:p>
    <w:p>
      <w:pPr>
        <w:pStyle w:val="6"/>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（三）临床试验样本量</w:t>
      </w:r>
    </w:p>
    <w:p>
      <w:pPr>
        <w:pStyle w:val="20"/>
        <w:spacing w:line="560" w:lineRule="exact"/>
        <w:ind w:left="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（四）试验医疗器械和对照医疗器械/对照诊疗方法（如适用）</w:t>
      </w:r>
    </w:p>
    <w:p>
      <w:pPr>
        <w:pStyle w:val="25"/>
        <w:spacing w:after="0" w:line="560" w:lineRule="exact"/>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（五）临床评价标准</w:t>
      </w:r>
    </w:p>
    <w:p>
      <w:pPr>
        <w:pStyle w:val="25"/>
        <w:spacing w:after="0" w:line="560" w:lineRule="exact"/>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1.有效性评价</w:t>
      </w:r>
      <w:r>
        <w:rPr>
          <w:rFonts w:ascii="Times New Roman" w:hAnsi="Times New Roman" w:eastAsia="宋体"/>
          <w:color w:val="auto"/>
          <w:sz w:val="24"/>
          <w:szCs w:val="24"/>
        </w:rPr>
        <w:tab/>
      </w:r>
    </w:p>
    <w:p>
      <w:pPr>
        <w:pStyle w:val="25"/>
        <w:spacing w:after="0" w:line="560" w:lineRule="exact"/>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2.安全性评价</w:t>
      </w:r>
      <w:r>
        <w:rPr>
          <w:rFonts w:ascii="Times New Roman" w:hAnsi="Times New Roman" w:eastAsia="宋体"/>
          <w:color w:val="auto"/>
          <w:sz w:val="24"/>
          <w:szCs w:val="24"/>
        </w:rPr>
        <w:tab/>
      </w:r>
    </w:p>
    <w:p>
      <w:pPr>
        <w:pStyle w:val="6"/>
        <w:spacing w:line="560" w:lineRule="exact"/>
        <w:ind w:left="0" w:leftChars="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五、统计分析方法</w:t>
      </w:r>
      <w:r>
        <w:rPr>
          <w:rFonts w:ascii="黑体" w:hAnsi="黑体" w:eastAsia="黑体" w:cs="Times New Roman"/>
          <w:color w:val="auto"/>
          <w:sz w:val="24"/>
          <w:szCs w:val="24"/>
        </w:rPr>
        <w:tab/>
      </w:r>
    </w:p>
    <w:p>
      <w:pPr>
        <w:pStyle w:val="6"/>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1.分析数据集</w:t>
      </w:r>
    </w:p>
    <w:p>
      <w:pPr>
        <w:pStyle w:val="23"/>
        <w:spacing w:after="0"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2.受试者剔除标准</w:t>
      </w:r>
    </w:p>
    <w:p>
      <w:pPr>
        <w:pStyle w:val="6"/>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3.统计分析方法</w:t>
      </w:r>
    </w:p>
    <w:p>
      <w:pPr>
        <w:pStyle w:val="6"/>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4.缺失值和异常值的处理</w:t>
      </w:r>
    </w:p>
    <w:p>
      <w:pPr>
        <w:pStyle w:val="6"/>
        <w:spacing w:line="560" w:lineRule="exact"/>
        <w:ind w:left="0" w:leftChars="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六、临床试验结果</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（一）分析数据集</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（二）基线数据</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（三）有效性评价</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（四）安全性评价</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（五）不良事件以及其处理情况</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1.不良事件，包括定义、不良事件的描述、处理过程以及处理结果，与器械的关系</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2.严重不良事件，包括定义、严重不良事件的描述、处理过程以及处理结果，与器械的关系</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（六）器械缺陷</w:t>
      </w:r>
    </w:p>
    <w:p>
      <w:pPr>
        <w:pStyle w:val="6"/>
        <w:spacing w:line="560" w:lineRule="exact"/>
        <w:ind w:left="0" w:leftChars="0" w:firstLine="480" w:firstLineChars="200"/>
        <w:rPr>
          <w:rFonts w:ascii="Times New Roman" w:hAnsi="Times New Roman" w:eastAsia="宋体" w:cs="Times New Roman"/>
          <w:color w:val="auto"/>
          <w:sz w:val="24"/>
          <w:szCs w:val="24"/>
        </w:rPr>
      </w:pPr>
      <w:r>
        <w:rPr>
          <w:rFonts w:ascii="黑体" w:hAnsi="黑体" w:eastAsia="黑体" w:cs="Times New Roman"/>
          <w:color w:val="auto"/>
          <w:sz w:val="24"/>
          <w:szCs w:val="24"/>
        </w:rPr>
        <w:t>七、临床试验结果分析、讨论，尤其是适用范围、适应症、禁忌症和注意事项等</w:t>
      </w:r>
      <w:r>
        <w:rPr>
          <w:rFonts w:ascii="Times New Roman" w:hAnsi="Times New Roman" w:eastAsia="宋体" w:cs="Times New Roman"/>
          <w:color w:val="auto"/>
          <w:sz w:val="24"/>
          <w:szCs w:val="24"/>
        </w:rPr>
        <w:tab/>
      </w:r>
    </w:p>
    <w:p>
      <w:pPr>
        <w:pStyle w:val="6"/>
        <w:spacing w:line="560" w:lineRule="exact"/>
        <w:ind w:left="0" w:leftChars="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八、临床试验结论</w:t>
      </w:r>
    </w:p>
    <w:p>
      <w:pPr>
        <w:pStyle w:val="6"/>
        <w:spacing w:line="560" w:lineRule="exact"/>
        <w:ind w:left="0" w:leftChars="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九、存在问题以及改进建议</w:t>
      </w:r>
    </w:p>
    <w:p>
      <w:pPr>
        <w:pStyle w:val="6"/>
        <w:spacing w:line="560" w:lineRule="exact"/>
        <w:ind w:left="0" w:leftChars="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十、多中心临床试验所有临床试验机构（如适用）</w:t>
      </w:r>
    </w:p>
    <w:p>
      <w:pPr>
        <w:pStyle w:val="6"/>
        <w:spacing w:line="560" w:lineRule="exact"/>
        <w:ind w:left="0" w:leftChars="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十一、试验人员名单</w:t>
      </w:r>
    </w:p>
    <w:p>
      <w:pPr>
        <w:pStyle w:val="6"/>
        <w:spacing w:line="560" w:lineRule="exact"/>
        <w:ind w:left="0" w:leftChars="0" w:firstLine="480" w:firstLineChars="200"/>
        <w:rPr>
          <w:rFonts w:ascii="黑体" w:hAnsi="黑体" w:eastAsia="黑体" w:cs="Times New Roman"/>
          <w:color w:val="auto"/>
          <w:sz w:val="24"/>
          <w:szCs w:val="24"/>
        </w:rPr>
      </w:pPr>
      <w:r>
        <w:rPr>
          <w:rFonts w:ascii="黑体" w:hAnsi="黑体" w:eastAsia="黑体" w:cs="Times New Roman"/>
          <w:color w:val="auto"/>
          <w:sz w:val="24"/>
          <w:szCs w:val="24"/>
        </w:rPr>
        <w:t>十二、伦理情况说明</w:t>
      </w:r>
    </w:p>
    <w:p>
      <w:pPr>
        <w:pStyle w:val="6"/>
        <w:spacing w:line="560" w:lineRule="exact"/>
        <w:ind w:left="0" w:leftChars="0" w:firstLine="480" w:firstLineChars="200"/>
        <w:rPr>
          <w:rFonts w:ascii="Times New Roman" w:hAnsi="Times New Roman" w:eastAsia="宋体" w:cs="Times New Roman"/>
          <w:color w:val="auto"/>
          <w:sz w:val="24"/>
          <w:szCs w:val="24"/>
        </w:rPr>
      </w:pPr>
      <w:r>
        <w:rPr>
          <w:rFonts w:ascii="黑体" w:hAnsi="黑体" w:eastAsia="黑体" w:cs="Times New Roman"/>
          <w:color w:val="auto"/>
          <w:sz w:val="24"/>
          <w:szCs w:val="24"/>
        </w:rPr>
        <w:t>十三、其他需要说明的情况</w:t>
      </w:r>
      <w:r>
        <w:rPr>
          <w:rFonts w:ascii="Times New Roman" w:hAnsi="Times New Roman" w:eastAsia="宋体" w:cs="Times New Roman"/>
          <w:color w:val="auto"/>
          <w:sz w:val="24"/>
          <w:szCs w:val="24"/>
        </w:rPr>
        <w:t>（试验过程中方案修改情况说明、</w:t>
      </w:r>
      <w:r>
        <w:rPr>
          <w:rFonts w:ascii="Times New Roman" w:hAnsi="Times New Roman" w:eastAsia="宋体" w:cs="Times New Roman"/>
          <w:snapToGrid w:val="0"/>
          <w:color w:val="auto"/>
          <w:sz w:val="24"/>
          <w:szCs w:val="24"/>
        </w:rPr>
        <w:t>试验方案的偏离情况</w:t>
      </w:r>
      <w:r>
        <w:rPr>
          <w:rFonts w:ascii="Times New Roman" w:hAnsi="Times New Roman" w:eastAsia="宋体" w:cs="Times New Roman"/>
          <w:color w:val="auto"/>
          <w:sz w:val="24"/>
          <w:szCs w:val="24"/>
        </w:rPr>
        <w:t>）</w:t>
      </w:r>
    </w:p>
    <w:p>
      <w:pPr>
        <w:pStyle w:val="11"/>
        <w:spacing w:line="560" w:lineRule="exact"/>
        <w:ind w:left="0" w:leftChars="0" w:firstLine="480" w:firstLineChars="200"/>
        <w:rPr>
          <w:rFonts w:ascii="Times New Roman" w:hAnsi="Times New Roman" w:eastAsia="宋体" w:cs="Times New Roman"/>
          <w:color w:val="auto"/>
          <w:sz w:val="24"/>
          <w:szCs w:val="24"/>
        </w:rPr>
      </w:pPr>
      <w:r>
        <w:rPr>
          <w:rFonts w:ascii="黑体" w:hAnsi="黑体" w:eastAsia="黑体" w:cs="Times New Roman"/>
          <w:color w:val="auto"/>
          <w:sz w:val="24"/>
          <w:szCs w:val="24"/>
        </w:rPr>
        <w:t>十四、主要研究者（单中心临床试验）/协调研究者（多中心临床试验）签名，注明日期，临床试验机构审核签章</w:t>
      </w:r>
    </w:p>
    <w:p>
      <w:pPr>
        <w:pStyle w:val="20"/>
        <w:ind w:left="0" w:firstLine="480" w:firstLineChars="200"/>
        <w:rPr>
          <w:rFonts w:ascii="宋体" w:eastAsia="宋体" w:cs="Times New Roman"/>
          <w:color w:val="auto"/>
          <w:sz w:val="24"/>
          <w:szCs w:val="24"/>
        </w:rPr>
      </w:pPr>
    </w:p>
    <w:tbl>
      <w:tblPr>
        <w:tblStyle w:val="27"/>
        <w:tblW w:w="7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7920" w:type="dxa"/>
            <w:tcBorders>
              <w:top w:val="single" w:color="auto" w:sz="4" w:space="0"/>
              <w:left w:val="single" w:color="auto" w:sz="4" w:space="0"/>
              <w:bottom w:val="single" w:color="auto" w:sz="4" w:space="0"/>
              <w:right w:val="single" w:color="auto" w:sz="4" w:space="0"/>
            </w:tcBorders>
            <w:vAlign w:val="top"/>
          </w:tcPr>
          <w:p>
            <w:pPr>
              <w:spacing w:before="50" w:after="50"/>
              <w:rPr>
                <w:rFonts w:ascii="宋体"/>
                <w:color w:val="auto"/>
                <w:sz w:val="24"/>
                <w:szCs w:val="24"/>
              </w:rPr>
            </w:pPr>
            <w:r>
              <w:rPr>
                <w:rFonts w:hint="eastAsia" w:ascii="宋体"/>
                <w:color w:val="auto"/>
                <w:sz w:val="24"/>
                <w:szCs w:val="24"/>
              </w:rPr>
              <w:t>主要研究者/协调研究者</w:t>
            </w:r>
          </w:p>
          <w:p>
            <w:pPr>
              <w:spacing w:before="50" w:after="50"/>
              <w:rPr>
                <w:rFonts w:ascii="宋体"/>
                <w:color w:val="auto"/>
                <w:sz w:val="24"/>
                <w:szCs w:val="24"/>
              </w:rPr>
            </w:pPr>
            <w:r>
              <w:rPr>
                <w:rFonts w:hint="eastAsia" w:ascii="宋体"/>
                <w:color w:val="auto"/>
                <w:sz w:val="24"/>
                <w:szCs w:val="24"/>
              </w:rPr>
              <w:t xml:space="preserve">                              签名</w:t>
            </w:r>
          </w:p>
          <w:p>
            <w:pPr>
              <w:spacing w:before="50" w:after="50"/>
              <w:ind w:left="5600" w:hanging="4800" w:hangingChars="2000"/>
              <w:rPr>
                <w:rFonts w:ascii="宋体"/>
                <w:color w:val="auto"/>
                <w:sz w:val="24"/>
                <w:szCs w:val="24"/>
              </w:rPr>
            </w:pPr>
            <w:r>
              <w:rPr>
                <w:rFonts w:hint="eastAsia" w:ascii="宋体"/>
                <w:color w:val="auto"/>
                <w:sz w:val="24"/>
                <w:szCs w:val="24"/>
              </w:rPr>
              <w:t>　　　　　　　　　　　　　　　年　　月　　日</w:t>
            </w:r>
          </w:p>
        </w:tc>
      </w:tr>
    </w:tbl>
    <w:p>
      <w:pPr>
        <w:spacing w:before="50" w:after="50"/>
        <w:rPr>
          <w:rFonts w:ascii="宋体"/>
          <w:color w:val="auto"/>
          <w:sz w:val="24"/>
          <w:szCs w:val="24"/>
        </w:rPr>
      </w:pPr>
    </w:p>
    <w:tbl>
      <w:tblPr>
        <w:tblStyle w:val="27"/>
        <w:tblW w:w="7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jc w:val="center"/>
        </w:trPr>
        <w:tc>
          <w:tcPr>
            <w:tcW w:w="7920" w:type="dxa"/>
            <w:vAlign w:val="top"/>
          </w:tcPr>
          <w:p>
            <w:pPr>
              <w:spacing w:before="50" w:after="50"/>
              <w:rPr>
                <w:rFonts w:ascii="宋体"/>
                <w:color w:val="auto"/>
                <w:sz w:val="24"/>
                <w:szCs w:val="24"/>
              </w:rPr>
            </w:pPr>
            <w:r>
              <w:rPr>
                <w:rFonts w:hint="eastAsia" w:ascii="宋体"/>
                <w:color w:val="auto"/>
                <w:sz w:val="24"/>
                <w:szCs w:val="24"/>
              </w:rPr>
              <w:t>医疗器械临床试验机构/组长单位医疗器械临床试验机构</w:t>
            </w:r>
          </w:p>
          <w:p>
            <w:pPr>
              <w:spacing w:before="50" w:after="50"/>
              <w:rPr>
                <w:rFonts w:ascii="宋体"/>
                <w:color w:val="auto"/>
                <w:sz w:val="24"/>
                <w:szCs w:val="24"/>
              </w:rPr>
            </w:pPr>
            <w:r>
              <w:rPr>
                <w:rFonts w:hint="eastAsia" w:ascii="宋体"/>
                <w:color w:val="auto"/>
                <w:sz w:val="24"/>
                <w:szCs w:val="24"/>
              </w:rPr>
              <w:t>　　　　　　　　　　　　　　　　　　　　　　　　　　　　　　　　　　　　　　</w:t>
            </w:r>
          </w:p>
          <w:p>
            <w:pPr>
              <w:spacing w:before="50" w:after="50"/>
              <w:ind w:left="5880" w:hanging="5040" w:hangingChars="2100"/>
              <w:rPr>
                <w:rFonts w:ascii="宋体"/>
                <w:color w:val="auto"/>
                <w:sz w:val="24"/>
                <w:szCs w:val="24"/>
              </w:rPr>
            </w:pPr>
            <w:r>
              <w:rPr>
                <w:rFonts w:hint="eastAsia" w:ascii="宋体"/>
                <w:color w:val="auto"/>
                <w:sz w:val="24"/>
                <w:szCs w:val="24"/>
              </w:rPr>
              <w:t>　　　　　　　　　　　　　　　 　签章</w:t>
            </w:r>
          </w:p>
          <w:p>
            <w:pPr>
              <w:spacing w:before="50" w:after="50"/>
              <w:rPr>
                <w:rFonts w:ascii="宋体"/>
                <w:color w:val="auto"/>
                <w:sz w:val="24"/>
                <w:szCs w:val="24"/>
              </w:rPr>
            </w:pPr>
            <w:r>
              <w:rPr>
                <w:rFonts w:hint="eastAsia" w:ascii="宋体"/>
                <w:color w:val="auto"/>
                <w:sz w:val="24"/>
                <w:szCs w:val="24"/>
              </w:rPr>
              <w:t>　　　　　　　　　　　　　　　　年　　月　　日　　</w:t>
            </w:r>
          </w:p>
        </w:tc>
      </w:tr>
    </w:tbl>
    <w:p>
      <w:pPr>
        <w:spacing w:before="50" w:after="50"/>
        <w:rPr>
          <w:rFonts w:ascii="宋体"/>
          <w:color w:val="auto"/>
          <w:sz w:val="24"/>
          <w:szCs w:val="24"/>
        </w:rPr>
      </w:pPr>
    </w:p>
    <w:tbl>
      <w:tblPr>
        <w:tblStyle w:val="27"/>
        <w:tblW w:w="7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7932" w:type="dxa"/>
            <w:vAlign w:val="top"/>
          </w:tcPr>
          <w:p>
            <w:pPr>
              <w:spacing w:before="50" w:after="50"/>
              <w:rPr>
                <w:rFonts w:ascii="宋体"/>
                <w:color w:val="auto"/>
                <w:sz w:val="24"/>
                <w:szCs w:val="24"/>
              </w:rPr>
            </w:pPr>
            <w:r>
              <w:rPr>
                <w:rFonts w:hint="eastAsia" w:ascii="宋体"/>
                <w:color w:val="auto"/>
                <w:sz w:val="24"/>
                <w:szCs w:val="24"/>
              </w:rPr>
              <w:t>申办者</w:t>
            </w:r>
          </w:p>
          <w:p>
            <w:pPr>
              <w:spacing w:before="50" w:after="50"/>
              <w:rPr>
                <w:rFonts w:ascii="宋体"/>
                <w:color w:val="auto"/>
                <w:sz w:val="24"/>
                <w:szCs w:val="24"/>
              </w:rPr>
            </w:pPr>
            <w:r>
              <w:rPr>
                <w:rFonts w:hint="eastAsia" w:ascii="宋体"/>
                <w:color w:val="auto"/>
                <w:sz w:val="24"/>
                <w:szCs w:val="24"/>
              </w:rPr>
              <w:t>　　　　　　　　　　　　　　　　　　　　　　　　　　　　　　　　　　　　　　</w:t>
            </w:r>
          </w:p>
          <w:p>
            <w:pPr>
              <w:spacing w:before="50" w:after="50"/>
              <w:ind w:left="5880" w:hanging="5040" w:hangingChars="2100"/>
              <w:rPr>
                <w:rFonts w:ascii="宋体"/>
                <w:color w:val="auto"/>
                <w:sz w:val="24"/>
                <w:szCs w:val="24"/>
              </w:rPr>
            </w:pPr>
            <w:r>
              <w:rPr>
                <w:rFonts w:hint="eastAsia" w:ascii="宋体"/>
                <w:color w:val="auto"/>
                <w:sz w:val="24"/>
                <w:szCs w:val="24"/>
              </w:rPr>
              <w:t>　　　　　　　　　　　　　　　 　签章</w:t>
            </w:r>
          </w:p>
          <w:p>
            <w:pPr>
              <w:spacing w:before="50" w:after="50"/>
              <w:rPr>
                <w:rFonts w:ascii="宋体"/>
                <w:color w:val="auto"/>
                <w:sz w:val="24"/>
                <w:szCs w:val="24"/>
              </w:rPr>
            </w:pPr>
            <w:r>
              <w:rPr>
                <w:rFonts w:hint="eastAsia" w:ascii="宋体"/>
                <w:color w:val="auto"/>
                <w:sz w:val="24"/>
                <w:szCs w:val="24"/>
              </w:rPr>
              <w:t>　　　　　　　　　　　　　　　　年　　月　　日　　</w:t>
            </w:r>
          </w:p>
        </w:tc>
      </w:tr>
    </w:tbl>
    <w:p>
      <w:pPr>
        <w:spacing w:line="360" w:lineRule="auto"/>
        <w:rPr>
          <w:rFonts w:asciiTheme="majorEastAsia" w:hAnsiTheme="majorEastAsia" w:eastAsiaTheme="majorEastAsia"/>
          <w:b/>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906"/>
        <w:gridCol w:w="915"/>
        <w:gridCol w:w="3072"/>
        <w:gridCol w:w="2715"/>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36"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90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3072"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2715"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217"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3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0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3.0</w:t>
            </w:r>
          </w:p>
        </w:tc>
        <w:tc>
          <w:tcPr>
            <w:tcW w:w="915"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3072" w:type="dxa"/>
            <w:vAlign w:val="center"/>
          </w:tcPr>
          <w:p>
            <w:pPr>
              <w:rPr>
                <w:rFonts w:hint="default" w:ascii="宋体" w:hAnsi="宋体" w:eastAsia="宋体" w:cs="宋体"/>
                <w:color w:val="auto"/>
                <w:lang w:val="en-US" w:eastAsia="zh-CN"/>
              </w:rPr>
            </w:pPr>
            <w:r>
              <w:rPr>
                <w:rFonts w:hint="eastAsia" w:ascii="宋体" w:hAnsi="宋体" w:eastAsia="宋体" w:cs="宋体"/>
                <w:color w:val="auto"/>
                <w:lang w:val="en-US" w:eastAsia="zh-CN"/>
              </w:rPr>
              <w:t>1.根据现行版GCP</w:t>
            </w:r>
            <w:r>
              <w:rPr>
                <w:rFonts w:hint="eastAsia" w:ascii="宋体" w:hAnsi="宋体" w:cs="宋体"/>
                <w:color w:val="auto"/>
                <w:lang w:val="en-US" w:eastAsia="zh-CN"/>
              </w:rPr>
              <w:t>，修订总结报告保存时限要求，新增医疗器械临床试验报告范本。</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2.为确保制度的严谨性，增加参考文献。</w:t>
            </w:r>
          </w:p>
        </w:tc>
        <w:tc>
          <w:tcPr>
            <w:tcW w:w="2715" w:type="dxa"/>
            <w:vAlign w:val="center"/>
          </w:tcPr>
          <w:p>
            <w:pPr>
              <w:rPr>
                <w:rFonts w:hint="eastAsia" w:ascii="宋体" w:hAnsi="宋体" w:cs="宋体"/>
                <w:color w:val="auto"/>
                <w:lang w:val="en-US" w:eastAsia="zh-CN"/>
              </w:rPr>
            </w:pPr>
            <w:r>
              <w:rPr>
                <w:rFonts w:hint="eastAsia" w:ascii="宋体" w:hAnsi="宋体" w:eastAsia="宋体" w:cs="宋体"/>
                <w:color w:val="auto"/>
                <w:lang w:val="en-US" w:eastAsia="zh-CN"/>
              </w:rPr>
              <w:t>1.</w:t>
            </w:r>
            <w:r>
              <w:rPr>
                <w:rFonts w:hint="eastAsia" w:ascii="宋体" w:hAnsi="宋体" w:cs="宋体"/>
                <w:color w:val="auto"/>
                <w:lang w:val="en-US" w:eastAsia="zh-CN"/>
              </w:rPr>
              <w:t>修订临床试验总结报告应按照档案管理制度的要求保存。</w:t>
            </w:r>
          </w:p>
          <w:p>
            <w:pPr>
              <w:rPr>
                <w:rFonts w:hint="default" w:ascii="宋体" w:hAnsi="宋体" w:cs="宋体"/>
                <w:color w:val="auto"/>
                <w:lang w:val="en-US" w:eastAsia="zh-CN"/>
              </w:rPr>
            </w:pPr>
            <w:r>
              <w:rPr>
                <w:rFonts w:hint="eastAsia" w:ascii="宋体" w:hAnsi="宋体" w:cs="宋体"/>
                <w:color w:val="auto"/>
                <w:lang w:val="en-US" w:eastAsia="zh-CN"/>
              </w:rPr>
              <w:t>2.新增附件1：医疗器械临床试验报告范本。</w:t>
            </w:r>
          </w:p>
          <w:p>
            <w:pPr>
              <w:rPr>
                <w:rFonts w:hint="eastAsia" w:ascii="宋体" w:hAnsi="宋体" w:eastAsia="宋体" w:cs="宋体"/>
                <w:color w:val="auto"/>
                <w:lang w:val="en-US" w:eastAsia="zh-CN"/>
              </w:rPr>
            </w:pPr>
            <w:r>
              <w:rPr>
                <w:rFonts w:hint="eastAsia" w:ascii="宋体" w:hAnsi="宋体" w:cs="宋体"/>
                <w:color w:val="auto"/>
                <w:lang w:val="en-US" w:eastAsia="zh-CN"/>
              </w:rPr>
              <w:t>3.</w:t>
            </w:r>
            <w:r>
              <w:rPr>
                <w:rFonts w:hint="eastAsia" w:ascii="宋体" w:hAnsi="宋体" w:eastAsia="宋体" w:cs="宋体"/>
                <w:color w:val="auto"/>
                <w:lang w:val="en-US" w:eastAsia="zh-CN"/>
              </w:rPr>
              <w:t>新增参考文献。</w:t>
            </w:r>
          </w:p>
          <w:p>
            <w:pPr>
              <w:rPr>
                <w:rFonts w:hint="eastAsia" w:ascii="宋体" w:hAnsi="宋体" w:eastAsia="宋体" w:cs="宋体"/>
                <w:color w:val="auto"/>
                <w:lang w:val="en-US" w:eastAsia="zh-CN"/>
              </w:rPr>
            </w:pPr>
          </w:p>
        </w:tc>
        <w:tc>
          <w:tcPr>
            <w:tcW w:w="1217" w:type="dxa"/>
            <w:vAlign w:val="center"/>
          </w:tcPr>
          <w:p>
            <w:pPr>
              <w:rPr>
                <w:rFonts w:hint="eastAsia" w:ascii="宋体" w:hAnsi="宋体" w:eastAsia="宋体" w:cs="宋体"/>
                <w:color w:val="auto"/>
                <w:lang w:val="en-US" w:eastAsia="zh-CN"/>
              </w:rPr>
            </w:pPr>
          </w:p>
        </w:tc>
      </w:tr>
    </w:tbl>
    <w:p>
      <w:pPr>
        <w:spacing w:line="360" w:lineRule="auto"/>
        <w:rPr>
          <w:rFonts w:asciiTheme="majorEastAsia" w:hAnsiTheme="majorEastAsia" w:eastAsiaTheme="majorEastAsia"/>
          <w:b/>
          <w:color w:val="auto"/>
          <w:sz w:val="24"/>
          <w:szCs w:val="24"/>
        </w:rPr>
      </w:pPr>
    </w:p>
    <w:p>
      <w:pPr>
        <w:spacing w:line="360" w:lineRule="auto"/>
        <w:ind w:firstLine="1889" w:firstLineChars="784"/>
        <w:rPr>
          <w:rFonts w:asciiTheme="majorEastAsia" w:hAnsiTheme="majorEastAsia" w:eastAsiaTheme="majorEastAsia"/>
          <w:b/>
          <w:color w:val="auto"/>
          <w:sz w:val="24"/>
          <w:szCs w:val="24"/>
        </w:rPr>
      </w:pPr>
    </w:p>
    <w:p>
      <w:pPr>
        <w:spacing w:line="360" w:lineRule="auto"/>
        <w:ind w:firstLine="2612" w:firstLineChars="1084"/>
        <w:rPr>
          <w:rFonts w:asciiTheme="majorEastAsia" w:hAnsiTheme="majorEastAsia" w:eastAsiaTheme="majorEastAsia"/>
          <w:b/>
          <w:color w:val="auto"/>
          <w:sz w:val="24"/>
          <w:szCs w:val="24"/>
        </w:rPr>
        <w:sectPr>
          <w:headerReference r:id="rId180" w:type="default"/>
          <w:footerReference r:id="rId181"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spacing w:line="360" w:lineRule="auto"/>
        <w:jc w:val="center"/>
        <w:rPr>
          <w:rFonts w:ascii="黑体" w:hAnsi="黑体" w:eastAsia="黑体" w:cs="黑体"/>
          <w:b/>
          <w:color w:val="auto"/>
          <w:sz w:val="28"/>
          <w:szCs w:val="28"/>
        </w:rPr>
      </w:pPr>
      <w:r>
        <w:rPr>
          <w:rFonts w:hint="eastAsia" w:ascii="黑体" w:hAnsi="黑体" w:eastAsia="黑体" w:cs="黑体"/>
          <w:b/>
          <w:color w:val="auto"/>
          <w:sz w:val="28"/>
          <w:szCs w:val="28"/>
        </w:rPr>
        <w:t>临床试验文件设计与编码规范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asciiTheme="minorEastAsia" w:hAnsiTheme="minorEastAsia"/>
          <w:color w:val="auto"/>
          <w:sz w:val="24"/>
          <w:szCs w:val="24"/>
        </w:rPr>
      </w:pPr>
      <w:r>
        <w:rPr>
          <w:rFonts w:hint="eastAsia" w:asciiTheme="minorEastAsia" w:hAnsiTheme="minorEastAsia"/>
          <w:color w:val="auto"/>
          <w:sz w:val="24"/>
          <w:szCs w:val="24"/>
        </w:rPr>
        <w:t>建立制度、规范及SOP等文件的设计和编码规程，便于所有文件格式统一与规范，便于识别、查找和管理文件。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rPr>
        <w:t>一、文件格式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rPr>
        <w:t>1</w:t>
      </w:r>
      <w:r>
        <w:rPr>
          <w:rFonts w:hint="eastAsia" w:asciiTheme="minorEastAsia" w:hAnsiTheme="minorEastAsia"/>
          <w:color w:val="auto"/>
          <w:sz w:val="24"/>
          <w:szCs w:val="24"/>
          <w:lang w:val="en-US" w:eastAsia="zh-CN"/>
        </w:rPr>
        <w:t>.</w:t>
      </w:r>
      <w:r>
        <w:rPr>
          <w:rFonts w:hint="eastAsia" w:asciiTheme="minorEastAsia" w:hAnsiTheme="minorEastAsia"/>
          <w:color w:val="auto"/>
          <w:sz w:val="24"/>
          <w:szCs w:val="24"/>
        </w:rPr>
        <w:t>文件格式：所有文件按统一格式制定，字体大小及序号使用规则参照本规程。均使用A4纸张，页眉</w:t>
      </w:r>
      <w:r>
        <w:rPr>
          <w:rFonts w:hint="eastAsia" w:cs="Arial" w:asciiTheme="minorEastAsia" w:hAnsiTheme="minorEastAsia"/>
          <w:color w:val="auto"/>
          <w:kern w:val="0"/>
          <w:sz w:val="24"/>
          <w:szCs w:val="24"/>
        </w:rPr>
        <w:t>所有标准操作规程按统一格式排版：题目用四号黑体加粗；一般信息用小四号宋体，行距1.5倍。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rPr>
        <w:t>2</w:t>
      </w:r>
      <w:r>
        <w:rPr>
          <w:rFonts w:hint="eastAsia" w:asciiTheme="minorEastAsia" w:hAnsiTheme="minorEastAsia"/>
          <w:color w:val="auto"/>
          <w:sz w:val="24"/>
          <w:szCs w:val="24"/>
          <w:lang w:val="en-US" w:eastAsia="zh-CN"/>
        </w:rPr>
        <w:t>.</w:t>
      </w:r>
      <w:r>
        <w:rPr>
          <w:rFonts w:hint="eastAsia" w:asciiTheme="minorEastAsia" w:hAnsiTheme="minorEastAsia"/>
          <w:color w:val="auto"/>
          <w:sz w:val="24"/>
          <w:szCs w:val="24"/>
        </w:rPr>
        <w:t>附件格式：附件也按照统一格式制定，字体大小参照本规程。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color w:val="auto"/>
          <w:sz w:val="24"/>
          <w:szCs w:val="24"/>
        </w:rPr>
      </w:pPr>
      <w:r>
        <w:rPr>
          <w:rFonts w:hint="eastAsia" w:asciiTheme="minorEastAsia" w:hAnsiTheme="minorEastAsia"/>
          <w:color w:val="auto"/>
          <w:sz w:val="24"/>
          <w:szCs w:val="24"/>
        </w:rPr>
        <w:t>二、应包括以下内容：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lang w:val="en-US" w:eastAsia="zh-CN"/>
        </w:rPr>
        <w:t>1.</w:t>
      </w:r>
      <w:r>
        <w:rPr>
          <w:rFonts w:hint="eastAsia" w:asciiTheme="minorEastAsia" w:hAnsiTheme="minorEastAsia"/>
          <w:color w:val="auto"/>
          <w:sz w:val="24"/>
          <w:szCs w:val="24"/>
        </w:rPr>
        <w:t>文件标题表，设计为居中表格式，包括文件标题、编号、页数、颁发部门、分发部门、编写者、审核者、批准者签名等信息。</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color w:val="auto"/>
          <w:sz w:val="24"/>
          <w:szCs w:val="24"/>
          <w:highlight w:val="none"/>
          <w:lang w:val="en-US" w:eastAsia="zh-CN"/>
        </w:rPr>
        <w:t>2.审阅登记、修订记录。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lang w:val="en-US" w:eastAsia="zh-CN"/>
        </w:rPr>
        <w:t>3.</w:t>
      </w:r>
      <w:r>
        <w:rPr>
          <w:rFonts w:hint="eastAsia" w:asciiTheme="minorEastAsia" w:hAnsiTheme="minorEastAsia"/>
          <w:color w:val="auto"/>
          <w:sz w:val="24"/>
          <w:szCs w:val="24"/>
        </w:rPr>
        <w:t>文件内容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lang w:eastAsia="zh-CN"/>
        </w:rPr>
        <w:t>（</w:t>
      </w:r>
      <w:r>
        <w:rPr>
          <w:rFonts w:hint="eastAsia" w:asciiTheme="minorEastAsia" w:hAnsiTheme="minorEastAsia"/>
          <w:color w:val="auto"/>
          <w:sz w:val="24"/>
          <w:szCs w:val="24"/>
          <w:lang w:val="en-US" w:eastAsia="zh-CN"/>
        </w:rPr>
        <w:t>1</w:t>
      </w:r>
      <w:r>
        <w:rPr>
          <w:rFonts w:hint="eastAsia" w:asciiTheme="minorEastAsia" w:hAnsiTheme="minorEastAsia"/>
          <w:color w:val="auto"/>
          <w:sz w:val="24"/>
          <w:szCs w:val="24"/>
          <w:lang w:eastAsia="zh-CN"/>
        </w:rPr>
        <w:t>）</w:t>
      </w:r>
      <w:r>
        <w:rPr>
          <w:rFonts w:hint="eastAsia" w:asciiTheme="minorEastAsia" w:hAnsiTheme="minorEastAsia"/>
          <w:color w:val="auto"/>
          <w:sz w:val="24"/>
          <w:szCs w:val="24"/>
        </w:rPr>
        <w:t>SOP文件包括：目的、范围、规程、参考文献及附件五部分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lang w:eastAsia="zh-CN"/>
        </w:rPr>
        <w:t>（</w:t>
      </w:r>
      <w:r>
        <w:rPr>
          <w:rFonts w:hint="eastAsia" w:asciiTheme="minorEastAsia" w:hAnsiTheme="minorEastAsia"/>
          <w:color w:val="auto"/>
          <w:sz w:val="24"/>
          <w:szCs w:val="24"/>
          <w:lang w:val="en-US" w:eastAsia="zh-CN"/>
        </w:rPr>
        <w:t>2</w:t>
      </w:r>
      <w:r>
        <w:rPr>
          <w:rFonts w:hint="eastAsia" w:asciiTheme="minorEastAsia" w:hAnsiTheme="minorEastAsia"/>
          <w:color w:val="auto"/>
          <w:sz w:val="24"/>
          <w:szCs w:val="24"/>
          <w:lang w:eastAsia="zh-CN"/>
        </w:rPr>
        <w:t>）</w:t>
      </w:r>
      <w:r>
        <w:rPr>
          <w:rFonts w:hint="eastAsia" w:asciiTheme="minorEastAsia" w:hAnsiTheme="minorEastAsia"/>
          <w:color w:val="auto"/>
          <w:sz w:val="24"/>
          <w:szCs w:val="24"/>
        </w:rPr>
        <w:t>其他文件：内容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rPr>
        <w:t>三、编码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rPr>
        <w:t>编码原则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lang w:val="en-US" w:eastAsia="zh-CN"/>
        </w:rPr>
        <w:t>1.</w:t>
      </w:r>
      <w:r>
        <w:rPr>
          <w:rFonts w:hint="eastAsia" w:asciiTheme="minorEastAsia" w:hAnsiTheme="minorEastAsia"/>
          <w:color w:val="auto"/>
          <w:sz w:val="24"/>
          <w:szCs w:val="24"/>
        </w:rPr>
        <w:t>系统性：将文件统一分类、编码，编码系统应尽可能反映文件的信息，体现文件的分类方法及分类层次。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lang w:val="en-US" w:eastAsia="zh-CN"/>
        </w:rPr>
        <w:t>2.</w:t>
      </w:r>
      <w:r>
        <w:rPr>
          <w:rFonts w:hint="eastAsia" w:asciiTheme="minorEastAsia" w:hAnsiTheme="minorEastAsia"/>
          <w:color w:val="auto"/>
          <w:sz w:val="24"/>
          <w:szCs w:val="24"/>
        </w:rPr>
        <w:t>专属性：文件与编码一一对应，一文一码，一旦文件停止使用，此文件编码亦随之作废，不再使用。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lang w:val="en-US" w:eastAsia="zh-CN"/>
        </w:rPr>
        <w:t>3.</w:t>
      </w:r>
      <w:r>
        <w:rPr>
          <w:rFonts w:hint="eastAsia" w:asciiTheme="minorEastAsia" w:hAnsiTheme="minorEastAsia"/>
          <w:color w:val="auto"/>
          <w:sz w:val="24"/>
          <w:szCs w:val="24"/>
        </w:rPr>
        <w:t>稳定性：文件编码系统一旦确定，不得随意改动。若有需要变动时，必须经批准，并随之变更所有相关文件的编码，以保证系统的稳定性，防止文件管理的混乱。</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lang w:val="en-US" w:eastAsia="zh-CN"/>
        </w:rPr>
        <w:t>4.</w:t>
      </w:r>
      <w:r>
        <w:rPr>
          <w:rFonts w:hint="eastAsia" w:asciiTheme="minorEastAsia" w:hAnsiTheme="minorEastAsia"/>
          <w:color w:val="auto"/>
          <w:sz w:val="24"/>
          <w:szCs w:val="24"/>
        </w:rPr>
        <w:t>发展性：为文件将来的发展和管理手段的改进预留空间。</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4"/>
          <w:szCs w:val="24"/>
        </w:rPr>
      </w:pPr>
      <w:r>
        <w:rPr>
          <w:rFonts w:hint="eastAsia" w:asciiTheme="minorEastAsia" w:hAnsiTheme="minorEastAsia"/>
          <w:color w:val="auto"/>
          <w:sz w:val="24"/>
          <w:szCs w:val="24"/>
          <w:lang w:val="en-US" w:eastAsia="zh-CN"/>
        </w:rPr>
        <w:t>5.</w:t>
      </w:r>
      <w:r>
        <w:rPr>
          <w:rFonts w:hint="eastAsia" w:asciiTheme="minorEastAsia" w:hAnsiTheme="minorEastAsia"/>
          <w:color w:val="auto"/>
          <w:sz w:val="24"/>
          <w:szCs w:val="24"/>
        </w:rPr>
        <w:t>文件分类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lang w:val="en-US" w:eastAsia="zh-CN"/>
        </w:rPr>
        <w:t>6.</w:t>
      </w:r>
      <w:r>
        <w:rPr>
          <w:rFonts w:hint="eastAsia" w:asciiTheme="minorEastAsia" w:hAnsiTheme="minorEastAsia"/>
          <w:color w:val="auto"/>
          <w:sz w:val="24"/>
          <w:szCs w:val="24"/>
        </w:rPr>
        <w:t>与现行的GCP标准是否相符</w:t>
      </w:r>
    </w:p>
    <w:p>
      <w:pPr>
        <w:spacing w:line="360" w:lineRule="auto"/>
        <w:ind w:left="1256" w:leftChars="598" w:firstLine="2243" w:firstLineChars="931"/>
        <w:rPr>
          <w:rFonts w:ascii="黑体" w:hAnsi="黑体" w:eastAsia="黑体"/>
          <w:b/>
          <w:color w:val="auto"/>
          <w:sz w:val="24"/>
          <w:szCs w:val="24"/>
        </w:rPr>
      </w:pPr>
    </w:p>
    <w:p>
      <w:pPr>
        <w:spacing w:line="360" w:lineRule="auto"/>
        <w:ind w:left="1256" w:leftChars="598" w:firstLine="2243" w:firstLineChars="931"/>
        <w:rPr>
          <w:rFonts w:ascii="黑体" w:hAnsi="黑体" w:eastAsia="黑体"/>
          <w:b/>
          <w:color w:val="auto"/>
          <w:sz w:val="24"/>
          <w:szCs w:val="24"/>
        </w:rPr>
      </w:pPr>
    </w:p>
    <w:p>
      <w:pPr>
        <w:spacing w:line="360" w:lineRule="auto"/>
        <w:ind w:left="1256" w:leftChars="598" w:firstLine="2243" w:firstLineChars="931"/>
        <w:rPr>
          <w:rFonts w:hint="eastAsia" w:ascii="黑体" w:hAnsi="黑体" w:eastAsia="黑体"/>
          <w:b/>
          <w:color w:val="auto"/>
          <w:sz w:val="24"/>
          <w:szCs w:val="24"/>
        </w:rPr>
      </w:pPr>
    </w:p>
    <w:p>
      <w:pPr>
        <w:spacing w:line="360" w:lineRule="auto"/>
        <w:ind w:left="1256" w:leftChars="598" w:firstLine="2243" w:firstLineChars="931"/>
        <w:rPr>
          <w:rFonts w:ascii="黑体" w:hAnsi="黑体" w:eastAsia="黑体"/>
          <w:b/>
          <w:color w:val="auto"/>
          <w:sz w:val="24"/>
          <w:szCs w:val="24"/>
        </w:rPr>
      </w:pPr>
      <w:r>
        <w:rPr>
          <w:rFonts w:hint="eastAsia" w:ascii="黑体" w:hAnsi="黑体" w:eastAsia="黑体"/>
          <w:b/>
          <w:color w:val="auto"/>
          <w:sz w:val="24"/>
          <w:szCs w:val="24"/>
        </w:rPr>
        <w:t>文件分类表</w:t>
      </w:r>
    </w:p>
    <w:tbl>
      <w:tblPr>
        <w:tblStyle w:val="27"/>
        <w:tblW w:w="5484"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076"/>
        <w:gridCol w:w="1536"/>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序号</w:t>
            </w:r>
          </w:p>
        </w:tc>
        <w:tc>
          <w:tcPr>
            <w:tcW w:w="207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文件名</w:t>
            </w:r>
          </w:p>
        </w:tc>
        <w:tc>
          <w:tcPr>
            <w:tcW w:w="153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分类</w:t>
            </w:r>
          </w:p>
        </w:tc>
        <w:tc>
          <w:tcPr>
            <w:tcW w:w="99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1</w:t>
            </w:r>
          </w:p>
        </w:tc>
        <w:tc>
          <w:tcPr>
            <w:tcW w:w="207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规章制度类</w:t>
            </w:r>
          </w:p>
        </w:tc>
        <w:tc>
          <w:tcPr>
            <w:tcW w:w="1536" w:type="dxa"/>
            <w:vAlign w:val="center"/>
          </w:tcPr>
          <w:p>
            <w:pPr>
              <w:spacing w:line="360" w:lineRule="auto"/>
              <w:jc w:val="center"/>
              <w:rPr>
                <w:rFonts w:asciiTheme="minorEastAsia" w:hAnsiTheme="minorEastAsia"/>
                <w:color w:val="auto"/>
                <w:szCs w:val="21"/>
              </w:rPr>
            </w:pPr>
          </w:p>
        </w:tc>
        <w:tc>
          <w:tcPr>
            <w:tcW w:w="99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ZD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2</w:t>
            </w:r>
          </w:p>
        </w:tc>
        <w:tc>
          <w:tcPr>
            <w:tcW w:w="207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人员职责类</w:t>
            </w:r>
          </w:p>
        </w:tc>
        <w:tc>
          <w:tcPr>
            <w:tcW w:w="1536" w:type="dxa"/>
            <w:vAlign w:val="center"/>
          </w:tcPr>
          <w:p>
            <w:pPr>
              <w:spacing w:line="360" w:lineRule="auto"/>
              <w:jc w:val="center"/>
              <w:rPr>
                <w:rFonts w:asciiTheme="minorEastAsia" w:hAnsiTheme="minorEastAsia"/>
                <w:color w:val="auto"/>
                <w:szCs w:val="21"/>
              </w:rPr>
            </w:pPr>
          </w:p>
        </w:tc>
        <w:tc>
          <w:tcPr>
            <w:tcW w:w="99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ZZ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3</w:t>
            </w:r>
          </w:p>
        </w:tc>
        <w:tc>
          <w:tcPr>
            <w:tcW w:w="207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设计规范类</w:t>
            </w:r>
          </w:p>
        </w:tc>
        <w:tc>
          <w:tcPr>
            <w:tcW w:w="1536" w:type="dxa"/>
            <w:vAlign w:val="center"/>
          </w:tcPr>
          <w:p>
            <w:pPr>
              <w:spacing w:line="360" w:lineRule="auto"/>
              <w:jc w:val="center"/>
              <w:rPr>
                <w:rFonts w:asciiTheme="minorEastAsia" w:hAnsiTheme="minorEastAsia"/>
                <w:color w:val="auto"/>
                <w:szCs w:val="21"/>
              </w:rPr>
            </w:pPr>
          </w:p>
        </w:tc>
        <w:tc>
          <w:tcPr>
            <w:tcW w:w="99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GF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87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4</w:t>
            </w:r>
          </w:p>
        </w:tc>
        <w:tc>
          <w:tcPr>
            <w:tcW w:w="207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标准操作规程</w:t>
            </w:r>
          </w:p>
        </w:tc>
        <w:tc>
          <w:tcPr>
            <w:tcW w:w="1536" w:type="dxa"/>
            <w:vAlign w:val="center"/>
          </w:tcPr>
          <w:p>
            <w:pPr>
              <w:spacing w:line="360" w:lineRule="auto"/>
              <w:jc w:val="center"/>
              <w:rPr>
                <w:rFonts w:asciiTheme="minorEastAsia" w:hAnsiTheme="minorEastAsia"/>
                <w:color w:val="auto"/>
                <w:szCs w:val="21"/>
              </w:rPr>
            </w:pPr>
          </w:p>
        </w:tc>
        <w:tc>
          <w:tcPr>
            <w:tcW w:w="99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SOP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876" w:type="dxa"/>
            <w:vAlign w:val="center"/>
          </w:tcPr>
          <w:p>
            <w:pPr>
              <w:spacing w:line="360" w:lineRule="auto"/>
              <w:jc w:val="center"/>
              <w:rPr>
                <w:rFonts w:hint="eastAsia" w:asciiTheme="minorEastAsia" w:hAnsiTheme="minorEastAsia" w:eastAsiaTheme="minorEastAsia"/>
                <w:color w:val="auto"/>
                <w:szCs w:val="21"/>
                <w:lang w:val="en-US" w:eastAsia="zh-CN"/>
              </w:rPr>
            </w:pPr>
            <w:r>
              <w:rPr>
                <w:rFonts w:hint="eastAsia" w:asciiTheme="minorEastAsia" w:hAnsiTheme="minorEastAsia"/>
                <w:color w:val="auto"/>
                <w:szCs w:val="21"/>
                <w:lang w:val="en-US" w:eastAsia="zh-CN"/>
              </w:rPr>
              <w:t>5</w:t>
            </w:r>
          </w:p>
        </w:tc>
        <w:tc>
          <w:tcPr>
            <w:tcW w:w="2076" w:type="dxa"/>
            <w:vAlign w:val="center"/>
          </w:tcPr>
          <w:p>
            <w:pPr>
              <w:spacing w:line="360" w:lineRule="auto"/>
              <w:jc w:val="center"/>
              <w:rPr>
                <w:rFonts w:hint="default" w:asciiTheme="minorEastAsia" w:hAnsiTheme="minorEastAsia" w:eastAsiaTheme="minorEastAsia"/>
                <w:color w:val="auto"/>
                <w:szCs w:val="21"/>
                <w:lang w:val="en-US" w:eastAsia="zh-CN"/>
              </w:rPr>
            </w:pPr>
            <w:r>
              <w:rPr>
                <w:rFonts w:hint="eastAsia" w:asciiTheme="minorEastAsia" w:hAnsiTheme="minorEastAsia"/>
                <w:color w:val="auto"/>
                <w:szCs w:val="21"/>
                <w:lang w:val="en-US" w:eastAsia="zh-CN"/>
              </w:rPr>
              <w:t>应急预案</w:t>
            </w:r>
          </w:p>
        </w:tc>
        <w:tc>
          <w:tcPr>
            <w:tcW w:w="1536" w:type="dxa"/>
            <w:vAlign w:val="center"/>
          </w:tcPr>
          <w:p>
            <w:pPr>
              <w:spacing w:line="360" w:lineRule="auto"/>
              <w:jc w:val="center"/>
              <w:rPr>
                <w:rFonts w:asciiTheme="minorEastAsia" w:hAnsiTheme="minorEastAsia"/>
                <w:color w:val="auto"/>
                <w:szCs w:val="21"/>
              </w:rPr>
            </w:pPr>
          </w:p>
        </w:tc>
        <w:tc>
          <w:tcPr>
            <w:tcW w:w="996" w:type="dxa"/>
            <w:vAlign w:val="center"/>
          </w:tcPr>
          <w:p>
            <w:pPr>
              <w:spacing w:line="360" w:lineRule="auto"/>
              <w:jc w:val="center"/>
              <w:rPr>
                <w:rFonts w:hint="default" w:asciiTheme="minorEastAsia" w:hAnsiTheme="minorEastAsia" w:eastAsiaTheme="minorEastAsia"/>
                <w:color w:val="auto"/>
                <w:szCs w:val="21"/>
                <w:lang w:val="en-US" w:eastAsia="zh-CN"/>
              </w:rPr>
            </w:pPr>
            <w:r>
              <w:rPr>
                <w:rFonts w:hint="eastAsia" w:asciiTheme="minorEastAsia" w:hAnsiTheme="minorEastAsia"/>
                <w:color w:val="auto"/>
                <w:szCs w:val="21"/>
                <w:lang w:val="en-US" w:eastAsia="zh-CN"/>
              </w:rPr>
              <w:t>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876" w:type="dxa"/>
            <w:vAlign w:val="center"/>
          </w:tcPr>
          <w:p>
            <w:pPr>
              <w:spacing w:line="360" w:lineRule="auto"/>
              <w:jc w:val="center"/>
              <w:rPr>
                <w:rFonts w:hint="eastAsia" w:asciiTheme="minorEastAsia" w:hAnsiTheme="minorEastAsia" w:eastAsiaTheme="minorEastAsia"/>
                <w:color w:val="auto"/>
                <w:szCs w:val="21"/>
                <w:lang w:val="en-US" w:eastAsia="zh-CN"/>
              </w:rPr>
            </w:pPr>
            <w:r>
              <w:rPr>
                <w:rFonts w:hint="eastAsia" w:asciiTheme="minorEastAsia" w:hAnsiTheme="minorEastAsia"/>
                <w:color w:val="auto"/>
                <w:szCs w:val="21"/>
                <w:lang w:val="en-US" w:eastAsia="zh-CN"/>
              </w:rPr>
              <w:t>6</w:t>
            </w:r>
          </w:p>
        </w:tc>
        <w:tc>
          <w:tcPr>
            <w:tcW w:w="207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工作指引</w:t>
            </w:r>
          </w:p>
        </w:tc>
        <w:tc>
          <w:tcPr>
            <w:tcW w:w="1536" w:type="dxa"/>
            <w:vAlign w:val="center"/>
          </w:tcPr>
          <w:p>
            <w:pPr>
              <w:spacing w:line="360" w:lineRule="auto"/>
              <w:jc w:val="center"/>
              <w:rPr>
                <w:rFonts w:asciiTheme="minorEastAsia" w:hAnsiTheme="minorEastAsia"/>
                <w:color w:val="auto"/>
                <w:szCs w:val="21"/>
              </w:rPr>
            </w:pPr>
          </w:p>
        </w:tc>
        <w:tc>
          <w:tcPr>
            <w:tcW w:w="996" w:type="dxa"/>
            <w:vAlign w:val="center"/>
          </w:tcPr>
          <w:p>
            <w:pPr>
              <w:spacing w:line="360" w:lineRule="auto"/>
              <w:jc w:val="center"/>
              <w:rPr>
                <w:rFonts w:asciiTheme="minorEastAsia" w:hAnsiTheme="minorEastAsia"/>
                <w:color w:val="auto"/>
                <w:szCs w:val="21"/>
              </w:rPr>
            </w:pPr>
            <w:r>
              <w:rPr>
                <w:rFonts w:hint="eastAsia" w:asciiTheme="minorEastAsia" w:hAnsiTheme="minorEastAsia"/>
                <w:color w:val="auto"/>
                <w:szCs w:val="21"/>
              </w:rPr>
              <w:t>ZY</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lang w:val="en-US" w:eastAsia="zh-CN"/>
        </w:rPr>
        <w:t>7.</w:t>
      </w:r>
      <w:r>
        <w:rPr>
          <w:rFonts w:hint="eastAsia" w:asciiTheme="minorEastAsia" w:hAnsiTheme="minorEastAsia"/>
          <w:color w:val="auto"/>
          <w:sz w:val="24"/>
          <w:szCs w:val="24"/>
        </w:rPr>
        <w:t>编码：所有文件编码使用以下形式：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rPr>
        <w:t>医院-文件分类-编写部门缩写-序号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Theme="minorEastAsia" w:hAnsiTheme="minorEastAsia"/>
          <w:color w:val="auto"/>
          <w:sz w:val="24"/>
          <w:szCs w:val="24"/>
        </w:rPr>
      </w:pPr>
      <w:r>
        <w:rPr>
          <w:rFonts w:hint="eastAsia" w:asciiTheme="minorEastAsia" w:hAnsiTheme="minorEastAsia"/>
          <w:color w:val="auto"/>
          <w:sz w:val="24"/>
          <w:szCs w:val="24"/>
        </w:rPr>
        <w:t>编写部门类别专业科室采用拼音字母缩写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color w:val="auto"/>
          <w:sz w:val="24"/>
          <w:szCs w:val="24"/>
          <w:lang w:eastAsia="zh-CN"/>
        </w:rPr>
      </w:pPr>
      <w:r>
        <w:rPr>
          <w:rFonts w:hint="eastAsia" w:asciiTheme="minorEastAsia" w:hAnsiTheme="minorEastAsia"/>
          <w:color w:val="auto"/>
          <w:sz w:val="24"/>
          <w:szCs w:val="24"/>
        </w:rPr>
        <w:t>例如：临床试验机构办公室编写的“文件设计与编码规范“的文件编码为：YYH-GF-CTC-001</w:t>
      </w:r>
      <w:r>
        <w:rPr>
          <w:rFonts w:hint="eastAsia" w:asciiTheme="minorEastAsia" w:hAnsiTheme="minorEastAsia"/>
          <w:color w:val="auto"/>
          <w:sz w:val="24"/>
          <w:szCs w:val="24"/>
          <w:lang w:eastAsia="zh-CN"/>
        </w:rPr>
        <w:t>，</w:t>
      </w:r>
      <w:r>
        <w:rPr>
          <w:rFonts w:hint="eastAsia" w:asciiTheme="minorEastAsia" w:hAnsiTheme="minorEastAsia"/>
          <w:color w:val="auto"/>
          <w:sz w:val="24"/>
          <w:szCs w:val="24"/>
        </w:rPr>
        <w:t>“001”代表该文件此类别的第一个文件</w:t>
      </w:r>
      <w:r>
        <w:rPr>
          <w:rFonts w:hint="eastAsia" w:asciiTheme="minorEastAsia" w:hAnsiTheme="minorEastAsia"/>
          <w:color w:val="auto"/>
          <w:sz w:val="24"/>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Theme="minorEastAsia" w:hAnsiTheme="minorEastAsia"/>
          <w:b w:val="0"/>
          <w:bCs w:val="0"/>
          <w:color w:val="auto"/>
          <w:sz w:val="24"/>
          <w:szCs w:val="24"/>
          <w:lang w:val="en-US" w:eastAsia="zh-CN"/>
        </w:rPr>
      </w:pPr>
      <w:r>
        <w:rPr>
          <w:rFonts w:hint="eastAsia" w:asciiTheme="minorEastAsia" w:hAnsiTheme="minorEastAsia"/>
          <w:b w:val="0"/>
          <w:bCs w:val="0"/>
          <w:color w:val="auto"/>
          <w:sz w:val="24"/>
          <w:szCs w:val="24"/>
          <w:lang w:val="en-US" w:eastAsia="zh-CN"/>
        </w:rPr>
        <w:t>四、参考文献</w:t>
      </w:r>
    </w:p>
    <w:p>
      <w:pPr>
        <w:pStyle w:val="36"/>
        <w:keepNext w:val="0"/>
        <w:keepLines w:val="0"/>
        <w:pageBreakBefore w:val="0"/>
        <w:widowControl w:val="0"/>
        <w:numPr>
          <w:ilvl w:val="0"/>
          <w:numId w:val="79"/>
        </w:numPr>
        <w:tabs>
          <w:tab w:val="left" w:pos="2790"/>
        </w:tabs>
        <w:kinsoku/>
        <w:wordWrap w:val="0"/>
        <w:overflowPunct/>
        <w:topLinePunct w:val="0"/>
        <w:autoSpaceDE/>
        <w:autoSpaceDN/>
        <w:bidi w:val="0"/>
        <w:adjustRightInd/>
        <w:snapToGrid/>
        <w:spacing w:line="360" w:lineRule="auto"/>
        <w:ind w:left="0" w:firstLine="0" w:firstLine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79"/>
        </w:numPr>
        <w:tabs>
          <w:tab w:val="left" w:pos="2790"/>
        </w:tabs>
        <w:kinsoku/>
        <w:wordWrap w:val="0"/>
        <w:overflowPunct/>
        <w:topLinePunct w:val="0"/>
        <w:autoSpaceDE/>
        <w:autoSpaceDN/>
        <w:bidi w:val="0"/>
        <w:adjustRightInd/>
        <w:snapToGrid/>
        <w:spacing w:line="360" w:lineRule="auto"/>
        <w:ind w:left="0" w:firstLine="0" w:firstLine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国家药品监督管理局，国家卫生健康委员会. 关于发布《医疗器械临床试验质量管理规范》的公告（2022年第28号）.[2022-03-31]. https://www.nmpa.gov.cn/xxgk/ggtg/qtggtg/20220331144903101.html.</w:t>
      </w:r>
    </w:p>
    <w:p>
      <w:pPr>
        <w:pStyle w:val="36"/>
        <w:keepNext w:val="0"/>
        <w:keepLines w:val="0"/>
        <w:pageBreakBefore w:val="0"/>
        <w:widowControl w:val="0"/>
        <w:numPr>
          <w:ilvl w:val="0"/>
          <w:numId w:val="79"/>
        </w:numPr>
        <w:tabs>
          <w:tab w:val="left" w:pos="2790"/>
        </w:tabs>
        <w:kinsoku/>
        <w:wordWrap w:val="0"/>
        <w:overflowPunct/>
        <w:topLinePunct w:val="0"/>
        <w:autoSpaceDE/>
        <w:autoSpaceDN/>
        <w:bidi w:val="0"/>
        <w:adjustRightInd/>
        <w:snapToGrid/>
        <w:spacing w:line="360" w:lineRule="auto"/>
        <w:ind w:left="0" w:leftChars="0" w:firstLine="0" w:firstLineChars="0"/>
        <w:jc w:val="left"/>
        <w:textAlignment w:val="auto"/>
        <w:rPr>
          <w:rFonts w:hint="eastAsia" w:ascii="宋体" w:hAnsi="宋体"/>
          <w:color w:val="auto"/>
          <w:sz w:val="24"/>
          <w:szCs w:val="24"/>
        </w:rPr>
      </w:pPr>
      <w:r>
        <w:rPr>
          <w:rFonts w:hint="eastAsia" w:asciiTheme="minorEastAsia" w:hAnsiTheme="minorEastAsia"/>
          <w:color w:val="auto"/>
          <w:sz w:val="24"/>
          <w:szCs w:val="24"/>
          <w:lang w:val="en-US" w:eastAsia="zh-CN"/>
        </w:rPr>
        <w:t xml:space="preserve">国家药监局. 关于实施《医疗器械临床试验质量管理规范》有关事项的通告（2022年第21号）医疗器械/体外诊断试剂临床试验严重不良事件报告表范本[2022-03-31]. </w:t>
      </w:r>
      <w:r>
        <w:rPr>
          <w:rFonts w:hint="eastAsia" w:asciiTheme="minorEastAsia" w:hAnsiTheme="minorEastAsia"/>
          <w:color w:val="auto"/>
          <w:sz w:val="24"/>
          <w:szCs w:val="24"/>
          <w:u w:val="none"/>
          <w:lang w:val="en-US" w:eastAsia="zh-CN"/>
        </w:rPr>
        <w:t>https://www.nmpa.gov.cn/ylqx/ylqxggtg/20220331161452151.html</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修订记录</w:t>
      </w:r>
    </w:p>
    <w:tbl>
      <w:tblPr>
        <w:tblStyle w:val="28"/>
        <w:tblW w:w="94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906"/>
        <w:gridCol w:w="915"/>
        <w:gridCol w:w="3072"/>
        <w:gridCol w:w="2715"/>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jc w:val="center"/>
        </w:trPr>
        <w:tc>
          <w:tcPr>
            <w:tcW w:w="636" w:type="dxa"/>
            <w:vAlign w:val="center"/>
          </w:tcPr>
          <w:p>
            <w:pPr>
              <w:rPr>
                <w:rFonts w:hint="eastAsia" w:ascii="宋体" w:hAnsi="宋体" w:eastAsia="宋体" w:cs="宋体"/>
                <w:color w:val="auto"/>
              </w:rPr>
            </w:pPr>
            <w:r>
              <w:rPr>
                <w:rFonts w:hint="eastAsia" w:ascii="宋体" w:hAnsi="宋体" w:eastAsia="宋体" w:cs="宋体"/>
                <w:color w:val="auto"/>
                <w:lang w:val="en-US" w:eastAsia="zh-CN"/>
              </w:rPr>
              <w:t>序</w:t>
            </w:r>
            <w:r>
              <w:rPr>
                <w:rFonts w:hint="eastAsia" w:ascii="宋体" w:hAnsi="宋体" w:eastAsia="宋体" w:cs="宋体"/>
                <w:color w:val="auto"/>
              </w:rPr>
              <w:t>号</w:t>
            </w:r>
          </w:p>
        </w:tc>
        <w:tc>
          <w:tcPr>
            <w:tcW w:w="906"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修订前版本号</w:t>
            </w:r>
          </w:p>
        </w:tc>
        <w:tc>
          <w:tcPr>
            <w:tcW w:w="915"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修订后版本号</w:t>
            </w:r>
          </w:p>
        </w:tc>
        <w:tc>
          <w:tcPr>
            <w:tcW w:w="3072" w:type="dxa"/>
            <w:vAlign w:val="center"/>
          </w:tcPr>
          <w:p>
            <w:pPr>
              <w:jc w:val="center"/>
              <w:rPr>
                <w:rFonts w:hint="eastAsia" w:ascii="宋体" w:hAnsi="宋体" w:eastAsia="宋体" w:cs="宋体"/>
                <w:color w:val="auto"/>
              </w:rPr>
            </w:pPr>
            <w:r>
              <w:rPr>
                <w:rFonts w:hint="eastAsia" w:ascii="宋体" w:hAnsi="宋体" w:eastAsia="宋体" w:cs="宋体"/>
                <w:color w:val="auto"/>
              </w:rPr>
              <w:t>修订原因、依据</w:t>
            </w:r>
          </w:p>
        </w:tc>
        <w:tc>
          <w:tcPr>
            <w:tcW w:w="2715" w:type="dxa"/>
            <w:vAlign w:val="center"/>
          </w:tcPr>
          <w:p>
            <w:pPr>
              <w:jc w:val="center"/>
              <w:rPr>
                <w:rFonts w:hint="eastAsia" w:ascii="宋体" w:hAnsi="宋体" w:eastAsia="宋体" w:cs="宋体"/>
                <w:color w:val="auto"/>
              </w:rPr>
            </w:pPr>
            <w:r>
              <w:rPr>
                <w:rFonts w:hint="eastAsia" w:ascii="宋体" w:hAnsi="宋体" w:eastAsia="宋体" w:cs="宋体"/>
                <w:color w:val="auto"/>
              </w:rPr>
              <w:t>修订内容</w:t>
            </w:r>
          </w:p>
        </w:tc>
        <w:tc>
          <w:tcPr>
            <w:tcW w:w="1217" w:type="dxa"/>
            <w:vAlign w:val="center"/>
          </w:tcPr>
          <w:p>
            <w:pPr>
              <w:rPr>
                <w:rFonts w:hint="eastAsia" w:ascii="宋体" w:hAnsi="宋体" w:eastAsia="宋体" w:cs="宋体"/>
                <w:color w:val="auto"/>
                <w:lang w:val="en-US" w:eastAsia="zh-CN"/>
              </w:rPr>
            </w:pPr>
            <w:r>
              <w:rPr>
                <w:rFonts w:hint="eastAsia" w:ascii="宋体" w:hAnsi="宋体" w:eastAsia="宋体" w:cs="宋体"/>
                <w:color w:val="auto"/>
                <w:lang w:val="en-US" w:eastAsia="zh-CN"/>
              </w:rPr>
              <w:t>修订人/修订日期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636" w:type="dxa"/>
            <w:vAlign w:val="center"/>
          </w:tcPr>
          <w:p>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w:t>
            </w:r>
          </w:p>
        </w:tc>
        <w:tc>
          <w:tcPr>
            <w:tcW w:w="906" w:type="dxa"/>
            <w:vAlign w:val="center"/>
          </w:tcPr>
          <w:p>
            <w:pPr>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3.0</w:t>
            </w:r>
          </w:p>
        </w:tc>
        <w:tc>
          <w:tcPr>
            <w:tcW w:w="915" w:type="dxa"/>
            <w:vAlign w:val="center"/>
          </w:tcPr>
          <w:p>
            <w:pPr>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3.1</w:t>
            </w:r>
          </w:p>
        </w:tc>
        <w:tc>
          <w:tcPr>
            <w:tcW w:w="3072" w:type="dxa"/>
            <w:vAlign w:val="center"/>
          </w:tcPr>
          <w:p>
            <w:pPr>
              <w:jc w:val="both"/>
              <w:rPr>
                <w:rFonts w:hint="default" w:ascii="宋体" w:hAnsi="宋体" w:eastAsia="宋体" w:cs="宋体"/>
                <w:color w:val="auto"/>
                <w:lang w:val="en-US" w:eastAsia="zh-CN"/>
              </w:rPr>
            </w:pPr>
            <w:r>
              <w:rPr>
                <w:rFonts w:hint="eastAsia" w:ascii="宋体" w:hAnsi="宋体" w:eastAsia="宋体" w:cs="宋体"/>
                <w:color w:val="auto"/>
                <w:lang w:val="en-US" w:eastAsia="zh-CN"/>
              </w:rPr>
              <w:t>1.修订审查登记和修订登记相关规定。</w:t>
            </w:r>
          </w:p>
          <w:p>
            <w:pPr>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2.为确保制度的严谨性，增加参考文献。</w:t>
            </w:r>
          </w:p>
        </w:tc>
        <w:tc>
          <w:tcPr>
            <w:tcW w:w="2715" w:type="dxa"/>
            <w:vAlign w:val="center"/>
          </w:tcPr>
          <w:p>
            <w:pPr>
              <w:jc w:val="both"/>
              <w:rPr>
                <w:rFonts w:hint="eastAsia" w:ascii="宋体" w:hAnsi="宋体" w:cs="宋体"/>
                <w:color w:val="auto"/>
                <w:lang w:val="en-US" w:eastAsia="zh-CN"/>
              </w:rPr>
            </w:pPr>
            <w:r>
              <w:rPr>
                <w:rFonts w:hint="eastAsia" w:ascii="宋体" w:hAnsi="宋体" w:eastAsia="宋体" w:cs="宋体"/>
                <w:color w:val="auto"/>
                <w:lang w:val="en-US" w:eastAsia="zh-CN"/>
              </w:rPr>
              <w:t>1.修订审查登记和修订记录格式</w:t>
            </w:r>
            <w:r>
              <w:rPr>
                <w:rFonts w:hint="eastAsia" w:ascii="宋体" w:hAnsi="宋体" w:cs="宋体"/>
                <w:color w:val="auto"/>
                <w:lang w:val="en-US" w:eastAsia="zh-CN"/>
              </w:rPr>
              <w:t>。</w:t>
            </w:r>
          </w:p>
          <w:p>
            <w:pPr>
              <w:jc w:val="both"/>
              <w:rPr>
                <w:rFonts w:hint="eastAsia"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新增参考文献。</w:t>
            </w:r>
          </w:p>
          <w:p>
            <w:pPr>
              <w:jc w:val="both"/>
              <w:rPr>
                <w:rFonts w:hint="eastAsia" w:ascii="宋体" w:hAnsi="宋体" w:eastAsia="宋体" w:cs="宋体"/>
                <w:color w:val="auto"/>
                <w:lang w:val="en-US" w:eastAsia="zh-CN"/>
              </w:rPr>
            </w:pPr>
          </w:p>
        </w:tc>
        <w:tc>
          <w:tcPr>
            <w:tcW w:w="1217" w:type="dxa"/>
            <w:vAlign w:val="center"/>
          </w:tcPr>
          <w:p>
            <w:pPr>
              <w:rPr>
                <w:rFonts w:hint="eastAsia" w:ascii="宋体" w:hAnsi="宋体" w:eastAsia="宋体" w:cs="宋体"/>
                <w:color w:val="auto"/>
                <w:lang w:val="en-US" w:eastAsia="zh-CN"/>
              </w:rPr>
            </w:pPr>
          </w:p>
        </w:tc>
      </w:tr>
    </w:tbl>
    <w:p>
      <w:pPr>
        <w:spacing w:line="360" w:lineRule="auto"/>
        <w:ind w:left="719" w:leftChars="228" w:hanging="240" w:hangingChars="100"/>
        <w:jc w:val="left"/>
        <w:rPr>
          <w:rFonts w:asciiTheme="minorEastAsia" w:hAnsiTheme="minorEastAsia"/>
          <w:color w:val="auto"/>
          <w:sz w:val="24"/>
          <w:szCs w:val="24"/>
        </w:rPr>
      </w:pPr>
    </w:p>
    <w:p>
      <w:pPr>
        <w:spacing w:line="360" w:lineRule="auto"/>
        <w:ind w:left="719" w:leftChars="228" w:hanging="240" w:hangingChars="100"/>
        <w:jc w:val="left"/>
        <w:rPr>
          <w:rFonts w:asciiTheme="minorEastAsia" w:hAnsiTheme="minorEastAsia"/>
          <w:color w:val="auto"/>
          <w:sz w:val="24"/>
          <w:szCs w:val="24"/>
        </w:rPr>
        <w:sectPr>
          <w:headerReference r:id="rId182" w:type="default"/>
          <w:footerReference r:id="rId183"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spacing w:line="360" w:lineRule="auto"/>
        <w:jc w:val="center"/>
        <w:rPr>
          <w:rFonts w:ascii="黑体" w:hAnsi="黑体" w:eastAsia="黑体" w:cs="黑体"/>
          <w:b/>
          <w:color w:val="auto"/>
          <w:sz w:val="28"/>
          <w:szCs w:val="28"/>
        </w:rPr>
      </w:pPr>
      <w:r>
        <w:rPr>
          <w:rFonts w:hint="eastAsia" w:ascii="黑体" w:hAnsi="黑体" w:eastAsia="黑体" w:cs="黑体"/>
          <w:b/>
          <w:color w:val="auto"/>
          <w:sz w:val="28"/>
          <w:szCs w:val="28"/>
        </w:rPr>
        <w:t>防范和处理受试者损害及突发事件预案</w:t>
      </w:r>
    </w:p>
    <w:p>
      <w:pPr>
        <w:numPr>
          <w:ilvl w:val="0"/>
          <w:numId w:val="80"/>
        </w:numPr>
        <w:spacing w:line="360" w:lineRule="auto"/>
        <w:rPr>
          <w:rFonts w:ascii="宋体" w:hAnsi="宋体" w:eastAsia="宋体" w:cs="宋体"/>
          <w:bCs/>
          <w:color w:val="auto"/>
          <w:sz w:val="24"/>
          <w:szCs w:val="24"/>
        </w:rPr>
      </w:pPr>
      <w:r>
        <w:rPr>
          <w:rFonts w:hint="eastAsia" w:ascii="宋体" w:hAnsi="宋体" w:eastAsia="宋体" w:cs="宋体"/>
          <w:bCs/>
          <w:color w:val="auto"/>
          <w:sz w:val="24"/>
          <w:szCs w:val="24"/>
        </w:rPr>
        <w:t>目的</w:t>
      </w:r>
    </w:p>
    <w:p>
      <w:pPr>
        <w:spacing w:line="360" w:lineRule="auto"/>
        <w:ind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为了积极防范、及时控制和有效的处理临床试验中受试者可能出现的各种损害和突发事件对临床试验的影响，最大限度的保护受试者的身体健康生命安全，保证临床试验的质量，使临床试验工作法制化、科学化、规范化、特制定本预案。</w:t>
      </w:r>
    </w:p>
    <w:p>
      <w:pPr>
        <w:numPr>
          <w:ilvl w:val="0"/>
          <w:numId w:val="80"/>
        </w:numPr>
        <w:spacing w:line="360" w:lineRule="auto"/>
        <w:rPr>
          <w:rFonts w:ascii="宋体" w:hAnsi="宋体" w:eastAsia="宋体" w:cs="宋体"/>
          <w:bCs/>
          <w:color w:val="auto"/>
          <w:sz w:val="24"/>
          <w:szCs w:val="24"/>
        </w:rPr>
      </w:pPr>
      <w:r>
        <w:rPr>
          <w:rFonts w:hint="eastAsia" w:ascii="宋体" w:hAnsi="宋体" w:eastAsia="宋体" w:cs="宋体"/>
          <w:bCs/>
          <w:color w:val="auto"/>
          <w:sz w:val="24"/>
          <w:szCs w:val="24"/>
        </w:rPr>
        <w:t>适用范围</w:t>
      </w:r>
    </w:p>
    <w:p>
      <w:pPr>
        <w:spacing w:line="360" w:lineRule="auto"/>
        <w:ind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所有药物</w:t>
      </w:r>
      <w:r>
        <w:rPr>
          <w:rFonts w:hint="eastAsia" w:ascii="宋体" w:hAnsi="宋体" w:eastAsia="宋体" w:cs="宋体"/>
          <w:bCs/>
          <w:color w:val="auto"/>
          <w:sz w:val="24"/>
          <w:szCs w:val="24"/>
          <w:lang w:val="en-US" w:eastAsia="zh-CN"/>
        </w:rPr>
        <w:t>和医疗器械</w:t>
      </w:r>
      <w:r>
        <w:rPr>
          <w:rFonts w:hint="eastAsia" w:ascii="宋体" w:hAnsi="宋体" w:eastAsia="宋体" w:cs="宋体"/>
          <w:bCs/>
          <w:color w:val="auto"/>
          <w:sz w:val="24"/>
          <w:szCs w:val="24"/>
        </w:rPr>
        <w:t>临床试验。</w:t>
      </w:r>
    </w:p>
    <w:p>
      <w:pPr>
        <w:numPr>
          <w:ilvl w:val="0"/>
          <w:numId w:val="80"/>
        </w:numPr>
        <w:spacing w:line="360" w:lineRule="auto"/>
        <w:ind w:left="0" w:leftChars="0" w:firstLine="0" w:firstLineChars="0"/>
        <w:rPr>
          <w:rFonts w:hint="eastAsia" w:ascii="宋体" w:hAnsi="宋体" w:eastAsia="宋体" w:cs="宋体"/>
          <w:bCs/>
          <w:color w:val="auto"/>
          <w:sz w:val="24"/>
          <w:szCs w:val="24"/>
        </w:rPr>
      </w:pPr>
      <w:r>
        <w:rPr>
          <w:rFonts w:hint="eastAsia" w:ascii="宋体" w:hAnsi="宋体" w:eastAsia="宋体" w:cs="宋体"/>
          <w:bCs/>
          <w:color w:val="auto"/>
          <w:sz w:val="24"/>
          <w:szCs w:val="24"/>
        </w:rPr>
        <w:t>规程</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（一）组织管理</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1.领导机构：在院长的领导下由突发事件处理小组具体负责组织实施突发事件的处理工作。负责组织制定突发事件日常监测和防范措施、对所发生的突发事件的紧急处理作出决策、传达落实上级部门的指示、向上级部门报告突发事件情况并提出处理建议等。</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2.指挥体系：临床试验中受试者损害及突发事件纳入医院抢救和正常的医疗纠纷处理工作中。</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3.日常管理工作临床试验机构办公室为日常的业务管理部门，具体负责临床试验的业务指导，组织管理与质量控制，监督检查，并负责日常信息沟通与组织协调工作及突发事件的报告。</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4.参与人员：各专业科室医、护、技专业技术人员、ICU救护专业人员。</w:t>
      </w:r>
    </w:p>
    <w:p>
      <w:pPr>
        <w:spacing w:line="360" w:lineRule="auto"/>
        <w:jc w:val="left"/>
        <w:rPr>
          <w:rFonts w:hint="eastAsia" w:asciiTheme="minorEastAsia" w:hAnsiTheme="minorEastAsia"/>
          <w:color w:val="auto"/>
          <w:sz w:val="24"/>
          <w:szCs w:val="24"/>
        </w:rPr>
      </w:pPr>
      <w:r>
        <w:rPr>
          <w:rFonts w:hint="eastAsia" w:asciiTheme="minorEastAsia" w:hAnsiTheme="minorEastAsia"/>
          <w:color w:val="auto"/>
          <w:sz w:val="24"/>
          <w:szCs w:val="24"/>
        </w:rPr>
        <w:t>（二）防范措施</w:t>
      </w:r>
    </w:p>
    <w:p>
      <w:pPr>
        <w:spacing w:line="360" w:lineRule="auto"/>
        <w:jc w:val="left"/>
        <w:rPr>
          <w:rFonts w:hint="eastAsia" w:asciiTheme="minorEastAsia" w:hAnsiTheme="minorEastAsia"/>
          <w:color w:val="auto"/>
          <w:sz w:val="24"/>
          <w:szCs w:val="24"/>
        </w:rPr>
      </w:pPr>
      <w:r>
        <w:rPr>
          <w:rFonts w:hint="eastAsia" w:asciiTheme="minorEastAsia" w:hAnsiTheme="minorEastAsia"/>
          <w:color w:val="auto"/>
          <w:sz w:val="24"/>
          <w:szCs w:val="24"/>
        </w:rPr>
        <w:t>1.伦理委员会的保证：临床试验开始前，试验经伦理委员会审议同意并签署意见后方能实施：临床试验进行期间，试验方案的任何修改均需经伦理委员会批准后方能执行：试验中发生任何受试者损害及严重不良事件，需向伦理委员会报告。</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lang w:val="en-US" w:eastAsia="zh-CN"/>
        </w:rPr>
        <w:t>2</w:t>
      </w:r>
      <w:r>
        <w:rPr>
          <w:rFonts w:hint="eastAsia" w:asciiTheme="minorEastAsia" w:hAnsiTheme="minorEastAsia"/>
          <w:color w:val="auto"/>
          <w:sz w:val="24"/>
          <w:szCs w:val="24"/>
        </w:rPr>
        <w:t>.项目负责人的保证：</w:t>
      </w:r>
      <w:r>
        <w:rPr>
          <w:rFonts w:hint="eastAsia" w:asciiTheme="minorEastAsia" w:hAnsiTheme="minorEastAsia"/>
          <w:color w:val="auto"/>
          <w:sz w:val="24"/>
          <w:szCs w:val="24"/>
          <w:lang w:val="en-US" w:eastAsia="zh-CN"/>
        </w:rPr>
        <w:t>药物和医疗器械</w:t>
      </w:r>
      <w:r>
        <w:rPr>
          <w:rFonts w:hint="eastAsia" w:asciiTheme="minorEastAsia" w:hAnsiTheme="minorEastAsia"/>
          <w:color w:val="auto"/>
          <w:sz w:val="24"/>
          <w:szCs w:val="24"/>
        </w:rPr>
        <w:t>临床研究项目负责人应具有本科以上学历和副高级职称，参加过GCP培训获得相关证书：有试验方案中所要求的专业知识和经验，熟悉申办者所提供的与临床试验有关的资料和文献，并有权支配进行该试验所需要的人员和设备，具有处理不良事件的能力和及时上报事件的责任心。</w:t>
      </w:r>
    </w:p>
    <w:p>
      <w:pPr>
        <w:spacing w:line="360" w:lineRule="auto"/>
        <w:jc w:val="left"/>
        <w:rPr>
          <w:rFonts w:hint="eastAsia" w:asciiTheme="minorEastAsia" w:hAnsiTheme="minorEastAsia"/>
          <w:color w:val="auto"/>
          <w:sz w:val="24"/>
          <w:szCs w:val="24"/>
        </w:rPr>
      </w:pPr>
      <w:r>
        <w:rPr>
          <w:rFonts w:hint="eastAsia" w:asciiTheme="minorEastAsia" w:hAnsiTheme="minorEastAsia"/>
          <w:color w:val="auto"/>
          <w:sz w:val="24"/>
          <w:szCs w:val="24"/>
          <w:lang w:val="en-US" w:eastAsia="zh-CN"/>
        </w:rPr>
        <w:t>3</w:t>
      </w:r>
      <w:r>
        <w:rPr>
          <w:rFonts w:hint="eastAsia" w:asciiTheme="minorEastAsia" w:hAnsiTheme="minorEastAsia"/>
          <w:color w:val="auto"/>
          <w:sz w:val="24"/>
          <w:szCs w:val="24"/>
        </w:rPr>
        <w:t>.研究者的保证：熟悉不良事件报告程序的标准操作规程；临床试验开始前，各抢救设备和急救药品及时到位，确保出现受试者损害及突发事件时，受试者在第一时间得到救治。</w:t>
      </w:r>
      <w:r>
        <w:rPr>
          <w:rFonts w:hint="eastAsia" w:ascii="宋体" w:hAnsi="宋体"/>
          <w:color w:val="auto"/>
          <w:sz w:val="24"/>
          <w:szCs w:val="24"/>
        </w:rPr>
        <w:t>在临床试验过程中，研究人员应密切观察受试者出现的各种反应，以便及时发现不良事件或严重不良事件，给予及时处理。</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lang w:val="en-US" w:eastAsia="zh-CN"/>
        </w:rPr>
        <w:t>4</w:t>
      </w:r>
      <w:r>
        <w:rPr>
          <w:rFonts w:hint="eastAsia" w:asciiTheme="minorEastAsia" w:hAnsiTheme="minorEastAsia"/>
          <w:color w:val="auto"/>
          <w:sz w:val="24"/>
          <w:szCs w:val="24"/>
        </w:rPr>
        <w:t>.对受试者的保证：受试者必须是自愿参加并且对研究项目有充分的了解；必须始终尊重受试者保护自身的权利；尽可能采取措施以尊重受试者的隐私、资料保密，并将其身体和精神以及人格的影响减至最小；向受试者告知该项试验的各方面情况后，受试者自愿确认其同意参加临床试验的过程，须以签名和注明日期的知情同意书作为文件证明。</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lang w:val="en-US" w:eastAsia="zh-CN"/>
        </w:rPr>
        <w:t>5</w:t>
      </w:r>
      <w:r>
        <w:rPr>
          <w:rFonts w:hint="eastAsia" w:asciiTheme="minorEastAsia" w:hAnsiTheme="minorEastAsia"/>
          <w:color w:val="auto"/>
          <w:sz w:val="24"/>
          <w:szCs w:val="24"/>
        </w:rPr>
        <w:t>.机构的保证：</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（1）建立健全质量保证体系。对主要研究者资格的保证；对各专业科室设施的保证；对临床试验方案的质量保证；对临床试验数据资料的质量保证；建立符合GCP管理规范的工作制度、设计规范、标准操作规程。</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2）制定受试者损害和突发事件应急预案。成立突发事件应急处理小组，保证医疗过程中出现受试者损害及突发事件后，受试者得到及时处理；做好受试者损害与突发事件预防、现场控制、应急处理及其他物资和技术的准备与协调调度。</w:t>
      </w:r>
    </w:p>
    <w:p>
      <w:pPr>
        <w:spacing w:line="360" w:lineRule="auto"/>
        <w:jc w:val="left"/>
        <w:rPr>
          <w:rFonts w:hint="eastAsia" w:asciiTheme="minorEastAsia" w:hAnsiTheme="minorEastAsia"/>
          <w:color w:val="auto"/>
          <w:sz w:val="24"/>
          <w:szCs w:val="24"/>
        </w:rPr>
      </w:pPr>
      <w:r>
        <w:rPr>
          <w:rFonts w:hint="eastAsia" w:asciiTheme="minorEastAsia" w:hAnsiTheme="minorEastAsia"/>
          <w:color w:val="auto"/>
          <w:sz w:val="24"/>
          <w:szCs w:val="24"/>
        </w:rPr>
        <w:t>（三）处理措施</w:t>
      </w:r>
    </w:p>
    <w:p>
      <w:pPr>
        <w:spacing w:line="360" w:lineRule="auto"/>
        <w:jc w:val="left"/>
        <w:rPr>
          <w:rFonts w:hint="eastAsia" w:asciiTheme="minorEastAsia" w:hAnsiTheme="minorEastAsia" w:eastAsiaTheme="minorEastAsia"/>
          <w:color w:val="auto"/>
          <w:sz w:val="24"/>
          <w:szCs w:val="24"/>
          <w:lang w:eastAsia="zh-CN"/>
        </w:rPr>
      </w:pPr>
      <w:r>
        <w:rPr>
          <w:rFonts w:hint="eastAsia" w:asciiTheme="minorEastAsia" w:hAnsiTheme="minorEastAsia"/>
          <w:color w:val="auto"/>
          <w:sz w:val="24"/>
          <w:szCs w:val="24"/>
        </w:rPr>
        <w:t>1、不良事件处理措施：发现不良事件时，研究者应立即处理并向项目负责人报告根据病情决定必要的诊断与治疗措施，决定是否中止临床试验，所有不良事件都应追踪调查，详细记录处理经过及结果，直到妥善解决或病情稳定，若化验异常者应追踪至恢复正常，追踪随访方式可根据不良反应的轻重选择住院、门诊、家访、电话、通讯等方式，具体参照《不良事件及严重不良事件处理</w:t>
      </w:r>
      <w:r>
        <w:rPr>
          <w:rFonts w:hint="eastAsia" w:asciiTheme="minorEastAsia" w:hAnsiTheme="minorEastAsia"/>
          <w:color w:val="auto"/>
          <w:sz w:val="24"/>
          <w:szCs w:val="24"/>
          <w:lang w:val="en-US" w:eastAsia="zh-CN"/>
        </w:rPr>
        <w:t>与记录</w:t>
      </w:r>
      <w:r>
        <w:rPr>
          <w:rFonts w:hint="eastAsia" w:asciiTheme="minorEastAsia" w:hAnsiTheme="minorEastAsia"/>
          <w:color w:val="auto"/>
          <w:sz w:val="24"/>
          <w:szCs w:val="24"/>
        </w:rPr>
        <w:t>的标准操作规程》</w:t>
      </w:r>
      <w:r>
        <w:rPr>
          <w:rFonts w:hint="eastAsia" w:asciiTheme="minorEastAsia" w:hAnsiTheme="minorEastAsia"/>
          <w:color w:val="auto"/>
          <w:sz w:val="24"/>
          <w:szCs w:val="24"/>
          <w:lang w:eastAsia="zh-CN"/>
        </w:rPr>
        <w:t>。</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2.严重不良事件处理措施：</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（1）处理：一旦出现严重不良事件，研究者应根据具体情况及时采取必要的治疗措施，同时按我院《严重不良事件报告的标准操作规程》要求上报。病情严重者按照医院急救常规处理，必要时送重症监护室。</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（2）紧急破盲：研究者在得到项目负责人批准后，打开应急信封查明所服药品的种类并及时抢救。</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3）记录：研究者应在原始病案和CRF表中记录受试者的病状、体征、试验室检查，损害出现的事件、持续时间、程度、处理措施和经过等，保证记录真实、准确、完整、及时、合法、填写严重不良事件报告表，签名并注明日期；在原始记录中应记录时间、报告方式以及报告的机构。</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（4）随访：研究者应对所有受试损害进行随访，根据病情决定随访时间，在随访过程中给予必要的处理和治疗措施，以确保将受试者损害降至最低，充分保证受试者安全，详细记录随访的经过和处理的结果。</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3.突发事件处理措施：</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（1）突发事件的报告</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1）如果突然发生造成或可能造成社会公众健康严重伤害的重大传染病疫情、群体性不明原因疾病、重大食物和职业中毒以及其他严重影响公众健康的突发公共卫生事件，在正常工作日，当班医护人员应立即报告研究者，由研究者根据医院规定报告医务科、院感办、受试者损害突发事件处理小组，节假日或夜间应立即报告行政总值班，按照我院“突发公共卫生事件应急工作预案”处理。</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2）如发生自然灾害（火灾、水灾和地震）应立即与“119”或“110”联系，并通知保卫科，节假日或夜间立即报告总值班，并协助紧急转运受试者。</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3）紧急停电、停水应立即通知维修中心，节假日或夜间应立即报告总值班。</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（2）突发事件的应急处理</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1）发生突发事件时为受试者提供紧急救援的医疗救护，最大限度的降低对受试者的损害。</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2）对突发事件积极进行协调，采取相应对策。</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3）对疑难突发事件请有关专家进行会诊。</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4）对发生中毒的受试者，立即采取中毒解救措施和支持性治疗，并积极调查研究，尽快明确中毒原因并实施针对性治疗和控制中毒的蔓延。</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5）发生疫情时，对疑似或确诊的传染病受试者采取医学观察治疗措施，在救治感染者的同时迅速采取有效的隔离措施，防止扩散，对需要转送的病人，应当按照将病人及其病历记录的复印件转送至接诊的医疗机构。妥善安排其他受试者到其他安全的地点（其他医疗机构等）接受随访和原疾病的治疗。具体参照《突发公共卫生事件应急工作预案》.</w:t>
      </w:r>
    </w:p>
    <w:p>
      <w:p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（3）突发事件的应急处理过程的记录</w:t>
      </w:r>
    </w:p>
    <w:p>
      <w:pPr>
        <w:spacing w:line="360" w:lineRule="auto"/>
        <w:jc w:val="left"/>
        <w:rPr>
          <w:rFonts w:hint="eastAsia" w:asciiTheme="minorEastAsia" w:hAnsiTheme="minorEastAsia"/>
          <w:color w:val="auto"/>
          <w:sz w:val="24"/>
          <w:szCs w:val="24"/>
        </w:rPr>
      </w:pPr>
      <w:r>
        <w:rPr>
          <w:rFonts w:hint="eastAsia" w:asciiTheme="minorEastAsia" w:hAnsiTheme="minorEastAsia"/>
          <w:color w:val="auto"/>
          <w:sz w:val="24"/>
          <w:szCs w:val="24"/>
        </w:rPr>
        <w:t>应尽可能详细地记录突发事件中对受试者的应急处理过程。</w:t>
      </w:r>
    </w:p>
    <w:p>
      <w:pPr>
        <w:numPr>
          <w:ilvl w:val="0"/>
          <w:numId w:val="0"/>
        </w:num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lang w:eastAsia="zh-CN"/>
        </w:rPr>
        <w:t>（</w:t>
      </w:r>
      <w:r>
        <w:rPr>
          <w:rFonts w:hint="eastAsia" w:asciiTheme="minorEastAsia" w:hAnsiTheme="minorEastAsia"/>
          <w:color w:val="auto"/>
          <w:sz w:val="24"/>
          <w:szCs w:val="24"/>
          <w:lang w:val="en-US" w:eastAsia="zh-CN"/>
        </w:rPr>
        <w:t>四</w:t>
      </w:r>
      <w:r>
        <w:rPr>
          <w:rFonts w:hint="eastAsia" w:asciiTheme="minorEastAsia" w:hAnsiTheme="minorEastAsia"/>
          <w:color w:val="auto"/>
          <w:sz w:val="24"/>
          <w:szCs w:val="24"/>
          <w:lang w:eastAsia="zh-CN"/>
        </w:rPr>
        <w:t>）</w:t>
      </w:r>
      <w:r>
        <w:rPr>
          <w:rFonts w:hint="eastAsia" w:asciiTheme="minorEastAsia" w:hAnsiTheme="minorEastAsia"/>
          <w:color w:val="auto"/>
          <w:sz w:val="24"/>
          <w:szCs w:val="24"/>
        </w:rPr>
        <w:t>附件</w:t>
      </w:r>
    </w:p>
    <w:p>
      <w:pPr>
        <w:numPr>
          <w:ilvl w:val="0"/>
          <w:numId w:val="81"/>
        </w:num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突发公共卫生事件应急流程图</w:t>
      </w:r>
    </w:p>
    <w:p>
      <w:pPr>
        <w:numPr>
          <w:ilvl w:val="0"/>
          <w:numId w:val="81"/>
        </w:numPr>
        <w:spacing w:line="360" w:lineRule="auto"/>
        <w:jc w:val="left"/>
        <w:rPr>
          <w:rFonts w:asciiTheme="minorEastAsia" w:hAnsiTheme="minorEastAsia"/>
          <w:color w:val="auto"/>
          <w:sz w:val="24"/>
          <w:szCs w:val="24"/>
        </w:rPr>
      </w:pPr>
      <w:r>
        <w:rPr>
          <w:rFonts w:hint="eastAsia" w:asciiTheme="minorEastAsia" w:hAnsiTheme="minorEastAsia"/>
          <w:color w:val="auto"/>
          <w:sz w:val="24"/>
          <w:szCs w:val="24"/>
        </w:rPr>
        <w:t>受试者损害和突发事件处理小组名单</w:t>
      </w:r>
    </w:p>
    <w:p>
      <w:pPr>
        <w:spacing w:line="360" w:lineRule="auto"/>
        <w:ind w:firstLine="480" w:firstLineChars="200"/>
        <w:jc w:val="left"/>
        <w:rPr>
          <w:rFonts w:asciiTheme="minorEastAsia" w:hAnsiTheme="minorEastAsia"/>
          <w:color w:val="auto"/>
          <w:sz w:val="24"/>
          <w:szCs w:val="24"/>
        </w:rPr>
      </w:pPr>
    </w:p>
    <w:p>
      <w:pPr>
        <w:spacing w:line="360" w:lineRule="auto"/>
        <w:ind w:firstLine="480" w:firstLineChars="200"/>
        <w:jc w:val="left"/>
        <w:rPr>
          <w:rFonts w:asciiTheme="minorEastAsia" w:hAnsiTheme="minorEastAsia"/>
          <w:color w:val="auto"/>
          <w:sz w:val="24"/>
          <w:szCs w:val="24"/>
        </w:rPr>
      </w:pPr>
    </w:p>
    <w:p>
      <w:pPr>
        <w:spacing w:line="360" w:lineRule="auto"/>
        <w:ind w:firstLine="480" w:firstLineChars="200"/>
        <w:jc w:val="left"/>
        <w:rPr>
          <w:rFonts w:asciiTheme="minorEastAsia" w:hAnsiTheme="minorEastAsia"/>
          <w:color w:val="auto"/>
          <w:sz w:val="24"/>
          <w:szCs w:val="24"/>
        </w:rPr>
      </w:pPr>
    </w:p>
    <w:p>
      <w:pPr>
        <w:spacing w:line="360" w:lineRule="auto"/>
        <w:ind w:firstLine="480" w:firstLineChars="200"/>
        <w:jc w:val="left"/>
        <w:rPr>
          <w:rFonts w:asciiTheme="minorEastAsia" w:hAnsiTheme="minorEastAsia"/>
          <w:color w:val="auto"/>
          <w:sz w:val="24"/>
          <w:szCs w:val="24"/>
        </w:rPr>
      </w:pPr>
    </w:p>
    <w:p>
      <w:pPr>
        <w:spacing w:line="360" w:lineRule="auto"/>
        <w:ind w:firstLine="2800" w:firstLineChars="1000"/>
        <w:jc w:val="left"/>
        <w:rPr>
          <w:rFonts w:asciiTheme="minorEastAsia" w:hAnsiTheme="minorEastAsia"/>
          <w:color w:val="auto"/>
          <w:sz w:val="28"/>
          <w:szCs w:val="28"/>
        </w:rPr>
      </w:pPr>
      <w:r>
        <w:rPr>
          <w:rFonts w:hint="eastAsia" w:asciiTheme="minorEastAsia" w:hAnsiTheme="minorEastAsia"/>
          <w:color w:val="auto"/>
          <w:sz w:val="28"/>
          <w:szCs w:val="28"/>
        </w:rPr>
        <w:t>突发事件应急预案流程图</w:t>
      </w:r>
    </w:p>
    <w:p>
      <w:pPr>
        <w:spacing w:line="360" w:lineRule="auto"/>
        <w:ind w:firstLine="480" w:firstLineChars="200"/>
        <w:jc w:val="left"/>
        <w:rPr>
          <w:rFonts w:asciiTheme="minorEastAsia" w:hAnsiTheme="minorEastAsia"/>
          <w:color w:val="auto"/>
          <w:sz w:val="24"/>
          <w:szCs w:val="24"/>
        </w:rPr>
      </w:pPr>
    </w:p>
    <w:p>
      <w:pPr>
        <w:spacing w:line="360" w:lineRule="auto"/>
        <w:ind w:firstLine="480" w:firstLineChars="200"/>
        <w:jc w:val="left"/>
        <w:rPr>
          <w:rFonts w:asciiTheme="minorEastAsia" w:hAnsiTheme="minorEastAsia"/>
          <w:color w:val="auto"/>
          <w:sz w:val="24"/>
          <w:szCs w:val="24"/>
        </w:rPr>
      </w:pPr>
      <w:r>
        <w:rPr>
          <w:color w:val="auto"/>
          <w:sz w:val="24"/>
        </w:rPr>
        <mc:AlternateContent>
          <mc:Choice Requires="wps">
            <w:drawing>
              <wp:anchor distT="0" distB="0" distL="114300" distR="114300" simplePos="0" relativeHeight="251674624" behindDoc="1" locked="0" layoutInCell="1" allowOverlap="1">
                <wp:simplePos x="0" y="0"/>
                <wp:positionH relativeFrom="column">
                  <wp:posOffset>1358265</wp:posOffset>
                </wp:positionH>
                <wp:positionV relativeFrom="paragraph">
                  <wp:posOffset>142875</wp:posOffset>
                </wp:positionV>
                <wp:extent cx="971550" cy="638175"/>
                <wp:effectExtent l="4445" t="4445" r="14605" b="12700"/>
                <wp:wrapNone/>
                <wp:docPr id="21" name="矩形 144"/>
                <wp:cNvGraphicFramePr/>
                <a:graphic xmlns:a="http://schemas.openxmlformats.org/drawingml/2006/main">
                  <a:graphicData uri="http://schemas.microsoft.com/office/word/2010/wordprocessingShape">
                    <wps:wsp>
                      <wps:cNvSpPr/>
                      <wps:spPr>
                        <a:xfrm>
                          <a:off x="0" y="0"/>
                          <a:ext cx="971550" cy="638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突发自然灾害（火灾、水灾、地震）</w:t>
                            </w:r>
                          </w:p>
                        </w:txbxContent>
                      </wps:txbx>
                      <wps:bodyPr upright="1"/>
                    </wps:wsp>
                  </a:graphicData>
                </a:graphic>
              </wp:anchor>
            </w:drawing>
          </mc:Choice>
          <mc:Fallback>
            <w:pict>
              <v:rect id="矩形 144" o:spid="_x0000_s1026" o:spt="1" style="position:absolute;left:0pt;margin-left:106.95pt;margin-top:11.25pt;height:50.25pt;width:76.5pt;z-index:-251641856;mso-width-relative:page;mso-height-relative:page;" fillcolor="#FFFFFF" filled="t" stroked="t" coordsize="21600,21600" o:gfxdata="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vERkXWAAAACgEAAA8AAAAAAAAAAQAgAAAAIgAAAGRycy9kb3du&#10;cmV2LnhtbFBLAQIUABQAAAAIAIdO4kDA5YvZAQIAACsEAAAOAAAAAAAAAAEAIAAAACUBAABkcnMv&#10;ZTJvRG9jLnhtbFBLBQYAAAAABgAGAFkBAACY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突发自然灾害（火灾、水灾、地震）</w:t>
                      </w:r>
                    </w:p>
                  </w:txbxContent>
                </v:textbox>
              </v:rect>
            </w:pict>
          </mc:Fallback>
        </mc:AlternateContent>
      </w:r>
      <w:r>
        <w:rPr>
          <w:color w:val="auto"/>
          <w:sz w:val="24"/>
        </w:rPr>
        <mc:AlternateContent>
          <mc:Choice Requires="wps">
            <w:drawing>
              <wp:anchor distT="0" distB="0" distL="114300" distR="114300" simplePos="0" relativeHeight="251672576" behindDoc="1" locked="0" layoutInCell="1" allowOverlap="1">
                <wp:simplePos x="0" y="0"/>
                <wp:positionH relativeFrom="column">
                  <wp:posOffset>4920615</wp:posOffset>
                </wp:positionH>
                <wp:positionV relativeFrom="paragraph">
                  <wp:posOffset>142875</wp:posOffset>
                </wp:positionV>
                <wp:extent cx="971550" cy="638175"/>
                <wp:effectExtent l="4445" t="4445" r="14605" b="12700"/>
                <wp:wrapNone/>
                <wp:docPr id="19" name="矩形 145"/>
                <wp:cNvGraphicFramePr/>
                <a:graphic xmlns:a="http://schemas.openxmlformats.org/drawingml/2006/main">
                  <a:graphicData uri="http://schemas.microsoft.com/office/word/2010/wordprocessingShape">
                    <wps:wsp>
                      <wps:cNvSpPr/>
                      <wps:spPr>
                        <a:xfrm>
                          <a:off x="0" y="0"/>
                          <a:ext cx="971550" cy="6381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严重不良事件</w:t>
                            </w:r>
                          </w:p>
                        </w:txbxContent>
                      </wps:txbx>
                      <wps:bodyPr upright="1"/>
                    </wps:wsp>
                  </a:graphicData>
                </a:graphic>
              </wp:anchor>
            </w:drawing>
          </mc:Choice>
          <mc:Fallback>
            <w:pict>
              <v:rect id="矩形 145" o:spid="_x0000_s1026" o:spt="1" style="position:absolute;left:0pt;margin-left:387.45pt;margin-top:11.25pt;height:50.25pt;width:76.5pt;z-index:-251643904;mso-width-relative:page;mso-height-relative:page;" fillcolor="#FFFFFF" filled="t" stroked="t" coordsize="21600,21600" o:gfxdata="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AuftcAAAAKAQAADwAAAAAAAAABACAAAAAiAAAAZHJz&#10;L2Rvd25yZXYueG1sUEsBAhQAFAAAAAgAh07iQEnsWIYFAgAAKwQAAA4AAAAAAAAAAQAgAAAAJgEA&#10;AGRycy9lMm9Eb2MueG1sUEsFBgAAAAAGAAYAWQEAAJ0FAAAAAA==&#10;">
                <v:fill on="t" focussize="0,0"/>
                <v:stroke color="#000000" joinstyle="miter"/>
                <v:imagedata o:title=""/>
                <o:lock v:ext="edit" aspectratio="f"/>
                <v:textbox>
                  <w:txbxContent>
                    <w:p>
                      <w:r>
                        <w:rPr>
                          <w:rFonts w:hint="eastAsia"/>
                        </w:rPr>
                        <w:t>严重不良事件</w:t>
                      </w:r>
                    </w:p>
                  </w:txbxContent>
                </v:textbox>
              </v:rect>
            </w:pict>
          </mc:Fallback>
        </mc:AlternateContent>
      </w:r>
      <w:r>
        <w:rPr>
          <w:color w:val="auto"/>
          <w:sz w:val="24"/>
        </w:rPr>
        <mc:AlternateContent>
          <mc:Choice Requires="wps">
            <w:drawing>
              <wp:anchor distT="0" distB="0" distL="114300" distR="114300" simplePos="0" relativeHeight="251671552" behindDoc="1" locked="0" layoutInCell="1" allowOverlap="1">
                <wp:simplePos x="0" y="0"/>
                <wp:positionH relativeFrom="column">
                  <wp:posOffset>3739515</wp:posOffset>
                </wp:positionH>
                <wp:positionV relativeFrom="paragraph">
                  <wp:posOffset>152400</wp:posOffset>
                </wp:positionV>
                <wp:extent cx="971550" cy="638175"/>
                <wp:effectExtent l="4445" t="4445" r="14605" b="12700"/>
                <wp:wrapNone/>
                <wp:docPr id="18" name="矩形 146"/>
                <wp:cNvGraphicFramePr/>
                <a:graphic xmlns:a="http://schemas.openxmlformats.org/drawingml/2006/main">
                  <a:graphicData uri="http://schemas.microsoft.com/office/word/2010/wordprocessingShape">
                    <wps:wsp>
                      <wps:cNvSpPr/>
                      <wps:spPr>
                        <a:xfrm>
                          <a:off x="0" y="0"/>
                          <a:ext cx="971550" cy="6381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不良事件</w:t>
                            </w:r>
                          </w:p>
                        </w:txbxContent>
                      </wps:txbx>
                      <wps:bodyPr upright="1"/>
                    </wps:wsp>
                  </a:graphicData>
                </a:graphic>
              </wp:anchor>
            </w:drawing>
          </mc:Choice>
          <mc:Fallback>
            <w:pict>
              <v:rect id="矩形 146" o:spid="_x0000_s1026" o:spt="1" style="position:absolute;left:0pt;margin-left:294.45pt;margin-top:12pt;height:50.25pt;width:76.5pt;z-index:-251644928;mso-width-relative:page;mso-height-relative:page;" fillcolor="#FFFFFF" filled="t" stroked="t" coordsize="21600,21600" o:gfxdata="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WRxstgAAAAKAQAADwAAAAAAAAABACAAAAAiAAAAZHJzL2Rv&#10;d25yZXYueG1sUEsBAhQAFAAAAAgAh07iQL5ZbmoBAgAAKwQAAA4AAAAAAAAAAQAgAAAAJwEAAGRy&#10;cy9lMm9Eb2MueG1sUEsFBgAAAAAGAAYAWQEAAJoFAAAAAA==&#10;">
                <v:fill on="t" focussize="0,0"/>
                <v:stroke color="#000000" joinstyle="miter"/>
                <v:imagedata o:title=""/>
                <o:lock v:ext="edit" aspectratio="f"/>
                <v:textbox>
                  <w:txbxContent>
                    <w:p>
                      <w:r>
                        <w:rPr>
                          <w:rFonts w:hint="eastAsia"/>
                        </w:rPr>
                        <w:t>不良事件</w:t>
                      </w:r>
                    </w:p>
                  </w:txbxContent>
                </v:textbox>
              </v:rect>
            </w:pict>
          </mc:Fallback>
        </mc:AlternateContent>
      </w:r>
      <w:r>
        <w:rPr>
          <w:color w:val="auto"/>
          <w:sz w:val="24"/>
        </w:rPr>
        <mc:AlternateContent>
          <mc:Choice Requires="wps">
            <w:drawing>
              <wp:anchor distT="0" distB="0" distL="114300" distR="114300" simplePos="0" relativeHeight="251673600" behindDoc="1" locked="0" layoutInCell="1" allowOverlap="1">
                <wp:simplePos x="0" y="0"/>
                <wp:positionH relativeFrom="column">
                  <wp:posOffset>2606040</wp:posOffset>
                </wp:positionH>
                <wp:positionV relativeFrom="paragraph">
                  <wp:posOffset>161925</wp:posOffset>
                </wp:positionV>
                <wp:extent cx="971550" cy="638175"/>
                <wp:effectExtent l="4445" t="4445" r="14605" b="12700"/>
                <wp:wrapNone/>
                <wp:docPr id="20" name="矩形 147"/>
                <wp:cNvGraphicFramePr/>
                <a:graphic xmlns:a="http://schemas.openxmlformats.org/drawingml/2006/main">
                  <a:graphicData uri="http://schemas.microsoft.com/office/word/2010/wordprocessingShape">
                    <wps:wsp>
                      <wps:cNvSpPr/>
                      <wps:spPr>
                        <a:xfrm>
                          <a:off x="0" y="0"/>
                          <a:ext cx="971550" cy="6381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紧急停电停水事件</w:t>
                            </w:r>
                          </w:p>
                        </w:txbxContent>
                      </wps:txbx>
                      <wps:bodyPr upright="1"/>
                    </wps:wsp>
                  </a:graphicData>
                </a:graphic>
              </wp:anchor>
            </w:drawing>
          </mc:Choice>
          <mc:Fallback>
            <w:pict>
              <v:rect id="矩形 147" o:spid="_x0000_s1026" o:spt="1" style="position:absolute;left:0pt;margin-left:205.2pt;margin-top:12.75pt;height:50.25pt;width:76.5pt;z-index:-251642880;mso-width-relative:page;mso-height-relative:page;" fillcolor="#FFFFFF" filled="t" stroked="t" coordsize="21600,21600" o:gfxdata="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1SUx1wAAAAoBAAAPAAAAAAAAAAEAIAAAACIAAABkcnMvZG93&#10;bnJldi54bWxQSwECFAAUAAAACACHTuJAN1C9NQECAAArBAAADgAAAAAAAAABACAAAAAmAQAAZHJz&#10;L2Uyb0RvYy54bWxQSwUGAAAAAAYABgBZAQAAmQUAAAAA&#10;">
                <v:fill on="t" focussize="0,0"/>
                <v:stroke color="#000000" joinstyle="miter"/>
                <v:imagedata o:title=""/>
                <o:lock v:ext="edit" aspectratio="f"/>
                <v:textbox>
                  <w:txbxContent>
                    <w:p>
                      <w:r>
                        <w:rPr>
                          <w:rFonts w:hint="eastAsia"/>
                        </w:rPr>
                        <w:t>紧急停电停水事件</w:t>
                      </w:r>
                    </w:p>
                  </w:txbxContent>
                </v:textbox>
              </v:rect>
            </w:pict>
          </mc:Fallback>
        </mc:AlternateContent>
      </w:r>
      <w:r>
        <w:rPr>
          <w:color w:val="auto"/>
          <w:sz w:val="24"/>
        </w:rPr>
        <mc:AlternateContent>
          <mc:Choice Requires="wps">
            <w:drawing>
              <wp:anchor distT="0" distB="0" distL="114300" distR="114300" simplePos="0" relativeHeight="251670528" behindDoc="1" locked="0" layoutInCell="1" allowOverlap="1">
                <wp:simplePos x="0" y="0"/>
                <wp:positionH relativeFrom="column">
                  <wp:posOffset>81915</wp:posOffset>
                </wp:positionH>
                <wp:positionV relativeFrom="paragraph">
                  <wp:posOffset>123825</wp:posOffset>
                </wp:positionV>
                <wp:extent cx="971550" cy="638175"/>
                <wp:effectExtent l="4445" t="4445" r="14605" b="12700"/>
                <wp:wrapNone/>
                <wp:docPr id="17" name="矩形 148"/>
                <wp:cNvGraphicFramePr/>
                <a:graphic xmlns:a="http://schemas.openxmlformats.org/drawingml/2006/main">
                  <a:graphicData uri="http://schemas.microsoft.com/office/word/2010/wordprocessingShape">
                    <wps:wsp>
                      <wps:cNvSpPr/>
                      <wps:spPr>
                        <a:xfrm>
                          <a:off x="0" y="0"/>
                          <a:ext cx="971550" cy="6381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突发公共卫生事件</w:t>
                            </w:r>
                          </w:p>
                        </w:txbxContent>
                      </wps:txbx>
                      <wps:bodyPr upright="1"/>
                    </wps:wsp>
                  </a:graphicData>
                </a:graphic>
              </wp:anchor>
            </w:drawing>
          </mc:Choice>
          <mc:Fallback>
            <w:pict>
              <v:rect id="矩形 148" o:spid="_x0000_s1026" o:spt="1" style="position:absolute;left:0pt;margin-left:6.45pt;margin-top:9.75pt;height:50.25pt;width:76.5pt;z-index:-251645952;mso-width-relative:page;mso-height-relative:page;" fillcolor="#FFFFFF" filled="t" stroked="t" coordsize="21600,21600" o:gfxdata="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SYHlzVAAAACQEAAA8AAAAAAAAAAQAgAAAAIgAAAGRycy9kb3du&#10;cmV2LnhtbFBLAQIUABQAAAAIAIdO4kB5NGytAgIAACsEAAAOAAAAAAAAAAEAIAAAACQBAABkcnMv&#10;ZTJvRG9jLnhtbFBLBQYAAAAABgAGAFkBAACYBQAAAAA=&#10;">
                <v:fill on="t" focussize="0,0"/>
                <v:stroke color="#000000" joinstyle="miter"/>
                <v:imagedata o:title=""/>
                <o:lock v:ext="edit" aspectratio="f"/>
                <v:textbox>
                  <w:txbxContent>
                    <w:p>
                      <w:r>
                        <w:rPr>
                          <w:rFonts w:hint="eastAsia"/>
                        </w:rPr>
                        <w:t>突发公共卫生事件</w:t>
                      </w:r>
                    </w:p>
                  </w:txbxContent>
                </v:textbox>
              </v:rect>
            </w:pict>
          </mc:Fallback>
        </mc:AlternateContent>
      </w:r>
    </w:p>
    <w:p>
      <w:pPr>
        <w:tabs>
          <w:tab w:val="left" w:pos="6684"/>
        </w:tabs>
        <w:spacing w:line="360" w:lineRule="auto"/>
        <w:ind w:firstLine="480" w:firstLineChars="200"/>
        <w:jc w:val="left"/>
        <w:rPr>
          <w:rFonts w:asciiTheme="minorEastAsia" w:hAnsiTheme="minorEastAsia"/>
          <w:color w:val="auto"/>
          <w:sz w:val="24"/>
          <w:szCs w:val="24"/>
        </w:rPr>
      </w:pPr>
      <w:r>
        <w:rPr>
          <w:rFonts w:hint="eastAsia" w:asciiTheme="minorEastAsia" w:hAnsiTheme="minorEastAsia"/>
          <w:color w:val="auto"/>
          <w:sz w:val="24"/>
          <w:szCs w:val="24"/>
        </w:rPr>
        <w:tab/>
      </w:r>
    </w:p>
    <w:p>
      <w:pPr>
        <w:spacing w:line="360" w:lineRule="auto"/>
        <w:ind w:firstLine="480" w:firstLineChars="200"/>
        <w:jc w:val="left"/>
        <w:rPr>
          <w:rFonts w:asciiTheme="minorEastAsia" w:hAnsiTheme="minorEastAsia"/>
          <w:color w:val="auto"/>
          <w:sz w:val="24"/>
          <w:szCs w:val="24"/>
        </w:rPr>
      </w:pPr>
      <w:r>
        <w:rPr>
          <w:color w:val="auto"/>
          <w:sz w:val="24"/>
        </w:rPr>
        <mc:AlternateContent>
          <mc:Choice Requires="wps">
            <w:drawing>
              <wp:anchor distT="0" distB="0" distL="114300" distR="114300" simplePos="0" relativeHeight="251668480" behindDoc="1" locked="0" layoutInCell="1" allowOverlap="1">
                <wp:simplePos x="0" y="0"/>
                <wp:positionH relativeFrom="column">
                  <wp:posOffset>520065</wp:posOffset>
                </wp:positionH>
                <wp:positionV relativeFrom="paragraph">
                  <wp:posOffset>243840</wp:posOffset>
                </wp:positionV>
                <wp:extent cx="9525" cy="247650"/>
                <wp:effectExtent l="45720" t="0" r="51435" b="11430"/>
                <wp:wrapNone/>
                <wp:docPr id="15" name="直线 149"/>
                <wp:cNvGraphicFramePr/>
                <a:graphic xmlns:a="http://schemas.openxmlformats.org/drawingml/2006/main">
                  <a:graphicData uri="http://schemas.microsoft.com/office/word/2010/wordprocessingShape">
                    <wps:wsp>
                      <wps:cNvCnPr/>
                      <wps:spPr>
                        <a:xfrm flipH="1">
                          <a:off x="0" y="0"/>
                          <a:ext cx="9525" cy="247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49" o:spid="_x0000_s1026" o:spt="20" style="position:absolute;left:0pt;flip:x;margin-left:40.95pt;margin-top:19.2pt;height:19.5pt;width:0.75pt;z-index:-251648000;mso-width-relative:page;mso-height-relative:page;" filled="f" stroked="t" coordsize="21600,21600" o:gfxdata="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HvNN9YAAAAHAQAADwAAAAAAAAABACAAAAAiAAAAZHJzL2Rvd25yZXYueG1sUEsB&#10;AhQAFAAAAAgAh07iQGM0gun3AQAA6wMAAA4AAAAAAAAAAQAgAAAAJQEAAGRycy9lMm9Eb2MueG1s&#10;UEsFBgAAAAAGAAYAWQEAAI4FA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662336" behindDoc="1" locked="0" layoutInCell="1" allowOverlap="1">
                <wp:simplePos x="0" y="0"/>
                <wp:positionH relativeFrom="column">
                  <wp:posOffset>5434965</wp:posOffset>
                </wp:positionH>
                <wp:positionV relativeFrom="paragraph">
                  <wp:posOffset>215900</wp:posOffset>
                </wp:positionV>
                <wp:extent cx="635" cy="238125"/>
                <wp:effectExtent l="48895" t="0" r="57150" b="5715"/>
                <wp:wrapNone/>
                <wp:docPr id="8" name="直线 150"/>
                <wp:cNvGraphicFramePr/>
                <a:graphic xmlns:a="http://schemas.openxmlformats.org/drawingml/2006/main">
                  <a:graphicData uri="http://schemas.microsoft.com/office/word/2010/wordprocessingShape">
                    <wps:wsp>
                      <wps:cNvCnPr/>
                      <wps:spPr>
                        <a:xfrm>
                          <a:off x="0" y="0"/>
                          <a:ext cx="63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50" o:spid="_x0000_s1026" o:spt="20" style="position:absolute;left:0pt;margin-left:427.95pt;margin-top:17pt;height:18.75pt;width:0.05pt;z-index:-251654144;mso-width-relative:page;mso-height-relative:page;" filled="f" stroked="t" coordsize="21600,21600" o:gfxdata="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WVwDTaAAAACQEAAA8AAAAAAAAAAQAgAAAAIgAAAGRycy9kb3ducmV2LnhtbFBLAQIUABQA&#10;AAAIAIdO4kDBZKmA7gEAAN8DAAAOAAAAAAAAAAEAIAAAACkBAABkcnMvZTJvRG9jLnhtbFBLBQYA&#10;AAAABgAGAFkBAACJBQ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661312" behindDoc="1" locked="0" layoutInCell="1" allowOverlap="1">
                <wp:simplePos x="0" y="0"/>
                <wp:positionH relativeFrom="column">
                  <wp:posOffset>4215765</wp:posOffset>
                </wp:positionH>
                <wp:positionV relativeFrom="paragraph">
                  <wp:posOffset>254000</wp:posOffset>
                </wp:positionV>
                <wp:extent cx="635" cy="219075"/>
                <wp:effectExtent l="48895" t="0" r="57150" b="9525"/>
                <wp:wrapNone/>
                <wp:docPr id="7" name="直线 151"/>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51" o:spid="_x0000_s1026" o:spt="20" style="position:absolute;left:0pt;margin-left:331.95pt;margin-top:20pt;height:17.25pt;width:0.05pt;z-index:-251655168;mso-width-relative:page;mso-height-relative:page;" filled="f" stroked="t" coordsize="21600,21600" o:gfxdata="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QQl97aAAAACQEAAA8AAAAAAAAAAQAgAAAAIgAAAGRycy9kb3ducmV2LnhtbFBLAQIUABQA&#10;AAAIAIdO4kCHF1Wg7gEAAN8DAAAOAAAAAAAAAAEAIAAAACkBAABkcnMvZTJvRG9jLnhtbFBLBQYA&#10;AAAABgAGAFkBAACJBQ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660288" behindDoc="1" locked="0" layoutInCell="1" allowOverlap="1">
                <wp:simplePos x="0" y="0"/>
                <wp:positionH relativeFrom="column">
                  <wp:posOffset>3063240</wp:posOffset>
                </wp:positionH>
                <wp:positionV relativeFrom="paragraph">
                  <wp:posOffset>254000</wp:posOffset>
                </wp:positionV>
                <wp:extent cx="635" cy="200025"/>
                <wp:effectExtent l="48895" t="0" r="57150" b="13335"/>
                <wp:wrapNone/>
                <wp:docPr id="6" name="直线 152"/>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52" o:spid="_x0000_s1026" o:spt="20" style="position:absolute;left:0pt;margin-left:241.2pt;margin-top:20pt;height:15.75pt;width:0.05pt;z-index:-251656192;mso-width-relative:page;mso-height-relative:page;" filled="f" stroked="t" coordsize="21600,21600" o:gfxdata="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sCmUtkAAAAJAQAADwAAAAAAAAABACAAAAAiAAAAZHJzL2Rvd25yZXYueG1sUEsBAhQAFAAA&#10;AAgAh07iQKjxWHTuAQAA3wMAAA4AAAAAAAAAAQAgAAAAKAEAAGRycy9lMm9Eb2MueG1sUEsFBgAA&#10;AAAGAAYAWQEAAIgFA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659264" behindDoc="1" locked="0" layoutInCell="1" allowOverlap="1">
                <wp:simplePos x="0" y="0"/>
                <wp:positionH relativeFrom="column">
                  <wp:posOffset>1853565</wp:posOffset>
                </wp:positionH>
                <wp:positionV relativeFrom="paragraph">
                  <wp:posOffset>254000</wp:posOffset>
                </wp:positionV>
                <wp:extent cx="635" cy="219075"/>
                <wp:effectExtent l="48895" t="0" r="57150" b="9525"/>
                <wp:wrapNone/>
                <wp:docPr id="4" name="直线 153"/>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53" o:spid="_x0000_s1026" o:spt="20" style="position:absolute;left:0pt;margin-left:145.95pt;margin-top:20pt;height:17.25pt;width:0.05pt;z-index:-251657216;mso-width-relative:page;mso-height-relative:page;" filled="f" stroked="t" coordsize="21600,21600" o:gfxdata="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7N3l42gAAAAkBAAAPAAAAAAAAAAEAIAAAACIAAABkcnMvZG93bnJldi54bWxQSwECFAAU&#10;AAAACACHTuJAhqjxh+8BAADfAwAADgAAAAAAAAABACAAAAApAQAAZHJzL2Uyb0RvYy54bWxQSwUG&#10;AAAAAAYABgBZAQAAigUAAAAA&#10;">
                <v:fill on="f" focussize="0,0"/>
                <v:stroke color="#000000" joinstyle="round" endarrow="open"/>
                <v:imagedata o:title=""/>
                <o:lock v:ext="edit" aspectratio="f"/>
              </v:line>
            </w:pict>
          </mc:Fallback>
        </mc:AlternateContent>
      </w:r>
    </w:p>
    <w:p>
      <w:pPr>
        <w:spacing w:line="360" w:lineRule="auto"/>
        <w:jc w:val="left"/>
        <w:rPr>
          <w:rFonts w:asciiTheme="minorEastAsia" w:hAnsiTheme="minorEastAsia"/>
          <w:color w:val="auto"/>
          <w:sz w:val="24"/>
          <w:szCs w:val="24"/>
        </w:rPr>
      </w:pPr>
    </w:p>
    <w:p>
      <w:pPr>
        <w:spacing w:line="360" w:lineRule="auto"/>
        <w:ind w:firstLine="480" w:firstLineChars="200"/>
        <w:jc w:val="left"/>
        <w:rPr>
          <w:rFonts w:asciiTheme="minorEastAsia" w:hAnsiTheme="minorEastAsia"/>
          <w:color w:val="auto"/>
          <w:sz w:val="24"/>
          <w:szCs w:val="24"/>
        </w:rPr>
      </w:pPr>
      <w:r>
        <w:rPr>
          <w:color w:val="auto"/>
          <w:sz w:val="24"/>
        </w:rPr>
        <mc:AlternateContent>
          <mc:Choice Requires="wps">
            <w:drawing>
              <wp:anchor distT="0" distB="0" distL="114300" distR="114300" simplePos="0" relativeHeight="251675648" behindDoc="1" locked="0" layoutInCell="1" allowOverlap="1">
                <wp:simplePos x="0" y="0"/>
                <wp:positionH relativeFrom="column">
                  <wp:posOffset>62865</wp:posOffset>
                </wp:positionH>
                <wp:positionV relativeFrom="paragraph">
                  <wp:posOffset>40005</wp:posOffset>
                </wp:positionV>
                <wp:extent cx="971550" cy="683260"/>
                <wp:effectExtent l="4445" t="4445" r="14605" b="13335"/>
                <wp:wrapNone/>
                <wp:docPr id="22" name="矩形 154"/>
                <wp:cNvGraphicFramePr/>
                <a:graphic xmlns:a="http://schemas.openxmlformats.org/drawingml/2006/main">
                  <a:graphicData uri="http://schemas.microsoft.com/office/word/2010/wordprocessingShape">
                    <wps:wsp>
                      <wps:cNvSpPr/>
                      <wps:spPr>
                        <a:xfrm>
                          <a:off x="0" y="0"/>
                          <a:ext cx="971550" cy="6832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成立特殊门急诊及留诊室</w:t>
                            </w:r>
                          </w:p>
                        </w:txbxContent>
                      </wps:txbx>
                      <wps:bodyPr upright="1"/>
                    </wps:wsp>
                  </a:graphicData>
                </a:graphic>
              </wp:anchor>
            </w:drawing>
          </mc:Choice>
          <mc:Fallback>
            <w:pict>
              <v:rect id="矩形 154" o:spid="_x0000_s1026" o:spt="1" style="position:absolute;left:0pt;margin-left:4.95pt;margin-top:3.15pt;height:53.8pt;width:76.5pt;z-index:-251640832;mso-width-relative:page;mso-height-relative:page;" fillcolor="#FFFFFF" filled="t" stroked="t" coordsize="21600,21600" o:gfxdata="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MI6S1AAAAAcBAAAPAAAAAAAAAAEAIAAAACIAAABkcnMvZG93&#10;bnJldi54bWxQSwECFAAUAAAACACHTuJAk75+gQQCAAArBAAADgAAAAAAAAABACAAAAAjAQAAZHJz&#10;L2Uyb0RvYy54bWxQSwUGAAAAAAYABgBZAQAAmQUAAAAA&#10;">
                <v:fill on="t" focussize="0,0"/>
                <v:stroke color="#000000" joinstyle="miter"/>
                <v:imagedata o:title=""/>
                <o:lock v:ext="edit" aspectratio="f"/>
                <v:textbox>
                  <w:txbxContent>
                    <w:p>
                      <w:r>
                        <w:rPr>
                          <w:rFonts w:hint="eastAsia"/>
                        </w:rPr>
                        <w:t>成立特殊门急诊及留诊室</w:t>
                      </w:r>
                    </w:p>
                  </w:txbxContent>
                </v:textbox>
              </v:rect>
            </w:pict>
          </mc:Fallback>
        </mc:AlternateContent>
      </w:r>
      <w:r>
        <w:rPr>
          <w:color w:val="auto"/>
          <w:sz w:val="24"/>
        </w:rPr>
        <mc:AlternateContent>
          <mc:Choice Requires="wps">
            <w:drawing>
              <wp:anchor distT="0" distB="0" distL="114300" distR="114300" simplePos="0" relativeHeight="251677696" behindDoc="1" locked="0" layoutInCell="1" allowOverlap="1">
                <wp:simplePos x="0" y="0"/>
                <wp:positionH relativeFrom="column">
                  <wp:posOffset>1367790</wp:posOffset>
                </wp:positionH>
                <wp:positionV relativeFrom="paragraph">
                  <wp:posOffset>20955</wp:posOffset>
                </wp:positionV>
                <wp:extent cx="971550" cy="668020"/>
                <wp:effectExtent l="4445" t="4445" r="14605" b="13335"/>
                <wp:wrapNone/>
                <wp:docPr id="24" name="矩形 155"/>
                <wp:cNvGraphicFramePr/>
                <a:graphic xmlns:a="http://schemas.openxmlformats.org/drawingml/2006/main">
                  <a:graphicData uri="http://schemas.microsoft.com/office/word/2010/wordprocessingShape">
                    <wps:wsp>
                      <wps:cNvSpPr/>
                      <wps:spPr>
                        <a:xfrm>
                          <a:off x="0" y="0"/>
                          <a:ext cx="971550" cy="6680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疏散转移受试者</w:t>
                            </w:r>
                          </w:p>
                        </w:txbxContent>
                      </wps:txbx>
                      <wps:bodyPr upright="1"/>
                    </wps:wsp>
                  </a:graphicData>
                </a:graphic>
              </wp:anchor>
            </w:drawing>
          </mc:Choice>
          <mc:Fallback>
            <w:pict>
              <v:rect id="矩形 155" o:spid="_x0000_s1026" o:spt="1" style="position:absolute;left:0pt;margin-left:107.7pt;margin-top:1.65pt;height:52.6pt;width:76.5pt;z-index:-251638784;mso-width-relative:page;mso-height-relative:page;" fillcolor="#FFFFFF" filled="t" stroked="t" coordsize="21600,21600" o:gfxdata="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uzAHvWAAAACQEAAA8AAAAAAAAAAQAgAAAAIgAAAGRycy9k&#10;b3ducmV2LnhtbFBLAQIUABQAAAAIAIdO4kCtb3VbBAIAACsEAAAOAAAAAAAAAAEAIAAAACUBAABk&#10;cnMvZTJvRG9jLnhtbFBLBQYAAAAABgAGAFkBAACbBQAAAAA=&#10;">
                <v:fill on="t" focussize="0,0"/>
                <v:stroke color="#000000" joinstyle="miter"/>
                <v:imagedata o:title=""/>
                <o:lock v:ext="edit" aspectratio="f"/>
                <v:textbox>
                  <w:txbxContent>
                    <w:p>
                      <w:r>
                        <w:rPr>
                          <w:rFonts w:hint="eastAsia"/>
                        </w:rPr>
                        <w:t>疏散转移受试者</w:t>
                      </w:r>
                    </w:p>
                  </w:txbxContent>
                </v:textbox>
              </v:rect>
            </w:pict>
          </mc:Fallback>
        </mc:AlternateContent>
      </w:r>
      <w:r>
        <w:rPr>
          <w:color w:val="auto"/>
          <w:sz w:val="24"/>
        </w:rPr>
        <mc:AlternateContent>
          <mc:Choice Requires="wps">
            <w:drawing>
              <wp:anchor distT="0" distB="0" distL="114300" distR="114300" simplePos="0" relativeHeight="251676672" behindDoc="0" locked="0" layoutInCell="1" allowOverlap="1">
                <wp:simplePos x="0" y="0"/>
                <wp:positionH relativeFrom="column">
                  <wp:posOffset>2606040</wp:posOffset>
                </wp:positionH>
                <wp:positionV relativeFrom="paragraph">
                  <wp:posOffset>40005</wp:posOffset>
                </wp:positionV>
                <wp:extent cx="971550" cy="638175"/>
                <wp:effectExtent l="4445" t="4445" r="14605" b="12700"/>
                <wp:wrapNone/>
                <wp:docPr id="23" name="矩形 156"/>
                <wp:cNvGraphicFramePr/>
                <a:graphic xmlns:a="http://schemas.openxmlformats.org/drawingml/2006/main">
                  <a:graphicData uri="http://schemas.microsoft.com/office/word/2010/wordprocessingShape">
                    <wps:wsp>
                      <wps:cNvSpPr/>
                      <wps:spPr>
                        <a:xfrm>
                          <a:off x="0" y="0"/>
                          <a:ext cx="971550" cy="6381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通知相关部门立即抢修</w:t>
                            </w:r>
                          </w:p>
                        </w:txbxContent>
                      </wps:txbx>
                      <wps:bodyPr upright="1"/>
                    </wps:wsp>
                  </a:graphicData>
                </a:graphic>
              </wp:anchor>
            </w:drawing>
          </mc:Choice>
          <mc:Fallback>
            <w:pict>
              <v:rect id="矩形 156" o:spid="_x0000_s1026" o:spt="1" style="position:absolute;left:0pt;margin-left:205.2pt;margin-top:3.15pt;height:50.25pt;width:76.5pt;z-index:251676672;mso-width-relative:page;mso-height-relative:page;" fillcolor="#FFFFFF" filled="t" stroked="t" coordsize="21600,21600" o:gfxdata="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ClVC1gAAAAkBAAAPAAAAAAAAAAEAIAAAACIAAABkcnMvZG93&#10;bnJldi54bWxQSwECFAAUAAAACACHTuJA7JPzBQICAAArBAAADgAAAAAAAAABACAAAAAlAQAAZHJz&#10;L2Uyb0RvYy54bWxQSwUGAAAAAAYABgBZAQAAmQUAAAAA&#10;">
                <v:fill on="t" focussize="0,0"/>
                <v:stroke color="#000000" joinstyle="miter"/>
                <v:imagedata o:title=""/>
                <o:lock v:ext="edit" aspectratio="f"/>
                <v:textbox>
                  <w:txbxContent>
                    <w:p>
                      <w:r>
                        <w:rPr>
                          <w:rFonts w:hint="eastAsia"/>
                        </w:rPr>
                        <w:t>通知相关部门立即抢修</w:t>
                      </w:r>
                    </w:p>
                  </w:txbxContent>
                </v:textbox>
              </v:rect>
            </w:pict>
          </mc:Fallback>
        </mc:AlternateContent>
      </w:r>
      <w:r>
        <w:rPr>
          <w:color w:val="auto"/>
          <w:sz w:val="24"/>
        </w:rPr>
        <mc:AlternateContent>
          <mc:Choice Requires="wps">
            <w:drawing>
              <wp:anchor distT="0" distB="0" distL="114300" distR="114300" simplePos="0" relativeHeight="251678720" behindDoc="0" locked="0" layoutInCell="1" allowOverlap="1">
                <wp:simplePos x="0" y="0"/>
                <wp:positionH relativeFrom="column">
                  <wp:posOffset>3749040</wp:posOffset>
                </wp:positionH>
                <wp:positionV relativeFrom="paragraph">
                  <wp:posOffset>40005</wp:posOffset>
                </wp:positionV>
                <wp:extent cx="971550" cy="638175"/>
                <wp:effectExtent l="4445" t="4445" r="14605" b="12700"/>
                <wp:wrapNone/>
                <wp:docPr id="25" name="矩形 157"/>
                <wp:cNvGraphicFramePr/>
                <a:graphic xmlns:a="http://schemas.openxmlformats.org/drawingml/2006/main">
                  <a:graphicData uri="http://schemas.microsoft.com/office/word/2010/wordprocessingShape">
                    <wps:wsp>
                      <wps:cNvSpPr/>
                      <wps:spPr>
                        <a:xfrm>
                          <a:off x="0" y="0"/>
                          <a:ext cx="971550" cy="6381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根据病情治疗处理</w:t>
                            </w:r>
                          </w:p>
                        </w:txbxContent>
                      </wps:txbx>
                      <wps:bodyPr upright="1"/>
                    </wps:wsp>
                  </a:graphicData>
                </a:graphic>
              </wp:anchor>
            </w:drawing>
          </mc:Choice>
          <mc:Fallback>
            <w:pict>
              <v:rect id="矩形 157" o:spid="_x0000_s1026" o:spt="1" style="position:absolute;left:0pt;margin-left:295.2pt;margin-top:3.15pt;height:50.25pt;width:76.5pt;z-index:251678720;mso-width-relative:page;mso-height-relative:page;" fillcolor="#FFFFFF" filled="t" stroked="t" coordsize="21600,21600" o:gfxdata="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xowG1wAAAAkBAAAPAAAAAAAAAAEAIAAAACIAAABkcnMvZG93&#10;bnJldi54bWxQSwECFAAUAAAACACHTuJA5TMZZwECAAArBAAADgAAAAAAAAABACAAAAAmAQAAZHJz&#10;L2Uyb0RvYy54bWxQSwUGAAAAAAYABgBZAQAAmQUAAAAA&#10;">
                <v:fill on="t" focussize="0,0"/>
                <v:stroke color="#000000" joinstyle="miter"/>
                <v:imagedata o:title=""/>
                <o:lock v:ext="edit" aspectratio="f"/>
                <v:textbox>
                  <w:txbxContent>
                    <w:p>
                      <w:r>
                        <w:rPr>
                          <w:rFonts w:hint="eastAsia"/>
                        </w:rPr>
                        <w:t>根据病情治疗处理</w:t>
                      </w:r>
                    </w:p>
                  </w:txbxContent>
                </v:textbox>
              </v:rect>
            </w:pict>
          </mc:Fallback>
        </mc:AlternateContent>
      </w:r>
      <w:r>
        <w:rPr>
          <w:color w:val="auto"/>
          <w:sz w:val="24"/>
        </w:rPr>
        <mc:AlternateContent>
          <mc:Choice Requires="wps">
            <w:drawing>
              <wp:anchor distT="0" distB="0" distL="114300" distR="114300" simplePos="0" relativeHeight="251679744" behindDoc="0" locked="0" layoutInCell="1" allowOverlap="1">
                <wp:simplePos x="0" y="0"/>
                <wp:positionH relativeFrom="column">
                  <wp:posOffset>4939665</wp:posOffset>
                </wp:positionH>
                <wp:positionV relativeFrom="paragraph">
                  <wp:posOffset>30480</wp:posOffset>
                </wp:positionV>
                <wp:extent cx="1133475" cy="1073150"/>
                <wp:effectExtent l="4445" t="4445" r="5080" b="19685"/>
                <wp:wrapNone/>
                <wp:docPr id="26" name="矩形 158"/>
                <wp:cNvGraphicFramePr/>
                <a:graphic xmlns:a="http://schemas.openxmlformats.org/drawingml/2006/main">
                  <a:graphicData uri="http://schemas.microsoft.com/office/word/2010/wordprocessingShape">
                    <wps:wsp>
                      <wps:cNvSpPr/>
                      <wps:spPr>
                        <a:xfrm>
                          <a:off x="0" y="0"/>
                          <a:ext cx="1133475" cy="10731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研究者组织抢救并</w:t>
                            </w:r>
                            <w:r>
                              <w:rPr>
                                <w:rFonts w:hint="eastAsia"/>
                                <w:lang w:val="en-US" w:eastAsia="zh-CN"/>
                              </w:rPr>
                              <w:t>24小时内向申办者、</w:t>
                            </w:r>
                            <w:r>
                              <w:rPr>
                                <w:rFonts w:hint="eastAsia"/>
                              </w:rPr>
                              <w:t>机构及伦理委员会</w:t>
                            </w:r>
                          </w:p>
                        </w:txbxContent>
                      </wps:txbx>
                      <wps:bodyPr upright="1"/>
                    </wps:wsp>
                  </a:graphicData>
                </a:graphic>
              </wp:anchor>
            </w:drawing>
          </mc:Choice>
          <mc:Fallback>
            <w:pict>
              <v:rect id="矩形 158" o:spid="_x0000_s1026" o:spt="1" style="position:absolute;left:0pt;margin-left:388.95pt;margin-top:2.4pt;height:84.5pt;width:89.25pt;z-index:251679744;mso-width-relative:page;mso-height-relative:page;" fillcolor="#FFFFFF" filled="t" stroked="t" coordsize="21600,21600" o:gfxdata="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sMAztgAAAAJAQAADwAAAAAAAAABACAAAAAiAAAA&#10;ZHJzL2Rvd25yZXYueG1sUEsBAhQAFAAAAAgAh07iQMx0pKgHAgAALQQAAA4AAAAAAAAAAQAgAAAA&#10;JwEAAGRycy9lMm9Eb2MueG1sUEsFBgAAAAAGAAYAWQEAAKAFAAAAAA==&#10;">
                <v:fill on="t" focussize="0,0"/>
                <v:stroke color="#000000" joinstyle="miter"/>
                <v:imagedata o:title=""/>
                <o:lock v:ext="edit" aspectratio="f"/>
                <v:textbox>
                  <w:txbxContent>
                    <w:p>
                      <w:r>
                        <w:rPr>
                          <w:rFonts w:hint="eastAsia"/>
                        </w:rPr>
                        <w:t>研究者组织抢救并</w:t>
                      </w:r>
                      <w:r>
                        <w:rPr>
                          <w:rFonts w:hint="eastAsia"/>
                          <w:lang w:val="en-US" w:eastAsia="zh-CN"/>
                        </w:rPr>
                        <w:t>24小时内向申办者、</w:t>
                      </w:r>
                      <w:r>
                        <w:rPr>
                          <w:rFonts w:hint="eastAsia"/>
                        </w:rPr>
                        <w:t>机构及伦理委员会</w:t>
                      </w:r>
                    </w:p>
                  </w:txbxContent>
                </v:textbox>
              </v:rect>
            </w:pict>
          </mc:Fallback>
        </mc:AlternateContent>
      </w:r>
    </w:p>
    <w:p>
      <w:pPr>
        <w:spacing w:line="360" w:lineRule="auto"/>
        <w:ind w:firstLine="480" w:firstLineChars="200"/>
        <w:jc w:val="left"/>
        <w:rPr>
          <w:rFonts w:asciiTheme="minorEastAsia" w:hAnsiTheme="minorEastAsia"/>
          <w:color w:val="auto"/>
          <w:sz w:val="24"/>
          <w:szCs w:val="24"/>
        </w:rPr>
      </w:pPr>
    </w:p>
    <w:p>
      <w:pPr>
        <w:spacing w:line="360" w:lineRule="auto"/>
        <w:ind w:firstLine="480" w:firstLineChars="200"/>
        <w:jc w:val="left"/>
        <w:rPr>
          <w:rFonts w:asciiTheme="minorEastAsia" w:hAnsiTheme="minorEastAsia"/>
          <w:color w:val="auto"/>
          <w:sz w:val="24"/>
          <w:szCs w:val="24"/>
        </w:rPr>
      </w:pPr>
      <w:r>
        <w:rPr>
          <w:color w:val="auto"/>
          <w:sz w:val="24"/>
        </w:rPr>
        <mc:AlternateContent>
          <mc:Choice Requires="wps">
            <w:drawing>
              <wp:anchor distT="0" distB="0" distL="114300" distR="114300" simplePos="0" relativeHeight="251669504" behindDoc="1" locked="0" layoutInCell="1" allowOverlap="1">
                <wp:simplePos x="0" y="0"/>
                <wp:positionH relativeFrom="column">
                  <wp:posOffset>1873250</wp:posOffset>
                </wp:positionH>
                <wp:positionV relativeFrom="paragraph">
                  <wp:posOffset>118745</wp:posOffset>
                </wp:positionV>
                <wp:extent cx="635" cy="688975"/>
                <wp:effectExtent l="48895" t="0" r="57150" b="12065"/>
                <wp:wrapNone/>
                <wp:docPr id="16" name="直线 159"/>
                <wp:cNvGraphicFramePr/>
                <a:graphic xmlns:a="http://schemas.openxmlformats.org/drawingml/2006/main">
                  <a:graphicData uri="http://schemas.microsoft.com/office/word/2010/wordprocessingShape">
                    <wps:wsp>
                      <wps:cNvCnPr/>
                      <wps:spPr>
                        <a:xfrm flipH="1">
                          <a:off x="0" y="0"/>
                          <a:ext cx="635" cy="688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59" o:spid="_x0000_s1026" o:spt="20" style="position:absolute;left:0pt;flip:x;margin-left:147.5pt;margin-top:9.35pt;height:54.25pt;width:0.05pt;z-index:-251646976;mso-width-relative:page;mso-height-relative:page;" filled="f" stroked="t" coordsize="21600,21600" o:gfxdata="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waX2/XAAAACgEAAA8AAAAAAAAAAQAgAAAAIgAAAGRycy9kb3ducmV2LnhtbFBL&#10;AQIUABQAAAAIAIdO4kAmyLDf9wEAAOoDAAAOAAAAAAAAAAEAIAAAACYBAABkcnMvZTJvRG9jLnht&#10;bFBLBQYAAAAABgAGAFkBAACPBQ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665408" behindDoc="1" locked="0" layoutInCell="1" allowOverlap="1">
                <wp:simplePos x="0" y="0"/>
                <wp:positionH relativeFrom="column">
                  <wp:posOffset>4264025</wp:posOffset>
                </wp:positionH>
                <wp:positionV relativeFrom="paragraph">
                  <wp:posOffset>102870</wp:posOffset>
                </wp:positionV>
                <wp:extent cx="635" cy="1676400"/>
                <wp:effectExtent l="48895" t="0" r="57150" b="0"/>
                <wp:wrapNone/>
                <wp:docPr id="12" name="直线 160"/>
                <wp:cNvGraphicFramePr/>
                <a:graphic xmlns:a="http://schemas.openxmlformats.org/drawingml/2006/main">
                  <a:graphicData uri="http://schemas.microsoft.com/office/word/2010/wordprocessingShape">
                    <wps:wsp>
                      <wps:cNvCnPr/>
                      <wps:spPr>
                        <a:xfrm flipH="1">
                          <a:off x="0" y="0"/>
                          <a:ext cx="635" cy="16764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60" o:spid="_x0000_s1026" o:spt="20" style="position:absolute;left:0pt;flip:x;margin-left:335.75pt;margin-top:8.1pt;height:132pt;width:0.05pt;z-index:-251651072;mso-width-relative:page;mso-height-relative:page;" filled="f" stroked="t" coordsize="21600,21600" o:gfxdata="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z2C67YAAAACgEAAA8AAAAAAAAAAQAgAAAAIgAAAGRycy9kb3ducmV2Lnht&#10;bFBLAQIUABQAAAAIAIdO4kA3AqlY+QEAAOsDAAAOAAAAAAAAAAEAIAAAACcBAABkcnMvZTJvRG9j&#10;LnhtbFBLBQYAAAAABgAGAFkBAACSBQ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664384" behindDoc="1" locked="0" layoutInCell="1" allowOverlap="1">
                <wp:simplePos x="0" y="0"/>
                <wp:positionH relativeFrom="column">
                  <wp:posOffset>2996565</wp:posOffset>
                </wp:positionH>
                <wp:positionV relativeFrom="paragraph">
                  <wp:posOffset>113030</wp:posOffset>
                </wp:positionV>
                <wp:extent cx="9525" cy="800100"/>
                <wp:effectExtent l="40640" t="0" r="56515" b="7620"/>
                <wp:wrapNone/>
                <wp:docPr id="10" name="直线 161"/>
                <wp:cNvGraphicFramePr/>
                <a:graphic xmlns:a="http://schemas.openxmlformats.org/drawingml/2006/main">
                  <a:graphicData uri="http://schemas.microsoft.com/office/word/2010/wordprocessingShape">
                    <wps:wsp>
                      <wps:cNvCnPr/>
                      <wps:spPr>
                        <a:xfrm>
                          <a:off x="0" y="0"/>
                          <a:ext cx="9525" cy="8001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61" o:spid="_x0000_s1026" o:spt="20" style="position:absolute;left:0pt;margin-left:235.95pt;margin-top:8.9pt;height:63pt;width:0.75pt;z-index:-251652096;mso-width-relative:page;mso-height-relative:page;" filled="f" stroked="t" coordsize="21600,21600" o:gfxdata="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YH8a9oAAAAKAQAADwAAAAAAAAABACAAAAAiAAAAZHJzL2Rvd25yZXYueG1sUEsBAhQAFAAA&#10;AAgAh07iQJ8S6kftAQAA4QMAAA4AAAAAAAAAAQAgAAAAKQEAAGRycy9lMm9Eb2MueG1sUEsFBgAA&#10;AAAGAAYAWQEAAIgFAAAAAA==&#10;">
                <v:fill on="f" focussize="0,0"/>
                <v:stroke color="#000000" joinstyle="round" endarrow="open"/>
                <v:imagedata o:title=""/>
                <o:lock v:ext="edit" aspectratio="f"/>
              </v:line>
            </w:pict>
          </mc:Fallback>
        </mc:AlternateContent>
      </w:r>
      <w:r>
        <w:rPr>
          <w:color w:val="auto"/>
          <w:sz w:val="24"/>
        </w:rPr>
        <mc:AlternateContent>
          <mc:Choice Requires="wps">
            <w:drawing>
              <wp:anchor distT="0" distB="0" distL="114300" distR="114300" simplePos="0" relativeHeight="251663360" behindDoc="1" locked="0" layoutInCell="1" allowOverlap="1">
                <wp:simplePos x="0" y="0"/>
                <wp:positionH relativeFrom="column">
                  <wp:posOffset>501015</wp:posOffset>
                </wp:positionH>
                <wp:positionV relativeFrom="paragraph">
                  <wp:posOffset>132080</wp:posOffset>
                </wp:positionV>
                <wp:extent cx="635" cy="638175"/>
                <wp:effectExtent l="48895" t="0" r="57150" b="1905"/>
                <wp:wrapNone/>
                <wp:docPr id="9" name="直线 162"/>
                <wp:cNvGraphicFramePr/>
                <a:graphic xmlns:a="http://schemas.openxmlformats.org/drawingml/2006/main">
                  <a:graphicData uri="http://schemas.microsoft.com/office/word/2010/wordprocessingShape">
                    <wps:wsp>
                      <wps:cNvCnPr/>
                      <wps:spPr>
                        <a:xfrm>
                          <a:off x="0" y="0"/>
                          <a:ext cx="635" cy="638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62" o:spid="_x0000_s1026" o:spt="20" style="position:absolute;left:0pt;margin-left:39.45pt;margin-top:10.4pt;height:50.25pt;width:0.05pt;z-index:-251653120;mso-width-relative:page;mso-height-relative:page;" filled="f" stroked="t" coordsize="21600,21600" o:gfxdata="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aaOY92AAAAAgBAAAPAAAAAAAAAAEAIAAAACIAAABkcnMvZG93bnJldi54bWxQSwECFAAUAAAA&#10;CACHTuJAp1oRXe4BAADfAwAADgAAAAAAAAABACAAAAAnAQAAZHJzL2Uyb0RvYy54bWxQSwUGAAAA&#10;AAYABgBZAQAAhwUAAAAA&#10;">
                <v:fill on="f" focussize="0,0"/>
                <v:stroke color="#000000" joinstyle="round" endarrow="open"/>
                <v:imagedata o:title=""/>
                <o:lock v:ext="edit" aspectratio="f"/>
              </v:line>
            </w:pict>
          </mc:Fallback>
        </mc:AlternateContent>
      </w:r>
    </w:p>
    <w:p>
      <w:pPr>
        <w:spacing w:line="360" w:lineRule="auto"/>
        <w:ind w:firstLine="480" w:firstLineChars="200"/>
        <w:jc w:val="left"/>
        <w:rPr>
          <w:rFonts w:asciiTheme="minorEastAsia" w:hAnsiTheme="minorEastAsia"/>
          <w:color w:val="auto"/>
          <w:sz w:val="24"/>
          <w:szCs w:val="24"/>
        </w:rPr>
      </w:pPr>
      <w:r>
        <w:rPr>
          <w:color w:val="auto"/>
          <w:sz w:val="24"/>
        </w:rPr>
        <mc:AlternateContent>
          <mc:Choice Requires="wps">
            <w:drawing>
              <wp:anchor distT="0" distB="0" distL="114300" distR="114300" simplePos="0" relativeHeight="251666432" behindDoc="1" locked="0" layoutInCell="1" allowOverlap="1">
                <wp:simplePos x="0" y="0"/>
                <wp:positionH relativeFrom="column">
                  <wp:posOffset>5461000</wp:posOffset>
                </wp:positionH>
                <wp:positionV relativeFrom="paragraph">
                  <wp:posOffset>34290</wp:posOffset>
                </wp:positionV>
                <wp:extent cx="2540" cy="1407160"/>
                <wp:effectExtent l="48895" t="0" r="55245" b="10160"/>
                <wp:wrapNone/>
                <wp:docPr id="13" name="直线 163"/>
                <wp:cNvGraphicFramePr/>
                <a:graphic xmlns:a="http://schemas.openxmlformats.org/drawingml/2006/main">
                  <a:graphicData uri="http://schemas.microsoft.com/office/word/2010/wordprocessingShape">
                    <wps:wsp>
                      <wps:cNvCnPr/>
                      <wps:spPr>
                        <a:xfrm flipH="1">
                          <a:off x="0" y="0"/>
                          <a:ext cx="2540" cy="1407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63" o:spid="_x0000_s1026" o:spt="20" style="position:absolute;left:0pt;flip:x;margin-left:430pt;margin-top:2.7pt;height:110.8pt;width:0.2pt;z-index:-251650048;mso-width-relative:page;mso-height-relative:page;" filled="f" stroked="t" coordsize="21600,21600" o:gfxdata="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cI9dcAAAAJAQAADwAAAAAAAAABACAAAAAiAAAAZHJzL2Rvd25yZXYu&#10;eG1sUEsBAhQAFAAAAAgAh07iQH8Fpp78AQAA7AMAAA4AAAAAAAAAAQAgAAAAJgEAAGRycy9lMm9E&#10;b2MueG1sUEsFBgAAAAAGAAYAWQEAAJQFAAAAAA==&#10;">
                <v:fill on="f" focussize="0,0"/>
                <v:stroke color="#000000" joinstyle="round" endarrow="open"/>
                <v:imagedata o:title=""/>
                <o:lock v:ext="edit" aspectratio="f"/>
              </v:line>
            </w:pict>
          </mc:Fallback>
        </mc:AlternateContent>
      </w:r>
    </w:p>
    <w:p>
      <w:pPr>
        <w:spacing w:line="360" w:lineRule="auto"/>
        <w:ind w:firstLine="480" w:firstLineChars="200"/>
        <w:jc w:val="left"/>
        <w:rPr>
          <w:rFonts w:asciiTheme="minorEastAsia" w:hAnsiTheme="minorEastAsia"/>
          <w:color w:val="auto"/>
          <w:sz w:val="24"/>
          <w:szCs w:val="24"/>
        </w:rPr>
      </w:pPr>
    </w:p>
    <w:p>
      <w:pPr>
        <w:spacing w:line="360" w:lineRule="auto"/>
        <w:ind w:firstLine="480" w:firstLineChars="200"/>
        <w:jc w:val="left"/>
        <w:rPr>
          <w:rFonts w:asciiTheme="minorEastAsia" w:hAnsiTheme="minorEastAsia"/>
          <w:color w:val="auto"/>
          <w:sz w:val="24"/>
          <w:szCs w:val="24"/>
        </w:rPr>
      </w:pPr>
      <w:r>
        <w:rPr>
          <w:color w:val="auto"/>
          <w:sz w:val="24"/>
        </w:rPr>
        <mc:AlternateContent>
          <mc:Choice Requires="wps">
            <w:drawing>
              <wp:anchor distT="0" distB="0" distL="114300" distR="114300" simplePos="0" relativeHeight="251681792" behindDoc="0" locked="0" layoutInCell="1" allowOverlap="1">
                <wp:simplePos x="0" y="0"/>
                <wp:positionH relativeFrom="column">
                  <wp:posOffset>34290</wp:posOffset>
                </wp:positionH>
                <wp:positionV relativeFrom="paragraph">
                  <wp:posOffset>87630</wp:posOffset>
                </wp:positionV>
                <wp:extent cx="971550" cy="514350"/>
                <wp:effectExtent l="4445" t="4445" r="14605" b="14605"/>
                <wp:wrapNone/>
                <wp:docPr id="28" name="矩形 165"/>
                <wp:cNvGraphicFramePr/>
                <a:graphic xmlns:a="http://schemas.openxmlformats.org/drawingml/2006/main">
                  <a:graphicData uri="http://schemas.microsoft.com/office/word/2010/wordprocessingShape">
                    <wps:wsp>
                      <wps:cNvSpPr/>
                      <wps:spPr>
                        <a:xfrm>
                          <a:off x="0" y="0"/>
                          <a:ext cx="971550"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根据病情疏散隔离</w:t>
                            </w:r>
                          </w:p>
                        </w:txbxContent>
                      </wps:txbx>
                      <wps:bodyPr upright="1"/>
                    </wps:wsp>
                  </a:graphicData>
                </a:graphic>
              </wp:anchor>
            </w:drawing>
          </mc:Choice>
          <mc:Fallback>
            <w:pict>
              <v:rect id="矩形 165" o:spid="_x0000_s1026" o:spt="1" style="position:absolute;left:0pt;margin-left:2.7pt;margin-top:6.9pt;height:40.5pt;width:76.5pt;z-index:251681792;mso-width-relative:page;mso-height-relative:page;" fillcolor="#FFFFFF" filled="t" stroked="t" coordsize="21600,21600" o:gfxdata="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Lv/1QAAAAcBAAAPAAAAAAAAAAEAIAAAACIAAABkcnMvZG93bnJl&#10;di54bWxQSwECFAAUAAAACACHTuJAmkeFvwACAAArBAAADgAAAAAAAAABACAAAAAkAQAAZHJzL2Uy&#10;b0RvYy54bWxQSwUGAAAAAAYABgBZAQAAlgUAAAAA&#10;">
                <v:fill on="t" focussize="0,0"/>
                <v:stroke color="#000000" joinstyle="miter"/>
                <v:imagedata o:title=""/>
                <o:lock v:ext="edit" aspectratio="f"/>
                <v:textbox>
                  <w:txbxContent>
                    <w:p>
                      <w:r>
                        <w:rPr>
                          <w:rFonts w:hint="eastAsia"/>
                        </w:rPr>
                        <w:t>根据病情疏散隔离</w:t>
                      </w:r>
                    </w:p>
                  </w:txbxContent>
                </v:textbox>
              </v:rect>
            </w:pict>
          </mc:Fallback>
        </mc:AlternateContent>
      </w:r>
      <w:r>
        <w:rPr>
          <w:color w:val="auto"/>
          <w:sz w:val="24"/>
        </w:rPr>
        <mc:AlternateContent>
          <mc:Choice Requires="wps">
            <w:drawing>
              <wp:anchor distT="0" distB="0" distL="114300" distR="114300" simplePos="0" relativeHeight="251682816" behindDoc="0" locked="0" layoutInCell="1" allowOverlap="1">
                <wp:simplePos x="0" y="0"/>
                <wp:positionH relativeFrom="column">
                  <wp:posOffset>1644650</wp:posOffset>
                </wp:positionH>
                <wp:positionV relativeFrom="paragraph">
                  <wp:posOffset>135255</wp:posOffset>
                </wp:positionV>
                <wp:extent cx="2246630" cy="533400"/>
                <wp:effectExtent l="5080" t="4445" r="19050" b="10795"/>
                <wp:wrapNone/>
                <wp:docPr id="29" name="矩形 166"/>
                <wp:cNvGraphicFramePr/>
                <a:graphic xmlns:a="http://schemas.openxmlformats.org/drawingml/2006/main">
                  <a:graphicData uri="http://schemas.microsoft.com/office/word/2010/wordprocessingShape">
                    <wps:wsp>
                      <wps:cNvSpPr/>
                      <wps:spPr>
                        <a:xfrm>
                          <a:off x="0" y="0"/>
                          <a:ext cx="2246630"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630" w:firstLineChars="300"/>
                            </w:pPr>
                            <w:r>
                              <w:rPr>
                                <w:rFonts w:hint="eastAsia"/>
                              </w:rPr>
                              <w:t>尽量降低受试者损害</w:t>
                            </w:r>
                          </w:p>
                        </w:txbxContent>
                      </wps:txbx>
                      <wps:bodyPr upright="1"/>
                    </wps:wsp>
                  </a:graphicData>
                </a:graphic>
              </wp:anchor>
            </w:drawing>
          </mc:Choice>
          <mc:Fallback>
            <w:pict>
              <v:rect id="矩形 166" o:spid="_x0000_s1026" o:spt="1" style="position:absolute;left:0pt;margin-left:129.5pt;margin-top:10.65pt;height:42pt;width:176.9pt;z-index:251682816;mso-width-relative:page;mso-height-relative:page;" fillcolor="#FFFFFF" filled="t" stroked="t" coordsize="21600,21600" o:gfxdata="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miE39gAAAAKAQAADwAAAAAAAAABACAAAAAiAAAA&#10;ZHJzL2Rvd25yZXYueG1sUEsBAhQAFAAAAAgAh07iQMVb79IHAgAALAQAAA4AAAAAAAAAAQAgAAAA&#10;JwEAAGRycy9lMm9Eb2MueG1sUEsFBgAAAAAGAAYAWQEAAKAFAAAAAA==&#10;">
                <v:fill on="t" focussize="0,0"/>
                <v:stroke color="#000000" joinstyle="miter"/>
                <v:imagedata o:title=""/>
                <o:lock v:ext="edit" aspectratio="f"/>
                <v:textbox>
                  <w:txbxContent>
                    <w:p>
                      <w:pPr>
                        <w:ind w:firstLine="630" w:firstLineChars="300"/>
                      </w:pPr>
                      <w:r>
                        <w:rPr>
                          <w:rFonts w:hint="eastAsia"/>
                        </w:rPr>
                        <w:t>尽量降低受试者损害</w:t>
                      </w:r>
                    </w:p>
                  </w:txbxContent>
                </v:textbox>
              </v:rect>
            </w:pict>
          </mc:Fallback>
        </mc:AlternateContent>
      </w:r>
    </w:p>
    <w:p>
      <w:pPr>
        <w:spacing w:line="360" w:lineRule="auto"/>
        <w:ind w:firstLine="480" w:firstLineChars="200"/>
        <w:jc w:val="left"/>
        <w:rPr>
          <w:rFonts w:asciiTheme="minorEastAsia" w:hAnsiTheme="minorEastAsia"/>
          <w:color w:val="auto"/>
          <w:sz w:val="24"/>
          <w:szCs w:val="24"/>
        </w:rPr>
      </w:pPr>
      <w:r>
        <w:rPr>
          <w:color w:val="auto"/>
          <w:sz w:val="24"/>
        </w:rPr>
        <mc:AlternateContent>
          <mc:Choice Requires="wps">
            <w:drawing>
              <wp:anchor distT="0" distB="0" distL="114300" distR="114300" simplePos="0" relativeHeight="251667456" behindDoc="1" locked="0" layoutInCell="1" allowOverlap="1">
                <wp:simplePos x="0" y="0"/>
                <wp:positionH relativeFrom="column">
                  <wp:posOffset>510540</wp:posOffset>
                </wp:positionH>
                <wp:positionV relativeFrom="paragraph">
                  <wp:posOffset>257175</wp:posOffset>
                </wp:positionV>
                <wp:extent cx="635" cy="419100"/>
                <wp:effectExtent l="48895" t="0" r="57150" b="7620"/>
                <wp:wrapNone/>
                <wp:docPr id="14" name="直线 167"/>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67" o:spid="_x0000_s1026" o:spt="20" style="position:absolute;left:0pt;margin-left:40.2pt;margin-top:20.25pt;height:33pt;width:0.05pt;z-index:-251649024;mso-width-relative:page;mso-height-relative:page;" filled="f" stroked="t" coordsize="21600,21600" o:gfxdata="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QL6XNcAAAAIAQAADwAAAAAAAAABACAAAAAiAAAAZHJzL2Rvd25yZXYueG1sUEsBAhQA&#10;FAAAAAgAh07iQG0U7cjzAQAA4AMAAA4AAAAAAAAAAQAgAAAAJgEAAGRycy9lMm9Eb2MueG1sUEsF&#10;BgAAAAAGAAYAWQEAAIsFAAAAAA==&#10;">
                <v:fill on="f" focussize="0,0"/>
                <v:stroke color="#000000" joinstyle="round" endarrow="open"/>
                <v:imagedata o:title=""/>
                <o:lock v:ext="edit" aspectratio="f"/>
              </v:line>
            </w:pict>
          </mc:Fallback>
        </mc:AlternateContent>
      </w:r>
    </w:p>
    <w:p>
      <w:pPr>
        <w:spacing w:line="360" w:lineRule="auto"/>
        <w:ind w:firstLine="480" w:firstLineChars="200"/>
        <w:jc w:val="left"/>
        <w:rPr>
          <w:rFonts w:asciiTheme="minorEastAsia" w:hAnsiTheme="minorEastAsia"/>
          <w:color w:val="auto"/>
          <w:sz w:val="24"/>
          <w:szCs w:val="24"/>
        </w:rPr>
      </w:pPr>
    </w:p>
    <w:p>
      <w:pPr>
        <w:spacing w:line="360" w:lineRule="auto"/>
        <w:ind w:firstLine="480" w:firstLineChars="200"/>
        <w:jc w:val="left"/>
        <w:rPr>
          <w:rFonts w:asciiTheme="minorEastAsia" w:hAnsiTheme="minorEastAsia"/>
          <w:color w:val="auto"/>
          <w:sz w:val="24"/>
          <w:szCs w:val="24"/>
        </w:rPr>
      </w:pPr>
      <w:r>
        <w:rPr>
          <w:color w:val="auto"/>
          <w:sz w:val="24"/>
        </w:rPr>
        <mc:AlternateContent>
          <mc:Choice Requires="wps">
            <w:drawing>
              <wp:anchor distT="0" distB="0" distL="114300" distR="114300" simplePos="0" relativeHeight="251683840" behindDoc="0" locked="0" layoutInCell="1" allowOverlap="1">
                <wp:simplePos x="0" y="0"/>
                <wp:positionH relativeFrom="column">
                  <wp:posOffset>4044315</wp:posOffset>
                </wp:positionH>
                <wp:positionV relativeFrom="paragraph">
                  <wp:posOffset>75565</wp:posOffset>
                </wp:positionV>
                <wp:extent cx="1762125" cy="457200"/>
                <wp:effectExtent l="4445" t="4445" r="16510" b="10795"/>
                <wp:wrapNone/>
                <wp:docPr id="30" name="矩形 168"/>
                <wp:cNvGraphicFramePr/>
                <a:graphic xmlns:a="http://schemas.openxmlformats.org/drawingml/2006/main">
                  <a:graphicData uri="http://schemas.microsoft.com/office/word/2010/wordprocessingShape">
                    <wps:wsp>
                      <wps:cNvSpPr/>
                      <wps:spPr>
                        <a:xfrm>
                          <a:off x="0" y="0"/>
                          <a:ext cx="17621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840" w:firstLineChars="400"/>
                            </w:pPr>
                            <w:r>
                              <w:rPr>
                                <w:rFonts w:hint="eastAsia"/>
                              </w:rPr>
                              <w:t>追踪随访</w:t>
                            </w:r>
                          </w:p>
                        </w:txbxContent>
                      </wps:txbx>
                      <wps:bodyPr upright="1"/>
                    </wps:wsp>
                  </a:graphicData>
                </a:graphic>
              </wp:anchor>
            </w:drawing>
          </mc:Choice>
          <mc:Fallback>
            <w:pict>
              <v:rect id="矩形 168" o:spid="_x0000_s1026" o:spt="1" style="position:absolute;left:0pt;margin-left:318.45pt;margin-top:5.95pt;height:36pt;width:138.75pt;z-index:251683840;mso-width-relative:page;mso-height-relative:page;" fillcolor="#FFFFFF" filled="t" stroked="t" coordsize="21600,21600" o:gfxdata="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BaAx1wAAAAkBAAAPAAAAAAAAAAEAIAAAACIAAABkcnMvZG93&#10;bnJldi54bWxQSwECFAAUAAAACACHTuJAFXWlcgECAAAsBAAADgAAAAAAAAABACAAAAAmAQAAZHJz&#10;L2Uyb0RvYy54bWxQSwUGAAAAAAYABgBZAQAAmQUAAAAA&#10;">
                <v:fill on="t" focussize="0,0"/>
                <v:stroke color="#000000" joinstyle="miter"/>
                <v:imagedata o:title=""/>
                <o:lock v:ext="edit" aspectratio="f"/>
                <v:textbox>
                  <w:txbxContent>
                    <w:p>
                      <w:pPr>
                        <w:ind w:firstLine="840" w:firstLineChars="400"/>
                      </w:pPr>
                      <w:r>
                        <w:rPr>
                          <w:rFonts w:hint="eastAsia"/>
                        </w:rPr>
                        <w:t>追踪随访</w:t>
                      </w:r>
                    </w:p>
                  </w:txbxContent>
                </v:textbox>
              </v:rect>
            </w:pict>
          </mc:Fallback>
        </mc:AlternateContent>
      </w:r>
      <w:r>
        <w:rPr>
          <w:color w:val="auto"/>
          <w:sz w:val="24"/>
        </w:rPr>
        <mc:AlternateContent>
          <mc:Choice Requires="wps">
            <w:drawing>
              <wp:anchor distT="0" distB="0" distL="114300" distR="114300" simplePos="0" relativeHeight="251680768" behindDoc="0" locked="0" layoutInCell="1" allowOverlap="1">
                <wp:simplePos x="0" y="0"/>
                <wp:positionH relativeFrom="column">
                  <wp:posOffset>40005</wp:posOffset>
                </wp:positionH>
                <wp:positionV relativeFrom="paragraph">
                  <wp:posOffset>104775</wp:posOffset>
                </wp:positionV>
                <wp:extent cx="971550" cy="429260"/>
                <wp:effectExtent l="4445" t="4445" r="14605" b="8255"/>
                <wp:wrapNone/>
                <wp:docPr id="27" name="矩形 170"/>
                <wp:cNvGraphicFramePr/>
                <a:graphic xmlns:a="http://schemas.openxmlformats.org/drawingml/2006/main">
                  <a:graphicData uri="http://schemas.microsoft.com/office/word/2010/wordprocessingShape">
                    <wps:wsp>
                      <wps:cNvSpPr/>
                      <wps:spPr>
                        <a:xfrm>
                          <a:off x="0" y="0"/>
                          <a:ext cx="971550" cy="429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抢救治疗</w:t>
                            </w:r>
                          </w:p>
                        </w:txbxContent>
                      </wps:txbx>
                      <wps:bodyPr upright="1"/>
                    </wps:wsp>
                  </a:graphicData>
                </a:graphic>
              </wp:anchor>
            </w:drawing>
          </mc:Choice>
          <mc:Fallback>
            <w:pict>
              <v:rect id="矩形 170" o:spid="_x0000_s1026" o:spt="1" style="position:absolute;left:0pt;margin-left:3.15pt;margin-top:8.25pt;height:33.8pt;width:76.5pt;z-index:251680768;mso-width-relative:page;mso-height-relative:page;" fillcolor="#FFFFFF" filled="t" stroked="t" coordsize="21600,21600" o:gfxdata="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FmcrfUAAAABwEAAA8AAAAAAAAAAQAgAAAAIgAAAGRycy9kb3du&#10;cmV2LnhtbFBLAQIUABQAAAAIAIdO4kCzBysoAwIAACsEAAAOAAAAAAAAAAEAIAAAACMBAABkcnMv&#10;ZTJvRG9jLnhtbFBLBQYAAAAABgAGAFkBAACYBQAAAAA=&#10;">
                <v:fill on="t" focussize="0,0"/>
                <v:stroke color="#000000" joinstyle="miter"/>
                <v:imagedata o:title=""/>
                <o:lock v:ext="edit" aspectratio="f"/>
                <v:textbox>
                  <w:txbxContent>
                    <w:p>
                      <w:pPr>
                        <w:ind w:firstLine="210" w:firstLineChars="100"/>
                      </w:pPr>
                      <w:r>
                        <w:rPr>
                          <w:rFonts w:hint="eastAsia"/>
                        </w:rPr>
                        <w:t>抢救治疗</w:t>
                      </w:r>
                    </w:p>
                  </w:txbxContent>
                </v:textbox>
              </v:rect>
            </w:pict>
          </mc:Fallback>
        </mc:AlternateContent>
      </w:r>
    </w:p>
    <w:p>
      <w:pPr>
        <w:spacing w:line="360" w:lineRule="auto"/>
        <w:ind w:firstLine="480" w:firstLineChars="200"/>
        <w:jc w:val="left"/>
        <w:rPr>
          <w:rFonts w:asciiTheme="minorEastAsia" w:hAnsiTheme="minorEastAsia"/>
          <w:color w:val="auto"/>
          <w:sz w:val="24"/>
          <w:szCs w:val="24"/>
        </w:rPr>
      </w:pPr>
    </w:p>
    <w:p>
      <w:pPr>
        <w:spacing w:line="360" w:lineRule="auto"/>
        <w:ind w:firstLine="480" w:firstLineChars="200"/>
        <w:jc w:val="left"/>
        <w:rPr>
          <w:rFonts w:asciiTheme="minorEastAsia" w:hAnsiTheme="minorEastAsia"/>
          <w:color w:val="auto"/>
          <w:sz w:val="24"/>
          <w:szCs w:val="24"/>
        </w:rPr>
      </w:pPr>
    </w:p>
    <w:p>
      <w:pPr>
        <w:spacing w:line="360" w:lineRule="auto"/>
        <w:ind w:firstLine="480" w:firstLineChars="200"/>
        <w:jc w:val="left"/>
        <w:rPr>
          <w:rFonts w:asciiTheme="minorEastAsia" w:hAnsiTheme="minorEastAsia"/>
          <w:color w:val="auto"/>
          <w:sz w:val="24"/>
          <w:szCs w:val="24"/>
        </w:rPr>
      </w:pPr>
    </w:p>
    <w:p>
      <w:pPr>
        <w:tabs>
          <w:tab w:val="left" w:pos="5040"/>
        </w:tabs>
        <w:spacing w:line="360" w:lineRule="auto"/>
        <w:ind w:firstLine="480" w:firstLineChars="200"/>
        <w:jc w:val="left"/>
        <w:rPr>
          <w:rFonts w:asciiTheme="minorEastAsia" w:hAnsiTheme="minorEastAsia"/>
          <w:color w:val="auto"/>
          <w:sz w:val="24"/>
          <w:szCs w:val="24"/>
        </w:rPr>
      </w:pPr>
    </w:p>
    <w:p>
      <w:pPr>
        <w:spacing w:line="360" w:lineRule="auto"/>
        <w:ind w:firstLine="560" w:firstLineChars="200"/>
        <w:jc w:val="left"/>
        <w:rPr>
          <w:rFonts w:ascii="宋体" w:hAnsi="宋体" w:eastAsia="宋体" w:cs="宋体"/>
          <w:color w:val="auto"/>
          <w:sz w:val="28"/>
          <w:szCs w:val="28"/>
        </w:rPr>
      </w:pPr>
    </w:p>
    <w:p>
      <w:pPr>
        <w:spacing w:line="360" w:lineRule="auto"/>
        <w:ind w:firstLine="2240" w:firstLineChars="800"/>
        <w:rPr>
          <w:rFonts w:hint="eastAsia" w:ascii="宋体" w:hAnsi="宋体" w:eastAsia="宋体" w:cs="宋体"/>
          <w:color w:val="auto"/>
          <w:kern w:val="0"/>
          <w:sz w:val="28"/>
          <w:szCs w:val="28"/>
          <w:lang w:eastAsia="zh-CN"/>
        </w:rPr>
      </w:pPr>
      <w:r>
        <w:rPr>
          <w:rFonts w:hint="eastAsia" w:ascii="宋体" w:hAnsi="宋体" w:eastAsia="宋体" w:cs="宋体"/>
          <w:color w:val="auto"/>
          <w:kern w:val="0"/>
          <w:sz w:val="28"/>
          <w:szCs w:val="28"/>
        </w:rPr>
        <w:t>受试者损害和突发事件处理小组名单</w:t>
      </w:r>
    </w:p>
    <w:p>
      <w:pPr>
        <w:spacing w:line="360" w:lineRule="auto"/>
        <w:ind w:firstLine="2240" w:firstLineChars="800"/>
        <w:rPr>
          <w:rFonts w:hint="eastAsia" w:ascii="宋体" w:hAnsi="宋体" w:eastAsia="宋体" w:cs="宋体"/>
          <w:color w:val="auto"/>
          <w:kern w:val="0"/>
          <w:sz w:val="28"/>
          <w:szCs w:val="28"/>
          <w:lang w:eastAsia="zh-CN"/>
        </w:rPr>
      </w:pPr>
    </w:p>
    <w:p>
      <w:pPr>
        <w:spacing w:line="360" w:lineRule="auto"/>
        <w:ind w:firstLine="1920" w:firstLineChars="800"/>
        <w:rPr>
          <w:rFonts w:hint="eastAsia" w:ascii="宋体" w:hAnsi="宋体" w:eastAsia="宋体" w:cs="宋体"/>
          <w:color w:val="auto"/>
          <w:sz w:val="24"/>
          <w:lang w:eastAsia="zh-CN"/>
        </w:rPr>
      </w:pPr>
      <w:r>
        <w:rPr>
          <w:rFonts w:hint="eastAsia" w:ascii="宋体" w:hAnsi="宋体" w:eastAsia="宋体" w:cs="宋体"/>
          <w:color w:val="auto"/>
          <w:kern w:val="0"/>
          <w:sz w:val="24"/>
        </w:rPr>
        <w:t xml:space="preserve">    组  长: </w:t>
      </w:r>
      <w:r>
        <w:rPr>
          <w:rFonts w:hint="eastAsia" w:ascii="宋体" w:hAnsi="宋体" w:eastAsia="宋体" w:cs="宋体"/>
          <w:color w:val="auto"/>
          <w:kern w:val="0"/>
          <w:sz w:val="24"/>
          <w:lang w:eastAsia="zh-CN"/>
        </w:rPr>
        <w:t>齐元琳</w:t>
      </w:r>
    </w:p>
    <w:p>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副组长: 崔淑婷  陶绪来  张士伟</w:t>
      </w:r>
    </w:p>
    <w:p>
      <w:pPr>
        <w:widowControl/>
        <w:spacing w:line="360" w:lineRule="auto"/>
        <w:ind w:firstLine="480" w:firstLineChars="200"/>
        <w:jc w:val="left"/>
        <w:rPr>
          <w:rFonts w:ascii="宋体" w:hAnsi="宋体" w:eastAsia="宋体" w:cs="宋体"/>
          <w:color w:val="auto"/>
          <w:kern w:val="0"/>
          <w:sz w:val="24"/>
        </w:rPr>
      </w:pPr>
      <w:r>
        <w:rPr>
          <w:rFonts w:hint="eastAsia" w:ascii="宋体" w:hAnsi="宋体" w:eastAsia="宋体" w:cs="宋体"/>
          <w:color w:val="auto"/>
          <w:kern w:val="0"/>
          <w:sz w:val="24"/>
        </w:rPr>
        <w:t xml:space="preserve">成  员: 刘  宏  张成涛  </w:t>
      </w:r>
      <w:r>
        <w:rPr>
          <w:rFonts w:hint="eastAsia" w:ascii="宋体" w:hAnsi="宋体" w:eastAsia="宋体" w:cs="宋体"/>
          <w:color w:val="auto"/>
          <w:kern w:val="0"/>
          <w:sz w:val="24"/>
          <w:lang w:val="en-US" w:eastAsia="zh-CN"/>
        </w:rPr>
        <w:t>刘新文</w:t>
      </w:r>
      <w:r>
        <w:rPr>
          <w:rFonts w:hint="eastAsia" w:ascii="宋体" w:hAnsi="宋体" w:eastAsia="宋体" w:cs="宋体"/>
          <w:color w:val="auto"/>
          <w:kern w:val="0"/>
          <w:sz w:val="24"/>
        </w:rPr>
        <w:t xml:space="preserve">  任维菊  王红霞  丛  捷   </w:t>
      </w:r>
    </w:p>
    <w:p>
      <w:pPr>
        <w:widowControl/>
        <w:spacing w:line="360" w:lineRule="auto"/>
        <w:ind w:firstLine="1440" w:firstLineChars="600"/>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rPr>
        <w:t xml:space="preserve">钱  程  </w:t>
      </w:r>
      <w:r>
        <w:rPr>
          <w:rFonts w:hint="eastAsia" w:ascii="宋体" w:hAnsi="宋体" w:eastAsia="宋体" w:cs="宋体"/>
          <w:color w:val="auto"/>
          <w:kern w:val="0"/>
          <w:sz w:val="24"/>
          <w:lang w:eastAsia="zh-CN"/>
        </w:rPr>
        <w:t>朱化礼</w:t>
      </w:r>
      <w:r>
        <w:rPr>
          <w:rFonts w:hint="eastAsia" w:ascii="宋体" w:hAnsi="宋体" w:eastAsia="宋体" w:cs="宋体"/>
          <w:color w:val="auto"/>
          <w:kern w:val="0"/>
          <w:sz w:val="24"/>
        </w:rPr>
        <w:t xml:space="preserve">  褚万春  任慧霞  </w:t>
      </w:r>
      <w:r>
        <w:rPr>
          <w:rFonts w:hint="eastAsia" w:ascii="宋体" w:hAnsi="宋体" w:eastAsia="宋体" w:cs="宋体"/>
          <w:color w:val="auto"/>
          <w:kern w:val="0"/>
          <w:sz w:val="24"/>
          <w:lang w:eastAsia="zh-CN"/>
        </w:rPr>
        <w:t>何传波</w:t>
      </w:r>
      <w:r>
        <w:rPr>
          <w:rFonts w:hint="eastAsia" w:ascii="宋体" w:hAnsi="宋体" w:eastAsia="宋体" w:cs="宋体"/>
          <w:color w:val="auto"/>
          <w:kern w:val="0"/>
          <w:sz w:val="24"/>
        </w:rPr>
        <w:t xml:space="preserve">  </w:t>
      </w:r>
      <w:r>
        <w:rPr>
          <w:rFonts w:hint="eastAsia" w:ascii="宋体" w:hAnsi="宋体" w:eastAsia="宋体" w:cs="宋体"/>
          <w:color w:val="auto"/>
          <w:kern w:val="0"/>
          <w:sz w:val="24"/>
          <w:lang w:eastAsia="zh-CN"/>
        </w:rPr>
        <w:t>陈振伟</w:t>
      </w:r>
    </w:p>
    <w:p>
      <w:pPr>
        <w:keepNext w:val="0"/>
        <w:keepLines w:val="0"/>
        <w:pageBreakBefore w:val="0"/>
        <w:widowControl w:val="0"/>
        <w:numPr>
          <w:ilvl w:val="0"/>
          <w:numId w:val="80"/>
        </w:numPr>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ascii="黑体" w:hAnsi="黑体" w:eastAsia="宋体" w:cs="黑体"/>
          <w:b w:val="0"/>
          <w:bCs/>
          <w:color w:val="auto"/>
          <w:sz w:val="24"/>
          <w:szCs w:val="28"/>
          <w:lang w:val="en-US" w:eastAsia="zh-CN"/>
        </w:rPr>
      </w:pPr>
      <w:r>
        <w:rPr>
          <w:rFonts w:hint="eastAsia" w:ascii="黑体" w:hAnsi="黑体" w:eastAsia="宋体" w:cs="黑体"/>
          <w:b w:val="0"/>
          <w:bCs/>
          <w:color w:val="auto"/>
          <w:sz w:val="24"/>
          <w:szCs w:val="28"/>
          <w:lang w:val="en-US" w:eastAsia="zh-CN"/>
        </w:rPr>
        <w:t>参考文献</w:t>
      </w:r>
    </w:p>
    <w:p>
      <w:pPr>
        <w:pStyle w:val="36"/>
        <w:keepNext w:val="0"/>
        <w:keepLines w:val="0"/>
        <w:pageBreakBefore w:val="0"/>
        <w:widowControl w:val="0"/>
        <w:numPr>
          <w:ilvl w:val="0"/>
          <w:numId w:val="0"/>
        </w:numPr>
        <w:tabs>
          <w:tab w:val="left" w:pos="2790"/>
        </w:tabs>
        <w:kinsoku/>
        <w:wordWrap w:val="0"/>
        <w:overflowPunct/>
        <w:topLinePunct w:val="0"/>
        <w:autoSpaceDE/>
        <w:autoSpaceDN/>
        <w:bidi w:val="0"/>
        <w:adjustRightInd/>
        <w:snapToGrid/>
        <w:spacing w:line="360" w:lineRule="auto"/>
        <w:ind w:leftChars="0"/>
        <w:jc w:val="left"/>
        <w:textAlignment w:val="auto"/>
        <w:rPr>
          <w:rFonts w:hint="eastAsia"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[1] 国家药监局 国家卫生健康委. 关于发布药物临床试验质量管理规范的公告（2020年第57号）[EB/OL].[2020-04-26]. https://www.nmpa.gov.cn/zhuanti/ypzhcglbf/ypzhcglbfzhcwj/20200426162401243.html.</w:t>
      </w:r>
    </w:p>
    <w:p>
      <w:pPr>
        <w:pStyle w:val="36"/>
        <w:keepNext w:val="0"/>
        <w:keepLines w:val="0"/>
        <w:pageBreakBefore w:val="0"/>
        <w:widowControl w:val="0"/>
        <w:numPr>
          <w:ilvl w:val="0"/>
          <w:numId w:val="0"/>
        </w:numPr>
        <w:tabs>
          <w:tab w:val="left" w:pos="2790"/>
        </w:tabs>
        <w:kinsoku/>
        <w:wordWrap w:val="0"/>
        <w:overflowPunct/>
        <w:topLinePunct w:val="0"/>
        <w:autoSpaceDE/>
        <w:autoSpaceDN/>
        <w:bidi w:val="0"/>
        <w:adjustRightInd/>
        <w:snapToGrid/>
        <w:spacing w:line="360" w:lineRule="auto"/>
        <w:ind w:leftChars="0"/>
        <w:jc w:val="left"/>
        <w:textAlignment w:val="auto"/>
        <w:rPr>
          <w:rFonts w:hint="default" w:asciiTheme="minorEastAsia" w:hAnsiTheme="minorEastAsia"/>
          <w:color w:val="auto"/>
          <w:sz w:val="24"/>
          <w:szCs w:val="24"/>
          <w:lang w:val="en-US" w:eastAsia="zh-CN"/>
        </w:rPr>
      </w:pPr>
      <w:r>
        <w:rPr>
          <w:rFonts w:hint="eastAsia" w:asciiTheme="minorEastAsia" w:hAnsiTheme="minorEastAsia"/>
          <w:color w:val="auto"/>
          <w:sz w:val="24"/>
          <w:szCs w:val="24"/>
          <w:lang w:val="en-US" w:eastAsia="zh-CN"/>
        </w:rPr>
        <w:t>[2] 国家药品监督管理局，国家卫生健康委员会. 关于发布《医疗器械临床试验质量管理规范》的公告（2022年第28号）.[2022-03-31]. https://www.nmpa.gov.cn/xxgk/ggtg/qtggtg/20220331144903101.html.</w:t>
      </w:r>
    </w:p>
    <w:p>
      <w:pPr>
        <w:pStyle w:val="36"/>
        <w:keepNext w:val="0"/>
        <w:keepLines w:val="0"/>
        <w:pageBreakBefore w:val="0"/>
        <w:widowControl w:val="0"/>
        <w:numPr>
          <w:ilvl w:val="0"/>
          <w:numId w:val="0"/>
        </w:numPr>
        <w:tabs>
          <w:tab w:val="left" w:pos="2790"/>
        </w:tabs>
        <w:kinsoku/>
        <w:wordWrap w:val="0"/>
        <w:overflowPunct/>
        <w:topLinePunct w:val="0"/>
        <w:autoSpaceDE/>
        <w:autoSpaceDN/>
        <w:bidi w:val="0"/>
        <w:adjustRightInd/>
        <w:snapToGrid/>
        <w:spacing w:line="360" w:lineRule="auto"/>
        <w:ind w:leftChars="0"/>
        <w:jc w:val="left"/>
        <w:textAlignment w:val="auto"/>
        <w:rPr>
          <w:rFonts w:hint="default" w:asciiTheme="minorEastAsia" w:hAnsiTheme="minorEastAsia" w:eastAsiaTheme="minorEastAsia"/>
          <w:b w:val="0"/>
          <w:bCs/>
          <w:color w:val="auto"/>
          <w:sz w:val="24"/>
          <w:szCs w:val="24"/>
          <w:lang w:val="en-US" w:eastAsia="zh-CN"/>
        </w:rPr>
      </w:pPr>
      <w:r>
        <w:rPr>
          <w:rFonts w:hint="eastAsia" w:asciiTheme="minorEastAsia" w:hAnsiTheme="minorEastAsia"/>
          <w:b w:val="0"/>
          <w:bCs/>
          <w:color w:val="auto"/>
          <w:sz w:val="24"/>
          <w:szCs w:val="24"/>
          <w:lang w:val="en-US" w:eastAsia="zh-CN"/>
        </w:rPr>
        <w:t xml:space="preserve">[3] 王白璐. 医疗器械临床试验机构操作手册 [M]. 北京：人民卫生出版社，2022. </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val="0"/>
          <w:bCs/>
          <w:color w:val="auto"/>
          <w:sz w:val="24"/>
          <w:szCs w:val="28"/>
          <w:lang w:eastAsia="zh-CN"/>
        </w:rPr>
      </w:pPr>
      <w:r>
        <w:rPr>
          <w:rFonts w:hint="eastAsia" w:ascii="黑体" w:hAnsi="黑体" w:eastAsia="黑体" w:cs="黑体"/>
          <w:b w:val="0"/>
          <w:bCs/>
          <w:color w:val="auto"/>
          <w:sz w:val="24"/>
          <w:szCs w:val="28"/>
          <w:lang w:eastAsia="zh-CN"/>
        </w:rPr>
        <w:t>修订记录</w:t>
      </w:r>
    </w:p>
    <w:tbl>
      <w:tblPr>
        <w:tblStyle w:val="28"/>
        <w:tblW w:w="93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927"/>
        <w:gridCol w:w="920"/>
        <w:gridCol w:w="2604"/>
        <w:gridCol w:w="2699"/>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69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序号</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修订前版本号</w:t>
            </w:r>
          </w:p>
        </w:tc>
        <w:tc>
          <w:tcPr>
            <w:tcW w:w="9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修订后版本号</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修订原因、依据</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修订内容</w:t>
            </w:r>
          </w:p>
        </w:tc>
        <w:tc>
          <w:tcPr>
            <w:tcW w:w="1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修订人/</w:t>
            </w:r>
            <w:r>
              <w:rPr>
                <w:rFonts w:hint="eastAsia" w:asciiTheme="minorEastAsia" w:hAnsiTheme="minorEastAsia" w:cstheme="minorEastAsia"/>
                <w:color w:val="auto"/>
                <w:sz w:val="21"/>
                <w:szCs w:val="21"/>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trPr>
        <w:tc>
          <w:tcPr>
            <w:tcW w:w="69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9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1.根据现行版GCP修订突发事件应急预案流程图。</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r>
              <w:rPr>
                <w:rFonts w:hint="eastAsia" w:asciiTheme="minorEastAsia" w:hAnsiTheme="minorEastAsia" w:cstheme="minorEastAsia"/>
                <w:color w:val="auto"/>
                <w:sz w:val="21"/>
                <w:szCs w:val="21"/>
                <w:vertAlign w:val="baseline"/>
                <w:lang w:eastAsia="zh-CN"/>
              </w:rPr>
              <w:t>增加应急预案参考文献信息。</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1.修订突发事件应急预案流程图。</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2.文末添加相关参考文献名称、作者、时间等信息。</w:t>
            </w:r>
          </w:p>
        </w:tc>
        <w:tc>
          <w:tcPr>
            <w:tcW w:w="1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刘林/</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2022.09.01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69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92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9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3.2</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1.根据实际情况，修订受试者损害和突发事件处理小组名单。</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1.修订受试者损害和突发事件处理小组名单。</w:t>
            </w:r>
          </w:p>
        </w:tc>
        <w:tc>
          <w:tcPr>
            <w:tcW w:w="151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p>
        </w:tc>
      </w:tr>
    </w:tbl>
    <w:p>
      <w:pPr>
        <w:pStyle w:val="33"/>
        <w:rPr>
          <w:rFonts w:hint="eastAsia" w:ascii="宋体" w:hAnsi="宋体" w:eastAsia="宋体" w:cs="宋体"/>
          <w:color w:val="auto"/>
          <w:kern w:val="0"/>
          <w:sz w:val="24"/>
          <w:lang w:val="en-US" w:eastAsia="zh-CN"/>
        </w:rPr>
      </w:pPr>
    </w:p>
    <w:p>
      <w:pPr>
        <w:rPr>
          <w:rFonts w:hint="eastAsia" w:ascii="宋体" w:hAnsi="宋体" w:eastAsia="宋体" w:cs="宋体"/>
          <w:color w:val="auto"/>
          <w:kern w:val="0"/>
          <w:sz w:val="24"/>
          <w:lang w:val="en-US" w:eastAsia="zh-CN"/>
        </w:rPr>
      </w:pPr>
    </w:p>
    <w:p>
      <w:pPr>
        <w:pStyle w:val="33"/>
        <w:rPr>
          <w:rFonts w:hint="eastAsia"/>
          <w:color w:val="auto"/>
          <w:lang w:val="en-US" w:eastAsia="zh-CN"/>
        </w:rPr>
        <w:sectPr>
          <w:headerReference r:id="rId184" w:type="default"/>
          <w:footerReference r:id="rId185" w:type="default"/>
          <w:pgSz w:w="11906" w:h="16838"/>
          <w:pgMar w:top="1440" w:right="1236" w:bottom="1440" w:left="1463" w:header="0" w:footer="992" w:gutter="0"/>
          <w:pgNumType w:fmt="decimal" w:start="1"/>
          <w:cols w:space="720" w:num="1"/>
          <w:rtlGutter w:val="0"/>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bCs/>
          <w:color w:val="auto"/>
          <w:sz w:val="28"/>
          <w:szCs w:val="28"/>
          <w:lang w:eastAsia="zh-CN"/>
        </w:rPr>
      </w:pPr>
      <w:r>
        <w:rPr>
          <w:rFonts w:hint="eastAsia" w:ascii="黑体" w:hAnsi="黑体" w:eastAsia="黑体" w:cs="黑体"/>
          <w:b/>
          <w:color w:val="auto"/>
          <w:sz w:val="28"/>
          <w:szCs w:val="28"/>
          <w:lang w:eastAsia="zh-CN"/>
        </w:rPr>
        <w:t>心跳呼吸骤停</w:t>
      </w:r>
      <w:r>
        <w:rPr>
          <w:rFonts w:hint="eastAsia" w:ascii="黑体" w:hAnsi="黑体" w:eastAsia="黑体" w:cs="黑体"/>
          <w:b/>
          <w:bCs/>
          <w:color w:val="auto"/>
          <w:sz w:val="28"/>
          <w:szCs w:val="28"/>
          <w:lang w:eastAsia="zh-CN"/>
        </w:rPr>
        <w:t>的急救预案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一、目的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为使心肺复苏的操作规范化，特制订如下规范。</w:t>
      </w:r>
    </w:p>
    <w:p>
      <w:pPr>
        <w:keepNext w:val="0"/>
        <w:keepLines w:val="0"/>
        <w:pageBreakBefore w:val="0"/>
        <w:widowControl w:val="0"/>
        <w:numPr>
          <w:ilvl w:val="0"/>
          <w:numId w:val="82"/>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适用于临床试验所有受试者。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lang w:eastAsia="zh-CN"/>
        </w:rPr>
        <w:t>三、急救程序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（一）心跳骤停的诊断：</w:t>
      </w:r>
    </w:p>
    <w:p>
      <w:pPr>
        <w:keepNext w:val="0"/>
        <w:keepLines w:val="0"/>
        <w:pageBreakBefore w:val="0"/>
        <w:widowControl w:val="0"/>
        <w:numPr>
          <w:ilvl w:val="0"/>
          <w:numId w:val="83"/>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意识丧失，短阵抽搐（多发生在心跳骤停10秒内）</w:t>
      </w:r>
    </w:p>
    <w:p>
      <w:pPr>
        <w:keepNext w:val="0"/>
        <w:keepLines w:val="0"/>
        <w:pageBreakBefore w:val="0"/>
        <w:widowControl w:val="0"/>
        <w:numPr>
          <w:ilvl w:val="0"/>
          <w:numId w:val="83"/>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大动脉搏动消失（颈动脉或股动脉）</w:t>
      </w:r>
    </w:p>
    <w:p>
      <w:pPr>
        <w:keepNext w:val="0"/>
        <w:keepLines w:val="0"/>
        <w:pageBreakBefore w:val="0"/>
        <w:widowControl w:val="0"/>
        <w:numPr>
          <w:ilvl w:val="0"/>
          <w:numId w:val="83"/>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呼吸断续、呼吸停止（多发生在心跳骤停20-30秒内）。</w:t>
      </w:r>
    </w:p>
    <w:p>
      <w:pPr>
        <w:keepNext w:val="0"/>
        <w:keepLines w:val="0"/>
        <w:pageBreakBefore w:val="0"/>
        <w:widowControl w:val="0"/>
        <w:numPr>
          <w:ilvl w:val="0"/>
          <w:numId w:val="83"/>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瞳孔散大（多在心跳骤停30-60秒内出现）。</w:t>
      </w:r>
    </w:p>
    <w:p>
      <w:pPr>
        <w:keepNext w:val="0"/>
        <w:keepLines w:val="0"/>
        <w:pageBreakBefore w:val="0"/>
        <w:widowControl w:val="0"/>
        <w:numPr>
          <w:ilvl w:val="0"/>
          <w:numId w:val="83"/>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瞳孔固定（提示心跳骤停已1～2分钟）。</w:t>
      </w:r>
    </w:p>
    <w:p>
      <w:pPr>
        <w:keepNext w:val="0"/>
        <w:keepLines w:val="0"/>
        <w:pageBreakBefore w:val="0"/>
        <w:widowControl w:val="0"/>
        <w:numPr>
          <w:ilvl w:val="0"/>
          <w:numId w:val="83"/>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对于已有多参数监护的患者，在多参数监护连接良好的情况下，当监护提示患者心跳骤停，应立即开始心肺复苏。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（二）心肺复苏的主要抢救方法与步骤：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1.评估环境安全。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2.评估受试者意识和呼吸、心跳。</w:t>
      </w:r>
    </w:p>
    <w:p>
      <w:pPr>
        <w:keepNext w:val="0"/>
        <w:keepLines w:val="0"/>
        <w:pageBreakBefore w:val="0"/>
        <w:widowControl w:val="0"/>
        <w:numPr>
          <w:ilvl w:val="0"/>
          <w:numId w:val="84"/>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拍打受试者双肩，并在其两侧耳旁大声呼喊，给于疼痛刺激。</w:t>
      </w:r>
    </w:p>
    <w:p>
      <w:pPr>
        <w:keepNext w:val="0"/>
        <w:keepLines w:val="0"/>
        <w:pageBreakBefore w:val="0"/>
        <w:widowControl w:val="0"/>
        <w:numPr>
          <w:ilvl w:val="0"/>
          <w:numId w:val="84"/>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检查受试者有无呼吸或仅有喘息，同时检查脉搏（用时至少5秒，但不超过10秒）。</w:t>
      </w:r>
    </w:p>
    <w:p>
      <w:pPr>
        <w:keepNext w:val="0"/>
        <w:keepLines w:val="0"/>
        <w:pageBreakBefore w:val="0"/>
        <w:widowControl w:val="0"/>
        <w:numPr>
          <w:ilvl w:val="0"/>
          <w:numId w:val="84"/>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启动紧急医疗服务系统并呼救：“拿球囊、面罩、除颤仪”。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（三）CPR实施步骤：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1.体位：将受试者仰卧于平坦的地面或硬板床上。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2.胸外按压：</w:t>
      </w:r>
    </w:p>
    <w:p>
      <w:pPr>
        <w:keepNext w:val="0"/>
        <w:keepLines w:val="0"/>
        <w:pageBreakBefore w:val="0"/>
        <w:widowControl w:val="0"/>
        <w:numPr>
          <w:ilvl w:val="0"/>
          <w:numId w:val="85"/>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掌根重叠，双手相扣，手指上翘，仅以掌跟接触胸骨，掌根位于患者胸骨中线与两乳头连线的交点或者胸骨下1/2的中部（剑突上两横指）。</w:t>
      </w:r>
    </w:p>
    <w:p>
      <w:pPr>
        <w:keepNext w:val="0"/>
        <w:keepLines w:val="0"/>
        <w:pageBreakBefore w:val="0"/>
        <w:widowControl w:val="0"/>
        <w:numPr>
          <w:ilvl w:val="0"/>
          <w:numId w:val="85"/>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肘关节伸直，身体微向前倾。</w:t>
      </w:r>
    </w:p>
    <w:p>
      <w:pPr>
        <w:keepNext w:val="0"/>
        <w:keepLines w:val="0"/>
        <w:pageBreakBefore w:val="0"/>
        <w:widowControl w:val="0"/>
        <w:numPr>
          <w:ilvl w:val="0"/>
          <w:numId w:val="85"/>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双膝打开，与肩同宽，靠近受试者。</w:t>
      </w:r>
    </w:p>
    <w:p>
      <w:pPr>
        <w:keepNext w:val="0"/>
        <w:keepLines w:val="0"/>
        <w:pageBreakBefore w:val="0"/>
        <w:widowControl w:val="0"/>
        <w:numPr>
          <w:ilvl w:val="0"/>
          <w:numId w:val="85"/>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肩、肘、腕成一直线，以身体上半身重量垂直下压。</w:t>
      </w:r>
    </w:p>
    <w:p>
      <w:pPr>
        <w:keepNext w:val="0"/>
        <w:keepLines w:val="0"/>
        <w:pageBreakBefore w:val="0"/>
        <w:widowControl w:val="0"/>
        <w:numPr>
          <w:ilvl w:val="0"/>
          <w:numId w:val="85"/>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按压速率100～120次/分钟，按压幅度5～6cm，避免依靠患者胸廓，保证胸廓完全回弹。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3.开放气道：采用仰头--抬颏法或双下颌上提法开放气道。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4.人工呼吸：</w:t>
      </w:r>
    </w:p>
    <w:p>
      <w:pPr>
        <w:keepNext w:val="0"/>
        <w:keepLines w:val="0"/>
        <w:pageBreakBefore w:val="0"/>
        <w:widowControl w:val="0"/>
        <w:numPr>
          <w:ilvl w:val="0"/>
          <w:numId w:val="86"/>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口对口或口对鼻吹气时应遵循标准预防原则。</w:t>
      </w:r>
    </w:p>
    <w:p>
      <w:pPr>
        <w:keepNext w:val="0"/>
        <w:keepLines w:val="0"/>
        <w:pageBreakBefore w:val="0"/>
        <w:widowControl w:val="0"/>
        <w:numPr>
          <w:ilvl w:val="0"/>
          <w:numId w:val="86"/>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球囊面罩呼吸采用EC手法，对于已经建立高级人工气道的患者，每分钟通气10次，避免过度通气。</w:t>
      </w:r>
    </w:p>
    <w:p>
      <w:pPr>
        <w:keepNext w:val="0"/>
        <w:keepLines w:val="0"/>
        <w:pageBreakBefore w:val="0"/>
        <w:widowControl w:val="0"/>
        <w:numPr>
          <w:ilvl w:val="0"/>
          <w:numId w:val="86"/>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胸外按压与人工呼吸比：单人或双人施救均为30:2。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心脏除颤：非监护状态下，心跳骤停发生时，立即心肺复苏，在除颤仪可供使用后，尽早进行除颤；在监护状态下，受试者一旦发生室颤在最短的时间内（不超过3分钟）电除颤，除颤后立即行胸外心脏按压。除颤能量选择：单向波360J，双向波120-200J；若施救者不熟悉除颤仪规格，推荐使用200J</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6.建立静脉通道：在受试者近心端建立两条及以上静脉通道，遵医嘱用药。药物首选肾上腺素，给药方法肾上腺素1mg静脉注射，每隔3-5分钟重复1次；每次给药后，应使用生理盐水20ml冲管，以保证药物到达心脏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7.重新评估心跳呼吸：</w:t>
      </w:r>
    </w:p>
    <w:p>
      <w:pPr>
        <w:keepNext w:val="0"/>
        <w:keepLines w:val="0"/>
        <w:pageBreakBefore w:val="0"/>
        <w:widowControl w:val="0"/>
        <w:numPr>
          <w:ilvl w:val="0"/>
          <w:numId w:val="87"/>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有呼吸、无大动脉搏动：心脏按压。</w:t>
      </w:r>
    </w:p>
    <w:p>
      <w:pPr>
        <w:keepNext w:val="0"/>
        <w:keepLines w:val="0"/>
        <w:pageBreakBefore w:val="0"/>
        <w:widowControl w:val="0"/>
        <w:numPr>
          <w:ilvl w:val="0"/>
          <w:numId w:val="87"/>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无呼吸、有大动脉搏动：人工呼吸（复苏开始后每2分钟进行）。</w:t>
      </w:r>
    </w:p>
    <w:p>
      <w:pPr>
        <w:keepNext w:val="0"/>
        <w:keepLines w:val="0"/>
        <w:pageBreakBefore w:val="0"/>
        <w:widowControl w:val="0"/>
        <w:numPr>
          <w:ilvl w:val="0"/>
          <w:numId w:val="87"/>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有呼吸、有大动脉搏动：准备转运。</w:t>
      </w:r>
    </w:p>
    <w:p>
      <w:pPr>
        <w:keepNext w:val="0"/>
        <w:keepLines w:val="0"/>
        <w:pageBreakBefore w:val="0"/>
        <w:widowControl w:val="0"/>
        <w:numPr>
          <w:ilvl w:val="0"/>
          <w:numId w:val="87"/>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效果不佳者：持续心肺复苏。</w:t>
      </w:r>
    </w:p>
    <w:p>
      <w:pPr>
        <w:keepNext w:val="0"/>
        <w:keepLines w:val="0"/>
        <w:pageBreakBefore w:val="0"/>
        <w:widowControl w:val="0"/>
        <w:numPr>
          <w:ilvl w:val="0"/>
          <w:numId w:val="87"/>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尽量减少按压中断（中断时间要少于5～10秒）。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（四）其他处理：</w:t>
      </w:r>
    </w:p>
    <w:p>
      <w:pPr>
        <w:keepNext w:val="0"/>
        <w:keepLines w:val="0"/>
        <w:pageBreakBefore w:val="0"/>
        <w:widowControl w:val="0"/>
        <w:numPr>
          <w:ilvl w:val="0"/>
          <w:numId w:val="88"/>
        </w:numPr>
        <w:tabs>
          <w:tab w:val="clear" w:pos="312"/>
        </w:tabs>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建立人工气道。</w:t>
      </w:r>
    </w:p>
    <w:p>
      <w:pPr>
        <w:keepNext w:val="0"/>
        <w:keepLines w:val="0"/>
        <w:pageBreakBefore w:val="0"/>
        <w:widowControl w:val="0"/>
        <w:numPr>
          <w:ilvl w:val="0"/>
          <w:numId w:val="88"/>
        </w:numPr>
        <w:tabs>
          <w:tab w:val="clear" w:pos="312"/>
        </w:tabs>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机械通气治疗。</w:t>
      </w:r>
    </w:p>
    <w:p>
      <w:pPr>
        <w:keepNext w:val="0"/>
        <w:keepLines w:val="0"/>
        <w:pageBreakBefore w:val="0"/>
        <w:widowControl w:val="0"/>
        <w:numPr>
          <w:ilvl w:val="0"/>
          <w:numId w:val="88"/>
        </w:numPr>
        <w:tabs>
          <w:tab w:val="clear" w:pos="312"/>
        </w:tabs>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对症处理等。</w:t>
      </w:r>
    </w:p>
    <w:p>
      <w:pPr>
        <w:keepNext w:val="0"/>
        <w:keepLines w:val="0"/>
        <w:pageBreakBefore w:val="0"/>
        <w:widowControl w:val="0"/>
        <w:numPr>
          <w:ilvl w:val="0"/>
          <w:numId w:val="88"/>
        </w:numPr>
        <w:tabs>
          <w:tab w:val="clear" w:pos="312"/>
        </w:tabs>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上述抢救措施的有效指征：</w:t>
      </w:r>
    </w:p>
    <w:p>
      <w:pPr>
        <w:keepNext w:val="0"/>
        <w:keepLines w:val="0"/>
        <w:pageBreakBefore w:val="0"/>
        <w:widowControl w:val="0"/>
        <w:numPr>
          <w:ilvl w:val="0"/>
          <w:numId w:val="89"/>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颜面部紫绀改善，口唇、指甲颜色转好。</w:t>
      </w:r>
    </w:p>
    <w:p>
      <w:pPr>
        <w:keepNext w:val="0"/>
        <w:keepLines w:val="0"/>
        <w:pageBreakBefore w:val="0"/>
        <w:widowControl w:val="0"/>
        <w:numPr>
          <w:ilvl w:val="0"/>
          <w:numId w:val="89"/>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周围大动脉能摸到搏动；</w:t>
      </w:r>
    </w:p>
    <w:p>
      <w:pPr>
        <w:keepNext w:val="0"/>
        <w:keepLines w:val="0"/>
        <w:pageBreakBefore w:val="0"/>
        <w:widowControl w:val="0"/>
        <w:numPr>
          <w:ilvl w:val="0"/>
          <w:numId w:val="89"/>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心电监护或心电图检查提示恢复窦性心律；</w:t>
      </w:r>
    </w:p>
    <w:p>
      <w:pPr>
        <w:keepNext w:val="0"/>
        <w:keepLines w:val="0"/>
        <w:pageBreakBefore w:val="0"/>
        <w:widowControl w:val="0"/>
        <w:numPr>
          <w:ilvl w:val="0"/>
          <w:numId w:val="89"/>
        </w:numPr>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大脑功能表现：瞳孔由大变小，睫毛反射出现，肌张力增高，呼吸正常或挣扎呼吸。在心脑复苏中，有上述表现之一，说明人工循环的功能恢复对大脑有效。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参考文献：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right="0" w:rightChars="0" w:hanging="600" w:hangingChars="250"/>
        <w:textAlignment w:val="auto"/>
        <w:outlineLvl w:val="9"/>
        <w:rPr>
          <w:rFonts w:hint="default" w:ascii="宋体" w:hAnsi="宋体" w:eastAsia="宋体" w:cs="Arial"/>
          <w:i w:val="0"/>
          <w:iCs w:val="0"/>
          <w:caps w:val="0"/>
          <w:color w:val="auto"/>
          <w:spacing w:val="0"/>
          <w:sz w:val="24"/>
          <w:szCs w:val="24"/>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default" w:ascii="宋体" w:hAnsi="宋体" w:eastAsia="宋体" w:cs="Arial"/>
          <w:i w:val="0"/>
          <w:iCs w:val="0"/>
          <w:caps w:val="0"/>
          <w:color w:val="auto"/>
          <w:spacing w:val="0"/>
          <w:sz w:val="24"/>
          <w:szCs w:val="24"/>
          <w:shd w:val="clear" w:fill="FFFFFF"/>
          <w:lang w:val="en-US" w:eastAsia="zh-CN"/>
        </w:rPr>
        <w:t>陈灏珠，林果为．实用内科学（第1</w:t>
      </w:r>
      <w:r>
        <w:rPr>
          <w:rFonts w:hint="eastAsia" w:ascii="宋体" w:hAnsi="宋体" w:eastAsia="宋体" w:cs="Arial"/>
          <w:i w:val="0"/>
          <w:iCs w:val="0"/>
          <w:caps w:val="0"/>
          <w:color w:val="auto"/>
          <w:spacing w:val="0"/>
          <w:sz w:val="24"/>
          <w:szCs w:val="24"/>
          <w:shd w:val="clear" w:fill="FFFFFF"/>
          <w:lang w:val="en-US" w:eastAsia="zh-CN"/>
        </w:rPr>
        <w:t>6</w:t>
      </w:r>
      <w:r>
        <w:rPr>
          <w:rFonts w:hint="default" w:ascii="宋体" w:hAnsi="宋体" w:eastAsia="宋体" w:cs="Arial"/>
          <w:i w:val="0"/>
          <w:iCs w:val="0"/>
          <w:caps w:val="0"/>
          <w:color w:val="auto"/>
          <w:spacing w:val="0"/>
          <w:sz w:val="24"/>
          <w:szCs w:val="24"/>
          <w:shd w:val="clear" w:fill="FFFFFF"/>
          <w:lang w:val="en-US" w:eastAsia="zh-CN"/>
        </w:rPr>
        <w:t>版）上册</w:t>
      </w:r>
      <w:r>
        <w:rPr>
          <w:rFonts w:hint="eastAsia" w:ascii="宋体" w:hAnsi="宋体" w:eastAsia="宋体" w:cs="Arial"/>
          <w:i w:val="0"/>
          <w:iCs w:val="0"/>
          <w:caps w:val="0"/>
          <w:color w:val="auto"/>
          <w:spacing w:val="0"/>
          <w:sz w:val="24"/>
          <w:szCs w:val="24"/>
          <w:shd w:val="clear" w:fill="FFFFFF"/>
          <w:lang w:val="en-US" w:eastAsia="zh-CN"/>
        </w:rPr>
        <w:t>.第十二篇循环系统疾病.第五章心搏骤停和心脏性猝死</w:t>
      </w:r>
      <w:r>
        <w:rPr>
          <w:rFonts w:hint="default" w:ascii="宋体" w:hAnsi="宋体" w:eastAsia="宋体" w:cs="Arial"/>
          <w:i w:val="0"/>
          <w:iCs w:val="0"/>
          <w:caps w:val="0"/>
          <w:color w:val="auto"/>
          <w:spacing w:val="0"/>
          <w:sz w:val="24"/>
          <w:szCs w:val="24"/>
          <w:shd w:val="clear" w:fill="FFFFFF"/>
          <w:lang w:val="en-US" w:eastAsia="zh-CN"/>
        </w:rPr>
        <w:t>［M］．北京：人民卫生出版社，20</w:t>
      </w:r>
      <w:r>
        <w:rPr>
          <w:rFonts w:hint="eastAsia" w:ascii="宋体" w:hAnsi="宋体" w:eastAsia="宋体" w:cs="Arial"/>
          <w:i w:val="0"/>
          <w:iCs w:val="0"/>
          <w:caps w:val="0"/>
          <w:color w:val="auto"/>
          <w:spacing w:val="0"/>
          <w:sz w:val="24"/>
          <w:szCs w:val="24"/>
          <w:shd w:val="clear" w:fill="FFFFFF"/>
          <w:lang w:val="en-US" w:eastAsia="zh-CN"/>
        </w:rPr>
        <w:t>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right="0" w:rightChars="0" w:hanging="600" w:hangingChars="250"/>
        <w:textAlignment w:val="auto"/>
        <w:outlineLvl w:val="9"/>
        <w:rPr>
          <w:rFonts w:hint="default" w:ascii="宋体" w:hAnsi="宋体" w:eastAsia="宋体" w:cs="Arial"/>
          <w:i w:val="0"/>
          <w:iCs w:val="0"/>
          <w:caps w:val="0"/>
          <w:color w:val="auto"/>
          <w:spacing w:val="0"/>
          <w:sz w:val="24"/>
          <w:szCs w:val="24"/>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］王亚，孙峰。付阳阳</w:t>
      </w:r>
      <w:r>
        <w:rPr>
          <w:rFonts w:hint="default" w:ascii="宋体" w:hAnsi="宋体" w:eastAsia="宋体" w:cs="Arial"/>
          <w:i w:val="0"/>
          <w:iCs w:val="0"/>
          <w:caps w:val="0"/>
          <w:color w:val="auto"/>
          <w:spacing w:val="0"/>
          <w:sz w:val="24"/>
          <w:szCs w:val="24"/>
          <w:shd w:val="clear" w:fill="FFFFFF"/>
          <w:lang w:val="en-US" w:eastAsia="zh-CN"/>
        </w:rPr>
        <w:t>．</w:t>
      </w:r>
      <w:r>
        <w:rPr>
          <w:rFonts w:hint="eastAsia" w:ascii="宋体" w:hAnsi="宋体" w:eastAsia="宋体" w:cs="Arial"/>
          <w:i w:val="0"/>
          <w:iCs w:val="0"/>
          <w:caps w:val="0"/>
          <w:color w:val="auto"/>
          <w:spacing w:val="0"/>
          <w:sz w:val="24"/>
          <w:szCs w:val="24"/>
          <w:shd w:val="clear" w:fill="FFFFFF"/>
          <w:lang w:val="en-US" w:eastAsia="zh-CN"/>
        </w:rPr>
        <w:t>成人院内心肺复苏质量控制临床实践专家共识</w:t>
      </w:r>
      <w:r>
        <w:rPr>
          <w:rFonts w:hint="default" w:ascii="宋体" w:hAnsi="宋体" w:eastAsia="宋体" w:cs="Arial"/>
          <w:i w:val="0"/>
          <w:iCs w:val="0"/>
          <w:caps w:val="0"/>
          <w:color w:val="auto"/>
          <w:spacing w:val="0"/>
          <w:sz w:val="24"/>
          <w:szCs w:val="24"/>
          <w:shd w:val="clear" w:fill="FFFFFF"/>
          <w:lang w:val="en-US" w:eastAsia="zh-CN"/>
        </w:rPr>
        <w:t>［J］．中国</w:t>
      </w:r>
      <w:r>
        <w:rPr>
          <w:rFonts w:hint="eastAsia" w:ascii="宋体" w:hAnsi="宋体" w:eastAsia="宋体" w:cs="Arial"/>
          <w:i w:val="0"/>
          <w:iCs w:val="0"/>
          <w:caps w:val="0"/>
          <w:color w:val="auto"/>
          <w:spacing w:val="0"/>
          <w:sz w:val="24"/>
          <w:szCs w:val="24"/>
          <w:shd w:val="clear" w:fill="FFFFFF"/>
          <w:lang w:val="en-US" w:eastAsia="zh-CN"/>
        </w:rPr>
        <w:t>急救医学</w:t>
      </w:r>
      <w:r>
        <w:rPr>
          <w:rFonts w:hint="default" w:ascii="宋体" w:hAnsi="宋体" w:eastAsia="宋体" w:cs="Arial"/>
          <w:i w:val="0"/>
          <w:iCs w:val="0"/>
          <w:caps w:val="0"/>
          <w:color w:val="auto"/>
          <w:spacing w:val="0"/>
          <w:sz w:val="24"/>
          <w:szCs w:val="24"/>
          <w:shd w:val="clear" w:fill="FFFFFF"/>
          <w:lang w:val="en-US" w:eastAsia="zh-CN"/>
        </w:rPr>
        <w:t>，201</w:t>
      </w:r>
      <w:r>
        <w:rPr>
          <w:rFonts w:hint="eastAsia" w:ascii="宋体" w:hAnsi="宋体" w:eastAsia="宋体" w:cs="Arial"/>
          <w:i w:val="0"/>
          <w:iCs w:val="0"/>
          <w:caps w:val="0"/>
          <w:color w:val="auto"/>
          <w:spacing w:val="0"/>
          <w:sz w:val="24"/>
          <w:szCs w:val="24"/>
          <w:shd w:val="clear" w:fill="FFFFFF"/>
          <w:lang w:val="en-US" w:eastAsia="zh-CN"/>
        </w:rPr>
        <w:t>8</w:t>
      </w:r>
      <w:r>
        <w:rPr>
          <w:rFonts w:hint="default" w:ascii="宋体" w:hAnsi="宋体" w:eastAsia="宋体" w:cs="Arial"/>
          <w:i w:val="0"/>
          <w:iCs w:val="0"/>
          <w:caps w:val="0"/>
          <w:color w:val="auto"/>
          <w:spacing w:val="0"/>
          <w:sz w:val="24"/>
          <w:szCs w:val="24"/>
          <w:shd w:val="clear" w:fill="FFFFFF"/>
          <w:lang w:val="en-US" w:eastAsia="zh-CN"/>
        </w:rPr>
        <w:t>,</w:t>
      </w:r>
      <w:r>
        <w:rPr>
          <w:rFonts w:hint="eastAsia" w:ascii="宋体" w:hAnsi="宋体" w:eastAsia="宋体" w:cs="Arial"/>
          <w:i w:val="0"/>
          <w:iCs w:val="0"/>
          <w:caps w:val="0"/>
          <w:color w:val="auto"/>
          <w:spacing w:val="0"/>
          <w:sz w:val="24"/>
          <w:szCs w:val="24"/>
          <w:shd w:val="clear" w:fill="FFFFFF"/>
          <w:lang w:val="en-US" w:eastAsia="zh-CN"/>
        </w:rPr>
        <w:t>8</w:t>
      </w:r>
      <w:r>
        <w:rPr>
          <w:rFonts w:hint="default" w:ascii="宋体" w:hAnsi="宋体" w:eastAsia="宋体" w:cs="Arial"/>
          <w:i w:val="0"/>
          <w:iCs w:val="0"/>
          <w:caps w:val="0"/>
          <w:color w:val="auto"/>
          <w:spacing w:val="0"/>
          <w:sz w:val="24"/>
          <w:szCs w:val="24"/>
          <w:shd w:val="clear" w:fill="FFFFFF"/>
          <w:lang w:val="en-US" w:eastAsia="zh-CN"/>
        </w:rPr>
        <w:t>（</w:t>
      </w:r>
      <w:r>
        <w:rPr>
          <w:rFonts w:hint="eastAsia" w:ascii="宋体" w:hAnsi="宋体" w:eastAsia="宋体" w:cs="Arial"/>
          <w:i w:val="0"/>
          <w:iCs w:val="0"/>
          <w:caps w:val="0"/>
          <w:color w:val="auto"/>
          <w:spacing w:val="0"/>
          <w:sz w:val="24"/>
          <w:szCs w:val="24"/>
          <w:shd w:val="clear" w:fill="FFFFFF"/>
          <w:lang w:val="en-US" w:eastAsia="zh-CN"/>
        </w:rPr>
        <w:t>38</w:t>
      </w:r>
      <w:r>
        <w:rPr>
          <w:rFonts w:hint="default" w:ascii="宋体" w:hAnsi="宋体" w:eastAsia="宋体" w:cs="Arial"/>
          <w:i w:val="0"/>
          <w:iCs w:val="0"/>
          <w:caps w:val="0"/>
          <w:color w:val="auto"/>
          <w:spacing w:val="0"/>
          <w:sz w:val="24"/>
          <w:szCs w:val="24"/>
          <w:shd w:val="clear" w:fill="FFFFFF"/>
          <w:lang w:val="en-US" w:eastAsia="zh-CN"/>
        </w:rPr>
        <w:t>）：</w:t>
      </w:r>
      <w:r>
        <w:rPr>
          <w:rFonts w:hint="eastAsia" w:ascii="宋体" w:hAnsi="宋体" w:eastAsia="宋体" w:cs="Arial"/>
          <w:i w:val="0"/>
          <w:iCs w:val="0"/>
          <w:caps w:val="0"/>
          <w:color w:val="auto"/>
          <w:spacing w:val="0"/>
          <w:sz w:val="24"/>
          <w:szCs w:val="24"/>
          <w:shd w:val="clear" w:fill="FFFFFF"/>
          <w:lang w:val="en-US" w:eastAsia="zh-CN"/>
        </w:rPr>
        <w:t>649</w:t>
      </w:r>
      <w:r>
        <w:rPr>
          <w:rFonts w:hint="default" w:ascii="宋体" w:hAnsi="宋体" w:eastAsia="宋体" w:cs="Arial"/>
          <w:i w:val="0"/>
          <w:iCs w:val="0"/>
          <w:caps w:val="0"/>
          <w:color w:val="auto"/>
          <w:spacing w:val="0"/>
          <w:sz w:val="24"/>
          <w:szCs w:val="24"/>
          <w:shd w:val="clear" w:fill="FFFFFF"/>
          <w:lang w:val="en-US" w:eastAsia="zh-CN"/>
        </w:rPr>
        <w:t>-</w:t>
      </w:r>
      <w:r>
        <w:rPr>
          <w:rFonts w:hint="eastAsia" w:ascii="宋体" w:hAnsi="宋体" w:eastAsia="宋体" w:cs="Arial"/>
          <w:i w:val="0"/>
          <w:iCs w:val="0"/>
          <w:caps w:val="0"/>
          <w:color w:val="auto"/>
          <w:spacing w:val="0"/>
          <w:sz w:val="24"/>
          <w:szCs w:val="24"/>
          <w:shd w:val="clear" w:fill="FFFFFF"/>
          <w:lang w:val="en-US" w:eastAsia="zh-CN"/>
        </w:rPr>
        <w:t>653</w:t>
      </w:r>
      <w:r>
        <w:rPr>
          <w:rFonts w:hint="default" w:ascii="宋体" w:hAnsi="宋体" w:eastAsia="宋体" w:cs="Arial"/>
          <w:i w:val="0"/>
          <w:iCs w:val="0"/>
          <w:caps w:val="0"/>
          <w:color w:val="auto"/>
          <w:spacing w:val="0"/>
          <w:sz w:val="24"/>
          <w:szCs w:val="24"/>
          <w:shd w:val="clear"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right="0" w:rightChars="0" w:hanging="600" w:hangingChars="250"/>
        <w:textAlignment w:val="auto"/>
        <w:outlineLvl w:val="9"/>
        <w:rPr>
          <w:rFonts w:hint="default" w:ascii="宋体" w:hAnsi="宋体" w:eastAsia="宋体" w:cs="Arial"/>
          <w:i w:val="0"/>
          <w:iCs w:val="0"/>
          <w:caps w:val="0"/>
          <w:color w:val="auto"/>
          <w:spacing w:val="0"/>
          <w:sz w:val="24"/>
          <w:szCs w:val="24"/>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］郑杨，</w:t>
      </w:r>
      <w:r>
        <w:rPr>
          <w:rFonts w:hint="default" w:ascii="宋体" w:hAnsi="宋体" w:eastAsia="宋体" w:cs="Arial"/>
          <w:i w:val="0"/>
          <w:iCs w:val="0"/>
          <w:caps w:val="0"/>
          <w:color w:val="auto"/>
          <w:spacing w:val="0"/>
          <w:sz w:val="24"/>
          <w:szCs w:val="24"/>
          <w:shd w:val="clear" w:fill="FFFFFF"/>
          <w:lang w:val="en-US" w:eastAsia="zh-CN"/>
        </w:rPr>
        <w:t>赵巍．2015年AHA心肺复苏及心血管急救指南更新解读［J］．中国实用内科杂志，2016,36（4）：292-294．</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宋体" w:cs="黑体"/>
          <w:b w:val="0"/>
          <w:bCs/>
          <w:color w:val="auto"/>
          <w:sz w:val="24"/>
          <w:szCs w:val="28"/>
          <w:lang w:eastAsia="zh-CN"/>
        </w:rPr>
      </w:pPr>
      <w:r>
        <w:rPr>
          <w:rFonts w:hint="eastAsia" w:ascii="黑体" w:hAnsi="黑体" w:eastAsia="宋体" w:cs="黑体"/>
          <w:b w:val="0"/>
          <w:bCs/>
          <w:color w:val="auto"/>
          <w:sz w:val="24"/>
          <w:szCs w:val="28"/>
          <w:lang w:eastAsia="zh-CN"/>
        </w:rPr>
        <w:t>修订记录</w:t>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eastAsia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eastAsia="zh-CN"/>
              </w:rPr>
              <w:t>序号</w:t>
            </w:r>
          </w:p>
        </w:tc>
        <w:tc>
          <w:tcPr>
            <w:tcW w:w="1036"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eastAsia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eastAsia="zh-CN"/>
              </w:rPr>
              <w:t>修订前版本号</w:t>
            </w:r>
          </w:p>
        </w:tc>
        <w:tc>
          <w:tcPr>
            <w:tcW w:w="1050"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eastAsia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eastAsia="zh-CN"/>
              </w:rPr>
              <w:t>修订后版本号</w:t>
            </w:r>
          </w:p>
        </w:tc>
        <w:tc>
          <w:tcPr>
            <w:tcW w:w="2604"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eastAsia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eastAsia="zh-CN"/>
              </w:rPr>
              <w:t>修订原因、依据</w:t>
            </w:r>
          </w:p>
        </w:tc>
        <w:tc>
          <w:tcPr>
            <w:tcW w:w="269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Theme="minorEastAsia" w:hAnsiTheme="minorEastAsia" w:eastAsia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eastAsia="zh-CN"/>
              </w:rPr>
              <w:t>修订内容</w:t>
            </w:r>
          </w:p>
        </w:tc>
        <w:tc>
          <w:tcPr>
            <w:tcW w:w="1420"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Theme="minorEastAsia" w:hAnsi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val="en-US" w:eastAsia="zh-CN"/>
              </w:rPr>
              <w:t>修订人/</w:t>
            </w:r>
            <w:r>
              <w:rPr>
                <w:rFonts w:hint="eastAsia" w:asciiTheme="minorEastAsia" w:hAnsiTheme="minorEastAsia" w:cstheme="minorEastAsia"/>
                <w:color w:val="auto"/>
                <w:sz w:val="24"/>
                <w:szCs w:val="24"/>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45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eastAsiaTheme="minorEastAsia" w:cstheme="minorEastAsia"/>
                <w:color w:val="auto"/>
                <w:sz w:val="24"/>
                <w:szCs w:val="24"/>
                <w:vertAlign w:val="baseline"/>
                <w:lang w:val="en-US" w:eastAsia="zh-CN"/>
              </w:rPr>
            </w:pPr>
            <w:r>
              <w:rPr>
                <w:rFonts w:hint="eastAsia" w:asciiTheme="minorEastAsia" w:hAnsiTheme="minorEastAsia" w:cstheme="minorEastAsia"/>
                <w:color w:val="auto"/>
                <w:sz w:val="24"/>
                <w:szCs w:val="24"/>
                <w:vertAlign w:val="baseline"/>
                <w:lang w:val="en-US" w:eastAsia="zh-CN"/>
              </w:rPr>
              <w:t>1</w:t>
            </w:r>
          </w:p>
        </w:tc>
        <w:tc>
          <w:tcPr>
            <w:tcW w:w="1036"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eastAsiaTheme="minorEastAsia" w:cstheme="minorEastAsia"/>
                <w:color w:val="auto"/>
                <w:sz w:val="24"/>
                <w:szCs w:val="24"/>
                <w:vertAlign w:val="baseline"/>
                <w:lang w:val="en-US" w:eastAsia="zh-CN"/>
              </w:rPr>
            </w:pPr>
            <w:r>
              <w:rPr>
                <w:rFonts w:hint="eastAsia" w:asciiTheme="minorEastAsia" w:hAnsiTheme="minorEastAsia" w:cstheme="minorEastAsia"/>
                <w:color w:val="auto"/>
                <w:sz w:val="24"/>
                <w:szCs w:val="24"/>
                <w:vertAlign w:val="baseline"/>
                <w:lang w:val="en-US" w:eastAsia="zh-CN"/>
              </w:rPr>
              <w:t>3.0</w:t>
            </w:r>
          </w:p>
        </w:tc>
        <w:tc>
          <w:tcPr>
            <w:tcW w:w="1050"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eastAsiaTheme="minorEastAsia" w:cstheme="minorEastAsia"/>
                <w:color w:val="auto"/>
                <w:sz w:val="24"/>
                <w:szCs w:val="24"/>
                <w:vertAlign w:val="baseline"/>
                <w:lang w:val="en-US" w:eastAsia="zh-CN"/>
              </w:rPr>
            </w:pPr>
            <w:r>
              <w:rPr>
                <w:rFonts w:hint="eastAsia" w:asciiTheme="minorEastAsia" w:hAnsiTheme="minorEastAsia" w:cstheme="minorEastAsia"/>
                <w:color w:val="auto"/>
                <w:sz w:val="24"/>
                <w:szCs w:val="24"/>
                <w:vertAlign w:val="baseline"/>
                <w:lang w:val="en-US" w:eastAsia="zh-CN"/>
              </w:rPr>
              <w:t>3.1</w:t>
            </w:r>
          </w:p>
        </w:tc>
        <w:tc>
          <w:tcPr>
            <w:tcW w:w="2604"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val="en-US" w:eastAsia="zh-CN"/>
              </w:rPr>
              <w:t>1</w:t>
            </w:r>
            <w:r>
              <w:rPr>
                <w:rFonts w:hint="eastAsia" w:asciiTheme="minorEastAsia" w:hAnsiTheme="minorEastAsia" w:cstheme="minorEastAsia"/>
                <w:color w:val="auto"/>
                <w:sz w:val="24"/>
                <w:szCs w:val="24"/>
                <w:vertAlign w:val="baseline"/>
                <w:lang w:eastAsia="zh-CN"/>
              </w:rPr>
              <w:t>增加应急预案参考文献信息</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val="en-US" w:eastAsia="zh-CN"/>
              </w:rPr>
              <w:t>2</w:t>
            </w:r>
            <w:r>
              <w:rPr>
                <w:rFonts w:hint="eastAsia" w:asciiTheme="minorEastAsia" w:hAnsiTheme="minorEastAsia" w:cstheme="minorEastAsia"/>
                <w:color w:val="auto"/>
                <w:sz w:val="24"/>
                <w:szCs w:val="24"/>
                <w:vertAlign w:val="baseline"/>
                <w:lang w:eastAsia="zh-CN"/>
              </w:rPr>
              <w:t>根据最新参考文献修订具体内容</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cstheme="minorEastAsia"/>
                <w:color w:val="auto"/>
                <w:sz w:val="24"/>
                <w:szCs w:val="24"/>
                <w:vertAlign w:val="baseline"/>
                <w:lang w:val="en-US" w:eastAsia="zh-CN"/>
              </w:rPr>
            </w:pPr>
          </w:p>
        </w:tc>
        <w:tc>
          <w:tcPr>
            <w:tcW w:w="269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cstheme="minorEastAsia"/>
                <w:color w:val="auto"/>
                <w:sz w:val="24"/>
                <w:szCs w:val="24"/>
                <w:vertAlign w:val="baseline"/>
                <w:lang w:val="en-US" w:eastAsia="zh-CN"/>
              </w:rPr>
            </w:pPr>
            <w:r>
              <w:rPr>
                <w:rFonts w:hint="eastAsia" w:asciiTheme="minorEastAsia" w:hAnsiTheme="minorEastAsia" w:cstheme="minorEastAsia"/>
                <w:color w:val="auto"/>
                <w:sz w:val="24"/>
                <w:szCs w:val="24"/>
                <w:vertAlign w:val="baseline"/>
                <w:lang w:val="en-US" w:eastAsia="zh-CN"/>
              </w:rPr>
              <w:t>1文末添加相关参考文献名称、作者、时间等信息</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cstheme="minorEastAsia"/>
                <w:color w:val="auto"/>
                <w:sz w:val="24"/>
                <w:szCs w:val="24"/>
                <w:vertAlign w:val="baseline"/>
                <w:lang w:val="en-US" w:eastAsia="zh-CN"/>
              </w:rPr>
            </w:pPr>
            <w:r>
              <w:rPr>
                <w:rFonts w:hint="eastAsia" w:asciiTheme="minorEastAsia" w:hAnsiTheme="minorEastAsia" w:cstheme="minorEastAsia"/>
                <w:color w:val="auto"/>
                <w:sz w:val="24"/>
                <w:szCs w:val="24"/>
                <w:vertAlign w:val="baseline"/>
                <w:lang w:val="en-US" w:eastAsia="zh-CN"/>
              </w:rPr>
              <w:t>2根据最新文献诊治标准更新现行诊疗流程</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cstheme="minorEastAsia"/>
                <w:color w:val="auto"/>
                <w:sz w:val="24"/>
                <w:szCs w:val="24"/>
                <w:vertAlign w:val="baseline"/>
                <w:lang w:val="en-US" w:eastAsia="zh-CN"/>
              </w:rPr>
            </w:pPr>
          </w:p>
        </w:tc>
        <w:tc>
          <w:tcPr>
            <w:tcW w:w="1420"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cstheme="minorEastAsia"/>
                <w:color w:val="auto"/>
                <w:sz w:val="24"/>
                <w:szCs w:val="24"/>
                <w:vertAlign w:val="baseline"/>
                <w:lang w:val="en-US" w:eastAsia="zh-CN"/>
              </w:rPr>
            </w:pPr>
          </w:p>
        </w:tc>
      </w:tr>
    </w:tbl>
    <w:p>
      <w:pPr>
        <w:pStyle w:val="33"/>
        <w:rPr>
          <w:rFonts w:hint="eastAsia"/>
          <w:color w:val="auto"/>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黑体" w:hAnsi="黑体" w:eastAsia="黑体" w:cs="黑体"/>
          <w:b/>
          <w:bCs/>
          <w:color w:val="auto"/>
          <w:sz w:val="28"/>
          <w:szCs w:val="28"/>
        </w:rPr>
        <w:sectPr>
          <w:headerReference r:id="rId186" w:type="default"/>
          <w:footerReference r:id="rId187" w:type="default"/>
          <w:pgSz w:w="11906" w:h="16838"/>
          <w:pgMar w:top="1440" w:right="1236" w:bottom="1440" w:left="1463" w:header="0" w:footer="992" w:gutter="0"/>
          <w:pgNumType w:fmt="decimal"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2811" w:firstLineChars="1000"/>
        <w:jc w:val="both"/>
        <w:textAlignment w:val="auto"/>
        <w:rPr>
          <w:rFonts w:hint="eastAsia" w:ascii="黑体" w:hAnsi="黑体" w:eastAsia="黑体" w:cs="黑体"/>
          <w:b/>
          <w:bCs/>
          <w:color w:val="auto"/>
          <w:sz w:val="28"/>
          <w:szCs w:val="28"/>
        </w:rPr>
      </w:pPr>
      <w:r>
        <w:rPr>
          <w:rFonts w:hint="eastAsia" w:ascii="黑体" w:hAnsi="黑体" w:eastAsia="黑体" w:cs="黑体"/>
          <w:b/>
          <w:bCs/>
          <w:color w:val="auto"/>
          <w:sz w:val="28"/>
          <w:szCs w:val="28"/>
        </w:rPr>
        <w:t>过敏性休克</w:t>
      </w:r>
      <w:r>
        <w:rPr>
          <w:rFonts w:hint="eastAsia" w:ascii="黑体" w:hAnsi="黑体" w:eastAsia="黑体" w:cs="黑体"/>
          <w:b/>
          <w:bCs/>
          <w:color w:val="auto"/>
          <w:sz w:val="28"/>
          <w:szCs w:val="28"/>
          <w:lang w:eastAsia="zh-CN"/>
        </w:rPr>
        <w:t>的急救预案</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一、</w:t>
      </w:r>
      <w:r>
        <w:rPr>
          <w:rFonts w:hint="eastAsia" w:ascii="宋体" w:hAnsi="宋体" w:eastAsia="宋体" w:cs="宋体"/>
          <w:color w:val="auto"/>
          <w:sz w:val="24"/>
          <w:szCs w:val="24"/>
        </w:rPr>
        <w:t xml:space="preserve">目的  </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在临床药物试验中，受试者可能因为过敏反应发生休克，为了确保受试者的安全，</w:t>
      </w:r>
      <w:r>
        <w:rPr>
          <w:rFonts w:hint="eastAsia" w:ascii="宋体" w:hAnsi="宋体" w:eastAsia="宋体" w:cs="宋体"/>
          <w:b w:val="0"/>
          <w:bCs w:val="0"/>
          <w:color w:val="auto"/>
          <w:sz w:val="24"/>
          <w:szCs w:val="24"/>
          <w:lang w:eastAsia="zh-CN"/>
        </w:rPr>
        <w:t>特制订如下规范</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cs="宋体"/>
          <w:color w:val="auto"/>
          <w:sz w:val="24"/>
          <w:szCs w:val="24"/>
          <w:lang w:eastAsia="zh-CN"/>
        </w:rPr>
      </w:pPr>
      <w:r>
        <w:rPr>
          <w:rFonts w:hint="eastAsia" w:ascii="宋体" w:hAnsi="宋体" w:cs="宋体"/>
          <w:color w:val="auto"/>
          <w:sz w:val="24"/>
          <w:szCs w:val="24"/>
          <w:lang w:eastAsia="zh-CN"/>
        </w:rPr>
        <w:t>二、</w:t>
      </w:r>
      <w:r>
        <w:rPr>
          <w:rFonts w:hint="eastAsia" w:ascii="宋体" w:hAnsi="宋体" w:eastAsia="宋体" w:cs="宋体"/>
          <w:color w:val="auto"/>
          <w:sz w:val="24"/>
          <w:szCs w:val="24"/>
        </w:rPr>
        <w:t>范围</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适用于临床试验所有受试者。</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三、急救程序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1．评估：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(1)胸闷、气促、哮喘、呼吸困难、伴濒死感。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(2)脸色苍白、出冷汗、发绀，脉搏细弱，血压下降。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(3)面部及四肢麻木，意识丧失，抽搐或大小便失禁等。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(4)荨麻疹，恶心、呕吐、腹痛与腹泻等。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2．立即停药、平卧、就地抢救：</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(l)立即</w:t>
      </w:r>
      <w:r>
        <w:rPr>
          <w:rFonts w:hint="eastAsia" w:ascii="宋体" w:hAnsi="宋体" w:eastAsia="宋体" w:cs="宋体"/>
          <w:color w:val="auto"/>
          <w:sz w:val="24"/>
          <w:szCs w:val="24"/>
          <w:lang w:eastAsia="zh-CN"/>
        </w:rPr>
        <w:t>给与</w:t>
      </w:r>
      <w:r>
        <w:rPr>
          <w:rFonts w:hint="eastAsia" w:ascii="宋体" w:hAnsi="宋体" w:eastAsia="宋体" w:cs="宋体"/>
          <w:color w:val="auto"/>
          <w:sz w:val="24"/>
          <w:szCs w:val="24"/>
        </w:rPr>
        <w:t>盐酸肾上腺素</w:t>
      </w:r>
      <w:r>
        <w:rPr>
          <w:rFonts w:hint="eastAsia" w:ascii="宋体" w:hAnsi="宋体" w:cs="宋体"/>
          <w:color w:val="auto"/>
          <w:sz w:val="24"/>
          <w:szCs w:val="24"/>
          <w:lang w:val="en-US" w:eastAsia="zh-CN"/>
        </w:rPr>
        <w:t>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0.5</w:t>
      </w:r>
      <w:r>
        <w:rPr>
          <w:rFonts w:hint="eastAsia" w:ascii="宋体" w:hAnsi="宋体" w:eastAsia="宋体" w:cs="宋体"/>
          <w:color w:val="auto"/>
          <w:sz w:val="24"/>
          <w:szCs w:val="24"/>
        </w:rPr>
        <w:t xml:space="preserve"> m</w:t>
      </w:r>
      <w:r>
        <w:rPr>
          <w:rFonts w:hint="eastAsia" w:ascii="宋体" w:hAnsi="宋体" w:eastAsia="宋体" w:cs="宋体"/>
          <w:color w:val="auto"/>
          <w:sz w:val="24"/>
          <w:szCs w:val="24"/>
          <w:lang w:val="en-US" w:eastAsia="zh-CN"/>
        </w:rPr>
        <w:t>g肌肉内注射（选择大腿前外侧）</w:t>
      </w:r>
      <w:r>
        <w:rPr>
          <w:rFonts w:hint="eastAsia" w:ascii="宋体" w:hAnsi="宋体" w:eastAsia="宋体" w:cs="宋体"/>
          <w:color w:val="auto"/>
          <w:sz w:val="24"/>
          <w:szCs w:val="24"/>
        </w:rPr>
        <w:t>，肾上腺素肌内注射的浓度是1：1000（即1mg／ml），一次性肌内注射量为0.3-0.5mg，也就是0.3-0.5ml。症状不缓解，可每隔</w:t>
      </w:r>
      <w:r>
        <w:rPr>
          <w:rFonts w:hint="eastAsia" w:ascii="宋体" w:hAnsi="宋体" w:eastAsia="宋体" w:cs="宋体"/>
          <w:color w:val="auto"/>
          <w:sz w:val="24"/>
          <w:szCs w:val="24"/>
          <w:lang w:val="en-US" w:eastAsia="zh-CN"/>
        </w:rPr>
        <w:t>15-20分钟重复一次，若病情较重，肌肉注射肾上腺素无明显缓解，可考虑静脉给药，将肾上腺素稀释后（1:10000，即1mg/10ml）静脉给药，速度1-4ug/min；（具体配伍方法：可将5mg肾上腺素加至50ml生理盐水，静脉微量泵入，泵速0.6-2.4ml/h）</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正确摆放患者体位：患者摆仰卧位，双下肢抬高，若患者有呼吸困难或者呕吐，则取舒适体位，若为孕妇则取左侧卧位；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(3)高流量吸氧(6～8 L/min)，</w:t>
      </w:r>
      <w:r>
        <w:rPr>
          <w:rFonts w:hint="eastAsia" w:ascii="宋体" w:hAnsi="宋体" w:eastAsia="宋体" w:cs="宋体"/>
          <w:color w:val="auto"/>
          <w:sz w:val="24"/>
          <w:szCs w:val="24"/>
          <w:lang w:eastAsia="zh-CN"/>
        </w:rPr>
        <w:t>做好气道管理，</w:t>
      </w:r>
      <w:r>
        <w:rPr>
          <w:rFonts w:hint="eastAsia" w:ascii="宋体" w:hAnsi="宋体" w:eastAsia="宋体" w:cs="宋体"/>
          <w:color w:val="auto"/>
          <w:sz w:val="24"/>
          <w:szCs w:val="24"/>
        </w:rPr>
        <w:t>呼吸抑制者，进行呼吸球囊接面罩辅助通气；气管插管，接呼吸机辅助呼吸保持呼吸道通畅，喉头水肿导致窒息，先环甲膜穿刺，再行气管切开。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(4)建立静脉通道</w:t>
      </w:r>
      <w:r>
        <w:rPr>
          <w:rFonts w:hint="eastAsia" w:ascii="宋体" w:hAnsi="宋体" w:eastAsia="宋体" w:cs="宋体"/>
          <w:color w:val="auto"/>
          <w:sz w:val="24"/>
          <w:szCs w:val="24"/>
          <w:lang w:eastAsia="zh-CN"/>
        </w:rPr>
        <w:t>，选择大孔径静脉导管，必要时开放多条静脉通道</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(5)心电监护，密切观察生命体征、神志、尿量等病情变化．保暖。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3．药物处理：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(1)遵医嘱静脉注射地塞米松，使用抗组胺类药物，如异丙嗪。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(2)遵医嘱使用升压药，如去甲肾上腺素等。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(3)遵医嘱使用</w:t>
      </w:r>
      <w:r>
        <w:rPr>
          <w:rFonts w:hint="eastAsia" w:ascii="宋体" w:hAnsi="宋体" w:eastAsia="宋体" w:cs="宋体"/>
          <w:color w:val="auto"/>
          <w:sz w:val="24"/>
          <w:szCs w:val="24"/>
          <w:lang w:eastAsia="zh-CN"/>
        </w:rPr>
        <w:t>支气管舒张剂，如舒喘灵</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(4)平衡液等晶体液扩容。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4．心</w:t>
      </w:r>
      <w:r>
        <w:rPr>
          <w:rFonts w:hint="eastAsia" w:ascii="宋体" w:hAnsi="宋体" w:eastAsia="宋体" w:cs="宋体"/>
          <w:color w:val="auto"/>
          <w:sz w:val="24"/>
          <w:szCs w:val="24"/>
          <w:lang w:eastAsia="zh-CN"/>
        </w:rPr>
        <w:t>跳</w:t>
      </w:r>
      <w:r>
        <w:rPr>
          <w:rFonts w:hint="eastAsia" w:ascii="宋体" w:hAnsi="宋体" w:eastAsia="宋体" w:cs="宋体"/>
          <w:color w:val="auto"/>
          <w:sz w:val="24"/>
          <w:szCs w:val="24"/>
        </w:rPr>
        <w:t>骤停：参考成人心肺复苏操作流程。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．密切观察病情，记录生命体征、神志、尿量等病情变化。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参考文献：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right="0" w:rightChars="0" w:hanging="600" w:hangingChars="250"/>
        <w:textAlignment w:val="auto"/>
        <w:outlineLvl w:val="9"/>
        <w:rPr>
          <w:rFonts w:hint="eastAsia"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default" w:ascii="宋体" w:hAnsi="宋体" w:eastAsia="宋体" w:cs="Arial"/>
          <w:i w:val="0"/>
          <w:iCs w:val="0"/>
          <w:caps w:val="0"/>
          <w:color w:val="auto"/>
          <w:spacing w:val="0"/>
          <w:sz w:val="24"/>
          <w:szCs w:val="30"/>
          <w:shd w:val="clear" w:fill="FFFFFF"/>
          <w:lang w:val="en-US" w:eastAsia="zh-CN"/>
        </w:rPr>
        <w:t>陈灏珠，林果为．实用内科学（第1</w:t>
      </w:r>
      <w:r>
        <w:rPr>
          <w:rFonts w:hint="eastAsia" w:ascii="宋体" w:hAnsi="宋体" w:eastAsia="宋体" w:cs="Arial"/>
          <w:i w:val="0"/>
          <w:iCs w:val="0"/>
          <w:caps w:val="0"/>
          <w:color w:val="auto"/>
          <w:spacing w:val="0"/>
          <w:sz w:val="24"/>
          <w:szCs w:val="30"/>
          <w:shd w:val="clear" w:fill="FFFFFF"/>
          <w:lang w:val="en-US" w:eastAsia="zh-CN"/>
        </w:rPr>
        <w:t>6</w:t>
      </w:r>
      <w:r>
        <w:rPr>
          <w:rFonts w:hint="default" w:ascii="宋体" w:hAnsi="宋体" w:eastAsia="宋体" w:cs="Arial"/>
          <w:i w:val="0"/>
          <w:iCs w:val="0"/>
          <w:caps w:val="0"/>
          <w:color w:val="auto"/>
          <w:spacing w:val="0"/>
          <w:sz w:val="24"/>
          <w:szCs w:val="30"/>
          <w:shd w:val="clear" w:fill="FFFFFF"/>
          <w:lang w:val="en-US" w:eastAsia="zh-CN"/>
        </w:rPr>
        <w:t>版）上册</w:t>
      </w:r>
      <w:r>
        <w:rPr>
          <w:rFonts w:hint="eastAsia" w:ascii="宋体" w:hAnsi="宋体" w:eastAsia="宋体" w:cs="Arial"/>
          <w:i w:val="0"/>
          <w:iCs w:val="0"/>
          <w:caps w:val="0"/>
          <w:color w:val="auto"/>
          <w:spacing w:val="0"/>
          <w:sz w:val="24"/>
          <w:szCs w:val="30"/>
          <w:shd w:val="clear" w:fill="FFFFFF"/>
          <w:lang w:val="en-US" w:eastAsia="zh-CN"/>
        </w:rPr>
        <w:t>.第十四篇重症医学.第二章.第五节过敏性休克</w:t>
      </w:r>
      <w:r>
        <w:rPr>
          <w:rFonts w:hint="default" w:ascii="宋体" w:hAnsi="宋体" w:eastAsia="宋体" w:cs="Arial"/>
          <w:i w:val="0"/>
          <w:iCs w:val="0"/>
          <w:caps w:val="0"/>
          <w:color w:val="auto"/>
          <w:spacing w:val="0"/>
          <w:sz w:val="24"/>
          <w:szCs w:val="30"/>
          <w:shd w:val="clear" w:fill="FFFFFF"/>
          <w:lang w:val="en-US" w:eastAsia="zh-CN"/>
        </w:rPr>
        <w:t>［M］．北京：人民卫生出版社，20</w:t>
      </w:r>
      <w:r>
        <w:rPr>
          <w:rFonts w:hint="eastAsia" w:ascii="宋体" w:hAnsi="宋体" w:eastAsia="宋体" w:cs="Arial"/>
          <w:i w:val="0"/>
          <w:iCs w:val="0"/>
          <w:caps w:val="0"/>
          <w:color w:val="auto"/>
          <w:spacing w:val="0"/>
          <w:sz w:val="24"/>
          <w:szCs w:val="30"/>
          <w:shd w:val="clear" w:fill="FFFFFF"/>
          <w:lang w:val="en-US" w:eastAsia="zh-CN"/>
        </w:rPr>
        <w:t>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right="0" w:rightChars="0" w:hanging="600" w:hangingChars="25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Arial"/>
          <w:i w:val="0"/>
          <w:iCs w:val="0"/>
          <w:caps w:val="0"/>
          <w:color w:val="auto"/>
          <w:spacing w:val="0"/>
          <w:sz w:val="24"/>
          <w:szCs w:val="30"/>
          <w:shd w:val="clear" w:fill="FFFFFF"/>
          <w:lang w:val="en-US" w:eastAsia="zh-CN"/>
        </w:rPr>
        <w:t>陈燕启，李小刚.急危重症“三基”理论与实践上册.第二章第一节休克</w:t>
      </w:r>
      <w:r>
        <w:rPr>
          <w:rFonts w:hint="default" w:ascii="宋体" w:hAnsi="宋体" w:eastAsia="宋体" w:cs="Arial"/>
          <w:i w:val="0"/>
          <w:iCs w:val="0"/>
          <w:caps w:val="0"/>
          <w:color w:val="auto"/>
          <w:spacing w:val="0"/>
          <w:sz w:val="24"/>
          <w:szCs w:val="30"/>
          <w:shd w:val="clear" w:fill="FFFFFF"/>
          <w:lang w:val="en-US" w:eastAsia="zh-CN"/>
        </w:rPr>
        <w:t>［M］</w:t>
      </w:r>
      <w:r>
        <w:rPr>
          <w:rFonts w:hint="eastAsia" w:ascii="宋体" w:hAnsi="宋体" w:eastAsia="宋体" w:cs="Arial"/>
          <w:i w:val="0"/>
          <w:iCs w:val="0"/>
          <w:caps w:val="0"/>
          <w:color w:val="auto"/>
          <w:spacing w:val="0"/>
          <w:sz w:val="24"/>
          <w:szCs w:val="30"/>
          <w:shd w:val="clear" w:fill="FFFFFF"/>
          <w:lang w:val="en-US" w:eastAsia="zh-CN"/>
        </w:rPr>
        <w:t>.北京：人民卫生出版社，2015.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right="0" w:rightChars="0" w:hanging="600" w:hangingChars="25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default" w:ascii="宋体" w:hAnsi="宋体" w:eastAsia="宋体" w:cs="Arial"/>
          <w:i w:val="0"/>
          <w:iCs w:val="0"/>
          <w:caps w:val="0"/>
          <w:color w:val="auto"/>
          <w:spacing w:val="0"/>
          <w:sz w:val="24"/>
          <w:szCs w:val="30"/>
          <w:shd w:val="clear" w:fill="FFFFFF"/>
          <w:lang w:val="en-US" w:eastAsia="zh-CN"/>
        </w:rPr>
        <w:t>陈灏珠，林果为．实用内科学（第1</w:t>
      </w:r>
      <w:r>
        <w:rPr>
          <w:rFonts w:hint="eastAsia" w:ascii="宋体" w:hAnsi="宋体" w:eastAsia="宋体" w:cs="Arial"/>
          <w:i w:val="0"/>
          <w:iCs w:val="0"/>
          <w:caps w:val="0"/>
          <w:color w:val="auto"/>
          <w:spacing w:val="0"/>
          <w:sz w:val="24"/>
          <w:szCs w:val="30"/>
          <w:shd w:val="clear" w:fill="FFFFFF"/>
          <w:lang w:val="en-US" w:eastAsia="zh-CN"/>
        </w:rPr>
        <w:t>6</w:t>
      </w:r>
      <w:r>
        <w:rPr>
          <w:rFonts w:hint="default" w:ascii="宋体" w:hAnsi="宋体" w:eastAsia="宋体" w:cs="Arial"/>
          <w:i w:val="0"/>
          <w:iCs w:val="0"/>
          <w:caps w:val="0"/>
          <w:color w:val="auto"/>
          <w:spacing w:val="0"/>
          <w:sz w:val="24"/>
          <w:szCs w:val="30"/>
          <w:shd w:val="clear" w:fill="FFFFFF"/>
          <w:lang w:val="en-US" w:eastAsia="zh-CN"/>
        </w:rPr>
        <w:t>版）</w:t>
      </w:r>
      <w:r>
        <w:rPr>
          <w:rFonts w:hint="eastAsia" w:ascii="宋体" w:hAnsi="宋体" w:eastAsia="宋体" w:cs="Arial"/>
          <w:i w:val="0"/>
          <w:iCs w:val="0"/>
          <w:caps w:val="0"/>
          <w:color w:val="auto"/>
          <w:spacing w:val="0"/>
          <w:sz w:val="24"/>
          <w:szCs w:val="30"/>
          <w:shd w:val="clear" w:fill="FFFFFF"/>
          <w:lang w:val="en-US" w:eastAsia="zh-CN"/>
        </w:rPr>
        <w:t>下</w:t>
      </w:r>
      <w:r>
        <w:rPr>
          <w:rFonts w:hint="default" w:ascii="宋体" w:hAnsi="宋体" w:eastAsia="宋体" w:cs="Arial"/>
          <w:i w:val="0"/>
          <w:iCs w:val="0"/>
          <w:caps w:val="0"/>
          <w:color w:val="auto"/>
          <w:spacing w:val="0"/>
          <w:sz w:val="24"/>
          <w:szCs w:val="30"/>
          <w:shd w:val="clear" w:fill="FFFFFF"/>
          <w:lang w:val="en-US" w:eastAsia="zh-CN"/>
        </w:rPr>
        <w:t>册</w:t>
      </w:r>
      <w:r>
        <w:rPr>
          <w:rFonts w:hint="eastAsia" w:ascii="宋体" w:hAnsi="宋体" w:eastAsia="宋体" w:cs="Arial"/>
          <w:i w:val="0"/>
          <w:iCs w:val="0"/>
          <w:caps w:val="0"/>
          <w:color w:val="auto"/>
          <w:spacing w:val="0"/>
          <w:sz w:val="24"/>
          <w:szCs w:val="30"/>
          <w:shd w:val="clear" w:fill="FFFFFF"/>
          <w:lang w:val="en-US" w:eastAsia="zh-CN"/>
        </w:rPr>
        <w:t>.第二十一篇免疫性疾病.第五章荨麻疹和血管性水肿</w:t>
      </w:r>
      <w:r>
        <w:rPr>
          <w:rFonts w:hint="default" w:ascii="宋体" w:hAnsi="宋体" w:eastAsia="宋体" w:cs="Arial"/>
          <w:i w:val="0"/>
          <w:iCs w:val="0"/>
          <w:caps w:val="0"/>
          <w:color w:val="auto"/>
          <w:spacing w:val="0"/>
          <w:sz w:val="24"/>
          <w:szCs w:val="30"/>
          <w:shd w:val="clear" w:fill="FFFFFF"/>
          <w:lang w:val="en-US" w:eastAsia="zh-CN"/>
        </w:rPr>
        <w:t>［M］．北京：人民卫生出版社，20</w:t>
      </w:r>
      <w:r>
        <w:rPr>
          <w:rFonts w:hint="eastAsia" w:ascii="宋体" w:hAnsi="宋体" w:eastAsia="宋体" w:cs="Arial"/>
          <w:i w:val="0"/>
          <w:iCs w:val="0"/>
          <w:caps w:val="0"/>
          <w:color w:val="auto"/>
          <w:spacing w:val="0"/>
          <w:sz w:val="24"/>
          <w:szCs w:val="30"/>
          <w:shd w:val="clear" w:fill="FFFFFF"/>
          <w:lang w:val="en-US" w:eastAsia="zh-CN"/>
        </w:rPr>
        <w:t>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right="0" w:rightChars="0" w:hanging="600" w:hangingChars="250"/>
        <w:textAlignment w:val="auto"/>
        <w:outlineLvl w:val="9"/>
        <w:rPr>
          <w:rFonts w:hint="eastAsia"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］郝飞</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宋志强，陆前进</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中国荨麻疹诊疗</w:t>
      </w:r>
      <w:r>
        <w:rPr>
          <w:rFonts w:hint="default" w:ascii="宋体" w:hAnsi="宋体" w:eastAsia="宋体" w:cs="Arial"/>
          <w:i w:val="0"/>
          <w:iCs w:val="0"/>
          <w:caps w:val="0"/>
          <w:color w:val="auto"/>
          <w:spacing w:val="0"/>
          <w:sz w:val="24"/>
          <w:szCs w:val="30"/>
          <w:shd w:val="clear" w:fill="FFFFFF"/>
          <w:lang w:val="en-US" w:eastAsia="zh-CN"/>
        </w:rPr>
        <w:t>指南</w:t>
      </w:r>
      <w:r>
        <w:rPr>
          <w:rFonts w:hint="eastAsia" w:ascii="宋体" w:hAnsi="宋体" w:eastAsia="宋体" w:cs="Arial"/>
          <w:i w:val="0"/>
          <w:iCs w:val="0"/>
          <w:caps w:val="0"/>
          <w:color w:val="auto"/>
          <w:spacing w:val="0"/>
          <w:sz w:val="24"/>
          <w:szCs w:val="30"/>
          <w:shd w:val="clear" w:fill="FFFFFF"/>
          <w:lang w:val="en-US" w:eastAsia="zh-CN"/>
        </w:rPr>
        <w:t>（2018版）</w:t>
      </w:r>
      <w:r>
        <w:rPr>
          <w:rFonts w:hint="default" w:ascii="宋体" w:hAnsi="宋体" w:eastAsia="宋体" w:cs="Arial"/>
          <w:i w:val="0"/>
          <w:iCs w:val="0"/>
          <w:caps w:val="0"/>
          <w:color w:val="auto"/>
          <w:spacing w:val="0"/>
          <w:sz w:val="24"/>
          <w:szCs w:val="30"/>
          <w:shd w:val="clear" w:fill="FFFFFF"/>
          <w:lang w:val="en-US" w:eastAsia="zh-CN"/>
        </w:rPr>
        <w:t>［J］．</w:t>
      </w:r>
      <w:r>
        <w:rPr>
          <w:rFonts w:hint="eastAsia" w:ascii="宋体" w:hAnsi="宋体" w:eastAsia="宋体" w:cs="Arial"/>
          <w:i w:val="0"/>
          <w:iCs w:val="0"/>
          <w:caps w:val="0"/>
          <w:color w:val="auto"/>
          <w:spacing w:val="0"/>
          <w:sz w:val="24"/>
          <w:szCs w:val="30"/>
          <w:shd w:val="clear" w:fill="FFFFFF"/>
          <w:lang w:val="en-US" w:eastAsia="zh-CN"/>
        </w:rPr>
        <w:t>中华皮肤科</w:t>
      </w:r>
      <w:r>
        <w:rPr>
          <w:rFonts w:hint="default" w:ascii="宋体" w:hAnsi="宋体" w:eastAsia="宋体" w:cs="Arial"/>
          <w:i w:val="0"/>
          <w:iCs w:val="0"/>
          <w:caps w:val="0"/>
          <w:color w:val="auto"/>
          <w:spacing w:val="0"/>
          <w:sz w:val="24"/>
          <w:szCs w:val="30"/>
          <w:shd w:val="clear" w:fill="FFFFFF"/>
          <w:lang w:val="en-US" w:eastAsia="zh-CN"/>
        </w:rPr>
        <w:t>杂志，201</w:t>
      </w:r>
      <w:r>
        <w:rPr>
          <w:rFonts w:hint="eastAsia" w:ascii="宋体" w:hAnsi="宋体" w:eastAsia="宋体" w:cs="Arial"/>
          <w:i w:val="0"/>
          <w:iCs w:val="0"/>
          <w:caps w:val="0"/>
          <w:color w:val="auto"/>
          <w:spacing w:val="0"/>
          <w:sz w:val="24"/>
          <w:szCs w:val="30"/>
          <w:shd w:val="clear" w:fill="FFFFFF"/>
          <w:lang w:val="en-US" w:eastAsia="zh-CN"/>
        </w:rPr>
        <w:t>9</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52</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1</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宋体" w:cs="黑体"/>
          <w:b w:val="0"/>
          <w:bCs/>
          <w:color w:val="auto"/>
          <w:sz w:val="24"/>
          <w:szCs w:val="28"/>
          <w:lang w:eastAsia="zh-CN"/>
        </w:rPr>
      </w:pPr>
      <w:r>
        <w:rPr>
          <w:rFonts w:hint="eastAsia" w:ascii="黑体" w:hAnsi="黑体" w:eastAsia="宋体" w:cs="黑体"/>
          <w:b w:val="0"/>
          <w:bCs/>
          <w:color w:val="auto"/>
          <w:sz w:val="24"/>
          <w:szCs w:val="28"/>
          <w:lang w:eastAsia="zh-CN"/>
        </w:rPr>
        <w:t>修订记录</w:t>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eastAsia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eastAsia="zh-CN"/>
              </w:rPr>
              <w:t>序号</w:t>
            </w:r>
          </w:p>
        </w:tc>
        <w:tc>
          <w:tcPr>
            <w:tcW w:w="1036"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eastAsia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eastAsia="zh-CN"/>
              </w:rPr>
              <w:t>修订前版本号</w:t>
            </w:r>
          </w:p>
        </w:tc>
        <w:tc>
          <w:tcPr>
            <w:tcW w:w="1050"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eastAsia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eastAsia="zh-CN"/>
              </w:rPr>
              <w:t>修订后版本号</w:t>
            </w:r>
          </w:p>
        </w:tc>
        <w:tc>
          <w:tcPr>
            <w:tcW w:w="2604"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eastAsia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eastAsia="zh-CN"/>
              </w:rPr>
              <w:t>修订原因、依据</w:t>
            </w:r>
          </w:p>
        </w:tc>
        <w:tc>
          <w:tcPr>
            <w:tcW w:w="269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Theme="minorEastAsia" w:hAnsiTheme="minorEastAsia" w:eastAsia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eastAsia="zh-CN"/>
              </w:rPr>
              <w:t>修订内容</w:t>
            </w:r>
          </w:p>
        </w:tc>
        <w:tc>
          <w:tcPr>
            <w:tcW w:w="1420"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Theme="minorEastAsia" w:hAnsi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val="en-US" w:eastAsia="zh-CN"/>
              </w:rPr>
              <w:t>修订人/</w:t>
            </w:r>
            <w:r>
              <w:rPr>
                <w:rFonts w:hint="eastAsia" w:asciiTheme="minorEastAsia" w:hAnsiTheme="minorEastAsia" w:cstheme="minorEastAsia"/>
                <w:color w:val="auto"/>
                <w:sz w:val="24"/>
                <w:szCs w:val="24"/>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45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eastAsiaTheme="minorEastAsia" w:cstheme="minorEastAsia"/>
                <w:color w:val="auto"/>
                <w:sz w:val="24"/>
                <w:szCs w:val="24"/>
                <w:vertAlign w:val="baseline"/>
                <w:lang w:val="en-US" w:eastAsia="zh-CN"/>
              </w:rPr>
            </w:pPr>
            <w:r>
              <w:rPr>
                <w:rFonts w:hint="eastAsia" w:asciiTheme="minorEastAsia" w:hAnsiTheme="minorEastAsia" w:cstheme="minorEastAsia"/>
                <w:color w:val="auto"/>
                <w:sz w:val="24"/>
                <w:szCs w:val="24"/>
                <w:vertAlign w:val="baseline"/>
                <w:lang w:val="en-US" w:eastAsia="zh-CN"/>
              </w:rPr>
              <w:t>1</w:t>
            </w:r>
          </w:p>
        </w:tc>
        <w:tc>
          <w:tcPr>
            <w:tcW w:w="1036"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eastAsiaTheme="minorEastAsia" w:cstheme="minorEastAsia"/>
                <w:color w:val="auto"/>
                <w:sz w:val="24"/>
                <w:szCs w:val="24"/>
                <w:vertAlign w:val="baseline"/>
                <w:lang w:val="en-US" w:eastAsia="zh-CN"/>
              </w:rPr>
            </w:pPr>
            <w:r>
              <w:rPr>
                <w:rFonts w:hint="eastAsia" w:asciiTheme="minorEastAsia" w:hAnsiTheme="minorEastAsia" w:cstheme="minorEastAsia"/>
                <w:color w:val="auto"/>
                <w:sz w:val="24"/>
                <w:szCs w:val="24"/>
                <w:vertAlign w:val="baseline"/>
                <w:lang w:val="en-US" w:eastAsia="zh-CN"/>
              </w:rPr>
              <w:t>3.0</w:t>
            </w:r>
          </w:p>
        </w:tc>
        <w:tc>
          <w:tcPr>
            <w:tcW w:w="1050"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eastAsiaTheme="minorEastAsia" w:cstheme="minorEastAsia"/>
                <w:color w:val="auto"/>
                <w:sz w:val="24"/>
                <w:szCs w:val="24"/>
                <w:vertAlign w:val="baseline"/>
                <w:lang w:val="en-US" w:eastAsia="zh-CN"/>
              </w:rPr>
            </w:pPr>
            <w:r>
              <w:rPr>
                <w:rFonts w:hint="eastAsia" w:asciiTheme="minorEastAsia" w:hAnsiTheme="minorEastAsia" w:cstheme="minorEastAsia"/>
                <w:color w:val="auto"/>
                <w:sz w:val="24"/>
                <w:szCs w:val="24"/>
                <w:vertAlign w:val="baseline"/>
                <w:lang w:val="en-US" w:eastAsia="zh-CN"/>
              </w:rPr>
              <w:t>3.1</w:t>
            </w:r>
          </w:p>
        </w:tc>
        <w:tc>
          <w:tcPr>
            <w:tcW w:w="2604"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val="en-US" w:eastAsia="zh-CN"/>
              </w:rPr>
              <w:t>1</w:t>
            </w:r>
            <w:r>
              <w:rPr>
                <w:rFonts w:hint="eastAsia" w:asciiTheme="minorEastAsia" w:hAnsiTheme="minorEastAsia" w:cstheme="minorEastAsia"/>
                <w:color w:val="auto"/>
                <w:sz w:val="24"/>
                <w:szCs w:val="24"/>
                <w:vertAlign w:val="baseline"/>
                <w:lang w:eastAsia="zh-CN"/>
              </w:rPr>
              <w:t>增加应急预案参考文献信息</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val="en-US" w:eastAsia="zh-CN"/>
              </w:rPr>
              <w:t>2</w:t>
            </w:r>
            <w:r>
              <w:rPr>
                <w:rFonts w:hint="eastAsia" w:asciiTheme="minorEastAsia" w:hAnsiTheme="minorEastAsia" w:cstheme="minorEastAsia"/>
                <w:color w:val="auto"/>
                <w:sz w:val="24"/>
                <w:szCs w:val="24"/>
                <w:vertAlign w:val="baseline"/>
                <w:lang w:eastAsia="zh-CN"/>
              </w:rPr>
              <w:t>根据最新参考文献修订具体内容</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cstheme="minorEastAsia"/>
                <w:color w:val="auto"/>
                <w:sz w:val="24"/>
                <w:szCs w:val="24"/>
                <w:vertAlign w:val="baseline"/>
                <w:lang w:val="en-US" w:eastAsia="zh-CN"/>
              </w:rPr>
            </w:pPr>
          </w:p>
        </w:tc>
        <w:tc>
          <w:tcPr>
            <w:tcW w:w="269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cstheme="minorEastAsia"/>
                <w:color w:val="auto"/>
                <w:sz w:val="24"/>
                <w:szCs w:val="24"/>
                <w:vertAlign w:val="baseline"/>
                <w:lang w:val="en-US" w:eastAsia="zh-CN"/>
              </w:rPr>
            </w:pPr>
            <w:r>
              <w:rPr>
                <w:rFonts w:hint="eastAsia" w:asciiTheme="minorEastAsia" w:hAnsiTheme="minorEastAsia" w:cstheme="minorEastAsia"/>
                <w:color w:val="auto"/>
                <w:sz w:val="24"/>
                <w:szCs w:val="24"/>
                <w:vertAlign w:val="baseline"/>
                <w:lang w:val="en-US" w:eastAsia="zh-CN"/>
              </w:rPr>
              <w:t>1文末添加相关参考文献名称、作者、时间等信息</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cstheme="minorEastAsia"/>
                <w:color w:val="auto"/>
                <w:sz w:val="24"/>
                <w:szCs w:val="24"/>
                <w:vertAlign w:val="baseline"/>
                <w:lang w:val="en-US" w:eastAsia="zh-CN"/>
              </w:rPr>
            </w:pPr>
            <w:r>
              <w:rPr>
                <w:rFonts w:hint="eastAsia" w:asciiTheme="minorEastAsia" w:hAnsiTheme="minorEastAsia" w:cstheme="minorEastAsia"/>
                <w:color w:val="auto"/>
                <w:sz w:val="24"/>
                <w:szCs w:val="24"/>
                <w:vertAlign w:val="baseline"/>
                <w:lang w:val="en-US" w:eastAsia="zh-CN"/>
              </w:rPr>
              <w:t>2根据最新文献诊治标准更新现行诊疗流程</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cstheme="minorEastAsia"/>
                <w:color w:val="auto"/>
                <w:sz w:val="24"/>
                <w:szCs w:val="24"/>
                <w:vertAlign w:val="baseline"/>
                <w:lang w:val="en-US" w:eastAsia="zh-CN"/>
              </w:rPr>
            </w:pPr>
          </w:p>
        </w:tc>
        <w:tc>
          <w:tcPr>
            <w:tcW w:w="1420"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cstheme="minorEastAsia"/>
                <w:color w:val="auto"/>
                <w:sz w:val="24"/>
                <w:szCs w:val="24"/>
                <w:vertAlign w:val="baseline"/>
                <w:lang w:val="en-US" w:eastAsia="zh-CN"/>
              </w:rPr>
            </w:pPr>
          </w:p>
        </w:tc>
      </w:tr>
    </w:tbl>
    <w:p>
      <w:pPr>
        <w:pStyle w:val="33"/>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b/>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3092" w:firstLineChars="1100"/>
        <w:jc w:val="both"/>
        <w:textAlignment w:val="auto"/>
        <w:outlineLvl w:val="9"/>
        <w:rPr>
          <w:rFonts w:hint="eastAsia" w:ascii="黑体" w:hAnsi="黑体" w:eastAsia="黑体" w:cs="黑体"/>
          <w:b/>
          <w:bCs/>
          <w:color w:val="auto"/>
          <w:sz w:val="28"/>
          <w:szCs w:val="28"/>
        </w:rPr>
        <w:sectPr>
          <w:headerReference r:id="rId188" w:type="default"/>
          <w:footerReference r:id="rId189" w:type="default"/>
          <w:pgSz w:w="11906" w:h="16838"/>
          <w:pgMar w:top="1440" w:right="1236" w:bottom="1440" w:left="1463" w:header="0" w:footer="992" w:gutter="0"/>
          <w:pgNumType w:fmt="decimal"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黑体" w:hAnsi="黑体" w:eastAsia="黑体" w:cs="黑体"/>
          <w:color w:val="auto"/>
          <w:sz w:val="28"/>
          <w:szCs w:val="28"/>
        </w:rPr>
      </w:pPr>
      <w:r>
        <w:rPr>
          <w:rFonts w:hint="eastAsia" w:ascii="黑体" w:hAnsi="黑体" w:eastAsia="黑体" w:cs="黑体"/>
          <w:b/>
          <w:bCs/>
          <w:color w:val="auto"/>
          <w:sz w:val="28"/>
          <w:szCs w:val="28"/>
        </w:rPr>
        <w:t>晕厥的</w:t>
      </w:r>
      <w:r>
        <w:rPr>
          <w:rFonts w:hint="eastAsia" w:ascii="黑体" w:hAnsi="黑体" w:eastAsia="黑体" w:cs="黑体"/>
          <w:b/>
          <w:bCs/>
          <w:color w:val="auto"/>
          <w:sz w:val="28"/>
          <w:szCs w:val="28"/>
          <w:lang w:eastAsia="zh-CN"/>
        </w:rPr>
        <w:t>急救</w:t>
      </w:r>
      <w:r>
        <w:rPr>
          <w:rFonts w:hint="eastAsia" w:ascii="黑体" w:hAnsi="黑体" w:eastAsia="黑体" w:cs="黑体"/>
          <w:b/>
          <w:bCs/>
          <w:color w:val="auto"/>
          <w:sz w:val="28"/>
          <w:szCs w:val="28"/>
        </w:rPr>
        <w:t>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ascii="宋体" w:hAnsi="宋体" w:cs="宋体"/>
          <w:color w:val="auto"/>
          <w:sz w:val="24"/>
          <w:szCs w:val="24"/>
          <w:lang w:eastAsia="zh-CN"/>
        </w:rPr>
        <w:t>、</w:t>
      </w:r>
      <w:r>
        <w:rPr>
          <w:rFonts w:hint="eastAsia" w:ascii="宋体" w:hAnsi="宋体" w:eastAsia="宋体" w:cs="宋体"/>
          <w:color w:val="auto"/>
          <w:sz w:val="24"/>
          <w:szCs w:val="24"/>
        </w:rPr>
        <w:t>目的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为使晕厥的救治规范化，特制订本规范。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二、</w:t>
      </w:r>
      <w:r>
        <w:rPr>
          <w:rFonts w:hint="eastAsia" w:ascii="宋体" w:hAnsi="宋体" w:eastAsia="宋体" w:cs="宋体"/>
          <w:color w:val="auto"/>
          <w:sz w:val="24"/>
          <w:szCs w:val="24"/>
        </w:rPr>
        <w:t>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适用于临床试验所有受试者。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ascii="宋体" w:hAnsi="宋体" w:cs="宋体"/>
          <w:color w:val="auto"/>
          <w:sz w:val="24"/>
          <w:szCs w:val="24"/>
          <w:lang w:eastAsia="zh-CN"/>
        </w:rPr>
        <w:t>、急救程序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晕厥是指</w:t>
      </w:r>
      <w:r>
        <w:rPr>
          <w:rFonts w:ascii="宋体" w:hAnsi="宋体" w:eastAsia="宋体" w:cs="FZSSK--GBK1-0"/>
          <w:color w:val="auto"/>
          <w:kern w:val="0"/>
          <w:sz w:val="24"/>
          <w:szCs w:val="21"/>
          <w:lang w:val="en-US" w:eastAsia="zh-CN" w:bidi="ar"/>
        </w:rPr>
        <w:t>一过性全脑血液低灌注导致的短暂</w:t>
      </w:r>
      <w:r>
        <w:rPr>
          <w:rFonts w:hint="eastAsia" w:ascii="宋体" w:hAnsi="宋体" w:eastAsia="宋体" w:cs="FZSSK--GBK1-0"/>
          <w:color w:val="auto"/>
          <w:kern w:val="0"/>
          <w:sz w:val="24"/>
          <w:szCs w:val="21"/>
          <w:lang w:val="en-US" w:eastAsia="zh-CN" w:bidi="ar"/>
        </w:rPr>
        <w:t>意识丧失，</w:t>
      </w:r>
      <w:r>
        <w:rPr>
          <w:rFonts w:hint="default" w:ascii="宋体" w:hAnsi="宋体" w:eastAsia="宋体" w:cs="FZSSK--GBK1-0"/>
          <w:color w:val="auto"/>
          <w:kern w:val="0"/>
          <w:sz w:val="24"/>
          <w:szCs w:val="21"/>
          <w:lang w:val="en-US" w:eastAsia="zh-CN" w:bidi="ar"/>
        </w:rPr>
        <w:t>特点为发生迅速、一过性、自限性</w:t>
      </w:r>
      <w:r>
        <w:rPr>
          <w:rFonts w:hint="eastAsia" w:ascii="宋体" w:hAnsi="宋体" w:eastAsia="宋体" w:cs="FZSSK--GBK1-0"/>
          <w:color w:val="auto"/>
          <w:kern w:val="0"/>
          <w:sz w:val="24"/>
          <w:szCs w:val="21"/>
          <w:lang w:val="en-US" w:eastAsia="zh-CN" w:bidi="ar"/>
        </w:rPr>
        <w:t>，</w:t>
      </w:r>
      <w:r>
        <w:rPr>
          <w:rFonts w:hint="default" w:ascii="宋体" w:hAnsi="宋体" w:eastAsia="宋体" w:cs="FZSSK--GBK1-0"/>
          <w:color w:val="auto"/>
          <w:kern w:val="0"/>
          <w:sz w:val="24"/>
          <w:szCs w:val="21"/>
          <w:lang w:val="en-US" w:eastAsia="zh-CN" w:bidi="ar"/>
        </w:rPr>
        <w:t>并能够完全恢复。</w:t>
      </w:r>
      <w:r>
        <w:rPr>
          <w:rFonts w:hint="eastAsia" w:ascii="宋体" w:hAnsi="宋体" w:eastAsia="宋体" w:cs="宋体"/>
          <w:color w:val="auto"/>
          <w:sz w:val="24"/>
          <w:szCs w:val="24"/>
        </w:rPr>
        <w:t>晕厥为临床常见症状之一，可见于器质性疾患，亦可见于功能性因素。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1．一般治疗：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(l)发生晕厥后就地立即平卧，按压人中，测量生命体征</w:t>
      </w:r>
      <w:r>
        <w:rPr>
          <w:rFonts w:hint="eastAsia" w:ascii="宋体" w:hAnsi="宋体" w:eastAsia="宋体" w:cs="宋体"/>
          <w:color w:val="auto"/>
          <w:sz w:val="24"/>
          <w:szCs w:val="24"/>
          <w:lang w:eastAsia="zh-CN"/>
        </w:rPr>
        <w:t>，有低血压者，给与静脉补液处理，有恶性心律失常者，给与抗心律失常药物处理，同时给与心电监护，直至生命体征平稳</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(2)吸氧。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(3)解开衣领，注意排痰，呕吐者的头偏向一侧，以防窒息。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(4)苏醒后给受试者饮糖水、热茶等饮料促进恢复，且不宜马上起床，以防复发。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2．病因治疗：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(1)反射性晕厥</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lang w:eastAsia="zh-CN"/>
        </w:rPr>
        <w:t>晕针</w:t>
      </w:r>
      <w:r>
        <w:rPr>
          <w:rFonts w:hint="eastAsia"/>
          <w:color w:val="auto"/>
          <w:sz w:val="24"/>
          <w:szCs w:val="24"/>
          <w:lang w:val="en-US" w:eastAsia="zh-CN"/>
        </w:rPr>
        <w:t>/晕血属于反射性晕厥中</w:t>
      </w:r>
      <w:r>
        <w:rPr>
          <w:color w:val="auto"/>
          <w:sz w:val="24"/>
          <w:szCs w:val="24"/>
        </w:rPr>
        <w:t>血管迷走性晕厥</w:t>
      </w:r>
      <w:r>
        <w:rPr>
          <w:rFonts w:hint="eastAsia"/>
          <w:color w:val="auto"/>
          <w:sz w:val="24"/>
          <w:szCs w:val="24"/>
          <w:lang w:eastAsia="zh-CN"/>
        </w:rPr>
        <w:t>的类型，</w:t>
      </w:r>
      <w:r>
        <w:rPr>
          <w:rFonts w:hint="eastAsia"/>
          <w:color w:val="auto"/>
          <w:sz w:val="24"/>
          <w:szCs w:val="24"/>
          <w:lang w:val="en-US" w:eastAsia="zh-CN"/>
        </w:rPr>
        <w:t>为临床试验中常见情况；</w:t>
      </w:r>
      <w:r>
        <w:rPr>
          <w:color w:val="auto"/>
          <w:sz w:val="24"/>
          <w:szCs w:val="24"/>
        </w:rPr>
        <w:t>晕针</w:t>
      </w:r>
      <w:r>
        <w:rPr>
          <w:rFonts w:hint="eastAsia"/>
          <w:color w:val="auto"/>
          <w:sz w:val="24"/>
          <w:szCs w:val="24"/>
          <w:lang w:val="en-US" w:eastAsia="zh-CN"/>
        </w:rPr>
        <w:t>/晕血</w:t>
      </w:r>
      <w:r>
        <w:rPr>
          <w:color w:val="auto"/>
          <w:sz w:val="24"/>
          <w:szCs w:val="24"/>
        </w:rPr>
        <w:t>通常在针刺</w:t>
      </w:r>
      <w:r>
        <w:rPr>
          <w:rFonts w:hint="eastAsia"/>
          <w:color w:val="auto"/>
          <w:sz w:val="24"/>
          <w:szCs w:val="24"/>
          <w:lang w:val="en-US" w:eastAsia="zh-CN"/>
        </w:rPr>
        <w:t>/抽血</w:t>
      </w:r>
      <w:r>
        <w:rPr>
          <w:color w:val="auto"/>
          <w:sz w:val="24"/>
          <w:szCs w:val="24"/>
        </w:rPr>
        <w:t>过程中或者针刺后数分钟内发生。临床表现为突然面色苍白、头晕目眩、心慌气短、出冷汗、恶心、四肢湿冷、</w:t>
      </w:r>
      <w:r>
        <w:rPr>
          <w:rFonts w:hint="eastAsia"/>
          <w:color w:val="auto"/>
          <w:sz w:val="24"/>
          <w:szCs w:val="24"/>
          <w:lang w:eastAsia="zh-CN"/>
        </w:rPr>
        <w:t>无力，严重者会出现</w:t>
      </w:r>
      <w:r>
        <w:rPr>
          <w:color w:val="auto"/>
          <w:sz w:val="24"/>
          <w:szCs w:val="24"/>
        </w:rPr>
        <w:t>血压下降，</w:t>
      </w:r>
      <w:r>
        <w:rPr>
          <w:rFonts w:hint="eastAsia"/>
          <w:color w:val="auto"/>
          <w:sz w:val="24"/>
          <w:szCs w:val="24"/>
          <w:lang w:eastAsia="zh-CN"/>
        </w:rPr>
        <w:t>意识模糊，甚至</w:t>
      </w:r>
      <w:r>
        <w:rPr>
          <w:color w:val="auto"/>
          <w:sz w:val="24"/>
          <w:szCs w:val="24"/>
        </w:rPr>
        <w:t>昏迷、唇甲青紫、大小便失禁等。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eastAsia="zh-CN"/>
        </w:rPr>
        <w:t>处理措施：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晕针</w:t>
      </w:r>
      <w:r>
        <w:rPr>
          <w:rFonts w:hint="eastAsia"/>
          <w:color w:val="auto"/>
          <w:sz w:val="24"/>
          <w:szCs w:val="24"/>
          <w:lang w:val="en-US" w:eastAsia="zh-CN"/>
        </w:rPr>
        <w:t>/晕血</w:t>
      </w:r>
      <w:r>
        <w:rPr>
          <w:color w:val="auto"/>
          <w:sz w:val="24"/>
          <w:szCs w:val="24"/>
        </w:rPr>
        <w:t>后应立刻停止针刺</w:t>
      </w:r>
      <w:r>
        <w:rPr>
          <w:rFonts w:hint="eastAsia"/>
          <w:color w:val="auto"/>
          <w:sz w:val="24"/>
          <w:szCs w:val="24"/>
          <w:lang w:val="en-US" w:eastAsia="zh-CN"/>
        </w:rPr>
        <w:t>/抽血</w:t>
      </w:r>
      <w:r>
        <w:rPr>
          <w:color w:val="auto"/>
          <w:sz w:val="24"/>
          <w:szCs w:val="24"/>
        </w:rPr>
        <w:t>，</w:t>
      </w:r>
      <w:r>
        <w:rPr>
          <w:rFonts w:hint="eastAsia"/>
          <w:color w:val="auto"/>
          <w:sz w:val="24"/>
          <w:szCs w:val="24"/>
          <w:lang w:eastAsia="zh-CN"/>
        </w:rPr>
        <w:t>原地平卧</w:t>
      </w:r>
      <w:r>
        <w:rPr>
          <w:color w:val="auto"/>
          <w:sz w:val="24"/>
          <w:szCs w:val="24"/>
        </w:rPr>
        <w:t>休息，放松心情，</w:t>
      </w:r>
      <w:r>
        <w:rPr>
          <w:rFonts w:hint="eastAsia"/>
          <w:color w:val="auto"/>
          <w:sz w:val="24"/>
          <w:szCs w:val="24"/>
          <w:lang w:eastAsia="zh-CN"/>
        </w:rPr>
        <w:t>测量血压，病情轻者，多数</w:t>
      </w:r>
      <w:r>
        <w:rPr>
          <w:color w:val="auto"/>
          <w:sz w:val="24"/>
          <w:szCs w:val="24"/>
        </w:rPr>
        <w:t>会逐渐自行好转；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Arial" w:hAnsi="Arial" w:eastAsia="宋体" w:cs="Arial"/>
          <w:i w:val="0"/>
          <w:iCs w:val="0"/>
          <w:caps w:val="0"/>
          <w:color w:val="auto"/>
          <w:spacing w:val="0"/>
          <w:sz w:val="24"/>
          <w:szCs w:val="27"/>
          <w:shd w:val="clear" w:fill="FFFFFF"/>
        </w:rPr>
      </w:pPr>
      <w:r>
        <w:rPr>
          <w:color w:val="auto"/>
          <w:sz w:val="24"/>
          <w:szCs w:val="24"/>
        </w:rPr>
        <w:t>在有</w:t>
      </w:r>
      <w:r>
        <w:rPr>
          <w:rFonts w:hint="eastAsia"/>
          <w:color w:val="auto"/>
          <w:sz w:val="24"/>
          <w:szCs w:val="24"/>
          <w:lang w:eastAsia="zh-CN"/>
        </w:rPr>
        <w:t>晕针</w:t>
      </w:r>
      <w:r>
        <w:rPr>
          <w:rFonts w:hint="eastAsia"/>
          <w:color w:val="auto"/>
          <w:sz w:val="24"/>
          <w:szCs w:val="24"/>
          <w:lang w:val="en-US" w:eastAsia="zh-CN"/>
        </w:rPr>
        <w:t>/晕血</w:t>
      </w:r>
      <w:r>
        <w:rPr>
          <w:color w:val="auto"/>
          <w:sz w:val="24"/>
          <w:szCs w:val="24"/>
        </w:rPr>
        <w:t>先兆且时间充分期间</w:t>
      </w:r>
      <w:r>
        <w:rPr>
          <w:rFonts w:hint="eastAsia"/>
          <w:color w:val="auto"/>
          <w:sz w:val="24"/>
          <w:szCs w:val="24"/>
          <w:lang w:eastAsia="zh-CN"/>
        </w:rPr>
        <w:t>可用以下</w:t>
      </w:r>
      <w:r>
        <w:rPr>
          <w:color w:val="auto"/>
          <w:sz w:val="24"/>
          <w:szCs w:val="24"/>
        </w:rPr>
        <w:t>物理治疗：</w:t>
      </w:r>
      <w:r>
        <w:rPr>
          <w:rFonts w:hint="eastAsia"/>
          <w:color w:val="auto"/>
          <w:sz w:val="24"/>
          <w:szCs w:val="24"/>
          <w:lang w:eastAsia="zh-CN"/>
        </w:rPr>
        <w:t>（该疗法是反射性晕厥的</w:t>
      </w:r>
      <w:r>
        <w:rPr>
          <w:color w:val="auto"/>
          <w:sz w:val="24"/>
          <w:szCs w:val="24"/>
        </w:rPr>
        <w:t>一线治疗方法</w:t>
      </w:r>
      <w:r>
        <w:rPr>
          <w:rFonts w:hint="eastAsia"/>
          <w:color w:val="auto"/>
          <w:sz w:val="24"/>
          <w:szCs w:val="24"/>
          <w:lang w:eastAsia="zh-CN"/>
        </w:rPr>
        <w:t>）；</w:t>
      </w:r>
      <w:r>
        <w:rPr>
          <w:color w:val="auto"/>
          <w:sz w:val="24"/>
          <w:szCs w:val="24"/>
        </w:rPr>
        <w:t>肢体加压动作是临时措施，双腿或双上肢肌肉做等长收缩（双腿交叉、双手紧握和上肢紧绷），可能</w:t>
      </w:r>
      <w:r>
        <w:rPr>
          <w:rFonts w:ascii="Arial" w:hAnsi="Arial" w:eastAsia="宋体" w:cs="Arial"/>
          <w:i w:val="0"/>
          <w:iCs w:val="0"/>
          <w:caps w:val="0"/>
          <w:color w:val="auto"/>
          <w:spacing w:val="0"/>
          <w:sz w:val="24"/>
          <w:szCs w:val="27"/>
          <w:shd w:val="clear" w:fill="FFFFFF"/>
        </w:rPr>
        <w:t>增加心输出量并升高血压，避免或延迟意识的丧失</w:t>
      </w:r>
      <w:r>
        <w:rPr>
          <w:rFonts w:hint="eastAsia" w:ascii="Arial" w:hAnsi="Arial" w:eastAsia="宋体" w:cs="Arial"/>
          <w:i w:val="0"/>
          <w:iCs w:val="0"/>
          <w:caps w:val="0"/>
          <w:color w:val="auto"/>
          <w:spacing w:val="0"/>
          <w:sz w:val="24"/>
          <w:szCs w:val="27"/>
          <w:shd w:val="clear" w:fill="FFFFFF"/>
          <w:lang w:eastAsia="zh-CN"/>
        </w:rPr>
        <w:t>，</w:t>
      </w:r>
      <w:r>
        <w:rPr>
          <w:rFonts w:ascii="Arial" w:hAnsi="Arial" w:eastAsia="宋体" w:cs="Arial"/>
          <w:i w:val="0"/>
          <w:iCs w:val="0"/>
          <w:caps w:val="0"/>
          <w:color w:val="auto"/>
          <w:spacing w:val="0"/>
          <w:sz w:val="24"/>
          <w:szCs w:val="27"/>
          <w:shd w:val="clear" w:fill="FFFFFF"/>
        </w:rPr>
        <w:t>但不推荐用于老年</w:t>
      </w:r>
      <w:r>
        <w:rPr>
          <w:rFonts w:hint="eastAsia" w:ascii="Arial" w:hAnsi="Arial" w:eastAsia="宋体" w:cs="Arial"/>
          <w:i w:val="0"/>
          <w:iCs w:val="0"/>
          <w:caps w:val="0"/>
          <w:color w:val="auto"/>
          <w:spacing w:val="0"/>
          <w:sz w:val="24"/>
          <w:szCs w:val="27"/>
          <w:shd w:val="clear" w:fill="FFFFFF"/>
          <w:lang w:eastAsia="zh-CN"/>
        </w:rPr>
        <w:t>患者</w:t>
      </w:r>
      <w:r>
        <w:rPr>
          <w:rFonts w:ascii="Arial" w:hAnsi="Arial" w:eastAsia="宋体" w:cs="Arial"/>
          <w:i w:val="0"/>
          <w:iCs w:val="0"/>
          <w:caps w:val="0"/>
          <w:color w:val="auto"/>
          <w:spacing w:val="0"/>
          <w:sz w:val="24"/>
          <w:szCs w:val="27"/>
          <w:shd w:val="clear" w:fill="FFFFFF"/>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方正书宋_GBK" w:hAnsi="方正书宋_GBK" w:eastAsia="宋体" w:cs="方正书宋_GBK"/>
          <w:color w:val="auto"/>
          <w:kern w:val="0"/>
          <w:sz w:val="24"/>
          <w:szCs w:val="14"/>
          <w:lang w:val="en-US" w:eastAsia="zh-CN" w:bidi="ar"/>
        </w:rPr>
      </w:pPr>
      <w:r>
        <w:rPr>
          <w:rFonts w:ascii="微软雅黑" w:hAnsi="微软雅黑" w:eastAsia="宋体" w:cs="微软雅黑"/>
          <w:i w:val="0"/>
          <w:iCs w:val="0"/>
          <w:caps w:val="0"/>
          <w:color w:val="auto"/>
          <w:spacing w:val="0"/>
          <w:sz w:val="24"/>
          <w:szCs w:val="24"/>
        </w:rPr>
        <w:t>但若病情严重，可根据患者情况</w:t>
      </w:r>
      <w:r>
        <w:rPr>
          <w:rFonts w:hint="eastAsia" w:ascii="微软雅黑" w:hAnsi="微软雅黑" w:eastAsia="宋体" w:cs="微软雅黑"/>
          <w:i w:val="0"/>
          <w:iCs w:val="0"/>
          <w:caps w:val="0"/>
          <w:color w:val="auto"/>
          <w:spacing w:val="0"/>
          <w:sz w:val="24"/>
          <w:szCs w:val="24"/>
          <w:lang w:eastAsia="zh-CN"/>
        </w:rPr>
        <w:t>立即指压人中、合谷穴，根据血压，临床表现</w:t>
      </w:r>
      <w:r>
        <w:rPr>
          <w:rFonts w:ascii="微软雅黑" w:hAnsi="微软雅黑" w:eastAsia="宋体" w:cs="微软雅黑"/>
          <w:i w:val="0"/>
          <w:iCs w:val="0"/>
          <w:caps w:val="0"/>
          <w:color w:val="auto"/>
          <w:spacing w:val="0"/>
          <w:sz w:val="24"/>
          <w:szCs w:val="24"/>
        </w:rPr>
        <w:t>给予药物</w:t>
      </w:r>
      <w:r>
        <w:rPr>
          <w:rFonts w:hint="eastAsia" w:ascii="微软雅黑" w:hAnsi="微软雅黑" w:eastAsia="宋体" w:cs="微软雅黑"/>
          <w:i w:val="0"/>
          <w:iCs w:val="0"/>
          <w:caps w:val="0"/>
          <w:color w:val="auto"/>
          <w:spacing w:val="0"/>
          <w:sz w:val="24"/>
          <w:szCs w:val="24"/>
          <w:lang w:eastAsia="zh-CN"/>
        </w:rPr>
        <w:t>对症</w:t>
      </w:r>
      <w:r>
        <w:rPr>
          <w:rFonts w:ascii="微软雅黑" w:hAnsi="微软雅黑" w:eastAsia="宋体" w:cs="微软雅黑"/>
          <w:i w:val="0"/>
          <w:iCs w:val="0"/>
          <w:caps w:val="0"/>
          <w:color w:val="auto"/>
          <w:spacing w:val="0"/>
          <w:sz w:val="24"/>
          <w:szCs w:val="24"/>
        </w:rPr>
        <w:t>治疗。</w:t>
      </w:r>
      <w:r>
        <w:rPr>
          <w:rFonts w:hint="eastAsia" w:ascii="宋体" w:hAnsi="宋体" w:eastAsia="宋体" w:cs="宋体"/>
          <w:color w:val="auto"/>
          <w:sz w:val="24"/>
          <w:szCs w:val="24"/>
          <w:lang w:eastAsia="zh-CN"/>
        </w:rPr>
        <w:t>如出现明显心动过缓者</w:t>
      </w:r>
      <w:r>
        <w:rPr>
          <w:rFonts w:hint="eastAsia" w:ascii="宋体" w:hAnsi="宋体" w:eastAsia="宋体" w:cs="宋体"/>
          <w:color w:val="auto"/>
          <w:sz w:val="24"/>
          <w:szCs w:val="24"/>
        </w:rPr>
        <w:t>可应用阿托品，</w:t>
      </w:r>
      <w:r>
        <w:rPr>
          <w:rFonts w:hint="eastAsia" w:ascii="宋体" w:hAnsi="宋体" w:eastAsia="宋体" w:cs="宋体"/>
          <w:color w:val="auto"/>
          <w:sz w:val="24"/>
          <w:szCs w:val="24"/>
          <w:lang w:eastAsia="zh-CN"/>
        </w:rPr>
        <w:t>发作时伴严重心动过缓或者心脏停搏</w:t>
      </w:r>
      <w:r>
        <w:rPr>
          <w:rFonts w:hint="eastAsia" w:ascii="宋体" w:hAnsi="宋体" w:eastAsia="宋体" w:cs="宋体"/>
          <w:color w:val="auto"/>
          <w:sz w:val="24"/>
          <w:szCs w:val="24"/>
        </w:rPr>
        <w:t>者可考虑安装心脏起搏器。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(2)单纯性晕厥和直立性低血压性晕厥可用拟交感药，如异丙基肾上腺素。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(3)体位性低血压可试用拟交感神经药，增加氯化钠的摄入量，以提高血容量及动脉压。服用易发生体位低血压的药物后，在受试者床边放置尿壶，减少体位改变。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(4)心源性晕厥由缓慢</w:t>
      </w:r>
      <w:r>
        <w:rPr>
          <w:rFonts w:hint="eastAsia" w:ascii="宋体" w:hAnsi="宋体" w:eastAsia="宋体" w:cs="宋体"/>
          <w:color w:val="auto"/>
          <w:sz w:val="24"/>
          <w:szCs w:val="24"/>
          <w:lang w:eastAsia="zh-CN"/>
        </w:rPr>
        <w:t>性</w:t>
      </w:r>
      <w:r>
        <w:rPr>
          <w:rFonts w:hint="eastAsia" w:ascii="宋体" w:hAnsi="宋体" w:eastAsia="宋体" w:cs="宋体"/>
          <w:color w:val="auto"/>
          <w:sz w:val="24"/>
          <w:szCs w:val="24"/>
        </w:rPr>
        <w:t>心律失常所致者，应立即静脉注射阿托品0.5～2 mg</w:t>
      </w:r>
      <w:r>
        <w:rPr>
          <w:rFonts w:hint="eastAsia" w:ascii="宋体" w:hAnsi="宋体" w:eastAsia="宋体" w:cs="宋体"/>
          <w:color w:val="auto"/>
          <w:sz w:val="24"/>
          <w:szCs w:val="24"/>
          <w:lang w:eastAsia="zh-CN"/>
        </w:rPr>
        <w:t>，或者皮下注射</w:t>
      </w:r>
      <w:r>
        <w:rPr>
          <w:rFonts w:hint="eastAsia" w:ascii="宋体" w:hAnsi="宋体" w:eastAsia="宋体" w:cs="宋体"/>
          <w:color w:val="auto"/>
          <w:sz w:val="24"/>
          <w:szCs w:val="24"/>
        </w:rPr>
        <w:t>肾上腺素0.3～0.5 mg。各种心律失常处理参照相应</w:t>
      </w:r>
      <w:r>
        <w:rPr>
          <w:rFonts w:hint="eastAsia" w:ascii="宋体" w:hAnsi="宋体" w:eastAsia="宋体" w:cs="宋体"/>
          <w:color w:val="auto"/>
          <w:sz w:val="24"/>
          <w:szCs w:val="24"/>
          <w:lang w:eastAsia="zh-CN"/>
        </w:rPr>
        <w:t>心律失常治疗方案</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(5)低血糖性晕厥应及时补充葡萄糖。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(6)脑源性或其他神经系统疾病引起的晕厥，对症处理后应主要治疗原发病。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(7)吞咽性晕厥或颈动脉窦综合征进行对症治疗后，应进一步探查和去除原发病灶。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参考文献：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leftChars="0" w:right="0" w:rightChars="0" w:hanging="600" w:hangingChars="25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default" w:ascii="宋体" w:hAnsi="宋体" w:eastAsia="宋体" w:cs="Arial"/>
          <w:i w:val="0"/>
          <w:iCs w:val="0"/>
          <w:caps w:val="0"/>
          <w:color w:val="auto"/>
          <w:spacing w:val="0"/>
          <w:sz w:val="24"/>
          <w:szCs w:val="30"/>
          <w:shd w:val="clear" w:fill="FFFFFF"/>
          <w:lang w:val="en-US" w:eastAsia="zh-CN"/>
        </w:rPr>
        <w:t>陈灏珠，林果为．实用内科学（第1</w:t>
      </w:r>
      <w:r>
        <w:rPr>
          <w:rFonts w:hint="eastAsia" w:ascii="宋体" w:hAnsi="宋体" w:eastAsia="宋体" w:cs="Arial"/>
          <w:i w:val="0"/>
          <w:iCs w:val="0"/>
          <w:caps w:val="0"/>
          <w:color w:val="auto"/>
          <w:spacing w:val="0"/>
          <w:sz w:val="24"/>
          <w:szCs w:val="30"/>
          <w:shd w:val="clear" w:fill="FFFFFF"/>
          <w:lang w:val="en-US" w:eastAsia="zh-CN"/>
        </w:rPr>
        <w:t>6</w:t>
      </w:r>
      <w:r>
        <w:rPr>
          <w:rFonts w:hint="default" w:ascii="宋体" w:hAnsi="宋体" w:eastAsia="宋体" w:cs="Arial"/>
          <w:i w:val="0"/>
          <w:iCs w:val="0"/>
          <w:caps w:val="0"/>
          <w:color w:val="auto"/>
          <w:spacing w:val="0"/>
          <w:sz w:val="24"/>
          <w:szCs w:val="30"/>
          <w:shd w:val="clear" w:fill="FFFFFF"/>
          <w:lang w:val="en-US" w:eastAsia="zh-CN"/>
        </w:rPr>
        <w:t>版）上册</w:t>
      </w:r>
      <w:r>
        <w:rPr>
          <w:rFonts w:hint="eastAsia" w:ascii="宋体" w:hAnsi="宋体" w:eastAsia="宋体" w:cs="Arial"/>
          <w:i w:val="0"/>
          <w:iCs w:val="0"/>
          <w:caps w:val="0"/>
          <w:color w:val="auto"/>
          <w:spacing w:val="0"/>
          <w:sz w:val="24"/>
          <w:szCs w:val="30"/>
          <w:shd w:val="clear" w:fill="FFFFFF"/>
          <w:lang w:val="en-US" w:eastAsia="zh-CN"/>
        </w:rPr>
        <w:t>.第十二篇循环系统疾病.第四章晕厥</w:t>
      </w:r>
      <w:r>
        <w:rPr>
          <w:rFonts w:hint="default" w:ascii="宋体" w:hAnsi="宋体" w:eastAsia="宋体" w:cs="Arial"/>
          <w:i w:val="0"/>
          <w:iCs w:val="0"/>
          <w:caps w:val="0"/>
          <w:color w:val="auto"/>
          <w:spacing w:val="0"/>
          <w:sz w:val="24"/>
          <w:szCs w:val="30"/>
          <w:shd w:val="clear" w:fill="FFFFFF"/>
          <w:lang w:val="en-US" w:eastAsia="zh-CN"/>
        </w:rPr>
        <w:t>［M］．北京：人民卫生出版社，20</w:t>
      </w:r>
      <w:r>
        <w:rPr>
          <w:rFonts w:hint="eastAsia" w:ascii="宋体" w:hAnsi="宋体" w:eastAsia="宋体" w:cs="Arial"/>
          <w:i w:val="0"/>
          <w:iCs w:val="0"/>
          <w:caps w:val="0"/>
          <w:color w:val="auto"/>
          <w:spacing w:val="0"/>
          <w:sz w:val="24"/>
          <w:szCs w:val="30"/>
          <w:shd w:val="clear" w:fill="FFFFFF"/>
          <w:lang w:val="en-US" w:eastAsia="zh-CN"/>
        </w:rPr>
        <w:t>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leftChars="0" w:right="0" w:rightChars="0" w:hanging="600" w:hangingChars="25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Arial"/>
          <w:i w:val="0"/>
          <w:iCs w:val="0"/>
          <w:caps w:val="0"/>
          <w:color w:val="auto"/>
          <w:spacing w:val="0"/>
          <w:sz w:val="24"/>
          <w:szCs w:val="30"/>
          <w:shd w:val="clear" w:fill="FFFFFF"/>
          <w:lang w:val="en-US" w:eastAsia="zh-CN"/>
        </w:rPr>
        <w:t>刘文玲</w:t>
      </w:r>
      <w:r>
        <w:rPr>
          <w:rFonts w:hint="default" w:ascii="宋体" w:hAnsi="宋体" w:eastAsia="宋体" w:cs="Arial"/>
          <w:i w:val="0"/>
          <w:iCs w:val="0"/>
          <w:caps w:val="0"/>
          <w:color w:val="auto"/>
          <w:spacing w:val="0"/>
          <w:sz w:val="24"/>
          <w:szCs w:val="30"/>
          <w:shd w:val="clear" w:fill="FFFFFF"/>
          <w:lang w:val="en-US" w:eastAsia="zh-CN"/>
        </w:rPr>
        <w:t>．</w:t>
      </w:r>
      <w:r>
        <w:rPr>
          <w:rFonts w:ascii="宋体" w:hAnsi="宋体" w:eastAsia="宋体" w:cs="FZHTK--GBK1-0"/>
          <w:b w:val="0"/>
          <w:bCs w:val="0"/>
          <w:color w:val="auto"/>
          <w:kern w:val="0"/>
          <w:sz w:val="24"/>
          <w:szCs w:val="42"/>
          <w:lang w:val="en-US" w:eastAsia="zh-CN" w:bidi="ar"/>
        </w:rPr>
        <w:t>晕厥诊断与治疗中国专家共识（</w:t>
      </w:r>
      <w:r>
        <w:rPr>
          <w:rFonts w:ascii="宋体" w:hAnsi="宋体" w:eastAsia="宋体" w:cs="NEU-BZ-Bold"/>
          <w:b w:val="0"/>
          <w:bCs w:val="0"/>
          <w:color w:val="auto"/>
          <w:kern w:val="0"/>
          <w:sz w:val="24"/>
          <w:szCs w:val="42"/>
          <w:lang w:val="en-US" w:eastAsia="zh-CN" w:bidi="ar"/>
        </w:rPr>
        <w:t>2018</w:t>
      </w:r>
      <w:r>
        <w:rPr>
          <w:rFonts w:hint="default" w:ascii="宋体" w:hAnsi="宋体" w:eastAsia="宋体" w:cs="FZHTK--GBK1-0"/>
          <w:b w:val="0"/>
          <w:bCs w:val="0"/>
          <w:color w:val="auto"/>
          <w:kern w:val="0"/>
          <w:sz w:val="24"/>
          <w:szCs w:val="42"/>
          <w:lang w:val="en-US" w:eastAsia="zh-CN" w:bidi="ar"/>
        </w:rPr>
        <w:t>）解读</w:t>
      </w:r>
      <w:r>
        <w:rPr>
          <w:rFonts w:hint="default" w:ascii="宋体" w:hAnsi="宋体" w:eastAsia="宋体" w:cs="Arial"/>
          <w:i w:val="0"/>
          <w:iCs w:val="0"/>
          <w:caps w:val="0"/>
          <w:color w:val="auto"/>
          <w:spacing w:val="0"/>
          <w:sz w:val="24"/>
          <w:szCs w:val="30"/>
          <w:shd w:val="clear" w:fill="FFFFFF"/>
          <w:lang w:val="en-US" w:eastAsia="zh-CN"/>
        </w:rPr>
        <w:t>［J］．中国实用内科杂志，201</w:t>
      </w:r>
      <w:r>
        <w:rPr>
          <w:rFonts w:hint="eastAsia" w:ascii="宋体" w:hAnsi="宋体" w:eastAsia="宋体" w:cs="Arial"/>
          <w:i w:val="0"/>
          <w:iCs w:val="0"/>
          <w:caps w:val="0"/>
          <w:color w:val="auto"/>
          <w:spacing w:val="0"/>
          <w:sz w:val="24"/>
          <w:szCs w:val="30"/>
          <w:shd w:val="clear" w:fill="FFFFFF"/>
          <w:lang w:val="en-US" w:eastAsia="zh-CN"/>
        </w:rPr>
        <w:t>9</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11</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39</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949</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955</w:t>
      </w:r>
      <w:r>
        <w:rPr>
          <w:rFonts w:hint="default" w:ascii="宋体" w:hAnsi="宋体" w:eastAsia="宋体" w:cs="Arial"/>
          <w:i w:val="0"/>
          <w:iCs w:val="0"/>
          <w:caps w:val="0"/>
          <w:color w:val="auto"/>
          <w:spacing w:val="0"/>
          <w:sz w:val="24"/>
          <w:szCs w:val="30"/>
          <w:shd w:val="clear"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leftChars="0" w:right="0" w:rightChars="0" w:hanging="600" w:hangingChars="25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kern w:val="0"/>
          <w:sz w:val="24"/>
          <w:szCs w:val="22"/>
          <w:lang w:val="en-US" w:eastAsia="zh-CN" w:bidi="ar"/>
        </w:rPr>
        <w:t>戈珍霞.</w:t>
      </w:r>
      <w:r>
        <w:rPr>
          <w:rFonts w:ascii="方正粗圆_GBK" w:hAnsi="方正粗圆_GBK" w:eastAsia="宋体" w:cs="方正粗圆_GBK"/>
          <w:color w:val="auto"/>
          <w:kern w:val="0"/>
          <w:sz w:val="24"/>
          <w:szCs w:val="34"/>
          <w:lang w:val="en-US" w:eastAsia="zh-CN" w:bidi="ar"/>
        </w:rPr>
        <w:t>在采血中处理晕针晕血的探讨</w:t>
      </w:r>
      <w:r>
        <w:rPr>
          <w:rFonts w:hint="default" w:ascii="宋体" w:hAnsi="宋体" w:eastAsia="宋体" w:cs="Arial"/>
          <w:i w:val="0"/>
          <w:iCs w:val="0"/>
          <w:caps w:val="0"/>
          <w:color w:val="auto"/>
          <w:spacing w:val="0"/>
          <w:sz w:val="24"/>
          <w:szCs w:val="30"/>
          <w:shd w:val="clear" w:fill="FFFFFF"/>
          <w:lang w:val="en-US" w:eastAsia="zh-CN"/>
        </w:rPr>
        <w:t>［J］．</w:t>
      </w:r>
      <w:r>
        <w:rPr>
          <w:rFonts w:hint="eastAsia" w:ascii="宋体" w:hAnsi="宋体" w:eastAsia="宋体" w:cs="Arial"/>
          <w:i w:val="0"/>
          <w:iCs w:val="0"/>
          <w:caps w:val="0"/>
          <w:color w:val="auto"/>
          <w:spacing w:val="0"/>
          <w:sz w:val="24"/>
          <w:szCs w:val="30"/>
          <w:shd w:val="clear" w:fill="FFFFFF"/>
          <w:lang w:val="en-US" w:eastAsia="zh-CN"/>
        </w:rPr>
        <w:t>护理园地</w:t>
      </w:r>
      <w:r>
        <w:rPr>
          <w:rFonts w:hint="default" w:ascii="宋体" w:hAnsi="宋体" w:eastAsia="宋体" w:cs="Arial"/>
          <w:i w:val="0"/>
          <w:iCs w:val="0"/>
          <w:caps w:val="0"/>
          <w:color w:val="auto"/>
          <w:spacing w:val="0"/>
          <w:sz w:val="24"/>
          <w:szCs w:val="30"/>
          <w:shd w:val="clear" w:fill="FFFFFF"/>
          <w:lang w:val="en-US" w:eastAsia="zh-CN"/>
        </w:rPr>
        <w:t>，20</w:t>
      </w:r>
      <w:r>
        <w:rPr>
          <w:rFonts w:hint="eastAsia" w:ascii="宋体" w:hAnsi="宋体" w:eastAsia="宋体" w:cs="Arial"/>
          <w:i w:val="0"/>
          <w:iCs w:val="0"/>
          <w:caps w:val="0"/>
          <w:color w:val="auto"/>
          <w:spacing w:val="0"/>
          <w:sz w:val="24"/>
          <w:szCs w:val="30"/>
          <w:shd w:val="clear" w:fill="FFFFFF"/>
          <w:lang w:val="en-US" w:eastAsia="zh-CN"/>
        </w:rPr>
        <w:t>20</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4</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7</w:t>
      </w:r>
      <w:r>
        <w:rPr>
          <w:rFonts w:hint="default" w:ascii="宋体" w:hAnsi="宋体" w:eastAsia="宋体" w:cs="Arial"/>
          <w:i w:val="0"/>
          <w:iCs w:val="0"/>
          <w:caps w:val="0"/>
          <w:color w:val="auto"/>
          <w:spacing w:val="0"/>
          <w:sz w:val="24"/>
          <w:szCs w:val="30"/>
          <w:shd w:val="clear" w:fill="FFFFFF"/>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宋体" w:cs="黑体"/>
          <w:b w:val="0"/>
          <w:bCs/>
          <w:color w:val="auto"/>
          <w:sz w:val="24"/>
          <w:szCs w:val="28"/>
          <w:lang w:eastAsia="zh-CN"/>
        </w:rPr>
      </w:pPr>
      <w:r>
        <w:rPr>
          <w:rFonts w:hint="eastAsia" w:ascii="黑体" w:hAnsi="黑体" w:eastAsia="宋体" w:cs="黑体"/>
          <w:b w:val="0"/>
          <w:bCs/>
          <w:color w:val="auto"/>
          <w:sz w:val="24"/>
          <w:szCs w:val="28"/>
          <w:lang w:eastAsia="zh-CN"/>
        </w:rPr>
        <w:t>修订记录</w:t>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eastAsia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eastAsia="zh-CN"/>
              </w:rPr>
              <w:t>序号</w:t>
            </w:r>
          </w:p>
        </w:tc>
        <w:tc>
          <w:tcPr>
            <w:tcW w:w="1036"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eastAsia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eastAsia="zh-CN"/>
              </w:rPr>
              <w:t>修订前版本号</w:t>
            </w:r>
          </w:p>
        </w:tc>
        <w:tc>
          <w:tcPr>
            <w:tcW w:w="1050"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eastAsia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eastAsia="zh-CN"/>
              </w:rPr>
              <w:t>修订后版本号</w:t>
            </w:r>
          </w:p>
        </w:tc>
        <w:tc>
          <w:tcPr>
            <w:tcW w:w="2604"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eastAsia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eastAsia="zh-CN"/>
              </w:rPr>
              <w:t>修订原因、依据</w:t>
            </w:r>
          </w:p>
        </w:tc>
        <w:tc>
          <w:tcPr>
            <w:tcW w:w="269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Theme="minorEastAsia" w:hAnsiTheme="minorEastAsia" w:eastAsia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eastAsia="zh-CN"/>
              </w:rPr>
              <w:t>修订内容</w:t>
            </w:r>
          </w:p>
        </w:tc>
        <w:tc>
          <w:tcPr>
            <w:tcW w:w="1420"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Theme="minorEastAsia" w:hAnsi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val="en-US" w:eastAsia="zh-CN"/>
              </w:rPr>
              <w:t>修订人/</w:t>
            </w:r>
            <w:r>
              <w:rPr>
                <w:rFonts w:hint="eastAsia" w:asciiTheme="minorEastAsia" w:hAnsiTheme="minorEastAsia" w:cstheme="minorEastAsia"/>
                <w:color w:val="auto"/>
                <w:sz w:val="24"/>
                <w:szCs w:val="24"/>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45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eastAsiaTheme="minorEastAsia" w:cstheme="minorEastAsia"/>
                <w:color w:val="auto"/>
                <w:sz w:val="24"/>
                <w:szCs w:val="24"/>
                <w:vertAlign w:val="baseline"/>
                <w:lang w:val="en-US" w:eastAsia="zh-CN"/>
              </w:rPr>
            </w:pPr>
            <w:r>
              <w:rPr>
                <w:rFonts w:hint="eastAsia" w:asciiTheme="minorEastAsia" w:hAnsiTheme="minorEastAsia" w:cstheme="minorEastAsia"/>
                <w:color w:val="auto"/>
                <w:sz w:val="24"/>
                <w:szCs w:val="24"/>
                <w:vertAlign w:val="baseline"/>
                <w:lang w:val="en-US" w:eastAsia="zh-CN"/>
              </w:rPr>
              <w:t>1</w:t>
            </w:r>
          </w:p>
        </w:tc>
        <w:tc>
          <w:tcPr>
            <w:tcW w:w="1036"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eastAsiaTheme="minorEastAsia" w:cstheme="minorEastAsia"/>
                <w:color w:val="auto"/>
                <w:sz w:val="24"/>
                <w:szCs w:val="24"/>
                <w:vertAlign w:val="baseline"/>
                <w:lang w:val="en-US" w:eastAsia="zh-CN"/>
              </w:rPr>
            </w:pPr>
            <w:r>
              <w:rPr>
                <w:rFonts w:hint="eastAsia" w:asciiTheme="minorEastAsia" w:hAnsiTheme="minorEastAsia" w:cstheme="minorEastAsia"/>
                <w:color w:val="auto"/>
                <w:sz w:val="24"/>
                <w:szCs w:val="24"/>
                <w:vertAlign w:val="baseline"/>
                <w:lang w:val="en-US" w:eastAsia="zh-CN"/>
              </w:rPr>
              <w:t>3.0</w:t>
            </w:r>
          </w:p>
        </w:tc>
        <w:tc>
          <w:tcPr>
            <w:tcW w:w="1050"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eastAsiaTheme="minorEastAsia" w:cstheme="minorEastAsia"/>
                <w:color w:val="auto"/>
                <w:sz w:val="24"/>
                <w:szCs w:val="24"/>
                <w:vertAlign w:val="baseline"/>
                <w:lang w:val="en-US" w:eastAsia="zh-CN"/>
              </w:rPr>
            </w:pPr>
            <w:r>
              <w:rPr>
                <w:rFonts w:hint="eastAsia" w:asciiTheme="minorEastAsia" w:hAnsiTheme="minorEastAsia" w:cstheme="minorEastAsia"/>
                <w:color w:val="auto"/>
                <w:sz w:val="24"/>
                <w:szCs w:val="24"/>
                <w:vertAlign w:val="baseline"/>
                <w:lang w:val="en-US" w:eastAsia="zh-CN"/>
              </w:rPr>
              <w:t>3.1</w:t>
            </w:r>
          </w:p>
        </w:tc>
        <w:tc>
          <w:tcPr>
            <w:tcW w:w="2604"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val="en-US" w:eastAsia="zh-CN"/>
              </w:rPr>
              <w:t>1</w:t>
            </w:r>
            <w:r>
              <w:rPr>
                <w:rFonts w:hint="eastAsia" w:asciiTheme="minorEastAsia" w:hAnsiTheme="minorEastAsia" w:cstheme="minorEastAsia"/>
                <w:color w:val="auto"/>
                <w:sz w:val="24"/>
                <w:szCs w:val="24"/>
                <w:vertAlign w:val="baseline"/>
                <w:lang w:eastAsia="zh-CN"/>
              </w:rPr>
              <w:t>增加应急预案参考文献信息</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cstheme="minorEastAsia"/>
                <w:color w:val="auto"/>
                <w:sz w:val="24"/>
                <w:szCs w:val="24"/>
                <w:vertAlign w:val="baseline"/>
                <w:lang w:eastAsia="zh-CN"/>
              </w:rPr>
            </w:pPr>
            <w:r>
              <w:rPr>
                <w:rFonts w:hint="eastAsia" w:asciiTheme="minorEastAsia" w:hAnsiTheme="minorEastAsia" w:cstheme="minorEastAsia"/>
                <w:color w:val="auto"/>
                <w:sz w:val="24"/>
                <w:szCs w:val="24"/>
                <w:vertAlign w:val="baseline"/>
                <w:lang w:val="en-US" w:eastAsia="zh-CN"/>
              </w:rPr>
              <w:t>2</w:t>
            </w:r>
            <w:r>
              <w:rPr>
                <w:rFonts w:hint="eastAsia" w:asciiTheme="minorEastAsia" w:hAnsiTheme="minorEastAsia" w:cstheme="minorEastAsia"/>
                <w:color w:val="auto"/>
                <w:sz w:val="24"/>
                <w:szCs w:val="24"/>
                <w:vertAlign w:val="baseline"/>
                <w:lang w:eastAsia="zh-CN"/>
              </w:rPr>
              <w:t>根据最新参考文献修订具体内容</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cstheme="minorEastAsia"/>
                <w:color w:val="auto"/>
                <w:sz w:val="24"/>
                <w:szCs w:val="24"/>
                <w:vertAlign w:val="baseline"/>
                <w:lang w:val="en-US" w:eastAsia="zh-CN"/>
              </w:rPr>
            </w:pPr>
          </w:p>
        </w:tc>
        <w:tc>
          <w:tcPr>
            <w:tcW w:w="269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cstheme="minorEastAsia"/>
                <w:color w:val="auto"/>
                <w:sz w:val="24"/>
                <w:szCs w:val="24"/>
                <w:vertAlign w:val="baseline"/>
                <w:lang w:val="en-US" w:eastAsia="zh-CN"/>
              </w:rPr>
            </w:pPr>
            <w:r>
              <w:rPr>
                <w:rFonts w:hint="eastAsia" w:asciiTheme="minorEastAsia" w:hAnsiTheme="minorEastAsia" w:cstheme="minorEastAsia"/>
                <w:color w:val="auto"/>
                <w:sz w:val="24"/>
                <w:szCs w:val="24"/>
                <w:vertAlign w:val="baseline"/>
                <w:lang w:val="en-US" w:eastAsia="zh-CN"/>
              </w:rPr>
              <w:t>1文末添加相关参考文献名称、作者、时间等信息</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cstheme="minorEastAsia"/>
                <w:color w:val="auto"/>
                <w:sz w:val="24"/>
                <w:szCs w:val="24"/>
                <w:vertAlign w:val="baseline"/>
                <w:lang w:val="en-US" w:eastAsia="zh-CN"/>
              </w:rPr>
            </w:pPr>
            <w:r>
              <w:rPr>
                <w:rFonts w:hint="eastAsia" w:asciiTheme="minorEastAsia" w:hAnsiTheme="minorEastAsia" w:cstheme="minorEastAsia"/>
                <w:color w:val="auto"/>
                <w:sz w:val="24"/>
                <w:szCs w:val="24"/>
                <w:vertAlign w:val="baseline"/>
                <w:lang w:val="en-US" w:eastAsia="zh-CN"/>
              </w:rPr>
              <w:t>2根据最新文献诊治标准更新现行诊疗流程</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cstheme="minorEastAsia"/>
                <w:color w:val="auto"/>
                <w:sz w:val="24"/>
                <w:szCs w:val="24"/>
                <w:vertAlign w:val="baseline"/>
                <w:lang w:val="en-US" w:eastAsia="zh-CN"/>
              </w:rPr>
            </w:pPr>
          </w:p>
        </w:tc>
        <w:tc>
          <w:tcPr>
            <w:tcW w:w="1420" w:type="dxa"/>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Theme="minorEastAsia" w:hAnsiTheme="minorEastAsia" w:cstheme="minorEastAsia"/>
                <w:color w:val="auto"/>
                <w:sz w:val="24"/>
                <w:szCs w:val="24"/>
                <w:vertAlign w:val="baseline"/>
                <w:lang w:val="en-US" w:eastAsia="zh-CN"/>
              </w:rPr>
            </w:pPr>
          </w:p>
        </w:tc>
      </w:tr>
    </w:tbl>
    <w:p>
      <w:pPr>
        <w:pStyle w:val="33"/>
        <w:rPr>
          <w:rFonts w:hint="default"/>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bCs/>
          <w:color w:val="auto"/>
          <w:sz w:val="24"/>
          <w:szCs w:val="24"/>
          <w:lang w:eastAsia="zh-CN"/>
        </w:rPr>
        <w:sectPr>
          <w:headerReference r:id="rId190" w:type="default"/>
          <w:footerReference r:id="rId191" w:type="default"/>
          <w:pgSz w:w="11906" w:h="16838"/>
          <w:pgMar w:top="1440" w:right="1236" w:bottom="1440" w:left="1463" w:header="0" w:footer="992" w:gutter="0"/>
          <w:pgNumType w:fmt="decimal"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3092" w:firstLineChars="1100"/>
        <w:jc w:val="both"/>
        <w:textAlignment w:val="auto"/>
        <w:rPr>
          <w:rFonts w:hint="eastAsia" w:ascii="黑体" w:hAnsi="黑体" w:eastAsia="黑体" w:cs="黑体"/>
          <w:b/>
          <w:bCs/>
          <w:color w:val="auto"/>
          <w:sz w:val="28"/>
          <w:szCs w:val="28"/>
        </w:rPr>
      </w:pPr>
      <w:r>
        <w:rPr>
          <w:rFonts w:hint="eastAsia" w:ascii="黑体" w:hAnsi="黑体" w:eastAsia="黑体" w:cs="黑体"/>
          <w:b/>
          <w:bCs/>
          <w:color w:val="auto"/>
          <w:sz w:val="28"/>
          <w:szCs w:val="28"/>
        </w:rPr>
        <w:t>低血糖</w:t>
      </w:r>
      <w:r>
        <w:rPr>
          <w:rFonts w:hint="eastAsia" w:ascii="黑体" w:hAnsi="黑体" w:eastAsia="黑体" w:cs="黑体"/>
          <w:b/>
          <w:bCs/>
          <w:color w:val="auto"/>
          <w:sz w:val="28"/>
          <w:szCs w:val="28"/>
          <w:lang w:eastAsia="zh-CN"/>
        </w:rPr>
        <w:t>的急救预案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一、目的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在临床药物试验中，受试者可能因血糖低于2.8mmol/L(50mg/dl)时出现一组临床综合征，表现为空腹低血糖和餐后（反应性）低血糖症。为了确保受试者的安全，特制定低血糖诊疗的标准操作规程。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二、范围：适用于临床试验所有受试者。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三、急救程序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（一）评估：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1.呈交感神经兴奋综合征：面色苍白，心悸、肢冷，周身乏力、饥饿感，出汗、肢体震颤，严重时可出现意识朦胧、精神异常、昏迷、抽搐、肢体瘫痪。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2.非糖尿病患者血糖≤2.8 mmol/L考虑低血糖症，＞3.9mmol/L可排除低血糖症，接受药物治疗的糖尿病患者，血糖＜3.9mmol/L即应考虑低血糖症。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（二）低血糖发作时的处理：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补充葡萄糖：轻者可口服葡萄糖注射液或者含高糖食物或者饮料，糖果，15分钟监测血糖1次，若血糖高于3.9mmol/L，感觉好转，可恢复正常活动，若血糖仍低于3.9mmol/L，可重复进食上述含糖饮食1次，直至病情好转稳定；重者尤其伴神志改变者立即静脉注射50%的葡萄糖液40ml-60ml，15分钟监测血糖一次，必要时重复使用，并需要继续静脉点滴5%～10%葡萄糖液，将其血糖维持在3.9～8.3 mmol/L，并密切观察数小时甚至一天或更长时间，根据血糖情况调整治疗，以防再度陷入紧急状态。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2.病因治疗：及时寻找和确定病因，并针对病因进行治疗，可有效解除低血糖状态和防止低血糖复发。如为药物所致，调整药物剂量或暂停该药物治疗。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（血糖静脉血为准）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参考文献：</w:t>
      </w:r>
    </w:p>
    <w:p>
      <w:pPr>
        <w:keepNext w:val="0"/>
        <w:keepLines w:val="0"/>
        <w:pageBreakBefore w:val="0"/>
        <w:widowControl w:val="0"/>
        <w:kinsoku/>
        <w:wordWrap/>
        <w:overflowPunct/>
        <w:topLinePunct w:val="0"/>
        <w:autoSpaceDE/>
        <w:autoSpaceDN/>
        <w:bidi w:val="0"/>
        <w:adjustRightInd/>
        <w:snapToGrid/>
        <w:spacing w:line="360" w:lineRule="auto"/>
        <w:ind w:left="600" w:leftChars="0" w:right="0" w:rightChars="0" w:hanging="600" w:hangingChars="25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［1］陈灏珠，林果为．实用内科学（第16版）下册.第十九篇谢陈代谢疾病.第七章低血糖症［M］．北京：人民卫生出版社，2022</w:t>
      </w:r>
      <w:r>
        <w:rPr>
          <w:rFonts w:hint="eastAsia" w:ascii="宋体" w:hAnsi="宋体" w:eastAsia="宋体" w:cs="宋体"/>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600" w:leftChars="0" w:right="0" w:rightChars="0" w:hanging="600" w:hangingChars="25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［2］葛均波，徐永健．内科学（第9版）.第七篇内分泌系统和营养代谢性疾病.第二十二章低血糖症［M］．北京：人民卫生出版社，2018</w:t>
      </w:r>
      <w:r>
        <w:rPr>
          <w:rFonts w:hint="eastAsia" w:ascii="宋体" w:hAnsi="宋体" w:eastAsia="宋体" w:cs="宋体"/>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600" w:leftChars="0" w:right="0" w:rightChars="0" w:hanging="600" w:hangingChars="25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［3］陈燕启，李小刚.急危重症“三基”理论与实践上册.第八章第三节低血糖危象［M］.北京：人民卫生出版社，2015</w:t>
      </w:r>
      <w:r>
        <w:rPr>
          <w:rFonts w:hint="eastAsia" w:ascii="宋体" w:hAnsi="宋体" w:eastAsia="宋体" w:cs="宋体"/>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val="0"/>
          <w:bCs/>
          <w:color w:val="auto"/>
          <w:sz w:val="24"/>
          <w:szCs w:val="28"/>
          <w:lang w:eastAsia="zh-CN"/>
        </w:rPr>
      </w:pPr>
      <w:r>
        <w:rPr>
          <w:rFonts w:hint="eastAsia" w:ascii="黑体" w:hAnsi="黑体" w:eastAsia="黑体" w:cs="黑体"/>
          <w:b w:val="0"/>
          <w:bCs/>
          <w:color w:val="auto"/>
          <w:sz w:val="24"/>
          <w:szCs w:val="28"/>
          <w:lang w:eastAsia="zh-CN"/>
        </w:rPr>
        <w:t>修订记录</w:t>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序号</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修订前版本号</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修订后版本号</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修订原因、依据</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修订内容</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修订人/</w:t>
            </w:r>
            <w:r>
              <w:rPr>
                <w:rFonts w:hint="eastAsia" w:asciiTheme="minorEastAsia" w:hAnsiTheme="minorEastAsia" w:cstheme="minorEastAsia"/>
                <w:color w:val="auto"/>
                <w:sz w:val="21"/>
                <w:szCs w:val="21"/>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1.</w:t>
            </w:r>
            <w:r>
              <w:rPr>
                <w:rFonts w:hint="eastAsia" w:asciiTheme="minorEastAsia" w:hAnsiTheme="minorEastAsia" w:cstheme="minorEastAsia"/>
                <w:color w:val="auto"/>
                <w:sz w:val="21"/>
                <w:szCs w:val="21"/>
                <w:vertAlign w:val="baseline"/>
                <w:lang w:eastAsia="zh-CN"/>
              </w:rPr>
              <w:t>增加应急预案参考文献信息；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r>
              <w:rPr>
                <w:rFonts w:hint="eastAsia" w:asciiTheme="minorEastAsia" w:hAnsiTheme="minorEastAsia" w:cstheme="minorEastAsia"/>
                <w:color w:val="auto"/>
                <w:sz w:val="21"/>
                <w:szCs w:val="21"/>
                <w:vertAlign w:val="baseline"/>
                <w:lang w:eastAsia="zh-CN"/>
              </w:rPr>
              <w:t>根据最新参考文献修订具体内容。</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1.文末添加相关参考文献名称、作者、时间等信息；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2.根据最新文献诊治标准更新现行诊疗流程。</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p>
        </w:tc>
      </w:tr>
    </w:tbl>
    <w:p>
      <w:pPr>
        <w:rPr>
          <w:rFonts w:hint="eastAsia"/>
          <w:color w:val="auto"/>
          <w:lang w:val="en-US" w:eastAsia="zh-CN"/>
        </w:rPr>
      </w:pPr>
    </w:p>
    <w:p>
      <w:pPr>
        <w:bidi w:val="0"/>
        <w:rPr>
          <w:rFonts w:hint="eastAsia" w:asciiTheme="minorHAnsi" w:hAnsiTheme="minorHAnsi" w:eastAsiaTheme="minorEastAsia" w:cstheme="minorBidi"/>
          <w:color w:val="auto"/>
          <w:kern w:val="2"/>
          <w:sz w:val="21"/>
          <w:szCs w:val="22"/>
          <w:lang w:val="en-US" w:eastAsia="zh-CN" w:bidi="ar-SA"/>
        </w:rPr>
      </w:pPr>
    </w:p>
    <w:p>
      <w:pPr>
        <w:bidi w:val="0"/>
        <w:rPr>
          <w:rFonts w:hint="eastAsia"/>
          <w:color w:val="auto"/>
          <w:lang w:val="en-US" w:eastAsia="zh-CN"/>
        </w:rPr>
      </w:pPr>
    </w:p>
    <w:p>
      <w:pPr>
        <w:bidi w:val="0"/>
        <w:rPr>
          <w:rFonts w:hint="eastAsia"/>
          <w:color w:val="auto"/>
          <w:lang w:val="en-US" w:eastAsia="zh-CN"/>
        </w:rPr>
      </w:pPr>
    </w:p>
    <w:p>
      <w:pPr>
        <w:tabs>
          <w:tab w:val="left" w:pos="6778"/>
        </w:tabs>
        <w:bidi w:val="0"/>
        <w:jc w:val="left"/>
        <w:rPr>
          <w:rFonts w:hint="eastAsia"/>
          <w:color w:val="auto"/>
          <w:lang w:val="en-US" w:eastAsia="zh-CN"/>
        </w:rPr>
        <w:sectPr>
          <w:headerReference r:id="rId192" w:type="default"/>
          <w:footerReference r:id="rId193" w:type="default"/>
          <w:pgSz w:w="11906" w:h="16838"/>
          <w:pgMar w:top="1440" w:right="1236" w:bottom="1440" w:left="1463" w:header="907" w:footer="992" w:gutter="0"/>
          <w:pgNumType w:fmt="decimal" w:start="1"/>
          <w:cols w:space="720" w:num="1"/>
          <w:rtlGutter w:val="0"/>
          <w:docGrid w:type="lines" w:linePitch="312" w:charSpace="0"/>
        </w:sectPr>
      </w:pPr>
      <w:r>
        <w:rPr>
          <w:rFonts w:hint="eastAsia"/>
          <w:color w:val="auto"/>
          <w:lang w:val="en-US" w:eastAsia="zh-CN"/>
        </w:rPr>
        <w:tab/>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黑体" w:hAnsi="黑体" w:eastAsia="黑体" w:cs="黑体"/>
          <w:color w:val="auto"/>
          <w:sz w:val="28"/>
          <w:szCs w:val="28"/>
          <w:lang w:eastAsia="zh-CN"/>
        </w:rPr>
      </w:pPr>
      <w:r>
        <w:rPr>
          <w:rFonts w:hint="eastAsia" w:ascii="黑体" w:hAnsi="黑体" w:eastAsia="黑体" w:cs="黑体"/>
          <w:b/>
          <w:bCs/>
          <w:color w:val="auto"/>
          <w:sz w:val="28"/>
          <w:szCs w:val="28"/>
        </w:rPr>
        <w:t>药物中毒的</w:t>
      </w:r>
      <w:r>
        <w:rPr>
          <w:rFonts w:hint="eastAsia" w:ascii="黑体" w:hAnsi="黑体" w:eastAsia="黑体" w:cs="黑体"/>
          <w:b/>
          <w:bCs/>
          <w:color w:val="auto"/>
          <w:sz w:val="28"/>
          <w:szCs w:val="28"/>
          <w:lang w:eastAsia="zh-CN"/>
        </w:rPr>
        <w:t>急救</w:t>
      </w:r>
      <w:r>
        <w:rPr>
          <w:rFonts w:hint="eastAsia" w:ascii="黑体" w:hAnsi="黑体" w:eastAsia="黑体" w:cs="黑体"/>
          <w:b/>
          <w:bCs/>
          <w:color w:val="auto"/>
          <w:sz w:val="28"/>
          <w:szCs w:val="28"/>
        </w:rPr>
        <w:t>预案</w:t>
      </w:r>
    </w:p>
    <w:p>
      <w:pPr>
        <w:keepNext w:val="0"/>
        <w:keepLines w:val="0"/>
        <w:pageBreakBefore w:val="0"/>
        <w:widowControl w:val="0"/>
        <w:numPr>
          <w:ilvl w:val="0"/>
          <w:numId w:val="9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目的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为了使药物中毒抢救措施规范化，特制订本规范。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二、范围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适用于临床试验所有受试者</w:t>
      </w:r>
      <w:r>
        <w:rPr>
          <w:rFonts w:hint="eastAsia" w:ascii="宋体" w:hAnsi="宋体" w:eastAsia="宋体" w:cs="Arial"/>
          <w:i w:val="0"/>
          <w:iCs w:val="0"/>
          <w:caps w:val="0"/>
          <w:color w:val="auto"/>
          <w:spacing w:val="0"/>
          <w:sz w:val="24"/>
          <w:szCs w:val="30"/>
          <w:shd w:val="clear"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三、评估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 xml:space="preserve">    药物中毒是指进入人体的药物达到了中毒的剂量，从而产生器官和组织的损害，造成的一种全身性疾病；往往是服用过量药物导致</w:t>
      </w:r>
      <w:r>
        <w:rPr>
          <w:rFonts w:hint="eastAsia" w:ascii="宋体" w:hAnsi="宋体" w:eastAsia="宋体" w:cs="Arial"/>
          <w:i w:val="0"/>
          <w:iCs w:val="0"/>
          <w:caps w:val="0"/>
          <w:color w:val="auto"/>
          <w:spacing w:val="0"/>
          <w:sz w:val="24"/>
          <w:szCs w:val="30"/>
          <w:shd w:val="clear"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三、急救程序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Arial"/>
          <w:i w:val="0"/>
          <w:iCs w:val="0"/>
          <w:caps w:val="0"/>
          <w:color w:val="auto"/>
          <w:spacing w:val="0"/>
          <w:sz w:val="24"/>
          <w:szCs w:val="30"/>
          <w:shd w:val="clear" w:fill="FFFFFF"/>
          <w:lang w:val="en-US" w:eastAsia="zh-CN"/>
        </w:rPr>
        <w:t>1.</w:t>
      </w:r>
      <w:r>
        <w:rPr>
          <w:rFonts w:hint="default" w:ascii="宋体" w:hAnsi="宋体" w:eastAsia="宋体" w:cs="Arial"/>
          <w:i w:val="0"/>
          <w:iCs w:val="0"/>
          <w:caps w:val="0"/>
          <w:color w:val="auto"/>
          <w:spacing w:val="0"/>
          <w:sz w:val="24"/>
          <w:szCs w:val="30"/>
          <w:shd w:val="clear" w:fill="FFFFFF"/>
          <w:lang w:val="en-US" w:eastAsia="zh-CN"/>
        </w:rPr>
        <w:t>试验用药前针对试验药物备特异性解毒药。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Arial"/>
          <w:i w:val="0"/>
          <w:iCs w:val="0"/>
          <w:caps w:val="0"/>
          <w:color w:val="auto"/>
          <w:spacing w:val="0"/>
          <w:sz w:val="24"/>
          <w:szCs w:val="30"/>
          <w:shd w:val="clear" w:fill="FFFFFF"/>
          <w:lang w:val="en-US" w:eastAsia="zh-CN"/>
        </w:rPr>
        <w:t>2.</w:t>
      </w:r>
      <w:r>
        <w:rPr>
          <w:rFonts w:hint="default" w:ascii="宋体" w:hAnsi="宋体" w:eastAsia="宋体" w:cs="Arial"/>
          <w:i w:val="0"/>
          <w:iCs w:val="0"/>
          <w:caps w:val="0"/>
          <w:color w:val="auto"/>
          <w:spacing w:val="0"/>
          <w:sz w:val="24"/>
          <w:szCs w:val="30"/>
          <w:shd w:val="clear" w:fill="FFFFFF"/>
          <w:lang w:val="en-US" w:eastAsia="zh-CN"/>
        </w:rPr>
        <w:t>临床试验中出现药物急性中毒症状，首先检查中毒受试者的临床表现，然后再查询何种药物中毒。因临床试验药物应用范围明确，可以较准确地判断为何种药物中毒</w:t>
      </w:r>
      <w:r>
        <w:rPr>
          <w:rFonts w:hint="eastAsia" w:ascii="宋体" w:hAnsi="宋体" w:eastAsia="宋体" w:cs="Arial"/>
          <w:i w:val="0"/>
          <w:iCs w:val="0"/>
          <w:caps w:val="0"/>
          <w:color w:val="auto"/>
          <w:spacing w:val="0"/>
          <w:sz w:val="24"/>
          <w:szCs w:val="30"/>
          <w:shd w:val="clear"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Arial"/>
          <w:i w:val="0"/>
          <w:iCs w:val="0"/>
          <w:caps w:val="0"/>
          <w:color w:val="auto"/>
          <w:spacing w:val="0"/>
          <w:sz w:val="24"/>
          <w:szCs w:val="30"/>
          <w:shd w:val="clear" w:fill="FFFFFF"/>
          <w:lang w:val="en-US" w:eastAsia="zh-CN"/>
        </w:rPr>
        <w:t>3.</w:t>
      </w:r>
      <w:r>
        <w:rPr>
          <w:rFonts w:hint="default" w:ascii="宋体" w:hAnsi="宋体" w:eastAsia="宋体" w:cs="Arial"/>
          <w:i w:val="0"/>
          <w:iCs w:val="0"/>
          <w:caps w:val="0"/>
          <w:color w:val="auto"/>
          <w:spacing w:val="0"/>
          <w:sz w:val="24"/>
          <w:szCs w:val="30"/>
          <w:shd w:val="clear" w:fill="FFFFFF"/>
          <w:lang w:val="en-US" w:eastAsia="zh-CN"/>
        </w:rPr>
        <w:t>同时应采取相应的对症治疗，排出致毒药物。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(1)催吐。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(2)洗胃。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(3)利尿：可帮助已吸收的药物从肾脏排出，一般用静脉滴注5%～10%葡萄糖液即可。必要时可用呋塞米40 mg静脉注射。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(4)导泻、灌肠</w:t>
      </w:r>
      <w:r>
        <w:rPr>
          <w:rFonts w:hint="eastAsia" w:ascii="宋体" w:hAnsi="宋体" w:eastAsia="宋体" w:cs="Arial"/>
          <w:i w:val="0"/>
          <w:iCs w:val="0"/>
          <w:caps w:val="0"/>
          <w:color w:val="auto"/>
          <w:spacing w:val="0"/>
          <w:sz w:val="24"/>
          <w:szCs w:val="30"/>
          <w:shd w:val="clear"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(5)血液净化治疗：活性炭吸附罐与血液灌流联合疗法、血液透析法。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Arial"/>
          <w:i w:val="0"/>
          <w:iCs w:val="0"/>
          <w:caps w:val="0"/>
          <w:color w:val="auto"/>
          <w:spacing w:val="0"/>
          <w:sz w:val="24"/>
          <w:szCs w:val="30"/>
          <w:shd w:val="clear" w:fill="FFFFFF"/>
          <w:lang w:val="en-US" w:eastAsia="zh-CN"/>
        </w:rPr>
        <w:t>4.</w:t>
      </w:r>
      <w:r>
        <w:rPr>
          <w:rFonts w:hint="default" w:ascii="宋体" w:hAnsi="宋体" w:eastAsia="宋体" w:cs="Arial"/>
          <w:i w:val="0"/>
          <w:iCs w:val="0"/>
          <w:caps w:val="0"/>
          <w:color w:val="auto"/>
          <w:spacing w:val="0"/>
          <w:sz w:val="24"/>
          <w:szCs w:val="30"/>
          <w:shd w:val="clear" w:fill="FFFFFF"/>
          <w:lang w:val="en-US" w:eastAsia="zh-CN"/>
        </w:rPr>
        <w:t>支持疗法：抢救急性药物中毒的受试者时，支持疗法占有很重要的地位。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(l)静脉输液：维持体内代谢需要，补充丢失，并可加速排出中毒药。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(2)监测生命体征及脏器功能，保护脏器功能，对症处理</w:t>
      </w:r>
      <w:r>
        <w:rPr>
          <w:rFonts w:hint="eastAsia" w:ascii="宋体" w:hAnsi="宋体" w:eastAsia="宋体" w:cs="Arial"/>
          <w:i w:val="0"/>
          <w:iCs w:val="0"/>
          <w:caps w:val="0"/>
          <w:color w:val="auto"/>
          <w:spacing w:val="0"/>
          <w:sz w:val="24"/>
          <w:szCs w:val="30"/>
          <w:shd w:val="clear"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(3)有特效解毒药者，应用特效解毒药</w:t>
      </w:r>
      <w:r>
        <w:rPr>
          <w:rFonts w:hint="eastAsia" w:ascii="宋体" w:hAnsi="宋体" w:eastAsia="宋体" w:cs="Arial"/>
          <w:i w:val="0"/>
          <w:iCs w:val="0"/>
          <w:caps w:val="0"/>
          <w:color w:val="auto"/>
          <w:spacing w:val="0"/>
          <w:sz w:val="24"/>
          <w:szCs w:val="30"/>
          <w:shd w:val="clear"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参考文献：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［1］陈灏珠，林果为．实用内科学（第16版）上册.第十一篇化学物理因素所致疾病.第二章急性中毒的处理［M］．北京：人民卫生出版社，2022</w:t>
      </w:r>
      <w:r>
        <w:rPr>
          <w:rFonts w:hint="eastAsia" w:ascii="宋体" w:hAnsi="宋体" w:eastAsia="宋体" w:cs="Arial"/>
          <w:i w:val="0"/>
          <w:iCs w:val="0"/>
          <w:caps w:val="0"/>
          <w:color w:val="auto"/>
          <w:spacing w:val="0"/>
          <w:sz w:val="24"/>
          <w:szCs w:val="30"/>
          <w:shd w:val="clear"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default" w:ascii="宋体" w:hAnsi="宋体" w:eastAsia="宋体" w:cs="Arial"/>
          <w:i w:val="0"/>
          <w:iCs w:val="0"/>
          <w:caps w:val="0"/>
          <w:color w:val="auto"/>
          <w:spacing w:val="0"/>
          <w:sz w:val="24"/>
          <w:szCs w:val="30"/>
          <w:shd w:val="clear" w:fill="FFFFFF"/>
          <w:lang w:val="en-US" w:eastAsia="zh-CN"/>
        </w:rPr>
        <w:t>［2］宋维，于学忠．急性中毒诊断与治疗中国专家共识［J］．中国急救医学，2016,11（36）：961-974．</w:t>
      </w:r>
    </w:p>
    <w:p>
      <w:pPr>
        <w:pStyle w:val="33"/>
        <w:rPr>
          <w:rFonts w:hint="default" w:ascii="宋体" w:hAnsi="宋体" w:eastAsia="宋体" w:cs="Arial"/>
          <w:i w:val="0"/>
          <w:iCs w:val="0"/>
          <w:caps w:val="0"/>
          <w:color w:val="auto"/>
          <w:spacing w:val="0"/>
          <w:sz w:val="24"/>
          <w:szCs w:val="30"/>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val="0"/>
          <w:bCs/>
          <w:color w:val="auto"/>
          <w:sz w:val="24"/>
          <w:szCs w:val="28"/>
          <w:lang w:eastAsia="zh-CN"/>
        </w:rPr>
      </w:pPr>
      <w:r>
        <w:rPr>
          <w:rFonts w:hint="eastAsia" w:ascii="黑体" w:hAnsi="黑体" w:eastAsia="黑体" w:cs="黑体"/>
          <w:b w:val="0"/>
          <w:bCs/>
          <w:color w:val="auto"/>
          <w:sz w:val="24"/>
          <w:szCs w:val="28"/>
          <w:lang w:eastAsia="zh-CN"/>
        </w:rPr>
        <w:t>修订记录</w:t>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序号</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修订前版本号</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修订后版本号</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修订原因、依据</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修订内容</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修订人/</w:t>
            </w:r>
            <w:r>
              <w:rPr>
                <w:rFonts w:hint="eastAsia" w:asciiTheme="minorEastAsia" w:hAnsiTheme="minorEastAsia" w:cstheme="minorEastAsia"/>
                <w:color w:val="auto"/>
                <w:sz w:val="21"/>
                <w:szCs w:val="21"/>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trPr>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1.</w:t>
            </w:r>
            <w:r>
              <w:rPr>
                <w:rFonts w:hint="eastAsia" w:asciiTheme="minorEastAsia" w:hAnsiTheme="minorEastAsia" w:cstheme="minorEastAsia"/>
                <w:color w:val="auto"/>
                <w:sz w:val="21"/>
                <w:szCs w:val="21"/>
                <w:vertAlign w:val="baseline"/>
                <w:lang w:eastAsia="zh-CN"/>
              </w:rPr>
              <w:t>增加应急预案参考文献信息；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r>
              <w:rPr>
                <w:rFonts w:hint="eastAsia" w:asciiTheme="minorEastAsia" w:hAnsiTheme="minorEastAsia" w:cstheme="minorEastAsia"/>
                <w:color w:val="auto"/>
                <w:sz w:val="21"/>
                <w:szCs w:val="21"/>
                <w:vertAlign w:val="baseline"/>
                <w:lang w:eastAsia="zh-CN"/>
              </w:rPr>
              <w:t>根据最新参考文献修订具体内容。</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1.文末添加相关参考文献名称、作者、时间等信息；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2.根据最新文献诊治标准更新现行诊疗流程。</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p>
        </w:tc>
      </w:tr>
    </w:tbl>
    <w:p>
      <w:pPr>
        <w:rPr>
          <w:rFonts w:hint="default"/>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宋体" w:hAnsi="宋体" w:eastAsia="宋体" w:cs="Arial"/>
          <w:i w:val="0"/>
          <w:iCs w:val="0"/>
          <w:caps w:val="0"/>
          <w:color w:val="auto"/>
          <w:spacing w:val="0"/>
          <w:sz w:val="24"/>
          <w:szCs w:val="30"/>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ascii="黑体" w:hAnsi="黑体" w:eastAsia="黑体" w:cs="黑体"/>
          <w:b/>
          <w:bCs/>
          <w:color w:val="auto"/>
          <w:sz w:val="28"/>
          <w:szCs w:val="28"/>
        </w:rPr>
        <w:sectPr>
          <w:headerReference r:id="rId194" w:type="default"/>
          <w:footerReference r:id="rId195" w:type="default"/>
          <w:pgSz w:w="11906" w:h="16838"/>
          <w:pgMar w:top="1440" w:right="1236" w:bottom="1440" w:left="1463" w:header="851" w:footer="992" w:gutter="0"/>
          <w:pgNumType w:fmt="decimal"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bCs/>
          <w:color w:val="auto"/>
          <w:sz w:val="28"/>
          <w:szCs w:val="28"/>
        </w:rPr>
      </w:pPr>
      <w:r>
        <w:rPr>
          <w:rFonts w:hint="eastAsia" w:ascii="黑体" w:hAnsi="黑体" w:eastAsia="黑体" w:cs="黑体"/>
          <w:b/>
          <w:bCs/>
          <w:color w:val="auto"/>
          <w:sz w:val="28"/>
          <w:szCs w:val="28"/>
        </w:rPr>
        <w:t>急性荨麻疹</w:t>
      </w:r>
      <w:r>
        <w:rPr>
          <w:rFonts w:hint="eastAsia" w:ascii="黑体" w:hAnsi="黑体" w:eastAsia="黑体" w:cs="黑体"/>
          <w:b/>
          <w:bCs/>
          <w:color w:val="auto"/>
          <w:sz w:val="28"/>
          <w:szCs w:val="28"/>
          <w:lang w:eastAsia="zh-CN"/>
        </w:rPr>
        <w:t>的急救预案</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一、</w:t>
      </w:r>
      <w:r>
        <w:rPr>
          <w:rFonts w:hint="eastAsia" w:ascii="宋体" w:hAnsi="宋体" w:eastAsia="宋体" w:cs="宋体"/>
          <w:color w:val="auto"/>
          <w:sz w:val="24"/>
          <w:szCs w:val="24"/>
        </w:rPr>
        <w:t>目的</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急性荨麻疹是食物、药物、植物、动物、空气中的致敏物、体内感染灶等致敏原引起的急性过敏反应，除皮肤发生风团外，还可发生过敏性休克等严重情况。</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二、</w:t>
      </w:r>
      <w:r>
        <w:rPr>
          <w:rFonts w:hint="eastAsia" w:ascii="宋体" w:hAnsi="宋体" w:eastAsia="宋体" w:cs="宋体"/>
          <w:color w:val="auto"/>
          <w:sz w:val="24"/>
          <w:szCs w:val="24"/>
        </w:rPr>
        <w:t>范围</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适用于临床试验所有受试者。</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三、急救程序</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0" w:firstLineChars="0"/>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（一）</w:t>
      </w:r>
      <w:r>
        <w:rPr>
          <w:rFonts w:hint="eastAsia" w:ascii="宋体" w:hAnsi="宋体" w:eastAsia="宋体" w:cs="宋体"/>
          <w:color w:val="auto"/>
          <w:sz w:val="24"/>
          <w:szCs w:val="24"/>
        </w:rPr>
        <w:t>诊断标准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急性发作，有过敏源接触史。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皮肤突然出现大量风团，瘙痒剧烈，风团面积大小不等，红色或苍白色。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胃肠道黏膜受累时出现腹痛、恶心、呕吐等，呼吸道黏膜受累时出现呼吸困难，甚至窒息。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严重时可合并过敏性休克。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外周血嗜酸性粒细胞增多。</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0" w:firstLineChars="0"/>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（二</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 xml:space="preserve"> 治疗原则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去除致敏源。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及时应用抗组胺药物。</w:t>
      </w:r>
      <w:r>
        <w:rPr>
          <w:rFonts w:hint="eastAsia" w:ascii="宋体" w:hAnsi="宋体" w:eastAsia="宋体" w:cs="宋体"/>
          <w:color w:val="auto"/>
          <w:sz w:val="24"/>
          <w:szCs w:val="24"/>
          <w:lang w:eastAsia="zh-CN"/>
        </w:rPr>
        <w:t>可口服氯雷他定片</w:t>
      </w:r>
      <w:r>
        <w:rPr>
          <w:rFonts w:hint="eastAsia" w:ascii="宋体" w:hAnsi="宋体" w:eastAsia="宋体" w:cs="宋体"/>
          <w:color w:val="auto"/>
          <w:sz w:val="24"/>
          <w:szCs w:val="24"/>
          <w:lang w:val="en-US" w:eastAsia="zh-CN"/>
        </w:rPr>
        <w:t>10mg，或</w:t>
      </w:r>
      <w:r>
        <w:rPr>
          <w:rFonts w:hint="eastAsia" w:ascii="宋体" w:hAnsi="宋体" w:eastAsia="宋体" w:cs="宋体"/>
          <w:color w:val="auto"/>
          <w:sz w:val="24"/>
          <w:szCs w:val="24"/>
          <w:lang w:eastAsia="zh-CN"/>
        </w:rPr>
        <w:t>选择异丙嗪注射液</w:t>
      </w:r>
      <w:r>
        <w:rPr>
          <w:rFonts w:hint="eastAsia" w:ascii="宋体" w:hAnsi="宋体" w:eastAsia="宋体" w:cs="宋体"/>
          <w:color w:val="auto"/>
          <w:sz w:val="24"/>
          <w:szCs w:val="24"/>
          <w:lang w:val="en-US" w:eastAsia="zh-CN"/>
        </w:rPr>
        <w:t>25mg，肌肉注射。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病情严重时应用皮质激素。</w:t>
      </w:r>
      <w:r>
        <w:rPr>
          <w:rFonts w:hint="eastAsia" w:ascii="宋体" w:hAnsi="宋体" w:eastAsia="宋体" w:cs="宋体"/>
          <w:color w:val="auto"/>
          <w:sz w:val="24"/>
          <w:szCs w:val="24"/>
          <w:lang w:eastAsia="zh-CN"/>
        </w:rPr>
        <w:t>可选择地塞米松</w:t>
      </w:r>
      <w:r>
        <w:rPr>
          <w:rFonts w:hint="eastAsia" w:ascii="宋体" w:hAnsi="宋体" w:eastAsia="宋体" w:cs="宋体"/>
          <w:color w:val="auto"/>
          <w:sz w:val="24"/>
          <w:szCs w:val="24"/>
          <w:lang w:val="en-US" w:eastAsia="zh-CN"/>
        </w:rPr>
        <w:t>5mg肌肉注射，或者甲强龙40mg静脉滴注。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出现消化道或呼吸道症状时给予对症治疗。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出现过敏性休克时</w:t>
      </w:r>
      <w:r>
        <w:rPr>
          <w:rFonts w:hint="eastAsia" w:ascii="宋体" w:hAnsi="宋体" w:eastAsia="宋体" w:cs="宋体"/>
          <w:color w:val="auto"/>
          <w:sz w:val="24"/>
          <w:szCs w:val="24"/>
          <w:lang w:eastAsia="zh-CN"/>
        </w:rPr>
        <w:t>参照过敏性休克应急预案处理</w:t>
      </w:r>
      <w:r>
        <w:rPr>
          <w:rFonts w:hint="eastAsia" w:ascii="宋体" w:hAnsi="宋体" w:eastAsia="宋体" w:cs="宋体"/>
          <w:color w:val="auto"/>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ascii="宋体" w:hAnsi="宋体" w:cs="宋体"/>
          <w:color w:val="auto"/>
          <w:sz w:val="24"/>
          <w:szCs w:val="24"/>
          <w:lang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eastAsia="zh-CN"/>
        </w:rPr>
        <w:t>皮肤风团面积较小者，可</w:t>
      </w:r>
      <w:r>
        <w:rPr>
          <w:rFonts w:hint="eastAsia" w:ascii="宋体" w:hAnsi="宋体" w:eastAsia="宋体" w:cs="宋体"/>
          <w:color w:val="auto"/>
          <w:sz w:val="24"/>
          <w:szCs w:val="24"/>
        </w:rPr>
        <w:t>外用药物，如炉甘石洗剂</w:t>
      </w:r>
      <w:r>
        <w:rPr>
          <w:rFonts w:hint="eastAsia" w:ascii="宋体" w:hAnsi="宋体" w:eastAsia="宋体" w:cs="宋体"/>
          <w:color w:val="auto"/>
          <w:sz w:val="24"/>
          <w:szCs w:val="24"/>
          <w:lang w:eastAsia="zh-CN"/>
        </w:rPr>
        <w:t>涂抹患处皮肤</w:t>
      </w:r>
      <w:r>
        <w:rPr>
          <w:rFonts w:hint="eastAsia" w:ascii="宋体" w:hAnsi="宋体" w:eastAsia="宋体" w:cs="宋体"/>
          <w:color w:val="auto"/>
          <w:sz w:val="24"/>
          <w:szCs w:val="24"/>
        </w:rPr>
        <w:t>等</w:t>
      </w:r>
      <w:r>
        <w:rPr>
          <w:rFonts w:hint="eastAsia" w:ascii="宋体" w:hAnsi="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0" w:firstLineChars="0"/>
        <w:textAlignment w:val="auto"/>
        <w:rPr>
          <w:rFonts w:hint="eastAsia" w:ascii="宋体" w:hAnsi="宋体" w:cs="宋体"/>
          <w:color w:val="auto"/>
          <w:sz w:val="24"/>
          <w:szCs w:val="24"/>
          <w:lang w:eastAsia="zh-CN"/>
        </w:rPr>
      </w:pPr>
      <w:r>
        <w:rPr>
          <w:rFonts w:hint="eastAsia" w:ascii="宋体" w:hAnsi="宋体" w:cs="宋体"/>
          <w:color w:val="auto"/>
          <w:sz w:val="24"/>
          <w:szCs w:val="24"/>
          <w:lang w:eastAsia="zh-CN"/>
        </w:rPr>
        <w:t>参考文献：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right="0" w:rightChars="0" w:hanging="600" w:hangingChars="25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default" w:ascii="宋体" w:hAnsi="宋体" w:eastAsia="宋体" w:cs="Arial"/>
          <w:i w:val="0"/>
          <w:iCs w:val="0"/>
          <w:caps w:val="0"/>
          <w:color w:val="auto"/>
          <w:spacing w:val="0"/>
          <w:sz w:val="24"/>
          <w:szCs w:val="30"/>
          <w:shd w:val="clear" w:fill="FFFFFF"/>
          <w:lang w:val="en-US" w:eastAsia="zh-CN"/>
        </w:rPr>
        <w:t>陈灏珠，林果为．实用内科学（第1</w:t>
      </w:r>
      <w:r>
        <w:rPr>
          <w:rFonts w:hint="eastAsia" w:ascii="宋体" w:hAnsi="宋体" w:eastAsia="宋体" w:cs="Arial"/>
          <w:i w:val="0"/>
          <w:iCs w:val="0"/>
          <w:caps w:val="0"/>
          <w:color w:val="auto"/>
          <w:spacing w:val="0"/>
          <w:sz w:val="24"/>
          <w:szCs w:val="30"/>
          <w:shd w:val="clear" w:fill="FFFFFF"/>
          <w:lang w:val="en-US" w:eastAsia="zh-CN"/>
        </w:rPr>
        <w:t>6</w:t>
      </w:r>
      <w:r>
        <w:rPr>
          <w:rFonts w:hint="default" w:ascii="宋体" w:hAnsi="宋体" w:eastAsia="宋体" w:cs="Arial"/>
          <w:i w:val="0"/>
          <w:iCs w:val="0"/>
          <w:caps w:val="0"/>
          <w:color w:val="auto"/>
          <w:spacing w:val="0"/>
          <w:sz w:val="24"/>
          <w:szCs w:val="30"/>
          <w:shd w:val="clear" w:fill="FFFFFF"/>
          <w:lang w:val="en-US" w:eastAsia="zh-CN"/>
        </w:rPr>
        <w:t>版）</w:t>
      </w:r>
      <w:r>
        <w:rPr>
          <w:rFonts w:hint="eastAsia" w:ascii="宋体" w:hAnsi="宋体" w:eastAsia="宋体" w:cs="Arial"/>
          <w:i w:val="0"/>
          <w:iCs w:val="0"/>
          <w:caps w:val="0"/>
          <w:color w:val="auto"/>
          <w:spacing w:val="0"/>
          <w:sz w:val="24"/>
          <w:szCs w:val="30"/>
          <w:shd w:val="clear" w:fill="FFFFFF"/>
          <w:lang w:val="en-US" w:eastAsia="zh-CN"/>
        </w:rPr>
        <w:t>下</w:t>
      </w:r>
      <w:r>
        <w:rPr>
          <w:rFonts w:hint="default" w:ascii="宋体" w:hAnsi="宋体" w:eastAsia="宋体" w:cs="Arial"/>
          <w:i w:val="0"/>
          <w:iCs w:val="0"/>
          <w:caps w:val="0"/>
          <w:color w:val="auto"/>
          <w:spacing w:val="0"/>
          <w:sz w:val="24"/>
          <w:szCs w:val="30"/>
          <w:shd w:val="clear" w:fill="FFFFFF"/>
          <w:lang w:val="en-US" w:eastAsia="zh-CN"/>
        </w:rPr>
        <w:t>册</w:t>
      </w:r>
      <w:r>
        <w:rPr>
          <w:rFonts w:hint="eastAsia" w:ascii="宋体" w:hAnsi="宋体" w:eastAsia="宋体" w:cs="Arial"/>
          <w:i w:val="0"/>
          <w:iCs w:val="0"/>
          <w:caps w:val="0"/>
          <w:color w:val="auto"/>
          <w:spacing w:val="0"/>
          <w:sz w:val="24"/>
          <w:szCs w:val="30"/>
          <w:shd w:val="clear" w:fill="FFFFFF"/>
          <w:lang w:val="en-US" w:eastAsia="zh-CN"/>
        </w:rPr>
        <w:t>.第二十一篇免疫性疾病.第五章荨麻疹和血管性水肿</w:t>
      </w:r>
      <w:r>
        <w:rPr>
          <w:rFonts w:hint="default" w:ascii="宋体" w:hAnsi="宋体" w:eastAsia="宋体" w:cs="Arial"/>
          <w:i w:val="0"/>
          <w:iCs w:val="0"/>
          <w:caps w:val="0"/>
          <w:color w:val="auto"/>
          <w:spacing w:val="0"/>
          <w:sz w:val="24"/>
          <w:szCs w:val="30"/>
          <w:shd w:val="clear" w:fill="FFFFFF"/>
          <w:lang w:val="en-US" w:eastAsia="zh-CN"/>
        </w:rPr>
        <w:t>［M］．北京：人民卫生出版社，20</w:t>
      </w:r>
      <w:r>
        <w:rPr>
          <w:rFonts w:hint="eastAsia" w:ascii="宋体" w:hAnsi="宋体" w:eastAsia="宋体" w:cs="Arial"/>
          <w:i w:val="0"/>
          <w:iCs w:val="0"/>
          <w:caps w:val="0"/>
          <w:color w:val="auto"/>
          <w:spacing w:val="0"/>
          <w:sz w:val="24"/>
          <w:szCs w:val="30"/>
          <w:shd w:val="clear" w:fill="FFFFFF"/>
          <w:lang w:val="en-US" w:eastAsia="zh-CN"/>
        </w:rPr>
        <w:t>22.</w:t>
      </w:r>
    </w:p>
    <w:p>
      <w:pPr>
        <w:keepNext w:val="0"/>
        <w:keepLines w:val="0"/>
        <w:pageBreakBefore w:val="0"/>
        <w:widowControl w:val="0"/>
        <w:kinsoku/>
        <w:wordWrap/>
        <w:overflowPunct/>
        <w:topLinePunct w:val="0"/>
        <w:autoSpaceDE/>
        <w:autoSpaceDN/>
        <w:bidi w:val="0"/>
        <w:adjustRightInd/>
        <w:snapToGrid/>
        <w:spacing w:line="360" w:lineRule="auto"/>
        <w:ind w:left="600" w:right="0" w:rightChars="0" w:hanging="600" w:hangingChars="250"/>
        <w:jc w:val="both"/>
        <w:textAlignment w:val="auto"/>
        <w:rPr>
          <w:rFonts w:hint="eastAsia"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］郝飞</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宋志强，陆前进</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中国荨麻疹诊疗</w:t>
      </w:r>
      <w:r>
        <w:rPr>
          <w:rFonts w:hint="default" w:ascii="宋体" w:hAnsi="宋体" w:eastAsia="宋体" w:cs="Arial"/>
          <w:i w:val="0"/>
          <w:iCs w:val="0"/>
          <w:caps w:val="0"/>
          <w:color w:val="auto"/>
          <w:spacing w:val="0"/>
          <w:sz w:val="24"/>
          <w:szCs w:val="30"/>
          <w:shd w:val="clear" w:fill="FFFFFF"/>
          <w:lang w:val="en-US" w:eastAsia="zh-CN"/>
        </w:rPr>
        <w:t>指南</w:t>
      </w:r>
      <w:r>
        <w:rPr>
          <w:rFonts w:hint="eastAsia" w:ascii="宋体" w:hAnsi="宋体" w:eastAsia="宋体" w:cs="Arial"/>
          <w:i w:val="0"/>
          <w:iCs w:val="0"/>
          <w:caps w:val="0"/>
          <w:color w:val="auto"/>
          <w:spacing w:val="0"/>
          <w:sz w:val="24"/>
          <w:szCs w:val="30"/>
          <w:shd w:val="clear" w:fill="FFFFFF"/>
          <w:lang w:val="en-US" w:eastAsia="zh-CN"/>
        </w:rPr>
        <w:t>（2018版）</w:t>
      </w:r>
      <w:r>
        <w:rPr>
          <w:rFonts w:hint="default" w:ascii="宋体" w:hAnsi="宋体" w:eastAsia="宋体" w:cs="Arial"/>
          <w:i w:val="0"/>
          <w:iCs w:val="0"/>
          <w:caps w:val="0"/>
          <w:color w:val="auto"/>
          <w:spacing w:val="0"/>
          <w:sz w:val="24"/>
          <w:szCs w:val="30"/>
          <w:shd w:val="clear" w:fill="FFFFFF"/>
          <w:lang w:val="en-US" w:eastAsia="zh-CN"/>
        </w:rPr>
        <w:t>［J］．</w:t>
      </w:r>
      <w:r>
        <w:rPr>
          <w:rFonts w:hint="eastAsia" w:ascii="宋体" w:hAnsi="宋体" w:eastAsia="宋体" w:cs="Arial"/>
          <w:i w:val="0"/>
          <w:iCs w:val="0"/>
          <w:caps w:val="0"/>
          <w:color w:val="auto"/>
          <w:spacing w:val="0"/>
          <w:sz w:val="24"/>
          <w:szCs w:val="30"/>
          <w:shd w:val="clear" w:fill="FFFFFF"/>
          <w:lang w:val="en-US" w:eastAsia="zh-CN"/>
        </w:rPr>
        <w:t>中华皮肤科</w:t>
      </w:r>
      <w:r>
        <w:rPr>
          <w:rFonts w:hint="default" w:ascii="宋体" w:hAnsi="宋体" w:eastAsia="宋体" w:cs="Arial"/>
          <w:i w:val="0"/>
          <w:iCs w:val="0"/>
          <w:caps w:val="0"/>
          <w:color w:val="auto"/>
          <w:spacing w:val="0"/>
          <w:sz w:val="24"/>
          <w:szCs w:val="30"/>
          <w:shd w:val="clear" w:fill="FFFFFF"/>
          <w:lang w:val="en-US" w:eastAsia="zh-CN"/>
        </w:rPr>
        <w:t>杂志，201</w:t>
      </w:r>
      <w:r>
        <w:rPr>
          <w:rFonts w:hint="eastAsia" w:ascii="宋体" w:hAnsi="宋体" w:eastAsia="宋体" w:cs="Arial"/>
          <w:i w:val="0"/>
          <w:iCs w:val="0"/>
          <w:caps w:val="0"/>
          <w:color w:val="auto"/>
          <w:spacing w:val="0"/>
          <w:sz w:val="24"/>
          <w:szCs w:val="30"/>
          <w:shd w:val="clear" w:fill="FFFFFF"/>
          <w:lang w:val="en-US" w:eastAsia="zh-CN"/>
        </w:rPr>
        <w:t>9</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52</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1</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w:t>
      </w:r>
    </w:p>
    <w:p>
      <w:pPr>
        <w:pStyle w:val="33"/>
        <w:rPr>
          <w:rFonts w:hint="eastAsia"/>
          <w:color w:val="auto"/>
          <w:lang w:val="en-US" w:eastAsia="zh-CN"/>
        </w:rPr>
      </w:pPr>
    </w:p>
    <w:p>
      <w:pPr>
        <w:pStyle w:val="33"/>
        <w:rPr>
          <w:rFonts w:hint="eastAsia" w:ascii="宋体" w:hAnsi="宋体" w:eastAsia="宋体" w:cs="Arial"/>
          <w:i w:val="0"/>
          <w:iCs w:val="0"/>
          <w:caps w:val="0"/>
          <w:color w:val="auto"/>
          <w:spacing w:val="0"/>
          <w:sz w:val="24"/>
          <w:szCs w:val="30"/>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val="0"/>
          <w:bCs/>
          <w:color w:val="auto"/>
          <w:sz w:val="24"/>
          <w:szCs w:val="28"/>
          <w:lang w:eastAsia="zh-CN"/>
        </w:rPr>
      </w:pPr>
      <w:r>
        <w:rPr>
          <w:rFonts w:hint="eastAsia" w:ascii="黑体" w:hAnsi="黑体" w:eastAsia="黑体" w:cs="黑体"/>
          <w:b w:val="0"/>
          <w:bCs/>
          <w:color w:val="auto"/>
          <w:sz w:val="24"/>
          <w:szCs w:val="28"/>
          <w:lang w:eastAsia="zh-CN"/>
        </w:rPr>
        <w:t>修订记录</w:t>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序号</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修订前版本号</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修订后版本号</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修订原因、依据</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修订内容</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修订人/</w:t>
            </w:r>
            <w:r>
              <w:rPr>
                <w:rFonts w:hint="eastAsia" w:asciiTheme="minorEastAsia" w:hAnsiTheme="minorEastAsia" w:cstheme="minorEastAsia"/>
                <w:color w:val="auto"/>
                <w:sz w:val="21"/>
                <w:szCs w:val="21"/>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trPr>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1</w:t>
            </w:r>
            <w:r>
              <w:rPr>
                <w:rFonts w:hint="eastAsia" w:asciiTheme="minorEastAsia" w:hAnsiTheme="minorEastAsia" w:cstheme="minorEastAsia"/>
                <w:color w:val="auto"/>
                <w:sz w:val="21"/>
                <w:szCs w:val="21"/>
                <w:vertAlign w:val="baseline"/>
                <w:lang w:eastAsia="zh-CN"/>
              </w:rPr>
              <w:t>增加应急预案参考文献信息；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r>
              <w:rPr>
                <w:rFonts w:hint="eastAsia" w:asciiTheme="minorEastAsia" w:hAnsiTheme="minorEastAsia" w:cstheme="minorEastAsia"/>
                <w:color w:val="auto"/>
                <w:sz w:val="21"/>
                <w:szCs w:val="21"/>
                <w:vertAlign w:val="baseline"/>
                <w:lang w:eastAsia="zh-CN"/>
              </w:rPr>
              <w:t>根据最新参考文献修订具体内容。</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1文末添加相关参考文献名称、作者、时间等信息；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2根据最新文献诊治标准更新现行诊疗流程。</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p>
        </w:tc>
      </w:tr>
    </w:tbl>
    <w:p>
      <w:pPr>
        <w:rPr>
          <w:rFonts w:hint="default"/>
          <w:color w:val="auto"/>
          <w:lang w:val="en-US"/>
        </w:rPr>
        <w:sectPr>
          <w:headerReference r:id="rId196" w:type="default"/>
          <w:footerReference r:id="rId197" w:type="default"/>
          <w:pgSz w:w="11906" w:h="16838"/>
          <w:pgMar w:top="1440" w:right="1236" w:bottom="1440" w:left="1463" w:header="851" w:footer="992" w:gutter="0"/>
          <w:pgNumType w:fmt="decimal"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bCs/>
          <w:color w:val="auto"/>
          <w:sz w:val="28"/>
          <w:szCs w:val="28"/>
        </w:rPr>
      </w:pPr>
      <w:r>
        <w:rPr>
          <w:rFonts w:hint="eastAsia" w:ascii="黑体" w:hAnsi="黑体" w:eastAsia="黑体" w:cs="黑体"/>
          <w:b/>
          <w:bCs/>
          <w:color w:val="auto"/>
          <w:sz w:val="28"/>
          <w:szCs w:val="28"/>
        </w:rPr>
        <w:t>重症药疹</w:t>
      </w:r>
      <w:r>
        <w:rPr>
          <w:rFonts w:hint="eastAsia" w:ascii="黑体" w:hAnsi="黑体" w:eastAsia="黑体" w:cs="黑体"/>
          <w:b/>
          <w:bCs/>
          <w:color w:val="auto"/>
          <w:sz w:val="28"/>
          <w:szCs w:val="28"/>
          <w:lang w:eastAsia="zh-CN"/>
        </w:rPr>
        <w:t>的急救预案</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一、</w:t>
      </w:r>
      <w:r>
        <w:rPr>
          <w:rFonts w:hint="eastAsia" w:ascii="宋体" w:hAnsi="宋体" w:eastAsia="宋体" w:cs="宋体"/>
          <w:color w:val="auto"/>
          <w:sz w:val="24"/>
          <w:szCs w:val="24"/>
        </w:rPr>
        <w:t>目的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临床药物试验中，受试者可能因注射、内服、吸入或外用药物引起皮肤过敏反应。其中重症多形性红斑型药疹、大疱性表皮松解型药疹起病急、进展快、病情重，如不及时治疗可危及生命。为了确保受试者的安全，特制定本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0" w:firstLineChars="0"/>
        <w:textAlignment w:val="auto"/>
        <w:rPr>
          <w:rFonts w:hint="eastAsia" w:ascii="宋体" w:hAnsi="宋体" w:cs="宋体"/>
          <w:color w:val="auto"/>
          <w:sz w:val="24"/>
          <w:szCs w:val="24"/>
          <w:lang w:eastAsia="zh-CN"/>
        </w:rPr>
      </w:pPr>
      <w:r>
        <w:rPr>
          <w:rFonts w:hint="eastAsia" w:ascii="宋体" w:hAnsi="宋体" w:cs="宋体"/>
          <w:color w:val="auto"/>
          <w:sz w:val="24"/>
          <w:szCs w:val="24"/>
          <w:lang w:eastAsia="zh-CN"/>
        </w:rPr>
        <w:t>二、</w:t>
      </w:r>
      <w:r>
        <w:rPr>
          <w:rFonts w:hint="eastAsia" w:ascii="宋体" w:hAnsi="宋体" w:eastAsia="宋体" w:cs="宋体"/>
          <w:color w:val="auto"/>
          <w:sz w:val="24"/>
          <w:szCs w:val="24"/>
        </w:rPr>
        <w:t>范围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适用于临床试验所有受试者。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0" w:firstLineChars="0"/>
        <w:textAlignment w:val="auto"/>
        <w:rPr>
          <w:rFonts w:hint="eastAsia" w:ascii="宋体" w:hAnsi="宋体" w:cs="宋体"/>
          <w:color w:val="auto"/>
          <w:sz w:val="24"/>
          <w:szCs w:val="24"/>
          <w:lang w:eastAsia="zh-CN"/>
        </w:rPr>
      </w:pPr>
      <w:r>
        <w:rPr>
          <w:rFonts w:hint="eastAsia" w:ascii="宋体" w:hAnsi="宋体" w:cs="宋体"/>
          <w:color w:val="auto"/>
          <w:sz w:val="24"/>
          <w:szCs w:val="24"/>
          <w:lang w:eastAsia="zh-CN"/>
        </w:rPr>
        <w:t>三、急救程序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0" w:firstLineChars="0"/>
        <w:textAlignment w:val="auto"/>
        <w:rPr>
          <w:rFonts w:hint="eastAsia" w:ascii="宋体" w:hAnsi="宋体" w:cs="宋体"/>
          <w:color w:val="auto"/>
          <w:sz w:val="24"/>
          <w:szCs w:val="24"/>
          <w:lang w:eastAsia="zh-CN"/>
        </w:rPr>
      </w:pPr>
      <w:r>
        <w:rPr>
          <w:rFonts w:hint="eastAsia" w:ascii="宋体" w:hAnsi="宋体" w:cs="宋体"/>
          <w:color w:val="auto"/>
          <w:sz w:val="24"/>
          <w:szCs w:val="24"/>
          <w:lang w:eastAsia="zh-CN"/>
        </w:rPr>
        <w:t>（一）诊断依据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出疹前有用药史。</w:t>
      </w:r>
      <w:r>
        <w:rPr>
          <w:rFonts w:hint="eastAsia" w:ascii="宋体" w:hAnsi="宋体" w:eastAsia="宋体" w:cs="宋体"/>
          <w:color w:val="auto"/>
          <w:sz w:val="24"/>
          <w:szCs w:val="24"/>
          <w:lang w:eastAsia="zh-CN"/>
        </w:rPr>
        <w:t>尤其重点关注引起药疹的常见药物，如：阿司匹林，对乙酰氨基酚，青霉素类抗生素，卡马西平，苯妥英钠，别嘌醇等。</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起病急</w:t>
      </w:r>
      <w:r>
        <w:rPr>
          <w:rFonts w:hint="eastAsia" w:ascii="宋体" w:hAnsi="宋体" w:eastAsia="宋体" w:cs="宋体"/>
          <w:color w:val="auto"/>
          <w:sz w:val="24"/>
          <w:szCs w:val="24"/>
          <w:lang w:eastAsia="zh-CN"/>
        </w:rPr>
        <w:t>者数小时或者</w:t>
      </w:r>
      <w:r>
        <w:rPr>
          <w:rFonts w:hint="eastAsia" w:ascii="宋体" w:hAnsi="宋体" w:eastAsia="宋体" w:cs="宋体"/>
          <w:color w:val="auto"/>
          <w:sz w:val="24"/>
          <w:szCs w:val="24"/>
          <w:lang w:val="en-US" w:eastAsia="zh-CN"/>
        </w:rPr>
        <w:t>1-2天内迅速发生</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慢者再用药后</w:t>
      </w:r>
      <w:r>
        <w:rPr>
          <w:rFonts w:hint="eastAsia" w:ascii="宋体" w:hAnsi="宋体" w:eastAsia="宋体" w:cs="宋体"/>
          <w:color w:val="auto"/>
          <w:sz w:val="24"/>
          <w:szCs w:val="24"/>
          <w:lang w:val="en-US" w:eastAsia="zh-CN"/>
        </w:rPr>
        <w:t>7-10天内出现，类型多样，</w:t>
      </w:r>
      <w:r>
        <w:rPr>
          <w:rFonts w:hint="eastAsia" w:ascii="宋体" w:hAnsi="宋体" w:eastAsia="宋体" w:cs="宋体"/>
          <w:color w:val="auto"/>
          <w:sz w:val="24"/>
          <w:szCs w:val="24"/>
        </w:rPr>
        <w:t>可伴有发热等全身反应。</w:t>
      </w:r>
      <w:r>
        <w:rPr>
          <w:rFonts w:hint="eastAsia" w:ascii="宋体" w:hAnsi="宋体" w:eastAsia="宋体" w:cs="宋体"/>
          <w:color w:val="auto"/>
          <w:sz w:val="24"/>
          <w:szCs w:val="24"/>
          <w:lang w:eastAsia="zh-CN"/>
        </w:rPr>
        <w:t>药疹最常见类型为发疹型药疹，占药疹</w:t>
      </w:r>
      <w:r>
        <w:rPr>
          <w:rFonts w:hint="eastAsia" w:ascii="宋体" w:hAnsi="宋体" w:eastAsia="宋体" w:cs="宋体"/>
          <w:color w:val="auto"/>
          <w:sz w:val="24"/>
          <w:szCs w:val="24"/>
          <w:lang w:val="en-US" w:eastAsia="zh-CN"/>
        </w:rPr>
        <w:t>95%以上，皮疹表现为弥漫性鲜红色斑或者粟粒大小的斑丘疹，密集而对称的分布，其最常见诱发药物为抗生素，解热镇痛药，抗癫痫药等。</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3．重症</w:t>
      </w:r>
      <w:r>
        <w:rPr>
          <w:rFonts w:hint="eastAsia" w:ascii="宋体" w:hAnsi="宋体" w:eastAsia="宋体" w:cs="宋体"/>
          <w:color w:val="auto"/>
          <w:sz w:val="24"/>
          <w:szCs w:val="24"/>
          <w:lang w:eastAsia="zh-CN"/>
        </w:rPr>
        <w:t>药疹常见的类型为红皮病型药疹、多形红斑型药疹、大疱性表皮松解坏死型药疹；</w:t>
      </w:r>
      <w:r>
        <w:rPr>
          <w:rFonts w:hint="eastAsia" w:ascii="宋体" w:hAnsi="宋体" w:eastAsia="宋体" w:cs="宋体"/>
          <w:color w:val="auto"/>
          <w:sz w:val="24"/>
          <w:szCs w:val="24"/>
        </w:rPr>
        <w:t>多形性红斑型药疹及大疱性表皮松解型药疹的皮肤损害均以全身水肿性红斑和大疱为主，同时侵犯黏膜。水疱破溃后出现大面积糜烂、渗液。大疱性表皮松解型药疹还出现表皮的坏死及松解。</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可</w:t>
      </w:r>
      <w:r>
        <w:rPr>
          <w:rFonts w:hint="eastAsia" w:ascii="宋体" w:hAnsi="宋体" w:eastAsia="宋体" w:cs="宋体"/>
          <w:color w:val="auto"/>
          <w:sz w:val="24"/>
          <w:szCs w:val="24"/>
          <w:lang w:eastAsia="zh-CN"/>
        </w:rPr>
        <w:t>继发感染，</w:t>
      </w:r>
      <w:r>
        <w:rPr>
          <w:rFonts w:hint="eastAsia" w:ascii="宋体" w:hAnsi="宋体" w:eastAsia="宋体" w:cs="宋体"/>
          <w:color w:val="auto"/>
          <w:sz w:val="24"/>
          <w:szCs w:val="24"/>
        </w:rPr>
        <w:t>合并呼吸道、消化道、心、肝、肾等多脏器损害。</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血象显示白细胞增多。</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（二）</w:t>
      </w:r>
      <w:r>
        <w:rPr>
          <w:rFonts w:hint="eastAsia" w:ascii="宋体" w:hAnsi="宋体" w:eastAsia="宋体" w:cs="宋体"/>
          <w:color w:val="auto"/>
          <w:sz w:val="24"/>
          <w:szCs w:val="24"/>
        </w:rPr>
        <w:t>治疗原则</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停用一切可疑药物</w:t>
      </w:r>
      <w:r>
        <w:rPr>
          <w:rFonts w:hint="eastAsia" w:ascii="宋体" w:hAnsi="宋体" w:eastAsia="宋体" w:cs="宋体"/>
          <w:color w:val="auto"/>
          <w:sz w:val="24"/>
          <w:szCs w:val="24"/>
          <w:lang w:eastAsia="zh-CN"/>
        </w:rPr>
        <w:t>；多饮水或输液促进体内药物排泄。</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避免使用与致敏药物有相似化学结构的药物。</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给予足量皮质激素口服或静脉滴注，尽早有效控制病情。</w:t>
      </w:r>
      <w:r>
        <w:rPr>
          <w:rFonts w:hint="eastAsia" w:ascii="宋体" w:hAnsi="宋体" w:eastAsia="宋体" w:cs="宋体"/>
          <w:color w:val="auto"/>
          <w:sz w:val="24"/>
          <w:szCs w:val="24"/>
          <w:lang w:eastAsia="zh-CN"/>
        </w:rPr>
        <w:t>可用甲泼尼龙</w:t>
      </w:r>
      <w:r>
        <w:rPr>
          <w:rFonts w:hint="eastAsia" w:ascii="宋体" w:hAnsi="宋体" w:eastAsia="宋体" w:cs="宋体"/>
          <w:color w:val="auto"/>
          <w:sz w:val="24"/>
          <w:szCs w:val="24"/>
          <w:lang w:val="en-US" w:eastAsia="zh-CN"/>
        </w:rPr>
        <w:t>40-120mg加入5%-10%葡萄糖注射液1000-2000ml（注解：在重症药疹中的激素应用要求，滴速缓慢，必要时需要保持24小时连续滴注，故在药物配伍时，使用1000-2000ml液体进行配伍）静脉滴注；每日一次或分2次给药，必要时可大剂量冲击，甲泼尼龙每日250-300mg，连用3天，冲击后根据病情逐渐减量停药。</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给予抗组胺药物。</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针对受试者具体情况给予对症、支持治疗。</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注意对损伤皮肤和黏膜的护理，避免继发感染。</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重症患者预防继发感染，给予抗生素口服或静脉滴</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8.发生过敏性休克者参照过敏性休克应急预案处理。</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参考文献：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right="0" w:rightChars="0" w:hanging="600" w:hangingChars="25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default" w:ascii="宋体" w:hAnsi="宋体" w:eastAsia="宋体" w:cs="Arial"/>
          <w:i w:val="0"/>
          <w:iCs w:val="0"/>
          <w:caps w:val="0"/>
          <w:color w:val="auto"/>
          <w:spacing w:val="0"/>
          <w:sz w:val="24"/>
          <w:szCs w:val="30"/>
          <w:shd w:val="clear" w:fill="FFFFFF"/>
          <w:lang w:val="en-US" w:eastAsia="zh-CN"/>
        </w:rPr>
        <w:t>陈灏珠，林果为．实用内科学（第1</w:t>
      </w:r>
      <w:r>
        <w:rPr>
          <w:rFonts w:hint="eastAsia" w:ascii="宋体" w:hAnsi="宋体" w:eastAsia="宋体" w:cs="Arial"/>
          <w:i w:val="0"/>
          <w:iCs w:val="0"/>
          <w:caps w:val="0"/>
          <w:color w:val="auto"/>
          <w:spacing w:val="0"/>
          <w:sz w:val="24"/>
          <w:szCs w:val="30"/>
          <w:shd w:val="clear" w:fill="FFFFFF"/>
          <w:lang w:val="en-US" w:eastAsia="zh-CN"/>
        </w:rPr>
        <w:t>6</w:t>
      </w:r>
      <w:r>
        <w:rPr>
          <w:rFonts w:hint="default" w:ascii="宋体" w:hAnsi="宋体" w:eastAsia="宋体" w:cs="Arial"/>
          <w:i w:val="0"/>
          <w:iCs w:val="0"/>
          <w:caps w:val="0"/>
          <w:color w:val="auto"/>
          <w:spacing w:val="0"/>
          <w:sz w:val="24"/>
          <w:szCs w:val="30"/>
          <w:shd w:val="clear" w:fill="FFFFFF"/>
          <w:lang w:val="en-US" w:eastAsia="zh-CN"/>
        </w:rPr>
        <w:t>版）</w:t>
      </w:r>
      <w:r>
        <w:rPr>
          <w:rFonts w:hint="eastAsia" w:ascii="宋体" w:hAnsi="宋体" w:eastAsia="宋体" w:cs="Arial"/>
          <w:i w:val="0"/>
          <w:iCs w:val="0"/>
          <w:caps w:val="0"/>
          <w:color w:val="auto"/>
          <w:spacing w:val="0"/>
          <w:sz w:val="24"/>
          <w:szCs w:val="30"/>
          <w:shd w:val="clear" w:fill="FFFFFF"/>
          <w:lang w:val="en-US" w:eastAsia="zh-CN"/>
        </w:rPr>
        <w:t>下</w:t>
      </w:r>
      <w:r>
        <w:rPr>
          <w:rFonts w:hint="default" w:ascii="宋体" w:hAnsi="宋体" w:eastAsia="宋体" w:cs="Arial"/>
          <w:i w:val="0"/>
          <w:iCs w:val="0"/>
          <w:caps w:val="0"/>
          <w:color w:val="auto"/>
          <w:spacing w:val="0"/>
          <w:sz w:val="24"/>
          <w:szCs w:val="30"/>
          <w:shd w:val="clear" w:fill="FFFFFF"/>
          <w:lang w:val="en-US" w:eastAsia="zh-CN"/>
        </w:rPr>
        <w:t>册</w:t>
      </w:r>
      <w:r>
        <w:rPr>
          <w:rFonts w:hint="eastAsia" w:ascii="宋体" w:hAnsi="宋体" w:eastAsia="宋体" w:cs="Arial"/>
          <w:i w:val="0"/>
          <w:iCs w:val="0"/>
          <w:caps w:val="0"/>
          <w:color w:val="auto"/>
          <w:spacing w:val="0"/>
          <w:sz w:val="24"/>
          <w:szCs w:val="30"/>
          <w:shd w:val="clear" w:fill="FFFFFF"/>
          <w:lang w:val="en-US" w:eastAsia="zh-CN"/>
        </w:rPr>
        <w:t>.第二十一篇免疫性疾病.第六章药物不良反应与药疹</w:t>
      </w:r>
      <w:r>
        <w:rPr>
          <w:rFonts w:hint="default" w:ascii="宋体" w:hAnsi="宋体" w:eastAsia="宋体" w:cs="Arial"/>
          <w:i w:val="0"/>
          <w:iCs w:val="0"/>
          <w:caps w:val="0"/>
          <w:color w:val="auto"/>
          <w:spacing w:val="0"/>
          <w:sz w:val="24"/>
          <w:szCs w:val="30"/>
          <w:shd w:val="clear" w:fill="FFFFFF"/>
          <w:lang w:val="en-US" w:eastAsia="zh-CN"/>
        </w:rPr>
        <w:t>［M］．北京：人民卫生出版社，20</w:t>
      </w:r>
      <w:r>
        <w:rPr>
          <w:rFonts w:hint="eastAsia" w:ascii="宋体" w:hAnsi="宋体" w:eastAsia="宋体" w:cs="Arial"/>
          <w:i w:val="0"/>
          <w:iCs w:val="0"/>
          <w:caps w:val="0"/>
          <w:color w:val="auto"/>
          <w:spacing w:val="0"/>
          <w:sz w:val="24"/>
          <w:szCs w:val="30"/>
          <w:shd w:val="clear" w:fill="FFFFFF"/>
          <w:lang w:val="en-US" w:eastAsia="zh-CN"/>
        </w:rPr>
        <w:t>22.</w:t>
      </w:r>
    </w:p>
    <w:p>
      <w:pPr>
        <w:keepNext w:val="0"/>
        <w:keepLines w:val="0"/>
        <w:pageBreakBefore w:val="0"/>
        <w:widowControl/>
        <w:suppressLineNumbers w:val="0"/>
        <w:kinsoku/>
        <w:wordWrap/>
        <w:overflowPunct/>
        <w:topLinePunct w:val="0"/>
        <w:autoSpaceDE/>
        <w:autoSpaceDN/>
        <w:bidi w:val="0"/>
        <w:adjustRightInd/>
        <w:snapToGrid/>
        <w:spacing w:line="360" w:lineRule="auto"/>
        <w:ind w:left="600" w:hanging="600" w:hangingChars="250"/>
        <w:jc w:val="left"/>
        <w:textAlignment w:val="auto"/>
        <w:rPr>
          <w:rFonts w:hint="default"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ascii="宋体" w:hAnsi="宋体" w:eastAsia="宋体" w:cs="FZKTK--GBK1-00"/>
          <w:color w:val="auto"/>
          <w:kern w:val="0"/>
          <w:sz w:val="24"/>
          <w:szCs w:val="20"/>
          <w:lang w:val="en-US" w:eastAsia="zh-CN" w:bidi="ar"/>
        </w:rPr>
        <w:t>左亚刚，晋红中</w:t>
      </w:r>
      <w:r>
        <w:rPr>
          <w:rFonts w:hint="default" w:ascii="宋体" w:hAnsi="宋体" w:eastAsia="宋体" w:cs="Arial"/>
          <w:i w:val="0"/>
          <w:iCs w:val="0"/>
          <w:caps w:val="0"/>
          <w:color w:val="auto"/>
          <w:spacing w:val="0"/>
          <w:sz w:val="24"/>
          <w:szCs w:val="30"/>
          <w:shd w:val="clear" w:fill="FFFFFF"/>
          <w:lang w:val="en-US" w:eastAsia="zh-CN"/>
        </w:rPr>
        <w:t>．</w:t>
      </w:r>
      <w:r>
        <w:rPr>
          <w:rFonts w:ascii="宋体" w:hAnsi="宋体" w:eastAsia="宋体" w:cs="FZHTK--GBK1-00"/>
          <w:color w:val="auto"/>
          <w:kern w:val="0"/>
          <w:sz w:val="24"/>
          <w:szCs w:val="39"/>
          <w:lang w:val="en-US" w:eastAsia="zh-CN" w:bidi="ar"/>
        </w:rPr>
        <w:t>糖皮质激素治疗免疫相关性皮肤病</w:t>
      </w:r>
      <w:r>
        <w:rPr>
          <w:rFonts w:hint="default" w:ascii="宋体" w:hAnsi="宋体" w:eastAsia="宋体" w:cs="FZHTK--GBK1-00"/>
          <w:color w:val="auto"/>
          <w:kern w:val="0"/>
          <w:sz w:val="24"/>
          <w:szCs w:val="39"/>
          <w:lang w:val="en-US" w:eastAsia="zh-CN" w:bidi="ar"/>
        </w:rPr>
        <w:t xml:space="preserve">专家共识 ( </w:t>
      </w:r>
      <w:r>
        <w:rPr>
          <w:rFonts w:ascii="宋体" w:hAnsi="宋体" w:eastAsia="宋体" w:cs="E-HZ"/>
          <w:color w:val="auto"/>
          <w:kern w:val="0"/>
          <w:sz w:val="24"/>
          <w:szCs w:val="39"/>
          <w:lang w:val="en-US" w:eastAsia="zh-CN" w:bidi="ar"/>
        </w:rPr>
        <w:t xml:space="preserve">2018 </w:t>
      </w:r>
      <w:r>
        <w:rPr>
          <w:rFonts w:hint="default" w:ascii="宋体" w:hAnsi="宋体" w:eastAsia="宋体" w:cs="FZHTK--GBK1-00"/>
          <w:color w:val="auto"/>
          <w:kern w:val="0"/>
          <w:sz w:val="24"/>
          <w:szCs w:val="39"/>
          <w:lang w:val="en-US" w:eastAsia="zh-CN" w:bidi="ar"/>
        </w:rPr>
        <w:t>年)</w:t>
      </w:r>
      <w:r>
        <w:rPr>
          <w:rFonts w:hint="default" w:ascii="宋体" w:hAnsi="宋体" w:eastAsia="宋体" w:cs="Arial"/>
          <w:i w:val="0"/>
          <w:iCs w:val="0"/>
          <w:caps w:val="0"/>
          <w:color w:val="auto"/>
          <w:spacing w:val="0"/>
          <w:sz w:val="24"/>
          <w:szCs w:val="30"/>
          <w:shd w:val="clear" w:fill="FFFFFF"/>
          <w:lang w:val="en-US" w:eastAsia="zh-CN"/>
        </w:rPr>
        <w:t>［J］．</w:t>
      </w:r>
      <w:r>
        <w:rPr>
          <w:rFonts w:ascii="宋体" w:hAnsi="宋体" w:eastAsia="宋体" w:cs="SSJ4"/>
          <w:color w:val="auto"/>
          <w:kern w:val="0"/>
          <w:sz w:val="24"/>
          <w:szCs w:val="15"/>
          <w:lang w:val="en-US" w:eastAsia="zh-CN" w:bidi="ar"/>
        </w:rPr>
        <w:t xml:space="preserve">中华临床免疫和变态反应杂志 </w:t>
      </w:r>
      <w:r>
        <w:rPr>
          <w:rFonts w:ascii="宋体" w:hAnsi="宋体" w:eastAsia="宋体" w:cs="E-BZ"/>
          <w:color w:val="auto"/>
          <w:kern w:val="0"/>
          <w:sz w:val="24"/>
          <w:szCs w:val="15"/>
          <w:lang w:val="en-US" w:eastAsia="zh-CN" w:bidi="ar"/>
        </w:rPr>
        <w:t>2018</w:t>
      </w:r>
      <w:r>
        <w:rPr>
          <w:rFonts w:hint="eastAsia" w:ascii="宋体" w:hAnsi="宋体" w:eastAsia="宋体" w:cs="E-BZ"/>
          <w:color w:val="auto"/>
          <w:kern w:val="0"/>
          <w:sz w:val="24"/>
          <w:szCs w:val="15"/>
          <w:lang w:val="en-US" w:eastAsia="zh-CN" w:bidi="ar"/>
        </w:rPr>
        <w:t>，</w:t>
      </w:r>
      <w:r>
        <w:rPr>
          <w:rFonts w:hint="default" w:ascii="宋体" w:hAnsi="宋体" w:eastAsia="宋体" w:cs="E-BZ"/>
          <w:color w:val="auto"/>
          <w:kern w:val="0"/>
          <w:sz w:val="24"/>
          <w:szCs w:val="15"/>
          <w:lang w:val="en-US" w:eastAsia="zh-CN" w:bidi="ar"/>
        </w:rPr>
        <w:t>2</w:t>
      </w:r>
      <w:r>
        <w:rPr>
          <w:rFonts w:hint="eastAsia" w:ascii="宋体" w:hAnsi="宋体" w:eastAsia="宋体" w:cs="E-BZ"/>
          <w:color w:val="auto"/>
          <w:kern w:val="0"/>
          <w:sz w:val="24"/>
          <w:szCs w:val="15"/>
          <w:lang w:val="en-US" w:eastAsia="zh-CN" w:bidi="ar"/>
        </w:rPr>
        <w:t>，（</w:t>
      </w:r>
      <w:r>
        <w:rPr>
          <w:rFonts w:hint="default" w:ascii="宋体" w:hAnsi="宋体" w:eastAsia="宋体" w:cs="E-BZ"/>
          <w:color w:val="auto"/>
          <w:kern w:val="0"/>
          <w:sz w:val="24"/>
          <w:szCs w:val="15"/>
          <w:lang w:val="en-US" w:eastAsia="zh-CN" w:bidi="ar"/>
        </w:rPr>
        <w:t>12</w:t>
      </w:r>
      <w:r>
        <w:rPr>
          <w:rFonts w:hint="eastAsia" w:ascii="宋体" w:hAnsi="宋体" w:eastAsia="宋体" w:cs="E-BZ"/>
          <w:color w:val="auto"/>
          <w:kern w:val="0"/>
          <w:sz w:val="24"/>
          <w:szCs w:val="15"/>
          <w:lang w:val="en-US" w:eastAsia="zh-CN" w:bidi="ar"/>
        </w:rPr>
        <w:t>）</w:t>
      </w:r>
      <w:r>
        <w:rPr>
          <w:rFonts w:hint="eastAsia" w:ascii="宋体" w:hAnsi="宋体" w:eastAsia="宋体" w:cs="Arial"/>
          <w:i w:val="0"/>
          <w:iCs w:val="0"/>
          <w:caps w:val="0"/>
          <w:color w:val="auto"/>
          <w:spacing w:val="0"/>
          <w:sz w:val="24"/>
          <w:szCs w:val="30"/>
          <w:shd w:val="clear" w:fill="FFFFFF"/>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600" w:hanging="600" w:hangingChars="250"/>
        <w:jc w:val="left"/>
        <w:textAlignment w:val="auto"/>
        <w:rPr>
          <w:rFonts w:hint="eastAsia"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Arial"/>
          <w:i w:val="0"/>
          <w:iCs w:val="0"/>
          <w:caps w:val="0"/>
          <w:color w:val="auto"/>
          <w:spacing w:val="0"/>
          <w:sz w:val="24"/>
          <w:szCs w:val="30"/>
          <w:shd w:val="clear" w:fill="FFFFFF"/>
          <w:lang w:val="en-US" w:eastAsia="zh-CN"/>
        </w:rPr>
        <w:t>陈燕启，李小刚.急危重症“三基”理论与实践下册.第九章第三节重症药疹</w:t>
      </w:r>
      <w:r>
        <w:rPr>
          <w:rFonts w:hint="default" w:ascii="宋体" w:hAnsi="宋体" w:eastAsia="宋体" w:cs="Arial"/>
          <w:i w:val="0"/>
          <w:iCs w:val="0"/>
          <w:caps w:val="0"/>
          <w:color w:val="auto"/>
          <w:spacing w:val="0"/>
          <w:sz w:val="24"/>
          <w:szCs w:val="30"/>
          <w:shd w:val="clear" w:fill="FFFFFF"/>
          <w:lang w:val="en-US" w:eastAsia="zh-CN"/>
        </w:rPr>
        <w:t>［M］</w:t>
      </w:r>
      <w:r>
        <w:rPr>
          <w:rFonts w:hint="eastAsia" w:ascii="宋体" w:hAnsi="宋体" w:eastAsia="宋体" w:cs="Arial"/>
          <w:i w:val="0"/>
          <w:iCs w:val="0"/>
          <w:caps w:val="0"/>
          <w:color w:val="auto"/>
          <w:spacing w:val="0"/>
          <w:sz w:val="24"/>
          <w:szCs w:val="30"/>
          <w:shd w:val="clear" w:fill="FFFFFF"/>
          <w:lang w:val="en-US" w:eastAsia="zh-CN"/>
        </w:rPr>
        <w:t>.北京：人民卫生出版社，2015.</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val="0"/>
          <w:bCs/>
          <w:color w:val="auto"/>
          <w:sz w:val="24"/>
          <w:szCs w:val="28"/>
          <w:lang w:eastAsia="zh-CN"/>
        </w:rPr>
      </w:pPr>
      <w:r>
        <w:rPr>
          <w:rFonts w:hint="eastAsia" w:ascii="黑体" w:hAnsi="黑体" w:eastAsia="黑体" w:cs="黑体"/>
          <w:b w:val="0"/>
          <w:bCs/>
          <w:color w:val="auto"/>
          <w:sz w:val="24"/>
          <w:szCs w:val="28"/>
          <w:lang w:eastAsia="zh-CN"/>
        </w:rPr>
        <w:t>修订记录</w:t>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序号</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修订前版本号</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修订后版本号</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修订原因、依据</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修订内容</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修订人/</w:t>
            </w:r>
            <w:r>
              <w:rPr>
                <w:rFonts w:hint="eastAsia" w:asciiTheme="minorEastAsia" w:hAnsiTheme="minorEastAsia" w:cstheme="minorEastAsia"/>
                <w:color w:val="auto"/>
                <w:sz w:val="21"/>
                <w:szCs w:val="21"/>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1.</w:t>
            </w:r>
            <w:r>
              <w:rPr>
                <w:rFonts w:hint="eastAsia" w:asciiTheme="minorEastAsia" w:hAnsiTheme="minorEastAsia" w:cstheme="minorEastAsia"/>
                <w:color w:val="auto"/>
                <w:sz w:val="21"/>
                <w:szCs w:val="21"/>
                <w:vertAlign w:val="baseline"/>
                <w:lang w:eastAsia="zh-CN"/>
              </w:rPr>
              <w:t>增加应急预案参考文献信息；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r>
              <w:rPr>
                <w:rFonts w:hint="eastAsia" w:asciiTheme="minorEastAsia" w:hAnsiTheme="minorEastAsia" w:cstheme="minorEastAsia"/>
                <w:color w:val="auto"/>
                <w:sz w:val="21"/>
                <w:szCs w:val="21"/>
                <w:vertAlign w:val="baseline"/>
                <w:lang w:eastAsia="zh-CN"/>
              </w:rPr>
              <w:t>根据最新参考文献修订具体内容。</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1.文末添加相关参考文献名称、作者、时间等信息；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2.根据最新文献诊治标准更新现行诊疗流程。</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p>
        </w:tc>
      </w:tr>
    </w:tbl>
    <w:p>
      <w:pPr>
        <w:pStyle w:val="33"/>
        <w:rPr>
          <w:rFonts w:hint="default"/>
          <w:color w:val="auto"/>
          <w:lang w:val="en-US" w:eastAsia="zh-CN"/>
        </w:rPr>
        <w:sectPr>
          <w:headerReference r:id="rId198" w:type="default"/>
          <w:footerReference r:id="rId199" w:type="default"/>
          <w:pgSz w:w="11906" w:h="16838"/>
          <w:pgMar w:top="1440" w:right="1236" w:bottom="1440" w:left="1463" w:header="851" w:footer="992" w:gutter="0"/>
          <w:pgNumType w:fmt="decimal"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2530" w:firstLineChars="900"/>
        <w:jc w:val="both"/>
        <w:textAlignment w:val="auto"/>
        <w:outlineLvl w:val="9"/>
        <w:rPr>
          <w:rFonts w:hint="eastAsia" w:ascii="黑体" w:hAnsi="黑体" w:eastAsia="黑体" w:cs="黑体"/>
          <w:b/>
          <w:bCs/>
          <w:color w:val="auto"/>
          <w:sz w:val="28"/>
          <w:szCs w:val="28"/>
        </w:rPr>
      </w:pPr>
      <w:r>
        <w:rPr>
          <w:rFonts w:hint="eastAsia" w:ascii="黑体" w:hAnsi="黑体" w:eastAsia="黑体" w:cs="黑体"/>
          <w:b/>
          <w:bCs/>
          <w:color w:val="auto"/>
          <w:sz w:val="28"/>
          <w:szCs w:val="28"/>
        </w:rPr>
        <w:t>上消化道出血</w:t>
      </w:r>
      <w:r>
        <w:rPr>
          <w:rFonts w:hint="eastAsia" w:ascii="黑体" w:hAnsi="黑体" w:eastAsia="黑体" w:cs="黑体"/>
          <w:b/>
          <w:bCs/>
          <w:color w:val="auto"/>
          <w:sz w:val="28"/>
          <w:szCs w:val="28"/>
          <w:lang w:eastAsia="zh-CN"/>
        </w:rPr>
        <w:t>的急救预案</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一、</w:t>
      </w:r>
      <w:r>
        <w:rPr>
          <w:rFonts w:hint="eastAsia" w:ascii="宋体" w:hAnsi="宋体" w:eastAsia="宋体" w:cs="宋体"/>
          <w:color w:val="auto"/>
          <w:sz w:val="24"/>
          <w:szCs w:val="24"/>
        </w:rPr>
        <w:t>目的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在临床药物试验中，各种原因可能导致屈氏( Treitz)韧带以上的消化道，如食管、胃、十二指肠、上段空肠以及胰管和胆管的出血，为了确保受试者的安全，特制订本规范。</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二、</w:t>
      </w:r>
      <w:r>
        <w:rPr>
          <w:rFonts w:hint="eastAsia" w:ascii="宋体" w:hAnsi="宋体" w:eastAsia="宋体" w:cs="宋体"/>
          <w:color w:val="auto"/>
          <w:sz w:val="24"/>
          <w:szCs w:val="24"/>
        </w:rPr>
        <w:t>范围</w:t>
      </w:r>
      <w:r>
        <w:rPr>
          <w:rFonts w:hint="eastAsia" w:ascii="宋体" w:hAnsi="宋体" w:cs="宋体"/>
          <w:color w:val="auto"/>
          <w:sz w:val="24"/>
          <w:szCs w:val="24"/>
          <w:lang w:eastAsia="zh-CN"/>
        </w:rPr>
        <w:t>：</w:t>
      </w:r>
      <w:r>
        <w:rPr>
          <w:rFonts w:hint="eastAsia" w:ascii="宋体" w:hAnsi="宋体" w:eastAsia="宋体" w:cs="宋体"/>
          <w:color w:val="auto"/>
          <w:sz w:val="24"/>
          <w:szCs w:val="24"/>
        </w:rPr>
        <w:t>适用于临床试验所有受试者。</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ascii="宋体" w:hAnsi="宋体" w:cs="宋体"/>
          <w:color w:val="auto"/>
          <w:sz w:val="24"/>
          <w:szCs w:val="24"/>
          <w:lang w:eastAsia="zh-CN"/>
        </w:rPr>
        <w:t>、急救程序</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（一）</w:t>
      </w:r>
      <w:r>
        <w:rPr>
          <w:rFonts w:hint="eastAsia" w:ascii="宋体" w:hAnsi="宋体" w:eastAsia="宋体" w:cs="宋体"/>
          <w:color w:val="auto"/>
          <w:sz w:val="24"/>
          <w:szCs w:val="24"/>
        </w:rPr>
        <w:t>评估：</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呕吐、黑便。</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头昏、心悸、乏力、出汗、口渴、晕厥。</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心率加快、血压偏低、脉搏细速。</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四肢湿冷。</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（二）</w:t>
      </w:r>
      <w:r>
        <w:rPr>
          <w:rFonts w:hint="eastAsia" w:ascii="宋体" w:hAnsi="宋体" w:eastAsia="宋体" w:cs="宋体"/>
          <w:color w:val="auto"/>
          <w:sz w:val="24"/>
          <w:szCs w:val="24"/>
        </w:rPr>
        <w:t>一般急救措施：</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受试者应卧床休息，保持呼吸道通畅，活动性出血期间禁食。</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严密监测生命体征，观察呕血与黑便情况，定期复查血红蛋白浓度。</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（三）</w:t>
      </w:r>
      <w:r>
        <w:rPr>
          <w:rFonts w:hint="eastAsia" w:ascii="宋体" w:hAnsi="宋体" w:eastAsia="宋体" w:cs="宋体"/>
          <w:color w:val="auto"/>
          <w:sz w:val="24"/>
          <w:szCs w:val="24"/>
        </w:rPr>
        <w:t>积极补充血容量：</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立即配血，尽快建立有效的静脉通道，尽快补充血容量。</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下列情况为紧急输血指征：</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w:t>
      </w:r>
      <w:r>
        <w:rPr>
          <w:rFonts w:hint="eastAsia" w:ascii="宋体" w:hAnsi="宋体" w:cs="宋体"/>
          <w:color w:val="auto"/>
          <w:sz w:val="24"/>
          <w:szCs w:val="24"/>
          <w:lang w:eastAsia="zh-CN"/>
        </w:rPr>
        <w:t>）</w:t>
      </w:r>
      <w:r>
        <w:rPr>
          <w:rFonts w:hint="eastAsia" w:ascii="宋体" w:hAnsi="宋体" w:eastAsia="宋体" w:cs="宋体"/>
          <w:color w:val="auto"/>
          <w:sz w:val="24"/>
          <w:szCs w:val="24"/>
        </w:rPr>
        <w:t>受试者改变体位出现晕厥、血压下降和心率加快</w:t>
      </w:r>
      <w:r>
        <w:rPr>
          <w:rFonts w:hint="eastAsia" w:ascii="宋体" w:hAnsi="宋体" w:eastAsia="宋体" w:cs="宋体"/>
          <w:color w:val="auto"/>
          <w:sz w:val="24"/>
          <w:szCs w:val="24"/>
          <w:lang w:eastAsia="zh-CN"/>
        </w:rPr>
        <w:t>（心率一般大于</w:t>
      </w:r>
      <w:r>
        <w:rPr>
          <w:rFonts w:hint="eastAsia" w:ascii="宋体" w:hAnsi="宋体" w:eastAsia="宋体" w:cs="宋体"/>
          <w:color w:val="auto"/>
          <w:sz w:val="24"/>
          <w:szCs w:val="24"/>
          <w:lang w:val="en-US" w:eastAsia="zh-CN"/>
        </w:rPr>
        <w:t>120次/分）</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w:t>
      </w:r>
      <w:r>
        <w:rPr>
          <w:rFonts w:hint="eastAsia" w:ascii="宋体" w:hAnsi="宋体" w:eastAsia="宋体" w:cs="宋体"/>
          <w:color w:val="auto"/>
          <w:sz w:val="24"/>
          <w:szCs w:val="24"/>
        </w:rPr>
        <w:t>收缩压低于90 mmHg</w:t>
      </w:r>
      <w:r>
        <w:rPr>
          <w:rFonts w:hint="eastAsia" w:ascii="宋体" w:hAnsi="宋体" w:eastAsia="宋体" w:cs="宋体"/>
          <w:color w:val="auto"/>
          <w:sz w:val="24"/>
          <w:szCs w:val="24"/>
          <w:lang w:eastAsia="zh-CN"/>
        </w:rPr>
        <w:t>，或较基础收缩压下降幅度大于</w:t>
      </w:r>
      <w:r>
        <w:rPr>
          <w:rFonts w:hint="eastAsia" w:ascii="宋体" w:hAnsi="宋体" w:eastAsia="宋体" w:cs="宋体"/>
          <w:color w:val="auto"/>
          <w:sz w:val="24"/>
          <w:szCs w:val="24"/>
          <w:lang w:val="en-US" w:eastAsia="zh-CN"/>
        </w:rPr>
        <w:t>30mmHg。</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3</w:t>
      </w:r>
      <w:r>
        <w:rPr>
          <w:rFonts w:hint="eastAsia" w:ascii="宋体" w:hAnsi="宋体" w:cs="宋体"/>
          <w:color w:val="auto"/>
          <w:sz w:val="24"/>
          <w:szCs w:val="24"/>
          <w:lang w:eastAsia="zh-CN"/>
        </w:rPr>
        <w:t>）</w:t>
      </w:r>
      <w:r>
        <w:rPr>
          <w:rFonts w:hint="eastAsia" w:ascii="宋体" w:hAnsi="宋体" w:eastAsia="宋体" w:cs="宋体"/>
          <w:color w:val="auto"/>
          <w:sz w:val="24"/>
          <w:szCs w:val="24"/>
        </w:rPr>
        <w:t>血红蛋白低于</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0 g/L或血细胞比容低于25%。</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（四）</w:t>
      </w:r>
      <w:r>
        <w:rPr>
          <w:rFonts w:hint="eastAsia" w:ascii="宋体" w:hAnsi="宋体" w:eastAsia="宋体" w:cs="宋体"/>
          <w:color w:val="auto"/>
          <w:sz w:val="24"/>
          <w:szCs w:val="24"/>
        </w:rPr>
        <w:t>止血措施：</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食道胃底静脉曲张破裂出血的止血措施：</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lang w:val="en-US"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w:t>
      </w:r>
      <w:r>
        <w:rPr>
          <w:rFonts w:hint="eastAsia" w:ascii="宋体" w:hAnsi="宋体" w:cs="宋体"/>
          <w:color w:val="auto"/>
          <w:sz w:val="24"/>
          <w:szCs w:val="24"/>
          <w:lang w:eastAsia="zh-CN"/>
        </w:rPr>
        <w:t>）</w:t>
      </w:r>
      <w:r>
        <w:rPr>
          <w:rFonts w:hint="eastAsia" w:ascii="宋体" w:hAnsi="宋体" w:eastAsia="宋体" w:cs="宋体"/>
          <w:color w:val="auto"/>
          <w:sz w:val="24"/>
          <w:szCs w:val="24"/>
        </w:rPr>
        <w:t>药物止血：血管加压素0.2～0.4 U/min静脉持续滴注，生长抑素静脉</w:t>
      </w:r>
      <w:r>
        <w:rPr>
          <w:rFonts w:hint="eastAsia" w:ascii="宋体" w:hAnsi="宋体" w:eastAsia="宋体" w:cs="宋体"/>
          <w:color w:val="auto"/>
          <w:sz w:val="24"/>
          <w:szCs w:val="24"/>
          <w:lang w:eastAsia="zh-CN"/>
        </w:rPr>
        <w:t>及其类似物</w:t>
      </w:r>
      <w:r>
        <w:rPr>
          <w:rFonts w:hint="eastAsia" w:ascii="宋体" w:hAnsi="宋体" w:eastAsia="宋体" w:cs="宋体"/>
          <w:color w:val="auto"/>
          <w:sz w:val="24"/>
          <w:szCs w:val="24"/>
        </w:rPr>
        <w:t>滴注。</w:t>
      </w:r>
      <w:r>
        <w:rPr>
          <w:rFonts w:hint="eastAsia" w:ascii="宋体" w:hAnsi="宋体" w:eastAsia="宋体" w:cs="宋体"/>
          <w:color w:val="auto"/>
          <w:sz w:val="24"/>
          <w:szCs w:val="24"/>
          <w:lang w:eastAsia="zh-CN"/>
        </w:rPr>
        <w:t>如奥曲肽</w:t>
      </w:r>
      <w:r>
        <w:rPr>
          <w:rFonts w:hint="eastAsia" w:ascii="宋体" w:hAnsi="宋体" w:eastAsia="宋体" w:cs="宋体"/>
          <w:color w:val="auto"/>
          <w:sz w:val="24"/>
          <w:szCs w:val="24"/>
          <w:lang w:val="en-US" w:eastAsia="zh-CN"/>
        </w:rPr>
        <w:t>0.3-0.6mg/12h静脉滴注或者微量泵泵入，可配合</w:t>
      </w:r>
      <w:r>
        <w:rPr>
          <w:rFonts w:hint="eastAsia" w:ascii="宋体" w:hAnsi="宋体" w:eastAsia="宋体" w:cs="宋体"/>
          <w:color w:val="auto"/>
          <w:sz w:val="24"/>
          <w:szCs w:val="24"/>
        </w:rPr>
        <w:t>抑制胃酸分泌药：H</w:t>
      </w:r>
      <w:r>
        <w:rPr>
          <w:rFonts w:hint="eastAsia" w:ascii="宋体" w:hAnsi="宋体" w:cs="宋体"/>
          <w:color w:val="auto"/>
          <w:sz w:val="15"/>
          <w:szCs w:val="15"/>
          <w:lang w:val="en-US" w:eastAsia="zh-CN"/>
        </w:rPr>
        <w:t>2</w:t>
      </w:r>
      <w:r>
        <w:rPr>
          <w:rFonts w:hint="eastAsia" w:ascii="宋体" w:hAnsi="宋体" w:eastAsia="宋体" w:cs="宋体"/>
          <w:color w:val="auto"/>
          <w:sz w:val="24"/>
          <w:szCs w:val="24"/>
        </w:rPr>
        <w:t>受体拮抗剂或质子泵抑制剂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w:t>
      </w:r>
      <w:r>
        <w:rPr>
          <w:rFonts w:hint="eastAsia" w:ascii="宋体" w:hAnsi="宋体" w:eastAsia="宋体" w:cs="宋体"/>
          <w:color w:val="auto"/>
          <w:sz w:val="24"/>
          <w:szCs w:val="24"/>
        </w:rPr>
        <w:t>三腔二囊管压迫止血。</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3</w:t>
      </w:r>
      <w:r>
        <w:rPr>
          <w:rFonts w:hint="eastAsia" w:ascii="宋体" w:hAnsi="宋体" w:cs="宋体"/>
          <w:color w:val="auto"/>
          <w:sz w:val="24"/>
          <w:szCs w:val="24"/>
          <w:lang w:eastAsia="zh-CN"/>
        </w:rPr>
        <w:t>）</w:t>
      </w:r>
      <w:r>
        <w:rPr>
          <w:rFonts w:hint="eastAsia" w:ascii="宋体" w:hAnsi="宋体" w:eastAsia="宋体" w:cs="宋体"/>
          <w:color w:val="auto"/>
          <w:sz w:val="24"/>
          <w:szCs w:val="24"/>
        </w:rPr>
        <w:t>内镜治疗：内镜下注硬化剂至曲张静脉，或皮圈套扎曲张静脉。</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4</w:t>
      </w:r>
      <w:r>
        <w:rPr>
          <w:rFonts w:hint="eastAsia" w:ascii="宋体" w:hAnsi="宋体" w:cs="宋体"/>
          <w:color w:val="auto"/>
          <w:sz w:val="24"/>
          <w:szCs w:val="24"/>
          <w:lang w:eastAsia="zh-CN"/>
        </w:rPr>
        <w:t>）</w:t>
      </w:r>
      <w:r>
        <w:rPr>
          <w:rFonts w:hint="eastAsia" w:ascii="宋体" w:hAnsi="宋体" w:eastAsia="宋体" w:cs="宋体"/>
          <w:color w:val="auto"/>
          <w:sz w:val="24"/>
          <w:szCs w:val="24"/>
        </w:rPr>
        <w:t>手术治疗。</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其他原因所致上消化道大出血的止血措施：</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w:t>
      </w:r>
      <w:r>
        <w:rPr>
          <w:rFonts w:hint="eastAsia" w:ascii="宋体" w:hAnsi="宋体" w:cs="宋体"/>
          <w:color w:val="auto"/>
          <w:sz w:val="24"/>
          <w:szCs w:val="24"/>
          <w:lang w:eastAsia="zh-CN"/>
        </w:rPr>
        <w:t>）</w:t>
      </w:r>
      <w:r>
        <w:rPr>
          <w:rFonts w:hint="eastAsia" w:ascii="宋体" w:hAnsi="宋体" w:eastAsia="宋体" w:cs="宋体"/>
          <w:color w:val="auto"/>
          <w:sz w:val="24"/>
          <w:szCs w:val="24"/>
        </w:rPr>
        <w:t>抑制胃酸分泌药：H</w:t>
      </w:r>
      <w:r>
        <w:rPr>
          <w:rFonts w:hint="eastAsia" w:ascii="宋体" w:hAnsi="宋体" w:cs="宋体"/>
          <w:color w:val="auto"/>
          <w:sz w:val="15"/>
          <w:szCs w:val="15"/>
          <w:lang w:val="en-US" w:eastAsia="zh-CN"/>
        </w:rPr>
        <w:t>2</w:t>
      </w:r>
      <w:r>
        <w:rPr>
          <w:rFonts w:hint="eastAsia" w:ascii="宋体" w:hAnsi="宋体" w:eastAsia="宋体" w:cs="宋体"/>
          <w:color w:val="auto"/>
          <w:sz w:val="24"/>
          <w:szCs w:val="24"/>
        </w:rPr>
        <w:t>受体拮抗剂或质子泵抑制剂。</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w:t>
      </w:r>
      <w:r>
        <w:rPr>
          <w:rFonts w:hint="eastAsia" w:ascii="宋体" w:hAnsi="宋体" w:eastAsia="宋体" w:cs="宋体"/>
          <w:color w:val="auto"/>
          <w:sz w:val="24"/>
          <w:szCs w:val="24"/>
        </w:rPr>
        <w:t>生长抑素静脉</w:t>
      </w:r>
      <w:r>
        <w:rPr>
          <w:rFonts w:hint="eastAsia" w:ascii="宋体" w:hAnsi="宋体" w:eastAsia="宋体" w:cs="宋体"/>
          <w:color w:val="auto"/>
          <w:sz w:val="24"/>
          <w:szCs w:val="24"/>
          <w:lang w:eastAsia="zh-CN"/>
        </w:rPr>
        <w:t>及其类似物</w:t>
      </w:r>
      <w:r>
        <w:rPr>
          <w:rFonts w:hint="eastAsia" w:ascii="宋体" w:hAnsi="宋体" w:eastAsia="宋体" w:cs="宋体"/>
          <w:color w:val="auto"/>
          <w:sz w:val="24"/>
          <w:szCs w:val="24"/>
        </w:rPr>
        <w:t>滴注。</w:t>
      </w:r>
      <w:r>
        <w:rPr>
          <w:rFonts w:hint="eastAsia" w:ascii="宋体" w:hAnsi="宋体" w:eastAsia="宋体" w:cs="宋体"/>
          <w:color w:val="auto"/>
          <w:sz w:val="24"/>
          <w:szCs w:val="24"/>
          <w:lang w:eastAsia="zh-CN"/>
        </w:rPr>
        <w:t>如奥曲肽</w:t>
      </w:r>
      <w:r>
        <w:rPr>
          <w:rFonts w:hint="eastAsia" w:ascii="宋体" w:hAnsi="宋体" w:eastAsia="宋体" w:cs="宋体"/>
          <w:color w:val="auto"/>
          <w:sz w:val="24"/>
          <w:szCs w:val="24"/>
          <w:lang w:val="en-US" w:eastAsia="zh-CN"/>
        </w:rPr>
        <w:t>0.3-0.6mg/12h静脉滴注或者微量泵泵入</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3</w:t>
      </w:r>
      <w:r>
        <w:rPr>
          <w:rFonts w:hint="eastAsia" w:ascii="宋体" w:hAnsi="宋体" w:cs="宋体"/>
          <w:color w:val="auto"/>
          <w:sz w:val="24"/>
          <w:szCs w:val="24"/>
          <w:lang w:eastAsia="zh-CN"/>
        </w:rPr>
        <w:t>）</w:t>
      </w:r>
      <w:r>
        <w:rPr>
          <w:rFonts w:hint="eastAsia" w:ascii="宋体" w:hAnsi="宋体" w:eastAsia="宋体" w:cs="宋体"/>
          <w:color w:val="auto"/>
          <w:sz w:val="24"/>
          <w:szCs w:val="24"/>
        </w:rPr>
        <w:t>内镜治疗。</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4</w:t>
      </w:r>
      <w:r>
        <w:rPr>
          <w:rFonts w:hint="eastAsia" w:ascii="宋体" w:hAnsi="宋体" w:cs="宋体"/>
          <w:color w:val="auto"/>
          <w:sz w:val="24"/>
          <w:szCs w:val="24"/>
          <w:lang w:eastAsia="zh-CN"/>
        </w:rPr>
        <w:t>）</w:t>
      </w:r>
      <w:r>
        <w:rPr>
          <w:rFonts w:hint="eastAsia" w:ascii="宋体" w:hAnsi="宋体" w:eastAsia="宋体" w:cs="宋体"/>
          <w:color w:val="auto"/>
          <w:sz w:val="24"/>
          <w:szCs w:val="24"/>
        </w:rPr>
        <w:t>手术治疗：急救24～48小时，仍继续出血或血压不升者，立即手术，介入治疗选择性肠系膜动脉造影找到出血灶的同时进行血管栓塞治疗</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参考文献：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right="0" w:rightChars="0" w:hanging="600" w:hangingChars="25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default" w:ascii="宋体" w:hAnsi="宋体" w:eastAsia="宋体" w:cs="Arial"/>
          <w:i w:val="0"/>
          <w:iCs w:val="0"/>
          <w:caps w:val="0"/>
          <w:color w:val="auto"/>
          <w:spacing w:val="0"/>
          <w:sz w:val="24"/>
          <w:szCs w:val="30"/>
          <w:shd w:val="clear" w:fill="FFFFFF"/>
          <w:lang w:val="en-US" w:eastAsia="zh-CN"/>
        </w:rPr>
        <w:t>陈灏珠，林果为．实用内科学（第1</w:t>
      </w:r>
      <w:r>
        <w:rPr>
          <w:rFonts w:hint="eastAsia" w:ascii="宋体" w:hAnsi="宋体" w:eastAsia="宋体" w:cs="Arial"/>
          <w:i w:val="0"/>
          <w:iCs w:val="0"/>
          <w:caps w:val="0"/>
          <w:color w:val="auto"/>
          <w:spacing w:val="0"/>
          <w:sz w:val="24"/>
          <w:szCs w:val="30"/>
          <w:shd w:val="clear" w:fill="FFFFFF"/>
          <w:lang w:val="en-US" w:eastAsia="zh-CN"/>
        </w:rPr>
        <w:t>6</w:t>
      </w:r>
      <w:r>
        <w:rPr>
          <w:rFonts w:hint="default" w:ascii="宋体" w:hAnsi="宋体" w:eastAsia="宋体" w:cs="Arial"/>
          <w:i w:val="0"/>
          <w:iCs w:val="0"/>
          <w:caps w:val="0"/>
          <w:color w:val="auto"/>
          <w:spacing w:val="0"/>
          <w:sz w:val="24"/>
          <w:szCs w:val="30"/>
          <w:shd w:val="clear" w:fill="FFFFFF"/>
          <w:lang w:val="en-US" w:eastAsia="zh-CN"/>
        </w:rPr>
        <w:t>版）</w:t>
      </w:r>
      <w:r>
        <w:rPr>
          <w:rFonts w:hint="eastAsia" w:ascii="宋体" w:hAnsi="宋体" w:eastAsia="宋体" w:cs="Arial"/>
          <w:i w:val="0"/>
          <w:iCs w:val="0"/>
          <w:caps w:val="0"/>
          <w:color w:val="auto"/>
          <w:spacing w:val="0"/>
          <w:sz w:val="24"/>
          <w:szCs w:val="30"/>
          <w:shd w:val="clear" w:fill="FFFFFF"/>
          <w:lang w:val="en-US" w:eastAsia="zh-CN"/>
        </w:rPr>
        <w:t>下</w:t>
      </w:r>
      <w:r>
        <w:rPr>
          <w:rFonts w:hint="default" w:ascii="宋体" w:hAnsi="宋体" w:eastAsia="宋体" w:cs="Arial"/>
          <w:i w:val="0"/>
          <w:iCs w:val="0"/>
          <w:caps w:val="0"/>
          <w:color w:val="auto"/>
          <w:spacing w:val="0"/>
          <w:sz w:val="24"/>
          <w:szCs w:val="30"/>
          <w:shd w:val="clear" w:fill="FFFFFF"/>
          <w:lang w:val="en-US" w:eastAsia="zh-CN"/>
        </w:rPr>
        <w:t>册</w:t>
      </w:r>
      <w:r>
        <w:rPr>
          <w:rFonts w:hint="eastAsia" w:ascii="宋体" w:hAnsi="宋体" w:eastAsia="宋体" w:cs="Arial"/>
          <w:i w:val="0"/>
          <w:iCs w:val="0"/>
          <w:caps w:val="0"/>
          <w:color w:val="auto"/>
          <w:spacing w:val="0"/>
          <w:sz w:val="24"/>
          <w:szCs w:val="30"/>
          <w:shd w:val="clear" w:fill="FFFFFF"/>
          <w:lang w:val="en-US" w:eastAsia="zh-CN"/>
        </w:rPr>
        <w:t>.第十五篇消化系统疾病.第三章第四节消化道出血</w:t>
      </w:r>
      <w:r>
        <w:rPr>
          <w:rFonts w:hint="default" w:ascii="宋体" w:hAnsi="宋体" w:eastAsia="宋体" w:cs="Arial"/>
          <w:i w:val="0"/>
          <w:iCs w:val="0"/>
          <w:caps w:val="0"/>
          <w:color w:val="auto"/>
          <w:spacing w:val="0"/>
          <w:sz w:val="24"/>
          <w:szCs w:val="30"/>
          <w:shd w:val="clear" w:fill="FFFFFF"/>
          <w:lang w:val="en-US" w:eastAsia="zh-CN"/>
        </w:rPr>
        <w:t>［M］．北京：人民卫生出版社，20</w:t>
      </w:r>
      <w:r>
        <w:rPr>
          <w:rFonts w:hint="eastAsia" w:ascii="宋体" w:hAnsi="宋体" w:eastAsia="宋体" w:cs="Arial"/>
          <w:i w:val="0"/>
          <w:iCs w:val="0"/>
          <w:caps w:val="0"/>
          <w:color w:val="auto"/>
          <w:spacing w:val="0"/>
          <w:sz w:val="24"/>
          <w:szCs w:val="30"/>
          <w:shd w:val="clear" w:fill="FFFFFF"/>
          <w:lang w:val="en-US" w:eastAsia="zh-CN"/>
        </w:rPr>
        <w:t>22.</w:t>
      </w:r>
    </w:p>
    <w:p>
      <w:pPr>
        <w:keepNext w:val="0"/>
        <w:keepLines w:val="0"/>
        <w:pageBreakBefore w:val="0"/>
        <w:widowControl w:val="0"/>
        <w:kinsoku/>
        <w:wordWrap/>
        <w:overflowPunct/>
        <w:topLinePunct w:val="0"/>
        <w:autoSpaceDE/>
        <w:autoSpaceDN/>
        <w:bidi w:val="0"/>
        <w:adjustRightInd/>
        <w:snapToGrid/>
        <w:spacing w:line="360" w:lineRule="auto"/>
        <w:ind w:left="600" w:right="0" w:rightChars="0" w:hanging="600" w:hangingChars="250"/>
        <w:jc w:val="both"/>
        <w:textAlignment w:val="auto"/>
        <w:outlineLvl w:val="9"/>
        <w:rPr>
          <w:rFonts w:hint="eastAsia"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］周荣斌</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赵晓东，吕传柱，于学忠</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急性上消化道出血急诊诊治流程专家共识</w:t>
      </w:r>
      <w:r>
        <w:rPr>
          <w:rFonts w:hint="default" w:ascii="宋体" w:hAnsi="宋体" w:eastAsia="宋体" w:cs="Arial"/>
          <w:i w:val="0"/>
          <w:iCs w:val="0"/>
          <w:caps w:val="0"/>
          <w:color w:val="auto"/>
          <w:spacing w:val="0"/>
          <w:sz w:val="24"/>
          <w:szCs w:val="30"/>
          <w:shd w:val="clear" w:fill="FFFFFF"/>
          <w:lang w:val="en-US" w:eastAsia="zh-CN"/>
        </w:rPr>
        <w:t>［J］．</w:t>
      </w:r>
      <w:r>
        <w:rPr>
          <w:rFonts w:hint="eastAsia" w:ascii="宋体" w:hAnsi="宋体" w:eastAsia="宋体" w:cs="Arial"/>
          <w:i w:val="0"/>
          <w:iCs w:val="0"/>
          <w:caps w:val="0"/>
          <w:color w:val="auto"/>
          <w:spacing w:val="0"/>
          <w:sz w:val="24"/>
          <w:szCs w:val="30"/>
          <w:shd w:val="clear" w:fill="FFFFFF"/>
          <w:lang w:val="en-US" w:eastAsia="zh-CN"/>
        </w:rPr>
        <w:t>中国急救医学</w:t>
      </w:r>
      <w:r>
        <w:rPr>
          <w:rFonts w:hint="default" w:ascii="宋体" w:hAnsi="宋体" w:eastAsia="宋体" w:cs="Arial"/>
          <w:i w:val="0"/>
          <w:iCs w:val="0"/>
          <w:caps w:val="0"/>
          <w:color w:val="auto"/>
          <w:spacing w:val="0"/>
          <w:sz w:val="24"/>
          <w:szCs w:val="30"/>
          <w:shd w:val="clear" w:fill="FFFFFF"/>
          <w:lang w:val="en-US" w:eastAsia="zh-CN"/>
        </w:rPr>
        <w:t>，20</w:t>
      </w:r>
      <w:r>
        <w:rPr>
          <w:rFonts w:hint="eastAsia" w:ascii="宋体" w:hAnsi="宋体" w:eastAsia="宋体" w:cs="Arial"/>
          <w:i w:val="0"/>
          <w:iCs w:val="0"/>
          <w:caps w:val="0"/>
          <w:color w:val="auto"/>
          <w:spacing w:val="0"/>
          <w:sz w:val="24"/>
          <w:szCs w:val="30"/>
          <w:shd w:val="clear" w:fill="FFFFFF"/>
          <w:lang w:val="en-US" w:eastAsia="zh-CN"/>
        </w:rPr>
        <w:t>21</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1</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41</w:t>
      </w:r>
      <w:r>
        <w:rPr>
          <w:rFonts w:hint="default" w:ascii="宋体" w:hAnsi="宋体" w:eastAsia="宋体" w:cs="Arial"/>
          <w:i w:val="0"/>
          <w:iCs w:val="0"/>
          <w:caps w:val="0"/>
          <w:color w:val="auto"/>
          <w:spacing w:val="0"/>
          <w:sz w:val="24"/>
          <w:szCs w:val="30"/>
          <w:shd w:val="clear" w:fill="FFFFFF"/>
          <w:lang w:val="en-US" w:eastAsia="zh-CN"/>
        </w:rPr>
        <w:t>）</w:t>
      </w:r>
      <w:r>
        <w:rPr>
          <w:rFonts w:hint="eastAsia" w:ascii="宋体" w:hAnsi="宋体" w:eastAsia="宋体" w:cs="Arial"/>
          <w:i w:val="0"/>
          <w:iCs w:val="0"/>
          <w:caps w:val="0"/>
          <w:color w:val="auto"/>
          <w:spacing w:val="0"/>
          <w:sz w:val="24"/>
          <w:szCs w:val="30"/>
          <w:shd w:val="clear" w:fill="FFFFFF"/>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val="0"/>
          <w:bCs/>
          <w:color w:val="auto"/>
          <w:sz w:val="24"/>
          <w:szCs w:val="28"/>
          <w:lang w:eastAsia="zh-CN"/>
        </w:rPr>
      </w:pPr>
      <w:r>
        <w:rPr>
          <w:rFonts w:hint="eastAsia" w:ascii="黑体" w:hAnsi="黑体" w:eastAsia="黑体" w:cs="黑体"/>
          <w:b w:val="0"/>
          <w:bCs/>
          <w:color w:val="auto"/>
          <w:sz w:val="24"/>
          <w:szCs w:val="28"/>
          <w:lang w:eastAsia="zh-CN"/>
        </w:rPr>
        <w:t>修订记录</w:t>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序号</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修订前版本号</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修订后版本号</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修订原因、依据</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修订内容</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修订人/</w:t>
            </w:r>
            <w:r>
              <w:rPr>
                <w:rFonts w:hint="eastAsia" w:asciiTheme="minorEastAsia" w:hAnsiTheme="minorEastAsia" w:cstheme="minorEastAsia"/>
                <w:color w:val="auto"/>
                <w:sz w:val="21"/>
                <w:szCs w:val="21"/>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trPr>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r>
              <w:rPr>
                <w:rFonts w:hint="eastAsia" w:asciiTheme="minorEastAsia" w:hAnsiTheme="minorEastAsia" w:cstheme="minorEastAsia"/>
                <w:color w:val="auto"/>
                <w:sz w:val="21"/>
                <w:szCs w:val="21"/>
                <w:vertAlign w:val="baseline"/>
                <w:lang w:eastAsia="zh-CN"/>
              </w:rPr>
              <w:t>增加应急预案参考文献信息</w:t>
            </w:r>
            <w:r>
              <w:rPr>
                <w:rFonts w:hint="eastAsia" w:asciiTheme="minorEastAsia" w:hAnsiTheme="minorEastAsia" w:cstheme="minorEastAsia"/>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r>
              <w:rPr>
                <w:rFonts w:hint="eastAsia" w:asciiTheme="minorEastAsia" w:hAnsiTheme="minorEastAsia" w:cstheme="minorEastAsia"/>
                <w:color w:val="auto"/>
                <w:sz w:val="21"/>
                <w:szCs w:val="21"/>
                <w:vertAlign w:val="baseline"/>
                <w:lang w:eastAsia="zh-CN"/>
              </w:rPr>
              <w:t>根据最新参考文献修订具体内容。</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1.文末添加相关参考文献名称、作者、时间等信息；2.根据最新文献诊治标准更新现行诊疗流程。</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p>
        </w:tc>
      </w:tr>
    </w:tbl>
    <w:p>
      <w:pPr>
        <w:pStyle w:val="33"/>
        <w:rPr>
          <w:rFonts w:hint="default"/>
          <w:color w:val="auto"/>
          <w:lang w:val="en-US" w:eastAsia="zh-CN"/>
        </w:rPr>
        <w:sectPr>
          <w:headerReference r:id="rId200" w:type="default"/>
          <w:footerReference r:id="rId201" w:type="default"/>
          <w:pgSz w:w="11906" w:h="16838"/>
          <w:pgMar w:top="1440" w:right="1236" w:bottom="1440" w:left="1463" w:header="851" w:footer="992" w:gutter="0"/>
          <w:pgNumType w:fmt="decimal"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黑体" w:hAnsi="黑体" w:eastAsia="黑体" w:cs="黑体"/>
          <w:b/>
          <w:bCs/>
          <w:color w:val="auto"/>
          <w:sz w:val="28"/>
          <w:szCs w:val="28"/>
        </w:rPr>
      </w:pPr>
      <w:r>
        <w:rPr>
          <w:rFonts w:hint="eastAsia" w:ascii="黑体" w:hAnsi="黑体" w:eastAsia="黑体" w:cs="黑体"/>
          <w:b/>
          <w:bCs/>
          <w:color w:val="auto"/>
          <w:sz w:val="28"/>
          <w:szCs w:val="28"/>
        </w:rPr>
        <w:t>急性大咯血的</w:t>
      </w:r>
      <w:r>
        <w:rPr>
          <w:rFonts w:hint="eastAsia" w:ascii="黑体" w:hAnsi="黑体" w:eastAsia="黑体" w:cs="黑体"/>
          <w:b/>
          <w:bCs/>
          <w:color w:val="auto"/>
          <w:sz w:val="28"/>
          <w:szCs w:val="28"/>
          <w:lang w:eastAsia="zh-CN"/>
        </w:rPr>
        <w:t>急救</w:t>
      </w:r>
      <w:r>
        <w:rPr>
          <w:rFonts w:hint="eastAsia" w:ascii="黑体" w:hAnsi="黑体" w:eastAsia="黑体" w:cs="黑体"/>
          <w:b/>
          <w:bCs/>
          <w:color w:val="auto"/>
          <w:sz w:val="28"/>
          <w:szCs w:val="28"/>
        </w:rPr>
        <w:t>预案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一、目的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为了使急性大咯血患者处理措施规范化，特制订本规范。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适用于临床试验所有受试者。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三、急救程序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咯血量、颜色、性质及出血速度。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生命体征及意识状态的变化：胸闷、喉痒、咳嗽、面色苍白、呼吸困难、表情紧张或惊恐、大汗淋漓、两手乱抓或手指喉头、发绀等窒息征象。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紧急处理：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保持呼吸道通畅：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绝对卧床休息，取患侧卧位，头偏一侧。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轻拍背部或直接刺激咽部，迅速排出气道、口咽部血块防窒息。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精神紧张、恐惧不安者可给予镇静剂，如地西泮10mg或者苯巴比妥0.1肌注，禁用吗啡，加强安全防护。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暂禁食，床旁备吸痰管、气管插管、气道切开用物，选用大号吸痰管抽吸，保持气道通畅。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维持呼吸循环：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吸氧(6～8 L/min)．进行心电监护及血氧饱和度检测。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建立两条及以上静脉通道。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配血备用，有休克者快速输液、输血。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呼吸衰竭者给予呼吸兴奋剂。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止血治疗：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大咯血时可使用垂体后叶素（高血压、冠心病、孕妇忌用），一般5-10U计入生理盐水或者5%葡萄糖40ml缓慢静脉推注，推注时间一般为15-20分钟，然后按照0.1U/kg/h的速度静脉给药，使用垂体后叶素时关注受试者血压情况及不良反应，全程给与心电监护；必要时同时使用硝酸甘油降压并避免药物渗出。对于冠心病、高血压的咯血患者</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可以使用酚妥拉明；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其他止血药，如止血敏、氨甲环酸等。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支气管镜止血治疗。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必要时做好术前及安全转运准备，行支气管动脉栓塞术或手术。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参考文献：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right="0" w:rightChars="0" w:hanging="600" w:hangingChars="25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［1］北京医师协会呼吸内科专科医师分会咯血诊治专家共识编写组.咯血诊治专家共识［J］．中国呼吸与危重监护杂志，2020,1（19）</w:t>
      </w:r>
      <w:r>
        <w:rPr>
          <w:rFonts w:hint="eastAsia" w:ascii="宋体" w:hAnsi="宋体" w:eastAsia="宋体" w:cs="宋体"/>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right="0" w:rightChars="0" w:hanging="600" w:hangingChars="25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［2］陈燕启，李小刚.急危重症“三基”理论与实践上册.第二章第七节咯血［M］.北京：人民卫生出版社，2015</w:t>
      </w:r>
      <w:r>
        <w:rPr>
          <w:rFonts w:hint="eastAsia" w:ascii="宋体" w:hAnsi="宋体" w:eastAsia="宋体" w:cs="宋体"/>
          <w:color w:val="auto"/>
          <w:sz w:val="24"/>
          <w:szCs w:val="24"/>
          <w:lang w:val="en-US" w:eastAsia="zh-CN"/>
        </w:rPr>
        <w:t>.</w:t>
      </w:r>
    </w:p>
    <w:p>
      <w:pPr>
        <w:keepNext w:val="0"/>
        <w:keepLines w:val="0"/>
        <w:pageBreakBefore w:val="0"/>
        <w:widowControl w:val="0"/>
        <w:tabs>
          <w:tab w:val="center" w:pos="4663"/>
          <w:tab w:val="left" w:pos="6853"/>
        </w:tabs>
        <w:kinsoku/>
        <w:wordWrap/>
        <w:overflowPunct/>
        <w:topLinePunct w:val="0"/>
        <w:autoSpaceDE/>
        <w:autoSpaceDN/>
        <w:bidi w:val="0"/>
        <w:adjustRightInd/>
        <w:snapToGrid/>
        <w:spacing w:line="360" w:lineRule="auto"/>
        <w:ind w:right="0" w:rightChars="0"/>
        <w:jc w:val="left"/>
        <w:textAlignment w:val="auto"/>
        <w:rPr>
          <w:rFonts w:hint="eastAsia" w:ascii="黑体" w:hAnsi="黑体" w:eastAsia="宋体" w:cs="黑体"/>
          <w:b w:val="0"/>
          <w:bCs/>
          <w:color w:val="auto"/>
          <w:sz w:val="24"/>
          <w:szCs w:val="28"/>
          <w:lang w:eastAsia="zh-CN"/>
        </w:rPr>
      </w:pPr>
      <w:r>
        <w:rPr>
          <w:rFonts w:hint="eastAsia" w:ascii="黑体" w:hAnsi="黑体" w:eastAsia="宋体" w:cs="黑体"/>
          <w:b w:val="0"/>
          <w:bCs/>
          <w:color w:val="auto"/>
          <w:sz w:val="24"/>
          <w:szCs w:val="28"/>
          <w:lang w:eastAsia="zh-CN"/>
        </w:rPr>
        <w:tab/>
      </w:r>
      <w:r>
        <w:rPr>
          <w:rFonts w:hint="eastAsia" w:ascii="黑体" w:hAnsi="黑体" w:eastAsia="黑体" w:cs="黑体"/>
          <w:b w:val="0"/>
          <w:bCs/>
          <w:color w:val="auto"/>
          <w:sz w:val="24"/>
          <w:szCs w:val="28"/>
          <w:lang w:eastAsia="zh-CN"/>
        </w:rPr>
        <w:t>修订记录</w:t>
      </w:r>
      <w:r>
        <w:rPr>
          <w:rFonts w:hint="eastAsia" w:ascii="黑体" w:hAnsi="黑体" w:eastAsia="宋体" w:cs="黑体"/>
          <w:b w:val="0"/>
          <w:bCs/>
          <w:color w:val="auto"/>
          <w:sz w:val="24"/>
          <w:szCs w:val="28"/>
          <w:lang w:eastAsia="zh-CN"/>
        </w:rPr>
        <w:tab/>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序号</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修订前版本号</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修订后版本号</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修订原因、依据</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修订内容</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修订人/</w:t>
            </w:r>
            <w:r>
              <w:rPr>
                <w:rFonts w:hint="eastAsia" w:asciiTheme="minorEastAsia" w:hAnsiTheme="minorEastAsia" w:cstheme="minorEastAsia"/>
                <w:color w:val="auto"/>
                <w:sz w:val="21"/>
                <w:szCs w:val="21"/>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1.</w:t>
            </w:r>
            <w:r>
              <w:rPr>
                <w:rFonts w:hint="eastAsia" w:asciiTheme="minorEastAsia" w:hAnsiTheme="minorEastAsia" w:cstheme="minorEastAsia"/>
                <w:color w:val="auto"/>
                <w:sz w:val="21"/>
                <w:szCs w:val="21"/>
                <w:vertAlign w:val="baseline"/>
                <w:lang w:eastAsia="zh-CN"/>
              </w:rPr>
              <w:t>增加应急预案参考文献信息；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r>
              <w:rPr>
                <w:rFonts w:hint="eastAsia" w:asciiTheme="minorEastAsia" w:hAnsiTheme="minorEastAsia" w:cstheme="minorEastAsia"/>
                <w:color w:val="auto"/>
                <w:sz w:val="21"/>
                <w:szCs w:val="21"/>
                <w:vertAlign w:val="baseline"/>
                <w:lang w:eastAsia="zh-CN"/>
              </w:rPr>
              <w:t>根据最新参考文献修订具体内容。</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1.文末添加相关参考文献名称、作者、时间等信息；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2.根据最新文献诊治标准更新现行诊疗流程。</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p>
        </w:tc>
      </w:tr>
    </w:tbl>
    <w:p>
      <w:pPr>
        <w:rPr>
          <w:rFonts w:hint="eastAsia"/>
          <w:color w:val="auto"/>
          <w:lang w:val="en-US" w:eastAsia="zh-CN"/>
        </w:rPr>
        <w:sectPr>
          <w:headerReference r:id="rId202" w:type="default"/>
          <w:footerReference r:id="rId203" w:type="default"/>
          <w:pgSz w:w="11906" w:h="16838"/>
          <w:pgMar w:top="1440" w:right="1236" w:bottom="1440" w:left="1463" w:header="0" w:footer="992" w:gutter="0"/>
          <w:pgNumType w:fmt="decimal"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黑体" w:hAnsi="黑体" w:eastAsia="黑体" w:cs="黑体"/>
          <w:b/>
          <w:bCs/>
          <w:color w:val="auto"/>
          <w:sz w:val="28"/>
          <w:szCs w:val="28"/>
        </w:rPr>
      </w:pPr>
      <w:r>
        <w:rPr>
          <w:rFonts w:hint="eastAsia" w:ascii="黑体" w:hAnsi="黑体" w:eastAsia="黑体" w:cs="黑体"/>
          <w:b/>
          <w:bCs/>
          <w:color w:val="auto"/>
          <w:sz w:val="28"/>
          <w:szCs w:val="28"/>
        </w:rPr>
        <w:t>急性肾功能衰竭的</w:t>
      </w:r>
      <w:r>
        <w:rPr>
          <w:rFonts w:hint="eastAsia" w:ascii="黑体" w:hAnsi="黑体" w:eastAsia="黑体" w:cs="黑体"/>
          <w:b/>
          <w:bCs/>
          <w:color w:val="auto"/>
          <w:sz w:val="28"/>
          <w:szCs w:val="28"/>
          <w:lang w:eastAsia="zh-CN"/>
        </w:rPr>
        <w:t>急救</w:t>
      </w:r>
      <w:r>
        <w:rPr>
          <w:rFonts w:hint="eastAsia" w:ascii="黑体" w:hAnsi="黑体" w:eastAsia="黑体" w:cs="黑体"/>
          <w:b/>
          <w:bCs/>
          <w:color w:val="auto"/>
          <w:sz w:val="28"/>
          <w:szCs w:val="28"/>
        </w:rPr>
        <w:t>预案</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一、目的</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在临床试验中，各种原因可能导致受试者肾功能急剧下降。为了确保受试者的安全，特制定急性肾功能衰竭的标准操作规程。</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二、适用范围</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适用于临床试验所有受试者。</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三、诊断标准</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急性肾功能衰竭(ARF)的诊断需结合临床表现、实验室检查综合考虑后做出。其中最重要的是肾小球滤过功能检查。</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急性肾衰竭一般指肾小球滤过率或肌酐清除率下降50%以上。目前多采用改善全球肾脏病预后组织（Kidney Disease：Improving Global Outcomes，KDIGO）制定的AKI诊断标准：</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48h内血清肌酐升高大于0.3mg/dl（26.5ug/l）；</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已知或推测血肌酐在过去一周的时间内比基线水平升高1.5倍；</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尿量在6h内少于0.5ml/kg/h。</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或者有下列表现者：血肌酐短期内增高3倍以上，或肾小球滤过率下降超过75%，或尿量小于0.3ml/(kg.h)持续超过24h，或完全无尿超过12h。</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四</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此外尿液检查包括尿常规、尿沉渣镜检、尿钠排泄的检查对明确病因也非常重要。在某些特殊情况，为了明确ARF病因，可尽早行肾穿刺病理检查，</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四、</w:t>
      </w:r>
      <w:r>
        <w:rPr>
          <w:rFonts w:hint="eastAsia" w:ascii="宋体" w:hAnsi="宋体" w:eastAsia="宋体" w:cs="宋体"/>
          <w:color w:val="auto"/>
          <w:sz w:val="24"/>
          <w:szCs w:val="24"/>
        </w:rPr>
        <w:t>治疗原则</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病因治疗  明确ARF病因，针对性治疗。尽早识别并纠正可逆病因，及时采取干预措施，避免肾脏受到进一步损伤，如考虑与所试验药物相关，应立即停药。维持水、电解质、酸碱平衡是AKI治疗的基石。对于肾前性和造影剂肾损伤给与充足补液进行防治</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营养支持 总能量摄入目标20-30kcal/kg/d； 给予正常热量摄入（如果存在高分解代谢时要更高）和每日0.6g/kg的蛋白摄入。如果口服困难，可给予鼻饲营养（不能鼻饲可以考虑胃肠外营养）。</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维持出入量平衡  监测脉搏、血压、中心静脉压及尿量。观察每天液体出入量和体重，维持液体平衡：入量=出量（尿液、呕吐物、腹泻物、引流物）十500ml不显性失水（如果体温高则更多）。</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四</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处理并发症</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高钾血症：静脉给钙：10%葡萄糖酸钙lOml通过大静脉在1分钟内推注，有必要时可以反复推注直至心电图改善。此举可保护心脏。静脉给胰岛素十葡萄糖：6u胰岛素+50%葡萄糖50ml，在10分钟内静脉推注。胰岛素可以刺激细胞摄取钾离子，可在30～60分钟内使血清钾下降1～2mmol/L，碳酸氢钠150ml静脉滴注也可促使钾离子转移至细胞内，但要主要评估心功能以及酸碱平衡，可给与速尿20mg，iv，促进排钾，但肾功能衰竭者效果不显著。</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如果上述处理无效而且病人无尿时，应考虑血液透析。 </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代谢性酸中毒：一般不严重，无需积极处理。在高分解代谢情况下或存在严重高钾血症，应及时治疗。可给予静脉碳酸氢钠。</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五</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透析治疗</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透析治疗指征：</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急性肺水肿。</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严重高钾血症．血钾≥6.5mmol/L．或心电图已出现异位心律，伴QRS波增宽，经内科保守治疗无效。</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尿毒症脑病症状如神志淡漠、烦躁、嗜睡等。</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少尿4天以上或无尿2天以上。</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BUN≥22.2mmol/L, SCr≥442umol/L。</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代谢性酸中毒，血pH&lt;7.25，C02CP&lt;15mmol/L，HC03-&lt;15mmol/L。</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高分解代谢状态(每日BUN增高&gt;10.7mmol/L，SCr增高&gt;176.8umol／L，血钾增高&gt;l.0mmol/L)。</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 xml:space="preserve">非少尿患者出现下列任一情况：体液过多、球结膜水肿、心脏奔马律、血钾&gt;5.5mmol/L、或心电图疑有高钾图形。 </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透析方式通常不限，通常可选择血液透析(HD)或腹膜透析(PD)；亦可选择连续肾脏替代治疗(CRRT)。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参考文献</w:t>
      </w:r>
    </w:p>
    <w:p>
      <w:pPr>
        <w:keepNext w:val="0"/>
        <w:keepLines w:val="0"/>
        <w:pageBreakBefore w:val="0"/>
        <w:widowControl w:val="0"/>
        <w:kinsoku/>
        <w:wordWrap/>
        <w:overflowPunct/>
        <w:topLinePunct w:val="0"/>
        <w:autoSpaceDE/>
        <w:autoSpaceDN/>
        <w:bidi w:val="0"/>
        <w:adjustRightInd/>
        <w:snapToGrid/>
        <w:spacing w:line="360" w:lineRule="auto"/>
        <w:ind w:left="600" w:right="0" w:rightChars="0" w:hanging="600" w:hangingChars="25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［1］陈灏珠，林果为．实用内科学（第16版）下册.第十七篇肾脏和泌尿系统疾病.第二章急性肾损伤［M］．北京：人民卫生出版社，2022</w:t>
      </w:r>
      <w:r>
        <w:rPr>
          <w:rFonts w:hint="eastAsia" w:ascii="宋体" w:hAnsi="宋体" w:eastAsia="宋体" w:cs="宋体"/>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600" w:right="0" w:rightChars="0" w:hanging="600" w:hangingChars="250"/>
        <w:jc w:val="both"/>
        <w:textAlignment w:val="auto"/>
        <w:outlineLvl w:val="9"/>
        <w:rPr>
          <w:rFonts w:hint="eastAsia" w:ascii="黑体" w:hAnsi="黑体" w:eastAsia="黑体" w:cs="黑体"/>
          <w:b/>
          <w:bCs/>
          <w:color w:val="auto"/>
          <w:sz w:val="28"/>
          <w:szCs w:val="28"/>
        </w:rPr>
      </w:pPr>
      <w:r>
        <w:rPr>
          <w:rFonts w:hint="eastAsia" w:ascii="宋体" w:hAnsi="宋体" w:eastAsia="宋体" w:cs="宋体"/>
          <w:color w:val="auto"/>
          <w:sz w:val="24"/>
          <w:szCs w:val="24"/>
        </w:rPr>
        <w:t>［2］陈燕启，李小刚.急危重症“三基”理论与实践上册.第六章泌尿系统急危重病［M］.北京：人民卫生出版社，2015</w:t>
      </w:r>
      <w:r>
        <w:rPr>
          <w:rFonts w:hint="eastAsia" w:ascii="宋体" w:hAnsi="宋体" w:eastAsia="宋体" w:cs="宋体"/>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val="0"/>
          <w:bCs/>
          <w:color w:val="auto"/>
          <w:sz w:val="24"/>
          <w:szCs w:val="28"/>
          <w:lang w:eastAsia="zh-CN"/>
        </w:rPr>
      </w:pPr>
      <w:r>
        <w:rPr>
          <w:rFonts w:hint="eastAsia" w:ascii="黑体" w:hAnsi="黑体" w:eastAsia="黑体" w:cs="黑体"/>
          <w:b w:val="0"/>
          <w:bCs/>
          <w:color w:val="auto"/>
          <w:sz w:val="24"/>
          <w:szCs w:val="28"/>
          <w:lang w:eastAsia="zh-CN"/>
        </w:rPr>
        <w:t>修订记录</w:t>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序号</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修订前版本号</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修订后版本号</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修订原因、依据</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修订内容</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修订人/</w:t>
            </w:r>
            <w:r>
              <w:rPr>
                <w:rFonts w:hint="eastAsia" w:asciiTheme="minorEastAsia" w:hAnsiTheme="minorEastAsia" w:cstheme="minorEastAsia"/>
                <w:color w:val="auto"/>
                <w:sz w:val="21"/>
                <w:szCs w:val="21"/>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trPr>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1.</w:t>
            </w:r>
            <w:r>
              <w:rPr>
                <w:rFonts w:hint="eastAsia" w:asciiTheme="minorEastAsia" w:hAnsiTheme="minorEastAsia" w:cstheme="minorEastAsia"/>
                <w:color w:val="auto"/>
                <w:sz w:val="21"/>
                <w:szCs w:val="21"/>
                <w:vertAlign w:val="baseline"/>
                <w:lang w:eastAsia="zh-CN"/>
              </w:rPr>
              <w:t>增加应急预案参考文献信息；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r>
              <w:rPr>
                <w:rFonts w:hint="eastAsia" w:asciiTheme="minorEastAsia" w:hAnsiTheme="minorEastAsia" w:cstheme="minorEastAsia"/>
                <w:color w:val="auto"/>
                <w:sz w:val="21"/>
                <w:szCs w:val="21"/>
                <w:vertAlign w:val="baseline"/>
                <w:lang w:eastAsia="zh-CN"/>
              </w:rPr>
              <w:t>根据最新参考文献修订具体内容。</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1.文末添加相关参考文献名称、作者、时间等信息；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2.根据最新文献诊治标准更新现行诊疗流程。</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p>
        </w:tc>
      </w:tr>
    </w:tbl>
    <w:p>
      <w:pPr>
        <w:pStyle w:val="33"/>
        <w:rPr>
          <w:rFonts w:hint="eastAsia"/>
          <w:color w:val="auto"/>
        </w:rPr>
        <w:sectPr>
          <w:headerReference r:id="rId204" w:type="default"/>
          <w:footerReference r:id="rId205" w:type="default"/>
          <w:pgSz w:w="11906" w:h="16838"/>
          <w:pgMar w:top="1440" w:right="1236" w:bottom="1440" w:left="1463" w:header="0" w:footer="992" w:gutter="0"/>
          <w:pgNumType w:fmt="decimal"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黑体" w:hAnsi="黑体" w:eastAsia="黑体" w:cs="黑体"/>
          <w:b/>
          <w:bCs/>
          <w:color w:val="auto"/>
          <w:sz w:val="28"/>
          <w:szCs w:val="28"/>
        </w:rPr>
      </w:pPr>
      <w:r>
        <w:rPr>
          <w:rFonts w:hint="eastAsia" w:ascii="黑体" w:hAnsi="黑体" w:eastAsia="黑体" w:cs="黑体"/>
          <w:b/>
          <w:bCs/>
          <w:color w:val="auto"/>
          <w:sz w:val="28"/>
          <w:szCs w:val="28"/>
        </w:rPr>
        <w:t>急性肺损伤／急性呼吸窘迫综合征的</w:t>
      </w:r>
      <w:r>
        <w:rPr>
          <w:rFonts w:hint="eastAsia" w:ascii="黑体" w:hAnsi="黑体" w:eastAsia="黑体" w:cs="黑体"/>
          <w:b/>
          <w:bCs/>
          <w:color w:val="auto"/>
          <w:sz w:val="28"/>
          <w:szCs w:val="28"/>
          <w:lang w:eastAsia="zh-CN"/>
        </w:rPr>
        <w:t>急救</w:t>
      </w:r>
      <w:r>
        <w:rPr>
          <w:rFonts w:hint="eastAsia" w:ascii="黑体" w:hAnsi="黑体" w:eastAsia="黑体" w:cs="黑体"/>
          <w:b/>
          <w:bCs/>
          <w:color w:val="auto"/>
          <w:sz w:val="28"/>
          <w:szCs w:val="28"/>
        </w:rPr>
        <w:t>预案</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一、</w:t>
      </w:r>
      <w:r>
        <w:rPr>
          <w:rFonts w:hint="eastAsia" w:ascii="宋体" w:hAnsi="宋体" w:eastAsia="宋体" w:cs="宋体"/>
          <w:color w:val="auto"/>
          <w:sz w:val="24"/>
          <w:szCs w:val="24"/>
        </w:rPr>
        <w:t>目的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在临床试验中，各种肺内外致病因素可导致急性、进行性缺氧性呼吸衰竭。为了确保受试者的安全，特制定急性肺损伤／急性呼吸窘迫综合征(ALI/ARDS)诊疗的标准操作规程。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二、</w:t>
      </w:r>
      <w:r>
        <w:rPr>
          <w:rFonts w:hint="eastAsia" w:ascii="宋体" w:hAnsi="宋体" w:eastAsia="宋体" w:cs="宋体"/>
          <w:color w:val="auto"/>
          <w:sz w:val="24"/>
          <w:szCs w:val="24"/>
        </w:rPr>
        <w:t>适用范围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适用于临床试验所有受试者。</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三、</w:t>
      </w:r>
      <w:r>
        <w:rPr>
          <w:rFonts w:hint="eastAsia" w:ascii="宋体" w:hAnsi="宋体" w:eastAsia="宋体" w:cs="宋体"/>
          <w:color w:val="auto"/>
          <w:sz w:val="24"/>
          <w:szCs w:val="24"/>
        </w:rPr>
        <w:t>诊断标准</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发病的高危因素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(1)直接肺损伤因素：胃内容物吸入、肺损伤、吸入有毒气体、氧中毒等；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(2)间接肺损伤因素：重症胰腺炎、DIC等。</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急性起病呼吸频率快和（或）呼吸窘迫。</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3．低氧血症  ALI时动脉血氧分压(Pa0</w:t>
      </w:r>
      <w:r>
        <w:rPr>
          <w:rFonts w:hint="eastAsia" w:ascii="宋体" w:hAnsi="宋体" w:eastAsia="宋体" w:cs="宋体"/>
          <w:color w:val="auto"/>
          <w:sz w:val="15"/>
          <w:szCs w:val="15"/>
        </w:rPr>
        <w:t>2</w:t>
      </w:r>
      <w:r>
        <w:rPr>
          <w:rFonts w:hint="eastAsia" w:ascii="宋体" w:hAnsi="宋体" w:eastAsia="宋体" w:cs="宋体"/>
          <w:color w:val="auto"/>
          <w:sz w:val="24"/>
          <w:szCs w:val="24"/>
        </w:rPr>
        <w:t>)／吸氧浓度(FIO</w:t>
      </w:r>
      <w:r>
        <w:rPr>
          <w:rFonts w:hint="eastAsia" w:ascii="宋体" w:hAnsi="宋体" w:cs="宋体"/>
          <w:color w:val="auto"/>
          <w:sz w:val="13"/>
          <w:szCs w:val="13"/>
          <w:lang w:val="en-US" w:eastAsia="zh-CN"/>
        </w:rPr>
        <w:t>2</w:t>
      </w:r>
      <w:r>
        <w:rPr>
          <w:rFonts w:hint="eastAsia" w:ascii="宋体" w:hAnsi="宋体" w:eastAsia="宋体" w:cs="宋体"/>
          <w:color w:val="auto"/>
          <w:sz w:val="24"/>
          <w:szCs w:val="24"/>
        </w:rPr>
        <w:t>)≤300mmHg; ARDS时pa0</w:t>
      </w:r>
      <w:r>
        <w:rPr>
          <w:rFonts w:hint="eastAsia" w:ascii="宋体" w:hAnsi="宋体" w:eastAsia="宋体" w:cs="宋体"/>
          <w:color w:val="auto"/>
          <w:sz w:val="15"/>
          <w:szCs w:val="15"/>
        </w:rPr>
        <w:t>2</w:t>
      </w:r>
      <w:r>
        <w:rPr>
          <w:rFonts w:hint="eastAsia" w:ascii="宋体" w:hAnsi="宋体" w:eastAsia="宋体" w:cs="宋体"/>
          <w:color w:val="auto"/>
          <w:sz w:val="24"/>
          <w:szCs w:val="24"/>
        </w:rPr>
        <w:t>/FI0</w:t>
      </w:r>
      <w:r>
        <w:rPr>
          <w:rFonts w:hint="eastAsia" w:ascii="宋体" w:hAnsi="宋体" w:eastAsia="宋体" w:cs="宋体"/>
          <w:color w:val="auto"/>
          <w:sz w:val="15"/>
          <w:szCs w:val="15"/>
        </w:rPr>
        <w:t>2</w:t>
      </w:r>
      <w:r>
        <w:rPr>
          <w:rFonts w:hint="eastAsia" w:ascii="宋体" w:hAnsi="宋体" w:eastAsia="宋体" w:cs="宋体"/>
          <w:color w:val="auto"/>
          <w:sz w:val="24"/>
          <w:szCs w:val="24"/>
        </w:rPr>
        <w:t>≤200mmHg。</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胸部X线检查：两肺浸润阴影。</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肺毛细血管楔压(PCWP)≤18mmHg或临床上能除外心源性肺水肿。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凡符合以上5项可诊断ALI/ARDS。</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(四）</w:t>
      </w:r>
      <w:r>
        <w:rPr>
          <w:rFonts w:hint="eastAsia" w:ascii="宋体" w:hAnsi="宋体" w:eastAsia="宋体" w:cs="宋体"/>
          <w:color w:val="auto"/>
          <w:sz w:val="24"/>
          <w:szCs w:val="24"/>
        </w:rPr>
        <w:t>治疗原则</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积极治疗原发病控制危险因素。</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尽快纠正缺氧加大吸氧流量或应用面罩吸氧，保证Sp02 &gt;90%，监测呼吸频率、节律、心率和血压，尽快联系呼吸专业人员转入重症监护病房进一步诊治。当吸氧无效时，应尽早使用机械通气，采用小潮气量与允许性高碳酸</w:t>
      </w:r>
      <w:r>
        <w:rPr>
          <w:rFonts w:hint="eastAsia" w:ascii="宋体" w:hAnsi="宋体" w:eastAsia="宋体" w:cs="宋体"/>
          <w:color w:val="auto"/>
          <w:sz w:val="24"/>
          <w:szCs w:val="24"/>
          <w:lang w:eastAsia="zh-CN"/>
        </w:rPr>
        <w:t>血症</w:t>
      </w:r>
      <w:r>
        <w:rPr>
          <w:rFonts w:hint="eastAsia" w:ascii="宋体" w:hAnsi="宋体" w:eastAsia="宋体" w:cs="宋体"/>
          <w:color w:val="auto"/>
          <w:sz w:val="24"/>
          <w:szCs w:val="24"/>
        </w:rPr>
        <w:t>，最佳呼气末正压的通气方式。早期应用PEEP能增加肺的功能残气量，防止肺泡萎陷，PEEP从3～5cmH</w:t>
      </w:r>
      <w:r>
        <w:rPr>
          <w:rFonts w:hint="eastAsia" w:ascii="宋体" w:hAnsi="宋体" w:eastAsia="宋体" w:cs="宋体"/>
          <w:color w:val="auto"/>
          <w:sz w:val="15"/>
          <w:szCs w:val="15"/>
        </w:rPr>
        <w:t>2</w:t>
      </w:r>
      <w:r>
        <w:rPr>
          <w:rFonts w:hint="eastAsia" w:ascii="宋体" w:hAnsi="宋体" w:eastAsia="宋体" w:cs="宋体"/>
          <w:color w:val="auto"/>
          <w:sz w:val="24"/>
          <w:szCs w:val="24"/>
        </w:rPr>
        <w:t>O开始，根据病情逐步增加，lOcmH</w:t>
      </w:r>
      <w:r>
        <w:rPr>
          <w:rFonts w:hint="eastAsia" w:ascii="宋体" w:hAnsi="宋体" w:cs="宋体"/>
          <w:color w:val="auto"/>
          <w:sz w:val="13"/>
          <w:szCs w:val="13"/>
          <w:lang w:val="en-US" w:eastAsia="zh-CN"/>
        </w:rPr>
        <w:t>2</w:t>
      </w:r>
      <w:r>
        <w:rPr>
          <w:rFonts w:hint="eastAsia" w:ascii="宋体" w:hAnsi="宋体" w:eastAsia="宋体" w:cs="宋体"/>
          <w:color w:val="auto"/>
          <w:sz w:val="24"/>
          <w:szCs w:val="24"/>
        </w:rPr>
        <w:t>O的压力是比较安全的，最高不超过18cmH</w:t>
      </w:r>
      <w:r>
        <w:rPr>
          <w:rFonts w:hint="eastAsia" w:ascii="宋体" w:hAnsi="宋体" w:cs="宋体"/>
          <w:color w:val="auto"/>
          <w:sz w:val="15"/>
          <w:szCs w:val="15"/>
          <w:lang w:val="en-US" w:eastAsia="zh-CN"/>
        </w:rPr>
        <w:t>2</w:t>
      </w:r>
      <w:r>
        <w:rPr>
          <w:rFonts w:hint="eastAsia" w:ascii="宋体" w:hAnsi="宋体" w:eastAsia="宋体" w:cs="宋体"/>
          <w:color w:val="auto"/>
          <w:sz w:val="24"/>
          <w:szCs w:val="24"/>
        </w:rPr>
        <w:t>O。</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控制液体入</w:t>
      </w:r>
      <w:r>
        <w:rPr>
          <w:rFonts w:hint="eastAsia" w:ascii="宋体" w:hAnsi="宋体" w:eastAsia="宋体" w:cs="宋体"/>
          <w:color w:val="auto"/>
          <w:sz w:val="24"/>
          <w:szCs w:val="24"/>
          <w:lang w:eastAsia="zh-CN"/>
        </w:rPr>
        <w:t>量</w:t>
      </w:r>
      <w:r>
        <w:rPr>
          <w:rFonts w:hint="eastAsia" w:ascii="宋体" w:hAnsi="宋体" w:eastAsia="宋体" w:cs="宋体"/>
          <w:color w:val="auto"/>
          <w:sz w:val="24"/>
          <w:szCs w:val="24"/>
        </w:rPr>
        <w:t>，纠正电解质失衡在维持足够的心排血量及运输量的前提下，尽量限制液体的摄人。每天输入量不超过1500～2000ml范围，保持500～1000ml的液体负平衡。</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肾上腺皮质激素可减轻肺泡上皮和毛细血管内皮细胞的损伤，在无禁忌证的情况下，可早期使用3～4d，氢化可的松400～600mg/d或地塞米松20～40mg/d或甲泼尼龙30mg/(d</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kg)。</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并发症的治疗</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ARDS受试者晚期大多并发细菌感染，要合理选用抗生素，预防消化道出血、心律失常、肾功能衰竭、DIC、气胸、纵隔气肿的发生。</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其他包括营养支持、加强护理等。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参考文献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right="0" w:rightChars="0" w:hanging="600" w:hangingChars="25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default" w:ascii="宋体" w:hAnsi="宋体" w:eastAsia="宋体" w:cs="Arial"/>
          <w:i w:val="0"/>
          <w:iCs w:val="0"/>
          <w:caps w:val="0"/>
          <w:color w:val="auto"/>
          <w:spacing w:val="0"/>
          <w:sz w:val="24"/>
          <w:szCs w:val="30"/>
          <w:shd w:val="clear" w:fill="FFFFFF"/>
          <w:lang w:val="en-US" w:eastAsia="zh-CN"/>
        </w:rPr>
        <w:t>陈灏珠，林果为．实用内科学（第1</w:t>
      </w:r>
      <w:r>
        <w:rPr>
          <w:rFonts w:hint="eastAsia" w:ascii="宋体" w:hAnsi="宋体" w:eastAsia="宋体" w:cs="Arial"/>
          <w:i w:val="0"/>
          <w:iCs w:val="0"/>
          <w:caps w:val="0"/>
          <w:color w:val="auto"/>
          <w:spacing w:val="0"/>
          <w:sz w:val="24"/>
          <w:szCs w:val="30"/>
          <w:shd w:val="clear" w:fill="FFFFFF"/>
          <w:lang w:val="en-US" w:eastAsia="zh-CN"/>
        </w:rPr>
        <w:t>6</w:t>
      </w:r>
      <w:r>
        <w:rPr>
          <w:rFonts w:hint="default" w:ascii="宋体" w:hAnsi="宋体" w:eastAsia="宋体" w:cs="Arial"/>
          <w:i w:val="0"/>
          <w:iCs w:val="0"/>
          <w:caps w:val="0"/>
          <w:color w:val="auto"/>
          <w:spacing w:val="0"/>
          <w:sz w:val="24"/>
          <w:szCs w:val="30"/>
          <w:shd w:val="clear" w:fill="FFFFFF"/>
          <w:lang w:val="en-US" w:eastAsia="zh-CN"/>
        </w:rPr>
        <w:t>版）</w:t>
      </w:r>
      <w:r>
        <w:rPr>
          <w:rFonts w:hint="eastAsia" w:ascii="宋体" w:hAnsi="宋体" w:eastAsia="宋体" w:cs="Arial"/>
          <w:i w:val="0"/>
          <w:iCs w:val="0"/>
          <w:caps w:val="0"/>
          <w:color w:val="auto"/>
          <w:spacing w:val="0"/>
          <w:sz w:val="24"/>
          <w:szCs w:val="30"/>
          <w:shd w:val="clear" w:fill="FFFFFF"/>
          <w:lang w:val="en-US" w:eastAsia="zh-CN"/>
        </w:rPr>
        <w:t>上</w:t>
      </w:r>
      <w:r>
        <w:rPr>
          <w:rFonts w:hint="default" w:ascii="宋体" w:hAnsi="宋体" w:eastAsia="宋体" w:cs="Arial"/>
          <w:i w:val="0"/>
          <w:iCs w:val="0"/>
          <w:caps w:val="0"/>
          <w:color w:val="auto"/>
          <w:spacing w:val="0"/>
          <w:sz w:val="24"/>
          <w:szCs w:val="30"/>
          <w:shd w:val="clear" w:fill="FFFFFF"/>
          <w:lang w:val="en-US" w:eastAsia="zh-CN"/>
        </w:rPr>
        <w:t>册</w:t>
      </w:r>
      <w:r>
        <w:rPr>
          <w:rFonts w:hint="eastAsia" w:ascii="宋体" w:hAnsi="宋体" w:eastAsia="宋体" w:cs="Arial"/>
          <w:i w:val="0"/>
          <w:iCs w:val="0"/>
          <w:caps w:val="0"/>
          <w:color w:val="auto"/>
          <w:spacing w:val="0"/>
          <w:sz w:val="24"/>
          <w:szCs w:val="30"/>
          <w:shd w:val="clear" w:fill="FFFFFF"/>
          <w:lang w:val="en-US" w:eastAsia="zh-CN"/>
        </w:rPr>
        <w:t>.第十三篇呼吸系统疾病.第十五章</w:t>
      </w:r>
      <w:r>
        <w:rPr>
          <w:rFonts w:hint="eastAsia" w:ascii="黑体" w:hAnsi="黑体" w:eastAsia="宋体" w:cs="黑体"/>
          <w:b w:val="0"/>
          <w:bCs/>
          <w:color w:val="auto"/>
          <w:sz w:val="24"/>
          <w:szCs w:val="28"/>
        </w:rPr>
        <w:t>急性呼吸窘迫综合征</w:t>
      </w:r>
      <w:r>
        <w:rPr>
          <w:rFonts w:hint="default" w:ascii="宋体" w:hAnsi="宋体" w:eastAsia="宋体" w:cs="Arial"/>
          <w:i w:val="0"/>
          <w:iCs w:val="0"/>
          <w:caps w:val="0"/>
          <w:color w:val="auto"/>
          <w:spacing w:val="0"/>
          <w:sz w:val="24"/>
          <w:szCs w:val="30"/>
          <w:shd w:val="clear" w:fill="FFFFFF"/>
          <w:lang w:val="en-US" w:eastAsia="zh-CN"/>
        </w:rPr>
        <w:t>［M］．北京：人民卫生出版社，20</w:t>
      </w:r>
      <w:r>
        <w:rPr>
          <w:rFonts w:hint="eastAsia" w:ascii="宋体" w:hAnsi="宋体" w:eastAsia="宋体" w:cs="Arial"/>
          <w:i w:val="0"/>
          <w:iCs w:val="0"/>
          <w:caps w:val="0"/>
          <w:color w:val="auto"/>
          <w:spacing w:val="0"/>
          <w:sz w:val="24"/>
          <w:szCs w:val="30"/>
          <w:shd w:val="clear" w:fill="FFFFFF"/>
          <w:lang w:val="en-US" w:eastAsia="zh-CN"/>
        </w:rPr>
        <w:t>22.</w:t>
      </w:r>
    </w:p>
    <w:p>
      <w:pPr>
        <w:keepNext w:val="0"/>
        <w:keepLines w:val="0"/>
        <w:pageBreakBefore w:val="0"/>
        <w:widowControl/>
        <w:suppressLineNumbers w:val="0"/>
        <w:kinsoku/>
        <w:wordWrap/>
        <w:overflowPunct/>
        <w:topLinePunct w:val="0"/>
        <w:autoSpaceDE/>
        <w:autoSpaceDN/>
        <w:bidi w:val="0"/>
        <w:adjustRightInd/>
        <w:snapToGrid/>
        <w:spacing w:line="360" w:lineRule="auto"/>
        <w:ind w:left="600" w:hanging="600" w:hangingChars="250"/>
        <w:jc w:val="left"/>
        <w:textAlignment w:val="auto"/>
        <w:rPr>
          <w:rFonts w:hint="eastAsia"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Arial"/>
          <w:i w:val="0"/>
          <w:iCs w:val="0"/>
          <w:caps w:val="0"/>
          <w:color w:val="auto"/>
          <w:spacing w:val="0"/>
          <w:sz w:val="24"/>
          <w:szCs w:val="30"/>
          <w:shd w:val="clear" w:fill="FFFFFF"/>
          <w:lang w:val="en-US" w:eastAsia="zh-CN"/>
        </w:rPr>
        <w:t>陈燕启，李小刚.急危重症“三基”理论与实践上册.第三章第五节</w:t>
      </w:r>
      <w:r>
        <w:rPr>
          <w:rFonts w:hint="eastAsia" w:ascii="黑体" w:hAnsi="黑体" w:eastAsia="宋体" w:cs="黑体"/>
          <w:b w:val="0"/>
          <w:bCs/>
          <w:color w:val="auto"/>
          <w:sz w:val="24"/>
          <w:szCs w:val="28"/>
        </w:rPr>
        <w:t>急性呼吸窘迫综合征</w:t>
      </w:r>
      <w:r>
        <w:rPr>
          <w:rFonts w:hint="default" w:ascii="宋体" w:hAnsi="宋体" w:eastAsia="宋体" w:cs="Arial"/>
          <w:i w:val="0"/>
          <w:iCs w:val="0"/>
          <w:caps w:val="0"/>
          <w:color w:val="auto"/>
          <w:spacing w:val="0"/>
          <w:sz w:val="24"/>
          <w:szCs w:val="30"/>
          <w:shd w:val="clear" w:fill="FFFFFF"/>
          <w:lang w:val="en-US" w:eastAsia="zh-CN"/>
        </w:rPr>
        <w:t>［M］</w:t>
      </w:r>
      <w:r>
        <w:rPr>
          <w:rFonts w:hint="eastAsia" w:ascii="宋体" w:hAnsi="宋体" w:eastAsia="宋体" w:cs="Arial"/>
          <w:i w:val="0"/>
          <w:iCs w:val="0"/>
          <w:caps w:val="0"/>
          <w:color w:val="auto"/>
          <w:spacing w:val="0"/>
          <w:sz w:val="24"/>
          <w:szCs w:val="30"/>
          <w:shd w:val="clear" w:fill="FFFFFF"/>
          <w:lang w:val="en-US" w:eastAsia="zh-CN"/>
        </w:rPr>
        <w:t>.北京：人民卫生出版社，2015.</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val="0"/>
          <w:bCs/>
          <w:color w:val="auto"/>
          <w:sz w:val="24"/>
          <w:szCs w:val="28"/>
          <w:lang w:eastAsia="zh-CN"/>
        </w:rPr>
      </w:pPr>
      <w:r>
        <w:rPr>
          <w:rFonts w:hint="eastAsia" w:ascii="黑体" w:hAnsi="黑体" w:eastAsia="黑体" w:cs="黑体"/>
          <w:b w:val="0"/>
          <w:bCs/>
          <w:color w:val="auto"/>
          <w:sz w:val="24"/>
          <w:szCs w:val="28"/>
          <w:lang w:eastAsia="zh-CN"/>
        </w:rPr>
        <w:t>修订记录</w:t>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序号</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修订前版本号</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修订后版本号</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修订原因、依据</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修订内容</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修订人/</w:t>
            </w:r>
            <w:r>
              <w:rPr>
                <w:rFonts w:hint="eastAsia" w:asciiTheme="minorEastAsia" w:hAnsiTheme="minorEastAsia" w:cstheme="minorEastAsia"/>
                <w:color w:val="auto"/>
                <w:sz w:val="21"/>
                <w:szCs w:val="21"/>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trPr>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r>
              <w:rPr>
                <w:rFonts w:hint="eastAsia" w:asciiTheme="minorEastAsia" w:hAnsiTheme="minorEastAsia" w:cstheme="minorEastAsia"/>
                <w:color w:val="auto"/>
                <w:sz w:val="21"/>
                <w:szCs w:val="21"/>
                <w:vertAlign w:val="baseline"/>
                <w:lang w:eastAsia="zh-CN"/>
              </w:rPr>
              <w:t>增加应急预案参考文献信息；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r>
              <w:rPr>
                <w:rFonts w:hint="eastAsia" w:asciiTheme="minorEastAsia" w:hAnsiTheme="minorEastAsia" w:cstheme="minorEastAsia"/>
                <w:color w:val="auto"/>
                <w:sz w:val="21"/>
                <w:szCs w:val="21"/>
                <w:vertAlign w:val="baseline"/>
                <w:lang w:eastAsia="zh-CN"/>
              </w:rPr>
              <w:t>根据最新参考文献修订具体内容。</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1.文末添加相关参考文献名称、作者、时间等信息；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2.根据最新文献诊治标准更新现行诊疗流程。</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p>
        </w:tc>
      </w:tr>
    </w:tbl>
    <w:p>
      <w:pPr>
        <w:pStyle w:val="33"/>
        <w:rPr>
          <w:rFonts w:hint="eastAsia"/>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黑体" w:hAnsi="黑体" w:eastAsia="黑体" w:cs="黑体"/>
          <w:b/>
          <w:bCs/>
          <w:color w:val="auto"/>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黑体" w:hAnsi="黑体" w:eastAsia="黑体" w:cs="黑体"/>
          <w:b/>
          <w:bCs/>
          <w:color w:val="auto"/>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黑体" w:hAnsi="黑体" w:eastAsia="黑体" w:cs="黑体"/>
          <w:b/>
          <w:bCs/>
          <w:color w:val="auto"/>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黑体" w:hAnsi="黑体" w:eastAsia="黑体" w:cs="黑体"/>
          <w:b/>
          <w:bCs/>
          <w:color w:val="auto"/>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黑体" w:hAnsi="黑体" w:eastAsia="黑体" w:cs="黑体"/>
          <w:b/>
          <w:bCs/>
          <w:color w:val="auto"/>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黑体" w:hAnsi="黑体" w:eastAsia="黑体" w:cs="黑体"/>
          <w:b/>
          <w:bCs/>
          <w:color w:val="auto"/>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黑体" w:hAnsi="黑体" w:eastAsia="黑体" w:cs="黑体"/>
          <w:b/>
          <w:bCs/>
          <w:color w:val="auto"/>
          <w:sz w:val="28"/>
          <w:szCs w:val="28"/>
        </w:rPr>
      </w:pPr>
    </w:p>
    <w:p>
      <w:pPr>
        <w:pStyle w:val="33"/>
        <w:rPr>
          <w:rFonts w:hint="eastAsia" w:ascii="黑体" w:hAnsi="黑体" w:eastAsia="黑体" w:cs="黑体"/>
          <w:b/>
          <w:bCs/>
          <w:color w:val="auto"/>
          <w:sz w:val="28"/>
          <w:szCs w:val="28"/>
        </w:rPr>
      </w:pPr>
    </w:p>
    <w:p>
      <w:pPr>
        <w:rPr>
          <w:rFonts w:hint="eastAsia" w:ascii="黑体" w:hAnsi="黑体" w:eastAsia="黑体" w:cs="黑体"/>
          <w:b/>
          <w:bCs/>
          <w:color w:val="auto"/>
          <w:sz w:val="28"/>
          <w:szCs w:val="28"/>
        </w:rPr>
      </w:pPr>
    </w:p>
    <w:p>
      <w:pPr>
        <w:pStyle w:val="33"/>
        <w:rPr>
          <w:rFonts w:hint="eastAsia"/>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黑体" w:hAnsi="黑体" w:eastAsia="黑体" w:cs="黑体"/>
          <w:b/>
          <w:bCs/>
          <w:color w:val="auto"/>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281" w:firstLineChars="100"/>
        <w:jc w:val="center"/>
        <w:textAlignment w:val="auto"/>
        <w:outlineLvl w:val="9"/>
        <w:rPr>
          <w:rFonts w:hint="eastAsia" w:ascii="黑体" w:hAnsi="黑体" w:eastAsia="黑体" w:cs="黑体"/>
          <w:b/>
          <w:bCs/>
          <w:color w:val="auto"/>
          <w:sz w:val="28"/>
          <w:szCs w:val="28"/>
        </w:rPr>
        <w:sectPr>
          <w:headerReference r:id="rId206" w:type="default"/>
          <w:footerReference r:id="rId207" w:type="default"/>
          <w:pgSz w:w="11906" w:h="16838"/>
          <w:pgMar w:top="1440" w:right="1236" w:bottom="1440" w:left="1463" w:header="0" w:footer="992" w:gutter="0"/>
          <w:pgNumType w:fmt="decimal" w:start="1"/>
          <w:cols w:space="720" w:num="1"/>
          <w:rtlGutter w:val="0"/>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281" w:firstLineChars="100"/>
        <w:jc w:val="center"/>
        <w:textAlignment w:val="auto"/>
        <w:outlineLvl w:val="9"/>
        <w:rPr>
          <w:rFonts w:hint="eastAsia" w:ascii="黑体" w:hAnsi="黑体" w:eastAsia="黑体" w:cs="黑体"/>
          <w:b/>
          <w:bCs/>
          <w:color w:val="auto"/>
          <w:sz w:val="28"/>
          <w:szCs w:val="28"/>
        </w:rPr>
      </w:pPr>
      <w:r>
        <w:rPr>
          <w:rFonts w:hint="eastAsia" w:ascii="黑体" w:hAnsi="黑体" w:eastAsia="黑体" w:cs="黑体"/>
          <w:b/>
          <w:bCs/>
          <w:color w:val="auto"/>
          <w:sz w:val="28"/>
          <w:szCs w:val="28"/>
        </w:rPr>
        <w:t>脑出血诊疗的</w:t>
      </w:r>
      <w:r>
        <w:rPr>
          <w:rFonts w:hint="eastAsia" w:ascii="黑体" w:hAnsi="黑体" w:eastAsia="黑体" w:cs="黑体"/>
          <w:b/>
          <w:bCs/>
          <w:color w:val="auto"/>
          <w:sz w:val="28"/>
          <w:szCs w:val="28"/>
          <w:lang w:eastAsia="zh-CN"/>
        </w:rPr>
        <w:t>急救</w:t>
      </w:r>
      <w:r>
        <w:rPr>
          <w:rFonts w:hint="eastAsia" w:ascii="黑体" w:hAnsi="黑体" w:eastAsia="黑体" w:cs="黑体"/>
          <w:b/>
          <w:bCs/>
          <w:color w:val="auto"/>
          <w:sz w:val="28"/>
          <w:szCs w:val="28"/>
        </w:rPr>
        <w:t>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在临床试验中，受试者可能发生非外伤性脑出血。为了确保受试者的安全，特制定脑出血诊疗的标准操作规程。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二、适用范围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适用于临床试验所有受试者。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三、诊断标准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1．症状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(1)病因：受试者发生脑出血的原因多为动脉静脉畸形、脑动脉炎及服用抗凝或抗血小板药物等。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(2)前驱症状：多数病例起病急骤而无前驱症状。部分患者表现为剧烈的后侧头痛或项部痛；运动或感觉障碍；眩晕或晕厥；鼻出血。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(3)颅内压增高症状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①意识障碍：突然神志昏迷，是脑出血的最主要症状；昏迷的发生及其轻重，并非完全决定于出血量的多少，与颅内压增高的程度，出血的部位亦有关系。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②呕吐：脑出血时多见，颅内压明显增高时呈喷射性呕吐。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③头痛：其发生率难以代表实际情况，由于多数脑出血病倒处于昏迷状态，能述说症状者不多。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2．体征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(1)血压增高：脑出血急性期血压通常增高，收缩期血压大多超过200mmHg，典型的脑出血受试者舒张期血压亦增高。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(2)颅内压增高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①呼吸变深而慢、或快而不规则，或呈潮式呼吸：脉搏充实而缓慢，每分钟常在50～60次。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②眼底改变：视网膜静脉怒张，视神经盘边界不清，视网膜出血。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(3)脑膜刺激征：颈强直与克尼格征约见于半数以上的病例。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(4)局灶性神经系统体征：依出血部位而异。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①壳核-内囊出血：出现两眼向出血灶同侧凝视的三偏征，即病灶对侧偏瘫、偏身感觉障碍和偏盲。</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②丘脑出血：丘脑出血常出现病灶对侧偏身浅感觉与深感觉缺少，若邻近内囊受累，则有病灶对侧的轻偏瘫或偏瘫。</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③脑桥出血：通常为突然起病的深昏迷而无任何预感或头痛，可在数小时内死亡。针尖样瞳孔为其特征性表现。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④小脑出血：多数表现为突然起病的眩晕、频繁呕吐，枕部头痛、一侧上下肢共济失调而无明显瘫痪，可有眼球震颤，一侧周围性面瘫。</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3．实验室检查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(1)脑脊液检查：脑脊液压力一般均较高，多为血性，如临床诊断较明确，则不必做腰椎穿刺。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(2)颅脑CT扫描早期即可发现高密度出血影，可显示血肿的部位、大小、邻近的脑水肿带，脑移位及是否穿破入脑室等。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（四）治疗原则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降低颅内压和控制脑水肿以防止脑疝形成，降低增高了的血压以防止进一步出血。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1．常规治疗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(1)-般处理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①立即停用与脑出血有关的试验药物。如有拮抗剂予以针对性治疗。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②保持安静、绝对卧床，应就地进行抢救，以免加重出血。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③保持呼吸道通畅，随时吸出口腔分泌物或呕吐物。适当给氧，以间歇吸用为宜。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④保持营养和水、电解质平衡，起病初1～2d内昏迷受试者可予适量静脉补液；脑出血、脑水肿时，每日入液量一般不宜超过2500ml。</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(2)控制脑水肿，降低颅内压。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①20%甘露醇250ml静脉滴注，20～30min内滴完，每6—8h 1次。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②甘油果糖250～500ml缓慢静脉滴注，每日1～2次。该药起效较慢，但持续时间较长，且无反跳作用。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(3)控制高血压：一般以维持在150～160/90～lOOmmHg为宜。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(4)止血药和凝血药对脑出血并无效果，但如合并消化道出血或有凝血障碍，仍可使用。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(5)预防及治疗并发症、重症受试者应特别加强基础护理，定时轻轻更换体位，注意皮肤的干燥清洁，预防压（褥）疮和肺部感染。放置留置导尿管者，每2～4h释放尿液1次．每日用生理盐水250～500ml冲洗膀胱。</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2．手术治疗经内科疗法后病情进一步恶化，颅内压继续增高或有脑疝形成趋势的病例，应手术治疗。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参考文献</w:t>
      </w:r>
    </w:p>
    <w:p>
      <w:pPr>
        <w:keepNext w:val="0"/>
        <w:keepLines w:val="0"/>
        <w:pageBreakBefore w:val="0"/>
        <w:widowControl w:val="0"/>
        <w:kinsoku/>
        <w:wordWrap/>
        <w:overflowPunct/>
        <w:topLinePunct w:val="0"/>
        <w:autoSpaceDE/>
        <w:autoSpaceDN/>
        <w:bidi w:val="0"/>
        <w:adjustRightInd/>
        <w:snapToGrid/>
        <w:spacing w:line="360" w:lineRule="auto"/>
        <w:ind w:left="600" w:leftChars="0" w:right="0" w:rightChars="0" w:hanging="600" w:hangingChars="250"/>
        <w:jc w:val="both"/>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［1］陈灏珠，林果为．实用内科学（第16版）下册.第二十三篇神经系统疾病.第三章急性脑血管病［M］．北京：人民卫生出版社，2022</w:t>
      </w:r>
      <w:r>
        <w:rPr>
          <w:rFonts w:hint="eastAsia" w:ascii="宋体" w:hAnsi="宋体" w:eastAsia="宋体" w:cs="宋体"/>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600" w:leftChars="0" w:right="0" w:rightChars="0" w:hanging="600" w:hangingChars="250"/>
        <w:jc w:val="both"/>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［2］陈燕启，李小刚.急危重症“三基”理论与实践上册.第七章第二节脑出血［M］.北京：人民卫生出版社，2015</w:t>
      </w:r>
      <w:r>
        <w:rPr>
          <w:rFonts w:hint="eastAsia" w:ascii="宋体" w:hAnsi="宋体" w:eastAsia="宋体" w:cs="宋体"/>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600" w:leftChars="0" w:right="0" w:rightChars="0" w:hanging="600" w:hangingChars="25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［3］游潮，刘鸣．高血压性脑出血中国多学科诊治指南［J］．中华急救医学 2020</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8</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（40）．</w:t>
      </w:r>
    </w:p>
    <w:p>
      <w:pPr>
        <w:keepNext w:val="0"/>
        <w:keepLines w:val="0"/>
        <w:pageBreakBefore w:val="0"/>
        <w:widowControl w:val="0"/>
        <w:kinsoku/>
        <w:wordWrap/>
        <w:overflowPunct/>
        <w:topLinePunct w:val="0"/>
        <w:autoSpaceDE/>
        <w:autoSpaceDN/>
        <w:bidi w:val="0"/>
        <w:adjustRightInd/>
        <w:snapToGrid/>
        <w:spacing w:line="360" w:lineRule="auto"/>
        <w:ind w:left="600" w:leftChars="0" w:right="0" w:rightChars="0" w:hanging="600" w:hangingChars="25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［4］脑出血后脑水肿管理专家共识专家组．脑出血后脑水肿管理专家共识 ［J］．实用心脑肺血管病杂志 2017</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8</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（25）．</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val="0"/>
          <w:bCs/>
          <w:color w:val="auto"/>
          <w:sz w:val="24"/>
          <w:szCs w:val="28"/>
          <w:lang w:eastAsia="zh-CN"/>
        </w:rPr>
      </w:pPr>
      <w:r>
        <w:rPr>
          <w:rFonts w:hint="eastAsia" w:ascii="黑体" w:hAnsi="黑体" w:eastAsia="黑体" w:cs="黑体"/>
          <w:b w:val="0"/>
          <w:bCs/>
          <w:color w:val="auto"/>
          <w:sz w:val="24"/>
          <w:szCs w:val="28"/>
          <w:lang w:eastAsia="zh-CN"/>
        </w:rPr>
        <w:t>修订记录</w:t>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序号</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修订前版本号</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修订后版本号</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修订原因、依据</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修订内容</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修订人/</w:t>
            </w:r>
            <w:r>
              <w:rPr>
                <w:rFonts w:hint="eastAsia" w:asciiTheme="minorEastAsia" w:hAnsiTheme="minorEastAsia" w:cstheme="minorEastAsia"/>
                <w:color w:val="auto"/>
                <w:sz w:val="21"/>
                <w:szCs w:val="21"/>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trPr>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1.</w:t>
            </w:r>
            <w:r>
              <w:rPr>
                <w:rFonts w:hint="eastAsia" w:asciiTheme="minorEastAsia" w:hAnsiTheme="minorEastAsia" w:cstheme="minorEastAsia"/>
                <w:color w:val="auto"/>
                <w:sz w:val="21"/>
                <w:szCs w:val="21"/>
                <w:vertAlign w:val="baseline"/>
                <w:lang w:eastAsia="zh-CN"/>
              </w:rPr>
              <w:t>增加应急预案参考文献信息；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r>
              <w:rPr>
                <w:rFonts w:hint="eastAsia" w:asciiTheme="minorEastAsia" w:hAnsiTheme="minorEastAsia" w:cstheme="minorEastAsia"/>
                <w:color w:val="auto"/>
                <w:sz w:val="21"/>
                <w:szCs w:val="21"/>
                <w:vertAlign w:val="baseline"/>
                <w:lang w:eastAsia="zh-CN"/>
              </w:rPr>
              <w:t>根据最新参考文献修订具体内容。</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1.文末添加相关参考文献名称、作者、时间等信息；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2.根据最新文献诊治标准更新现行诊疗流程。</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p>
        </w:tc>
      </w:tr>
    </w:tbl>
    <w:p>
      <w:pPr>
        <w:pStyle w:val="33"/>
        <w:rPr>
          <w:rFonts w:hint="eastAsia"/>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0"/>
        <w:jc w:val="both"/>
        <w:textAlignment w:val="auto"/>
        <w:rPr>
          <w:rFonts w:hint="eastAsia" w:ascii="黑体" w:hAnsi="黑体" w:eastAsia="黑体" w:cs="黑体"/>
          <w:b/>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2249" w:firstLineChars="800"/>
        <w:jc w:val="both"/>
        <w:textAlignment w:val="auto"/>
        <w:rPr>
          <w:rFonts w:hint="eastAsia" w:ascii="黑体" w:hAnsi="黑体" w:eastAsia="黑体" w:cs="黑体"/>
          <w:b/>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2249" w:firstLineChars="800"/>
        <w:jc w:val="both"/>
        <w:textAlignment w:val="auto"/>
        <w:rPr>
          <w:rFonts w:hint="eastAsia" w:ascii="黑体" w:hAnsi="黑体" w:eastAsia="黑体" w:cs="黑体"/>
          <w:b/>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2249" w:firstLineChars="800"/>
        <w:jc w:val="both"/>
        <w:textAlignment w:val="auto"/>
        <w:rPr>
          <w:rFonts w:hint="eastAsia" w:ascii="黑体" w:hAnsi="黑体" w:eastAsia="黑体" w:cs="黑体"/>
          <w:b/>
          <w:bCs w:val="0"/>
          <w:color w:val="auto"/>
          <w:sz w:val="28"/>
          <w:szCs w:val="28"/>
          <w:lang w:val="en-US" w:eastAsia="zh-CN"/>
        </w:rPr>
      </w:pPr>
    </w:p>
    <w:p>
      <w:pPr>
        <w:pStyle w:val="33"/>
        <w:rPr>
          <w:rFonts w:hint="eastAsia" w:ascii="黑体" w:hAnsi="黑体" w:eastAsia="黑体" w:cs="黑体"/>
          <w:b/>
          <w:bCs w:val="0"/>
          <w:color w:val="auto"/>
          <w:sz w:val="28"/>
          <w:szCs w:val="28"/>
          <w:lang w:val="en-US" w:eastAsia="zh-CN"/>
        </w:rPr>
      </w:pPr>
    </w:p>
    <w:p>
      <w:pPr>
        <w:rPr>
          <w:rFonts w:hint="eastAsi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2249" w:firstLineChars="800"/>
        <w:jc w:val="both"/>
        <w:textAlignment w:val="auto"/>
        <w:rPr>
          <w:rFonts w:hint="eastAsia" w:ascii="黑体" w:hAnsi="黑体" w:eastAsia="黑体" w:cs="黑体"/>
          <w:b/>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2249" w:firstLineChars="800"/>
        <w:jc w:val="both"/>
        <w:textAlignment w:val="auto"/>
        <w:rPr>
          <w:rFonts w:hint="eastAsia" w:ascii="黑体" w:hAnsi="黑体" w:eastAsia="黑体" w:cs="黑体"/>
          <w:b/>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2249" w:firstLineChars="800"/>
        <w:jc w:val="both"/>
        <w:textAlignment w:val="auto"/>
        <w:rPr>
          <w:rFonts w:hint="eastAsia" w:ascii="黑体" w:hAnsi="黑体" w:eastAsia="黑体" w:cs="黑体"/>
          <w:b/>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2249" w:firstLineChars="800"/>
        <w:jc w:val="both"/>
        <w:textAlignment w:val="auto"/>
        <w:rPr>
          <w:rFonts w:hint="eastAsia" w:ascii="黑体" w:hAnsi="黑体" w:eastAsia="黑体" w:cs="黑体"/>
          <w:b/>
          <w:bCs w:val="0"/>
          <w:color w:val="auto"/>
          <w:sz w:val="28"/>
          <w:szCs w:val="28"/>
          <w:lang w:val="en-US" w:eastAsia="zh-CN"/>
        </w:rPr>
        <w:sectPr>
          <w:headerReference r:id="rId208" w:type="default"/>
          <w:footerReference r:id="rId209" w:type="default"/>
          <w:pgSz w:w="11906" w:h="16838"/>
          <w:pgMar w:top="1440" w:right="1236" w:bottom="1440" w:left="1463" w:header="0" w:footer="992" w:gutter="0"/>
          <w:pgNumType w:fmt="decimal" w:start="1"/>
          <w:cols w:space="720" w:num="1"/>
          <w:rtlGutter w:val="0"/>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2249" w:firstLineChars="800"/>
        <w:jc w:val="both"/>
        <w:textAlignment w:val="auto"/>
        <w:rPr>
          <w:rFonts w:hint="eastAsia" w:ascii="黑体" w:hAnsi="黑体" w:eastAsia="黑体" w:cs="黑体"/>
          <w:color w:val="auto"/>
          <w:sz w:val="28"/>
          <w:szCs w:val="28"/>
        </w:rPr>
      </w:pPr>
      <w:r>
        <w:rPr>
          <w:rFonts w:hint="eastAsia" w:ascii="黑体" w:hAnsi="黑体" w:eastAsia="黑体" w:cs="黑体"/>
          <w:b/>
          <w:bCs w:val="0"/>
          <w:color w:val="auto"/>
          <w:sz w:val="28"/>
          <w:szCs w:val="28"/>
          <w:lang w:val="en-US" w:eastAsia="zh-CN"/>
        </w:rPr>
        <w:t>呼吸机使用中突遇断电的</w:t>
      </w:r>
      <w:r>
        <w:rPr>
          <w:rFonts w:hint="eastAsia" w:ascii="黑体" w:hAnsi="黑体" w:eastAsia="黑体" w:cs="黑体"/>
          <w:b/>
          <w:bCs w:val="0"/>
          <w:color w:val="auto"/>
          <w:sz w:val="28"/>
          <w:szCs w:val="28"/>
          <w:lang w:eastAsia="zh-CN"/>
        </w:rPr>
        <w:t>应急预案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eastAsia="zh-CN"/>
        </w:rPr>
        <w:t>一、目的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eastAsia="zh-CN"/>
        </w:rPr>
        <w:t>确保接受呼吸机治疗的受试者的生命安全。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eastAsia="zh-CN"/>
        </w:rPr>
        <w:t xml:space="preserve">二、范围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eastAsia="zh-CN"/>
        </w:rPr>
        <w:t>适用于接受呼吸机治疗的受试者。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eastAsia="zh-CN"/>
        </w:rPr>
        <w:t>三、规程</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eastAsia="zh-CN"/>
        </w:rPr>
        <w:t>1．受试者如果发生严重不良事件需要使用呼吸机抢救，在使用呼吸机过程中，如遇意外停电、跳闸等紧急情况时，医护人员应采取补救措施，以保证受试者使用呼吸机的安全。</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eastAsia="zh-CN"/>
        </w:rPr>
        <w:t>2．当发生突然断电时，护士应携带简易呼吸器到使用呼吸机的受试者床前，同时通知值班医生，观察受试者意识、血压、呼吸、心率等生命体征及呼吸机工作情况。</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eastAsia="zh-CN"/>
        </w:rPr>
        <w:t>3．当呼吸机不能正常工作时，应立即停止使用呼吸机，迅速将简易呼吸器与受试者呼吸道相连，用人工呼吸的方法调整受试者呼吸；如果受试者自主呼吸良好，病情允许，可给予鼻导管吸氧；严密观察受试者的意识、瞳孔、血压、呼吸、心率等生命体征。</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eastAsia="zh-CN"/>
        </w:rPr>
        <w:t>4．呼吸机本身带有蓄电池、在平日应定期充电，使蓄电池始终处于饱和状态，以保证在出现突发情况时能够正常运行。</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eastAsia="zh-CN"/>
        </w:rPr>
        <w:t>5．停电后立即与医院有关部门联系：总务科、电工组、院办公室、医务科、护理部、院总值班等，迅速采取各种措施，尽快恢复通电。</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eastAsia="zh-CN"/>
        </w:rPr>
        <w:t>6．停电期间，本科室室医生、护士不得离开患者，以便随时处理紧急情况。</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eastAsia="zh-CN"/>
        </w:rPr>
        <w:t>7．来电后，重新将呼吸机与患者人工气道连接。根据患者情况调整呼吸机参数。</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eastAsia="zh-CN"/>
        </w:rPr>
        <w:t>8．医护人员将停电经过及患者生命体征准确记录于病历中。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参考文献</w:t>
      </w:r>
    </w:p>
    <w:p>
      <w:pPr>
        <w:keepNext w:val="0"/>
        <w:keepLines w:val="0"/>
        <w:pageBreakBefore w:val="0"/>
        <w:widowControl w:val="0"/>
        <w:kinsoku/>
        <w:wordWrap/>
        <w:overflowPunct/>
        <w:topLinePunct w:val="0"/>
        <w:autoSpaceDE/>
        <w:autoSpaceDN/>
        <w:bidi w:val="0"/>
        <w:adjustRightInd/>
        <w:snapToGrid/>
        <w:spacing w:line="360" w:lineRule="auto"/>
        <w:ind w:left="600" w:leftChars="0" w:right="0" w:rightChars="0" w:hanging="600" w:hangingChars="250"/>
        <w:jc w:val="both"/>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［1］应急预案汇编（修订版）．沂源县人民医院</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20</w:t>
      </w:r>
      <w:r>
        <w:rPr>
          <w:rFonts w:hint="eastAsia" w:ascii="宋体" w:hAnsi="宋体" w:eastAsia="宋体" w:cs="宋体"/>
          <w:color w:val="auto"/>
          <w:sz w:val="24"/>
          <w:szCs w:val="24"/>
          <w:lang w:val="en-US" w:eastAsia="zh-CN"/>
        </w:rPr>
        <w:t>19.</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val="0"/>
          <w:bCs/>
          <w:color w:val="auto"/>
          <w:sz w:val="24"/>
          <w:szCs w:val="28"/>
          <w:lang w:eastAsia="zh-CN"/>
        </w:rPr>
      </w:pPr>
      <w:r>
        <w:rPr>
          <w:rFonts w:hint="eastAsia" w:ascii="黑体" w:hAnsi="黑体" w:eastAsia="黑体" w:cs="黑体"/>
          <w:b w:val="0"/>
          <w:bCs/>
          <w:color w:val="auto"/>
          <w:sz w:val="24"/>
          <w:szCs w:val="28"/>
          <w:lang w:eastAsia="zh-CN"/>
        </w:rPr>
        <w:t>修订记录</w:t>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5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序号</w:t>
            </w:r>
          </w:p>
        </w:tc>
        <w:tc>
          <w:tcPr>
            <w:tcW w:w="103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修订前版本号</w:t>
            </w:r>
          </w:p>
        </w:tc>
        <w:tc>
          <w:tcPr>
            <w:tcW w:w="10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修订后版本号</w:t>
            </w:r>
          </w:p>
        </w:tc>
        <w:tc>
          <w:tcPr>
            <w:tcW w:w="2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修订原因、依据</w:t>
            </w:r>
          </w:p>
        </w:tc>
        <w:tc>
          <w:tcPr>
            <w:tcW w:w="269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修订内容</w:t>
            </w:r>
          </w:p>
        </w:tc>
        <w:tc>
          <w:tcPr>
            <w:tcW w:w="142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修订人/</w:t>
            </w:r>
            <w:r>
              <w:rPr>
                <w:rFonts w:hint="eastAsia" w:asciiTheme="minorEastAsia" w:hAnsiTheme="minorEastAsia" w:cstheme="minorEastAsia"/>
                <w:color w:val="auto"/>
                <w:sz w:val="21"/>
                <w:szCs w:val="21"/>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45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103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10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2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r>
              <w:rPr>
                <w:rFonts w:hint="eastAsia" w:asciiTheme="minorEastAsia" w:hAnsiTheme="minorEastAsia" w:cstheme="minorEastAsia"/>
                <w:color w:val="auto"/>
                <w:sz w:val="21"/>
                <w:szCs w:val="21"/>
                <w:vertAlign w:val="baseline"/>
                <w:lang w:eastAsia="zh-CN"/>
              </w:rPr>
              <w:t>增加应急预案参考文献信息。</w:t>
            </w:r>
          </w:p>
        </w:tc>
        <w:tc>
          <w:tcPr>
            <w:tcW w:w="269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1.文末添加相关参考文献名称、作者、时间等信息。</w:t>
            </w:r>
          </w:p>
        </w:tc>
        <w:tc>
          <w:tcPr>
            <w:tcW w:w="142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p>
        </w:tc>
      </w:tr>
    </w:tbl>
    <w:p>
      <w:pPr>
        <w:pStyle w:val="33"/>
        <w:rPr>
          <w:rFonts w:hint="eastAsia"/>
          <w:color w:val="auto"/>
          <w:lang w:eastAsia="zh-CN"/>
        </w:rPr>
        <w:sectPr>
          <w:headerReference r:id="rId210" w:type="default"/>
          <w:footerReference r:id="rId211" w:type="default"/>
          <w:type w:val="continuous"/>
          <w:pgSz w:w="11906" w:h="16838"/>
          <w:pgMar w:top="1440" w:right="1236" w:bottom="1440" w:left="1463" w:header="0" w:footer="992" w:gutter="0"/>
          <w:pgNumType w:fmt="decimal"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黑体" w:hAnsi="黑体" w:eastAsia="黑体" w:cs="黑体"/>
          <w:b/>
          <w:bCs/>
          <w:color w:val="auto"/>
          <w:sz w:val="28"/>
          <w:szCs w:val="28"/>
        </w:rPr>
      </w:pPr>
      <w:r>
        <w:rPr>
          <w:rFonts w:hint="eastAsia" w:ascii="黑体" w:hAnsi="黑体" w:eastAsia="黑体" w:cs="黑体"/>
          <w:b/>
          <w:bCs/>
          <w:color w:val="auto"/>
          <w:sz w:val="28"/>
          <w:szCs w:val="28"/>
          <w:lang w:eastAsia="zh-CN"/>
        </w:rPr>
        <w:t>防火</w:t>
      </w:r>
      <w:r>
        <w:rPr>
          <w:rFonts w:hint="eastAsia" w:ascii="黑体" w:hAnsi="黑体" w:eastAsia="黑体" w:cs="黑体"/>
          <w:b/>
          <w:bCs/>
          <w:color w:val="auto"/>
          <w:sz w:val="28"/>
          <w:szCs w:val="28"/>
        </w:rPr>
        <w:t>安全</w:t>
      </w:r>
      <w:r>
        <w:rPr>
          <w:rFonts w:hint="eastAsia" w:ascii="黑体" w:hAnsi="黑体" w:eastAsia="黑体" w:cs="黑体"/>
          <w:b/>
          <w:bCs/>
          <w:color w:val="auto"/>
          <w:sz w:val="28"/>
          <w:szCs w:val="28"/>
          <w:lang w:eastAsia="zh-CN"/>
        </w:rPr>
        <w:t>应</w:t>
      </w:r>
      <w:r>
        <w:rPr>
          <w:rFonts w:hint="eastAsia" w:ascii="黑体" w:hAnsi="黑体" w:eastAsia="黑体" w:cs="黑体"/>
          <w:b/>
          <w:bCs/>
          <w:color w:val="auto"/>
          <w:sz w:val="28"/>
          <w:szCs w:val="28"/>
        </w:rPr>
        <w:t>急预案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cs="宋体"/>
          <w:color w:val="auto"/>
          <w:sz w:val="24"/>
          <w:szCs w:val="24"/>
          <w:lang w:eastAsia="zh-CN"/>
        </w:rPr>
        <w:t>一、</w:t>
      </w:r>
      <w:r>
        <w:rPr>
          <w:rFonts w:hint="eastAsia" w:ascii="宋体" w:hAnsi="宋体" w:eastAsia="宋体" w:cs="宋体"/>
          <w:color w:val="auto"/>
          <w:sz w:val="24"/>
          <w:szCs w:val="24"/>
        </w:rPr>
        <w:t>目的</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为预防突发火灾事件，保证职工及其他工作人员的人身、公共财产安全，认真执行我院《消防安全管理制度》，特制定防火安全</w:t>
      </w:r>
      <w:r>
        <w:rPr>
          <w:rFonts w:hint="eastAsia" w:ascii="宋体" w:hAnsi="宋体" w:cs="宋体"/>
          <w:color w:val="auto"/>
          <w:sz w:val="24"/>
          <w:szCs w:val="24"/>
          <w:lang w:eastAsia="zh-CN"/>
        </w:rPr>
        <w:t>应</w:t>
      </w:r>
      <w:r>
        <w:rPr>
          <w:rFonts w:hint="eastAsia" w:ascii="宋体" w:hAnsi="宋体" w:eastAsia="宋体" w:cs="宋体"/>
          <w:color w:val="auto"/>
          <w:sz w:val="24"/>
          <w:szCs w:val="24"/>
        </w:rPr>
        <w:t>急预案。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cs="宋体"/>
          <w:color w:val="auto"/>
          <w:sz w:val="24"/>
          <w:szCs w:val="24"/>
          <w:lang w:eastAsia="zh-CN"/>
        </w:rPr>
        <w:t>二、</w:t>
      </w:r>
      <w:r>
        <w:rPr>
          <w:rFonts w:hint="eastAsia" w:ascii="宋体" w:hAnsi="宋体" w:eastAsia="宋体" w:cs="宋体"/>
          <w:color w:val="auto"/>
          <w:sz w:val="24"/>
          <w:szCs w:val="24"/>
        </w:rPr>
        <w:t>范围</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适用于</w:t>
      </w:r>
      <w:r>
        <w:rPr>
          <w:rFonts w:hint="eastAsia" w:ascii="宋体" w:hAnsi="宋体" w:eastAsia="宋体" w:cs="宋体"/>
          <w:color w:val="auto"/>
          <w:sz w:val="24"/>
          <w:szCs w:val="24"/>
        </w:rPr>
        <w:t>临床试验室工作人员、保洁人员等</w:t>
      </w:r>
      <w:r>
        <w:rPr>
          <w:rFonts w:hint="eastAsia" w:ascii="宋体" w:hAnsi="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cs="宋体"/>
          <w:color w:val="auto"/>
          <w:sz w:val="24"/>
          <w:szCs w:val="24"/>
          <w:lang w:eastAsia="zh-CN"/>
        </w:rPr>
        <w:t>三、</w:t>
      </w:r>
      <w:r>
        <w:rPr>
          <w:rFonts w:hint="eastAsia" w:ascii="宋体" w:hAnsi="宋体" w:eastAsia="宋体" w:cs="宋体"/>
          <w:color w:val="auto"/>
          <w:sz w:val="24"/>
          <w:szCs w:val="24"/>
        </w:rPr>
        <w:t>规程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1．必须增强防火意识，掌握防火知识，防火安全人人有责。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2．实行防火安全责任制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(1)</w:t>
      </w:r>
      <w:r>
        <w:rPr>
          <w:rFonts w:hint="eastAsia" w:ascii="宋体" w:hAnsi="宋体" w:cs="宋体"/>
          <w:color w:val="auto"/>
          <w:sz w:val="24"/>
          <w:szCs w:val="24"/>
          <w:lang w:eastAsia="zh-CN"/>
        </w:rPr>
        <w:t>试验</w:t>
      </w:r>
      <w:r>
        <w:rPr>
          <w:rFonts w:hint="eastAsia" w:ascii="宋体" w:hAnsi="宋体" w:eastAsia="宋体" w:cs="宋体"/>
          <w:color w:val="auto"/>
          <w:sz w:val="24"/>
          <w:szCs w:val="24"/>
        </w:rPr>
        <w:t>室负责人为</w:t>
      </w:r>
      <w:r>
        <w:rPr>
          <w:rFonts w:hint="eastAsia" w:ascii="宋体" w:hAnsi="宋体" w:cs="宋体"/>
          <w:color w:val="auto"/>
          <w:sz w:val="24"/>
          <w:szCs w:val="24"/>
          <w:lang w:eastAsia="zh-CN"/>
        </w:rPr>
        <w:t>试验</w:t>
      </w:r>
      <w:r>
        <w:rPr>
          <w:rFonts w:hint="eastAsia" w:ascii="宋体" w:hAnsi="宋体" w:eastAsia="宋体" w:cs="宋体"/>
          <w:color w:val="auto"/>
          <w:sz w:val="24"/>
          <w:szCs w:val="24"/>
        </w:rPr>
        <w:t>室消防安全的总负责人，负责</w:t>
      </w:r>
      <w:r>
        <w:rPr>
          <w:rFonts w:hint="eastAsia" w:ascii="宋体" w:hAnsi="宋体" w:cs="宋体"/>
          <w:color w:val="auto"/>
          <w:sz w:val="24"/>
          <w:szCs w:val="24"/>
          <w:lang w:eastAsia="zh-CN"/>
        </w:rPr>
        <w:t>试验</w:t>
      </w:r>
      <w:r>
        <w:rPr>
          <w:rFonts w:hint="eastAsia" w:ascii="宋体" w:hAnsi="宋体" w:eastAsia="宋体" w:cs="宋体"/>
          <w:color w:val="auto"/>
          <w:sz w:val="24"/>
          <w:szCs w:val="24"/>
        </w:rPr>
        <w:t>室的消防安全工作。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(2)安全员负责本室的安全管理工作，保管好消防器材，发现隐患及时处理。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(3)安全员负责培训有关知识及教会灭火器的使用方法等。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(4)实行“谁主管，谁负责；谁在岗，谁负责”的岗位责任制度，夜班由值班人员负责本岗的安全管理工作。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3．发生火灾时的处理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(1)发生火灾时，立即用灭火器扑灭火源；如电路起火应立即切断电源，发生火灾的房间应关好</w:t>
      </w:r>
      <w:r>
        <w:rPr>
          <w:rFonts w:hint="eastAsia" w:ascii="宋体" w:hAnsi="宋体" w:cs="宋体"/>
          <w:color w:val="auto"/>
          <w:sz w:val="24"/>
          <w:szCs w:val="24"/>
          <w:lang w:eastAsia="zh-CN"/>
        </w:rPr>
        <w:t>门</w:t>
      </w:r>
      <w:r>
        <w:rPr>
          <w:rFonts w:hint="eastAsia" w:ascii="宋体" w:hAnsi="宋体" w:eastAsia="宋体" w:cs="宋体"/>
          <w:color w:val="auto"/>
          <w:sz w:val="24"/>
          <w:szCs w:val="24"/>
        </w:rPr>
        <w:t>窗，以免火势蔓延。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(2)同时报院内火警，应告知起火地点、火源性质、火情大小、有无人员伤亡、联系电话、有无贵重物品。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(3)灭火器的使用方法：首先拔下保险销，一手扶住喷管对准火源根部，一手按下压把即可灭火。切记在</w:t>
      </w:r>
      <w:r>
        <w:rPr>
          <w:rFonts w:hint="eastAsia" w:ascii="宋体" w:hAnsi="宋体" w:cs="宋体"/>
          <w:color w:val="auto"/>
          <w:sz w:val="24"/>
          <w:szCs w:val="24"/>
          <w:lang w:eastAsia="zh-CN"/>
        </w:rPr>
        <w:t>未</w:t>
      </w:r>
      <w:r>
        <w:rPr>
          <w:rFonts w:hint="eastAsia" w:ascii="宋体" w:hAnsi="宋体" w:eastAsia="宋体" w:cs="宋体"/>
          <w:color w:val="auto"/>
          <w:sz w:val="24"/>
          <w:szCs w:val="24"/>
        </w:rPr>
        <w:t>接近火源时不要过早按下压把，以免需要时灭火药剂提前耗完，无法灭火。</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(4)如无法取得灭火器或经过安全通道疏散，应立即寻找最近的水源，取布沾湿，捂住口鼻，匍匐地面前行脱离火场，以防被浓烟及有毒气体侵害。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(5)火灾发生后，切勿慌张乱跑、推挤，以防扰乱疏散现场，增加不必要的伤亡。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(6)遇不能及时疏散时，应保持镇静，寻找栖身之处，等待火灾救援人员。切勿在无任何保护措施的情况下从高层走廊窗户跳下，以免发生意外。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4．发生火灾时组织疏散 (1)</w:t>
      </w:r>
      <w:r>
        <w:rPr>
          <w:rFonts w:hint="eastAsia" w:ascii="宋体" w:hAnsi="宋体" w:cs="宋体"/>
          <w:color w:val="auto"/>
          <w:sz w:val="24"/>
          <w:szCs w:val="24"/>
          <w:lang w:eastAsia="zh-CN"/>
        </w:rPr>
        <w:t>试验室</w:t>
      </w:r>
      <w:r>
        <w:rPr>
          <w:rFonts w:hint="eastAsia" w:ascii="宋体" w:hAnsi="宋体" w:eastAsia="宋体" w:cs="宋体"/>
          <w:color w:val="auto"/>
          <w:sz w:val="24"/>
          <w:szCs w:val="24"/>
        </w:rPr>
        <w:t>室负责人应自动担任救火疏散总指挥，如果负责人</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不在时，则出当班工作人员负责指挥所有人员的疏散。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(2)工作人员在自身疏散的同时有义务帮助受试者疏散，以受试者先撤离，工作人员后撤离为原则。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(3)在工作人员保证自身安全的前提下，尽最大可能保护</w:t>
      </w:r>
      <w:r>
        <w:rPr>
          <w:rFonts w:hint="eastAsia" w:ascii="宋体" w:hAnsi="宋体" w:cs="宋体"/>
          <w:color w:val="auto"/>
          <w:sz w:val="24"/>
          <w:szCs w:val="24"/>
          <w:lang w:eastAsia="zh-CN"/>
        </w:rPr>
        <w:t>试验</w:t>
      </w:r>
      <w:r>
        <w:rPr>
          <w:rFonts w:hint="eastAsia" w:ascii="宋体" w:hAnsi="宋体" w:eastAsia="宋体" w:cs="宋体"/>
          <w:color w:val="auto"/>
          <w:sz w:val="24"/>
          <w:szCs w:val="24"/>
        </w:rPr>
        <w:t>室的贵重仪器设备，减少损失。</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5．疏散路线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(1)任何情况下不能以电梯作为疏散通道。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(2)在遇火灾时，由在场工作人员统一指挥，引导受试者进行疏散。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(3)卫生间有水源，可在紧急情况下作为临时庇护所。但由于其空间狭小，通风差，不可作为常规躲避方案使用。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6．事后处理</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火灾发生后，要注意保护失火现场，不得擅自清理现场，配合调查失火原因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参考文献</w:t>
      </w:r>
    </w:p>
    <w:p>
      <w:pPr>
        <w:keepNext w:val="0"/>
        <w:keepLines w:val="0"/>
        <w:pageBreakBefore w:val="0"/>
        <w:widowControl w:val="0"/>
        <w:kinsoku/>
        <w:wordWrap/>
        <w:overflowPunct/>
        <w:topLinePunct w:val="0"/>
        <w:autoSpaceDE/>
        <w:autoSpaceDN/>
        <w:bidi w:val="0"/>
        <w:adjustRightInd/>
        <w:snapToGrid/>
        <w:spacing w:line="360" w:lineRule="auto"/>
        <w:ind w:left="600" w:leftChars="0" w:right="0" w:rightChars="0" w:hanging="600" w:hangingChars="250"/>
        <w:jc w:val="both"/>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［1］应急预案汇编（修订版）．沂源县人民医院，20</w:t>
      </w:r>
      <w:r>
        <w:rPr>
          <w:rFonts w:hint="eastAsia" w:ascii="宋体" w:hAnsi="宋体" w:eastAsia="宋体" w:cs="宋体"/>
          <w:color w:val="auto"/>
          <w:sz w:val="24"/>
          <w:szCs w:val="24"/>
          <w:lang w:val="en-US" w:eastAsia="zh-CN"/>
        </w:rPr>
        <w:t>19.</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val="0"/>
          <w:bCs/>
          <w:color w:val="auto"/>
          <w:sz w:val="24"/>
          <w:szCs w:val="28"/>
          <w:lang w:eastAsia="zh-CN"/>
        </w:rPr>
      </w:pPr>
      <w:r>
        <w:rPr>
          <w:rFonts w:hint="eastAsia" w:ascii="黑体" w:hAnsi="黑体" w:eastAsia="黑体" w:cs="黑体"/>
          <w:b w:val="0"/>
          <w:bCs/>
          <w:color w:val="auto"/>
          <w:sz w:val="24"/>
          <w:szCs w:val="28"/>
          <w:lang w:eastAsia="zh-CN"/>
        </w:rPr>
        <w:t>修订记录</w:t>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序号</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修订前版本号</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修订后版本号</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修订原因、依据</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修订内容</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修订人/</w:t>
            </w:r>
            <w:r>
              <w:rPr>
                <w:rFonts w:hint="eastAsia" w:asciiTheme="minorEastAsia" w:hAnsiTheme="minorEastAsia" w:cstheme="minorEastAsia"/>
                <w:color w:val="auto"/>
                <w:sz w:val="21"/>
                <w:szCs w:val="21"/>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r>
              <w:rPr>
                <w:rFonts w:hint="eastAsia" w:asciiTheme="minorEastAsia" w:hAnsiTheme="minorEastAsia" w:cstheme="minorEastAsia"/>
                <w:color w:val="auto"/>
                <w:sz w:val="21"/>
                <w:szCs w:val="21"/>
                <w:vertAlign w:val="baseline"/>
                <w:lang w:eastAsia="zh-CN"/>
              </w:rPr>
              <w:t>增加应急预案参考文献信息。</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1.文末添加相关参考文献名称、作者、时间等信息。</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p>
        </w:tc>
      </w:tr>
    </w:tbl>
    <w:p>
      <w:pPr>
        <w:rPr>
          <w:rFonts w:hint="eastAsia"/>
          <w:color w:val="auto"/>
          <w:lang w:eastAsia="zh-CN"/>
        </w:rPr>
        <w:sectPr>
          <w:headerReference r:id="rId212" w:type="default"/>
          <w:footerReference r:id="rId213" w:type="default"/>
          <w:pgSz w:w="11906" w:h="16838"/>
          <w:pgMar w:top="1440" w:right="1236" w:bottom="1440" w:left="1463" w:header="851" w:footer="992" w:gutter="0"/>
          <w:pgNumType w:fmt="decimal"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3373" w:firstLineChars="1200"/>
        <w:jc w:val="both"/>
        <w:textAlignment w:val="auto"/>
        <w:outlineLvl w:val="9"/>
        <w:rPr>
          <w:rFonts w:hint="eastAsia" w:ascii="黑体" w:hAnsi="黑体" w:eastAsia="黑体" w:cs="黑体"/>
          <w:b/>
          <w:bCs/>
          <w:color w:val="auto"/>
          <w:sz w:val="28"/>
          <w:szCs w:val="28"/>
        </w:rPr>
      </w:pPr>
      <w:r>
        <w:rPr>
          <w:rFonts w:hint="eastAsia" w:ascii="黑体" w:hAnsi="黑体" w:eastAsia="黑体" w:cs="黑体"/>
          <w:b/>
          <w:bCs/>
          <w:color w:val="auto"/>
          <w:sz w:val="28"/>
          <w:szCs w:val="28"/>
        </w:rPr>
        <w:t>猝死的</w:t>
      </w:r>
      <w:r>
        <w:rPr>
          <w:rFonts w:hint="eastAsia" w:ascii="黑体" w:hAnsi="黑体" w:eastAsia="黑体" w:cs="黑体"/>
          <w:b/>
          <w:bCs/>
          <w:color w:val="auto"/>
          <w:sz w:val="28"/>
          <w:szCs w:val="28"/>
          <w:lang w:eastAsia="zh-CN"/>
        </w:rPr>
        <w:t>应急</w:t>
      </w:r>
      <w:r>
        <w:rPr>
          <w:rFonts w:hint="eastAsia" w:ascii="黑体" w:hAnsi="黑体" w:eastAsia="黑体" w:cs="黑体"/>
          <w:b/>
          <w:bCs/>
          <w:color w:val="auto"/>
          <w:sz w:val="28"/>
          <w:szCs w:val="28"/>
        </w:rPr>
        <w:t>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一、目的：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保证临床试验期间受试者的生命安全。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二、范围：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适用于临床试验所有受试者。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三、规程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1．护士值班人员应严格遵守医院及科室各项规章制度，坚守岗位，定时巡视受试者，以便及早发现不良事件，尽快采取相应措施。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2．急救物品做到“四固定”。班班清点，同时检查急救物品性能。保证急救物品完好率达到100%，急用时可随时投入使用。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3．护理人员应熟练掌握心肺复苏的标准操作规程、本科室急救仪器性能、使用方法及注意事项。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4．发现受试者在观察室内猝死，护士应迅速做出准确判断，第一发现人不要离开受试者，应立即采取人工呼吸、胸外按压等急救措施，同时请邻近的受试者帮助呼叫其他医务人员。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5．其他医务人员到达后，立即根据受试者情况，根据本科室的心肺复苏抢救流程配合医生采取各种抢救措施。抢救中应注意心、肺、脑复苏，开放静脉通路，必要时开放两条静脉通路。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6．发现受试者在走廊、厕所等观察室以外的环境猝死，迅速做出正确判断后，立即就地抢救，采取人工呼吸、胸外按压等急救措施，同时请邻近的受试者帮助呼叫其他医务人员。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7．其他医务人员到达后，按心肺复苏抢救流程迅速进行心肺复苏，及时将受试者搬到床上，搬运过程中不可间断抢救。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8．在抢救过程中，应注意随时清理环境，合理安排呼吸机、除颤仪、急救车等各种仪器的摆放位置，腾出空间，利于抢救。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9．参加抢救的各方人员应注意密切配合，有条不紊，严格查对，及时做好各项记录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IO.按“医疗事故处理条例”规定，在抢救结束后6h内，据实、准确地记录病历；按SAE上报SOP，进行SAE上报。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参考文献</w:t>
      </w:r>
    </w:p>
    <w:p>
      <w:pPr>
        <w:keepNext w:val="0"/>
        <w:keepLines w:val="0"/>
        <w:pageBreakBefore w:val="0"/>
        <w:widowControl w:val="0"/>
        <w:kinsoku/>
        <w:wordWrap/>
        <w:overflowPunct/>
        <w:topLinePunct w:val="0"/>
        <w:autoSpaceDE/>
        <w:autoSpaceDN/>
        <w:bidi w:val="0"/>
        <w:adjustRightInd/>
        <w:snapToGrid/>
        <w:spacing w:line="360" w:lineRule="auto"/>
        <w:ind w:left="600" w:leftChars="0" w:right="0" w:rightChars="0" w:hanging="600" w:hangingChars="250"/>
        <w:jc w:val="both"/>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［1］应急预案汇编（修订版）．沂源县人民医院，20</w:t>
      </w:r>
      <w:r>
        <w:rPr>
          <w:rFonts w:hint="eastAsia" w:ascii="宋体" w:hAnsi="宋体" w:eastAsia="宋体" w:cs="宋体"/>
          <w:color w:val="auto"/>
          <w:sz w:val="24"/>
          <w:szCs w:val="24"/>
          <w:lang w:val="en-US" w:eastAsia="zh-CN"/>
        </w:rPr>
        <w:t>19.</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val="0"/>
          <w:bCs/>
          <w:color w:val="auto"/>
          <w:sz w:val="24"/>
          <w:szCs w:val="28"/>
          <w:lang w:eastAsia="zh-CN"/>
        </w:rPr>
      </w:pPr>
      <w:r>
        <w:rPr>
          <w:rFonts w:hint="eastAsia" w:ascii="黑体" w:hAnsi="黑体" w:eastAsia="黑体" w:cs="黑体"/>
          <w:b w:val="0"/>
          <w:bCs/>
          <w:color w:val="auto"/>
          <w:sz w:val="24"/>
          <w:szCs w:val="28"/>
          <w:lang w:eastAsia="zh-CN"/>
        </w:rPr>
        <w:t>修订记录</w:t>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序号</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修订前版本号</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修订后版本号</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修订原因、依据</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修订内容</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修订人/</w:t>
            </w:r>
            <w:r>
              <w:rPr>
                <w:rFonts w:hint="eastAsia" w:asciiTheme="minorEastAsia" w:hAnsiTheme="minorEastAsia" w:cstheme="minorEastAsia"/>
                <w:color w:val="auto"/>
                <w:sz w:val="21"/>
                <w:szCs w:val="21"/>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r>
              <w:rPr>
                <w:rFonts w:hint="eastAsia" w:asciiTheme="minorEastAsia" w:hAnsiTheme="minorEastAsia" w:cstheme="minorEastAsia"/>
                <w:color w:val="auto"/>
                <w:sz w:val="21"/>
                <w:szCs w:val="21"/>
                <w:vertAlign w:val="baseline"/>
                <w:lang w:eastAsia="zh-CN"/>
              </w:rPr>
              <w:t>增加应急预案参考文献信息。</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1.文末添加相关参考文献名称、作者、时间等信息。</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p>
        </w:tc>
      </w:tr>
    </w:tbl>
    <w:p>
      <w:pPr>
        <w:pStyle w:val="33"/>
        <w:rPr>
          <w:rFonts w:hint="eastAsia"/>
          <w:color w:val="auto"/>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黑体" w:hAnsi="黑体" w:eastAsia="黑体" w:cs="黑体"/>
          <w:b/>
          <w:color w:val="auto"/>
          <w:sz w:val="28"/>
          <w:szCs w:val="28"/>
          <w:shd w:val="clear" w:color="auto" w:fill="FFFFFF"/>
        </w:rPr>
      </w:pPr>
    </w:p>
    <w:p>
      <w:pPr>
        <w:pStyle w:val="33"/>
        <w:rPr>
          <w:rFonts w:hint="eastAsia"/>
          <w:color w:val="auto"/>
        </w:rPr>
        <w:sectPr>
          <w:headerReference r:id="rId214" w:type="default"/>
          <w:footerReference r:id="rId215" w:type="default"/>
          <w:pgSz w:w="11906" w:h="16838"/>
          <w:pgMar w:top="1440" w:right="1236" w:bottom="1440" w:left="1463" w:header="0" w:footer="992" w:gutter="0"/>
          <w:pgNumType w:fmt="decimal" w:start="1"/>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1968" w:firstLineChars="700"/>
        <w:jc w:val="both"/>
        <w:textAlignment w:val="auto"/>
        <w:outlineLvl w:val="9"/>
        <w:rPr>
          <w:rFonts w:hint="eastAsia" w:ascii="黑体" w:hAnsi="黑体" w:eastAsia="黑体" w:cs="黑体"/>
          <w:b/>
          <w:color w:val="auto"/>
          <w:sz w:val="28"/>
          <w:szCs w:val="28"/>
          <w:shd w:val="clear" w:color="auto" w:fill="FFFFFF"/>
        </w:rPr>
      </w:pPr>
      <w:r>
        <w:rPr>
          <w:rFonts w:hint="eastAsia" w:ascii="黑体" w:hAnsi="黑体" w:eastAsia="黑体" w:cs="黑体"/>
          <w:b/>
          <w:color w:val="auto"/>
          <w:sz w:val="28"/>
          <w:szCs w:val="28"/>
          <w:shd w:val="clear" w:color="auto" w:fill="FFFFFF"/>
        </w:rPr>
        <w:t>危重患者</w:t>
      </w:r>
      <w:r>
        <w:rPr>
          <w:rFonts w:hint="eastAsia" w:ascii="黑体" w:hAnsi="黑体" w:eastAsia="黑体" w:cs="黑体"/>
          <w:b/>
          <w:color w:val="auto"/>
          <w:sz w:val="28"/>
          <w:szCs w:val="28"/>
          <w:shd w:val="clear" w:color="auto" w:fill="FFFFFF"/>
          <w:lang w:eastAsia="zh-CN"/>
        </w:rPr>
        <w:t>院内</w:t>
      </w:r>
      <w:r>
        <w:rPr>
          <w:rFonts w:hint="eastAsia" w:ascii="黑体" w:hAnsi="黑体" w:eastAsia="黑体" w:cs="黑体"/>
          <w:b/>
          <w:color w:val="auto"/>
          <w:sz w:val="28"/>
          <w:szCs w:val="28"/>
          <w:shd w:val="clear" w:color="auto" w:fill="FFFFFF"/>
        </w:rPr>
        <w:t>转运</w:t>
      </w:r>
      <w:r>
        <w:rPr>
          <w:rFonts w:hint="eastAsia" w:ascii="黑体" w:hAnsi="黑体" w:eastAsia="黑体" w:cs="黑体"/>
          <w:b/>
          <w:bCs w:val="0"/>
          <w:color w:val="auto"/>
          <w:sz w:val="28"/>
          <w:szCs w:val="28"/>
          <w:shd w:val="clear" w:color="auto" w:fill="FFFFFF"/>
          <w:lang w:val="en-US" w:eastAsia="zh-CN"/>
        </w:rPr>
        <w:t>ICU的应急</w:t>
      </w:r>
      <w:r>
        <w:rPr>
          <w:rFonts w:hint="eastAsia" w:ascii="黑体" w:hAnsi="黑体" w:eastAsia="黑体" w:cs="黑体"/>
          <w:b/>
          <w:color w:val="auto"/>
          <w:sz w:val="28"/>
          <w:szCs w:val="28"/>
          <w:shd w:val="clear" w:color="auto" w:fill="FFFFFF"/>
        </w:rPr>
        <w:t>流程</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0" w:firstLineChars="0"/>
        <w:textAlignment w:val="auto"/>
        <w:outlineLvl w:val="9"/>
        <w:rPr>
          <w:rFonts w:hint="eastAsia" w:ascii="宋体" w:hAnsi="宋体" w:eastAsia="宋体" w:cs="宋体"/>
          <w:bCs/>
          <w:color w:val="auto"/>
          <w:sz w:val="24"/>
          <w:szCs w:val="24"/>
          <w:shd w:val="clear" w:color="auto" w:fill="FFFFFF"/>
          <w:lang w:eastAsia="zh-CN"/>
        </w:rPr>
      </w:pPr>
      <w:r>
        <w:rPr>
          <w:rFonts w:hint="eastAsia" w:ascii="宋体" w:hAnsi="宋体" w:eastAsia="宋体" w:cs="宋体"/>
          <w:bCs/>
          <w:color w:val="auto"/>
          <w:sz w:val="24"/>
          <w:szCs w:val="24"/>
          <w:shd w:val="clear" w:color="auto" w:fill="FFFFFF"/>
          <w:lang w:eastAsia="zh-CN"/>
        </w:rPr>
        <w:t>一</w:t>
      </w:r>
      <w:r>
        <w:rPr>
          <w:rFonts w:hint="eastAsia" w:ascii="宋体" w:hAnsi="宋体" w:cs="宋体"/>
          <w:bCs/>
          <w:color w:val="auto"/>
          <w:sz w:val="24"/>
          <w:szCs w:val="24"/>
          <w:shd w:val="clear" w:color="auto" w:fill="FFFFFF"/>
          <w:lang w:eastAsia="zh-CN"/>
        </w:rPr>
        <w:t>、</w:t>
      </w:r>
      <w:r>
        <w:rPr>
          <w:rFonts w:hint="eastAsia" w:ascii="宋体" w:hAnsi="宋体" w:eastAsia="宋体" w:cs="宋体"/>
          <w:bCs/>
          <w:color w:val="auto"/>
          <w:sz w:val="24"/>
          <w:szCs w:val="24"/>
          <w:shd w:val="clear" w:color="auto" w:fill="FFFFFF"/>
          <w:lang w:eastAsia="zh-CN"/>
        </w:rPr>
        <w:t>目的</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outlineLvl w:val="9"/>
        <w:rPr>
          <w:rFonts w:hint="eastAsia" w:ascii="宋体" w:hAnsi="宋体" w:eastAsia="宋体" w:cs="宋体"/>
          <w:bCs/>
          <w:color w:val="auto"/>
          <w:sz w:val="24"/>
          <w:szCs w:val="24"/>
          <w:shd w:val="clear" w:color="auto" w:fill="FFFFFF"/>
          <w:lang w:eastAsia="zh-CN"/>
        </w:rPr>
      </w:pPr>
      <w:r>
        <w:rPr>
          <w:rFonts w:hint="eastAsia" w:ascii="宋体" w:hAnsi="宋体" w:eastAsia="宋体" w:cs="宋体"/>
          <w:bCs/>
          <w:color w:val="auto"/>
          <w:sz w:val="24"/>
          <w:szCs w:val="24"/>
          <w:shd w:val="clear" w:color="auto" w:fill="FFFFFF"/>
        </w:rPr>
        <w:t>危重患者转运是为了进一步得到更好</w:t>
      </w:r>
      <w:r>
        <w:rPr>
          <w:rFonts w:hint="eastAsia" w:ascii="宋体" w:hAnsi="宋体" w:eastAsia="宋体" w:cs="宋体"/>
          <w:bCs/>
          <w:color w:val="auto"/>
          <w:sz w:val="24"/>
          <w:szCs w:val="24"/>
          <w:shd w:val="clear" w:color="auto" w:fill="FFFFFF"/>
          <w:lang w:eastAsia="zh-CN"/>
        </w:rPr>
        <w:t>更</w:t>
      </w:r>
      <w:r>
        <w:rPr>
          <w:rFonts w:hint="eastAsia" w:ascii="宋体" w:hAnsi="宋体" w:eastAsia="宋体" w:cs="宋体"/>
          <w:bCs/>
          <w:color w:val="auto"/>
          <w:sz w:val="24"/>
          <w:szCs w:val="24"/>
          <w:shd w:val="clear" w:color="auto" w:fill="FFFFFF"/>
        </w:rPr>
        <w:t>有效的救治。</w:t>
      </w:r>
      <w:r>
        <w:rPr>
          <w:rFonts w:hint="eastAsia" w:ascii="宋体" w:hAnsi="宋体" w:eastAsia="宋体" w:cs="宋体"/>
          <w:bCs/>
          <w:color w:val="auto"/>
          <w:sz w:val="24"/>
          <w:szCs w:val="24"/>
          <w:shd w:val="clear" w:color="auto" w:fill="FFFFFF"/>
          <w:lang w:val="en-US" w:eastAsia="zh-CN"/>
        </w:rPr>
        <w:t>为保证危重患者</w:t>
      </w:r>
      <w:r>
        <w:rPr>
          <w:rFonts w:hint="eastAsia" w:ascii="宋体" w:hAnsi="宋体" w:eastAsia="宋体" w:cs="宋体"/>
          <w:bCs/>
          <w:color w:val="auto"/>
          <w:sz w:val="24"/>
          <w:szCs w:val="24"/>
          <w:shd w:val="clear" w:color="auto" w:fill="FFFFFF"/>
          <w:lang w:eastAsia="zh-CN"/>
        </w:rPr>
        <w:t>转运</w:t>
      </w:r>
      <w:r>
        <w:rPr>
          <w:rFonts w:hint="eastAsia" w:ascii="宋体" w:hAnsi="宋体" w:eastAsia="宋体" w:cs="宋体"/>
          <w:bCs/>
          <w:color w:val="auto"/>
          <w:sz w:val="24"/>
          <w:szCs w:val="24"/>
          <w:shd w:val="clear" w:color="auto" w:fill="FFFFFF"/>
          <w:lang w:val="en-US" w:eastAsia="zh-CN"/>
        </w:rPr>
        <w:t>ICU</w:t>
      </w:r>
      <w:r>
        <w:rPr>
          <w:rFonts w:hint="eastAsia" w:ascii="宋体" w:hAnsi="宋体" w:eastAsia="宋体" w:cs="宋体"/>
          <w:bCs/>
          <w:color w:val="auto"/>
          <w:sz w:val="24"/>
          <w:szCs w:val="24"/>
          <w:shd w:val="clear" w:color="auto" w:fill="FFFFFF"/>
        </w:rPr>
        <w:t>过程中的安全</w:t>
      </w:r>
      <w:r>
        <w:rPr>
          <w:rFonts w:hint="eastAsia" w:ascii="宋体" w:hAnsi="宋体" w:eastAsia="宋体" w:cs="宋体"/>
          <w:bCs/>
          <w:color w:val="auto"/>
          <w:sz w:val="24"/>
          <w:szCs w:val="24"/>
          <w:shd w:val="clear" w:color="auto" w:fill="FFFFFF"/>
          <w:lang w:eastAsia="zh-CN"/>
        </w:rPr>
        <w:t>，特</w:t>
      </w:r>
      <w:r>
        <w:rPr>
          <w:rFonts w:hint="eastAsia" w:ascii="宋体" w:hAnsi="宋体" w:eastAsia="宋体" w:cs="宋体"/>
          <w:bCs/>
          <w:color w:val="auto"/>
          <w:sz w:val="24"/>
          <w:szCs w:val="24"/>
          <w:shd w:val="clear" w:color="auto" w:fill="FFFFFF"/>
        </w:rPr>
        <w:t>制定院内</w:t>
      </w:r>
      <w:r>
        <w:rPr>
          <w:rFonts w:hint="eastAsia" w:ascii="宋体" w:hAnsi="宋体" w:eastAsia="宋体" w:cs="宋体"/>
          <w:bCs/>
          <w:color w:val="auto"/>
          <w:sz w:val="24"/>
          <w:szCs w:val="24"/>
          <w:shd w:val="clear" w:color="auto" w:fill="FFFFFF"/>
          <w:lang w:eastAsia="zh-CN"/>
        </w:rPr>
        <w:t>安全</w:t>
      </w:r>
      <w:r>
        <w:rPr>
          <w:rFonts w:hint="eastAsia" w:ascii="宋体" w:hAnsi="宋体" w:eastAsia="宋体" w:cs="宋体"/>
          <w:bCs/>
          <w:color w:val="auto"/>
          <w:sz w:val="24"/>
          <w:szCs w:val="24"/>
          <w:shd w:val="clear" w:color="auto" w:fill="FFFFFF"/>
        </w:rPr>
        <w:t>转运的护理流程</w:t>
      </w:r>
      <w:r>
        <w:rPr>
          <w:rFonts w:hint="eastAsia" w:ascii="宋体" w:hAnsi="宋体" w:eastAsia="宋体" w:cs="宋体"/>
          <w:bCs/>
          <w:color w:val="auto"/>
          <w:sz w:val="24"/>
          <w:szCs w:val="24"/>
          <w:shd w:val="clear" w:color="auto"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right="0" w:rightChars="0" w:firstLine="0" w:firstLineChars="0"/>
        <w:textAlignment w:val="auto"/>
        <w:outlineLvl w:val="9"/>
        <w:rPr>
          <w:rFonts w:hint="eastAsia" w:ascii="宋体" w:hAnsi="宋体" w:eastAsia="宋体" w:cs="宋体"/>
          <w:bCs/>
          <w:color w:val="auto"/>
          <w:sz w:val="24"/>
          <w:szCs w:val="24"/>
          <w:shd w:val="clear" w:color="auto" w:fill="FFFFFF"/>
          <w:lang w:eastAsia="zh-CN"/>
        </w:rPr>
      </w:pPr>
      <w:r>
        <w:rPr>
          <w:rFonts w:hint="eastAsia" w:ascii="宋体" w:hAnsi="宋体" w:cs="宋体"/>
          <w:bCs/>
          <w:color w:val="auto"/>
          <w:sz w:val="24"/>
          <w:szCs w:val="24"/>
          <w:shd w:val="clear" w:color="auto" w:fill="FFFFFF"/>
          <w:lang w:eastAsia="zh-CN"/>
        </w:rPr>
        <w:t>二、</w:t>
      </w:r>
      <w:r>
        <w:rPr>
          <w:rFonts w:hint="eastAsia" w:ascii="宋体" w:hAnsi="宋体" w:eastAsia="宋体" w:cs="宋体"/>
          <w:bCs/>
          <w:color w:val="auto"/>
          <w:sz w:val="24"/>
          <w:szCs w:val="24"/>
          <w:shd w:val="clear" w:color="auto" w:fill="FFFFFF"/>
          <w:lang w:eastAsia="zh-CN"/>
        </w:rPr>
        <w:t>范围</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outlineLvl w:val="9"/>
        <w:rPr>
          <w:rFonts w:hint="eastAsia" w:ascii="宋体" w:hAnsi="宋体" w:eastAsia="宋体" w:cs="宋体"/>
          <w:b w:val="0"/>
          <w:bCs/>
          <w:color w:val="auto"/>
          <w:sz w:val="24"/>
          <w:szCs w:val="24"/>
          <w:shd w:val="clear" w:color="auto" w:fill="FFFFFF"/>
          <w:lang w:eastAsia="zh-CN"/>
        </w:rPr>
      </w:pPr>
      <w:r>
        <w:rPr>
          <w:rFonts w:hint="eastAsia" w:ascii="宋体" w:hAnsi="宋体" w:eastAsia="宋体" w:cs="宋体"/>
          <w:bCs/>
          <w:color w:val="auto"/>
          <w:sz w:val="24"/>
          <w:szCs w:val="24"/>
          <w:shd w:val="clear" w:color="auto" w:fill="FFFFFF"/>
          <w:lang w:eastAsia="zh-CN"/>
        </w:rPr>
        <w:t>适用于危重患者的</w:t>
      </w:r>
      <w:r>
        <w:rPr>
          <w:rFonts w:hint="eastAsia" w:ascii="宋体" w:hAnsi="宋体" w:eastAsia="宋体" w:cs="宋体"/>
          <w:b w:val="0"/>
          <w:bCs/>
          <w:color w:val="auto"/>
          <w:sz w:val="24"/>
          <w:szCs w:val="24"/>
          <w:shd w:val="clear" w:color="auto" w:fill="FFFFFF"/>
        </w:rPr>
        <w:t>院内安全转运</w:t>
      </w:r>
      <w:r>
        <w:rPr>
          <w:rFonts w:hint="eastAsia" w:ascii="宋体" w:hAnsi="宋体" w:eastAsia="宋体" w:cs="宋体"/>
          <w:b w:val="0"/>
          <w:bCs/>
          <w:color w:val="auto"/>
          <w:sz w:val="24"/>
          <w:szCs w:val="24"/>
          <w:shd w:val="clear" w:color="auto"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right="0" w:rightChars="0" w:firstLine="0" w:firstLineChars="0"/>
        <w:textAlignment w:val="auto"/>
        <w:outlineLvl w:val="9"/>
        <w:rPr>
          <w:rFonts w:hint="eastAsia" w:ascii="宋体" w:hAnsi="宋体" w:eastAsia="宋体" w:cs="宋体"/>
          <w:b w:val="0"/>
          <w:bCs/>
          <w:color w:val="auto"/>
          <w:sz w:val="24"/>
          <w:szCs w:val="24"/>
          <w:shd w:val="clear" w:color="auto" w:fill="FFFFFF"/>
          <w:lang w:eastAsia="zh-CN"/>
        </w:rPr>
      </w:pPr>
      <w:r>
        <w:rPr>
          <w:rFonts w:hint="eastAsia" w:ascii="宋体" w:hAnsi="宋体" w:eastAsia="宋体" w:cs="宋体"/>
          <w:b w:val="0"/>
          <w:bCs/>
          <w:color w:val="auto"/>
          <w:sz w:val="24"/>
          <w:szCs w:val="24"/>
          <w:shd w:val="clear" w:color="auto" w:fill="FFFFFF"/>
          <w:lang w:eastAsia="zh-CN"/>
        </w:rPr>
        <w:t>三</w:t>
      </w:r>
      <w:r>
        <w:rPr>
          <w:rFonts w:hint="eastAsia" w:ascii="宋体" w:hAnsi="宋体" w:cs="宋体"/>
          <w:b w:val="0"/>
          <w:bCs/>
          <w:color w:val="auto"/>
          <w:sz w:val="24"/>
          <w:szCs w:val="24"/>
          <w:shd w:val="clear" w:color="auto" w:fill="FFFFFF"/>
          <w:lang w:eastAsia="zh-CN"/>
        </w:rPr>
        <w:t>、</w:t>
      </w:r>
      <w:r>
        <w:rPr>
          <w:rFonts w:hint="eastAsia" w:ascii="宋体" w:hAnsi="宋体" w:eastAsia="宋体" w:cs="宋体"/>
          <w:b w:val="0"/>
          <w:bCs/>
          <w:color w:val="auto"/>
          <w:sz w:val="24"/>
          <w:szCs w:val="24"/>
          <w:shd w:val="clear" w:color="auto" w:fill="FFFFFF"/>
          <w:lang w:val="en-US" w:eastAsia="zh-CN"/>
        </w:rPr>
        <w:t>规程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 w:val="0"/>
          <w:bCs/>
          <w:color w:val="auto"/>
          <w:sz w:val="24"/>
          <w:szCs w:val="24"/>
          <w:shd w:val="clear" w:color="auto" w:fill="FFFFFF"/>
        </w:rPr>
      </w:pPr>
      <w:r>
        <w:rPr>
          <w:rFonts w:hint="eastAsia" w:ascii="宋体" w:hAnsi="宋体" w:eastAsia="宋体" w:cs="宋体"/>
          <w:b w:val="0"/>
          <w:bCs/>
          <w:color w:val="auto"/>
          <w:sz w:val="24"/>
          <w:szCs w:val="24"/>
          <w:shd w:val="clear" w:color="auto" w:fill="FFFFFF"/>
          <w:lang w:val="en-US" w:eastAsia="zh-CN"/>
        </w:rPr>
        <w:t>1</w:t>
      </w:r>
      <w:r>
        <w:rPr>
          <w:rFonts w:hint="eastAsia" w:ascii="宋体" w:hAnsi="宋体" w:eastAsia="宋体" w:cs="宋体"/>
          <w:b w:val="0"/>
          <w:bCs/>
          <w:color w:val="auto"/>
          <w:sz w:val="24"/>
          <w:szCs w:val="24"/>
          <w:shd w:val="clear" w:color="auto" w:fill="FFFFFF"/>
        </w:rPr>
        <w:t>、转运前的评估：</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0" w:firstLineChars="0"/>
        <w:textAlignment w:val="auto"/>
        <w:outlineLvl w:val="9"/>
        <w:rPr>
          <w:rFonts w:hint="eastAsia" w:ascii="宋体" w:hAnsi="宋体" w:eastAsia="宋体" w:cs="宋体"/>
          <w:bCs/>
          <w:color w:val="auto"/>
          <w:sz w:val="24"/>
          <w:szCs w:val="24"/>
          <w:shd w:val="clear" w:color="auto" w:fill="FFFFFF"/>
        </w:rPr>
      </w:pPr>
      <w:r>
        <w:rPr>
          <w:rFonts w:hint="eastAsia" w:ascii="宋体" w:hAnsi="宋体" w:eastAsia="宋体" w:cs="宋体"/>
          <w:bCs/>
          <w:color w:val="auto"/>
          <w:sz w:val="24"/>
          <w:szCs w:val="24"/>
          <w:shd w:val="clear" w:color="auto" w:fill="FFFFFF"/>
          <w:lang w:val="en-US" w:eastAsia="zh-CN"/>
        </w:rPr>
        <w:t>（1）</w:t>
      </w:r>
      <w:r>
        <w:rPr>
          <w:rFonts w:hint="eastAsia" w:ascii="宋体" w:hAnsi="宋体" w:eastAsia="宋体" w:cs="宋体"/>
          <w:bCs/>
          <w:color w:val="auto"/>
          <w:sz w:val="24"/>
          <w:szCs w:val="24"/>
          <w:shd w:val="clear" w:color="auto" w:fill="FFFFFF"/>
        </w:rPr>
        <w:t>评估</w:t>
      </w:r>
      <w:r>
        <w:rPr>
          <w:rFonts w:hint="eastAsia" w:ascii="宋体" w:hAnsi="宋体" w:eastAsia="宋体" w:cs="宋体"/>
          <w:bCs/>
          <w:color w:val="auto"/>
          <w:sz w:val="24"/>
          <w:szCs w:val="24"/>
          <w:shd w:val="clear" w:color="auto" w:fill="FFFFFF"/>
          <w:lang w:eastAsia="zh-CN"/>
        </w:rPr>
        <w:t>患者</w:t>
      </w:r>
      <w:r>
        <w:rPr>
          <w:rFonts w:hint="eastAsia" w:ascii="宋体" w:hAnsi="宋体" w:eastAsia="宋体" w:cs="宋体"/>
          <w:bCs/>
          <w:color w:val="auto"/>
          <w:sz w:val="24"/>
          <w:szCs w:val="24"/>
          <w:shd w:val="clear" w:color="auto" w:fill="FFFFFF"/>
        </w:rPr>
        <w:t>的全身状况，如意识、血压、脉搏、呼吸等情况，有无休克征象；</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0" w:firstLineChars="0"/>
        <w:textAlignment w:val="auto"/>
        <w:outlineLvl w:val="9"/>
        <w:rPr>
          <w:rFonts w:hint="eastAsia" w:ascii="宋体" w:hAnsi="宋体" w:eastAsia="宋体" w:cs="宋体"/>
          <w:bCs/>
          <w:color w:val="auto"/>
          <w:sz w:val="24"/>
          <w:szCs w:val="24"/>
          <w:shd w:val="clear" w:color="auto" w:fill="FFFFFF"/>
        </w:rPr>
      </w:pPr>
      <w:r>
        <w:rPr>
          <w:rFonts w:hint="eastAsia" w:ascii="宋体" w:hAnsi="宋体" w:eastAsia="宋体" w:cs="宋体"/>
          <w:bCs/>
          <w:color w:val="auto"/>
          <w:sz w:val="24"/>
          <w:szCs w:val="24"/>
          <w:shd w:val="clear" w:color="auto" w:fill="FFFFFF"/>
          <w:lang w:eastAsia="zh-CN"/>
        </w:rPr>
        <w:t>（</w:t>
      </w:r>
      <w:r>
        <w:rPr>
          <w:rFonts w:hint="eastAsia" w:ascii="宋体" w:hAnsi="宋体" w:eastAsia="宋体" w:cs="宋体"/>
          <w:bCs/>
          <w:color w:val="auto"/>
          <w:sz w:val="24"/>
          <w:szCs w:val="24"/>
          <w:shd w:val="clear" w:color="auto" w:fill="FFFFFF"/>
          <w:lang w:val="en-US" w:eastAsia="zh-CN"/>
        </w:rPr>
        <w:t>2）</w:t>
      </w:r>
      <w:r>
        <w:rPr>
          <w:rFonts w:hint="eastAsia" w:ascii="宋体" w:hAnsi="宋体" w:eastAsia="宋体" w:cs="宋体"/>
          <w:bCs/>
          <w:color w:val="auto"/>
          <w:sz w:val="24"/>
          <w:szCs w:val="24"/>
          <w:shd w:val="clear" w:color="auto" w:fill="FFFFFF"/>
          <w:lang w:eastAsia="zh-CN"/>
        </w:rPr>
        <w:t>患</w:t>
      </w:r>
      <w:r>
        <w:rPr>
          <w:rFonts w:hint="eastAsia" w:ascii="宋体" w:hAnsi="宋体" w:eastAsia="宋体" w:cs="宋体"/>
          <w:bCs/>
          <w:color w:val="auto"/>
          <w:sz w:val="24"/>
          <w:szCs w:val="24"/>
          <w:shd w:val="clear" w:color="auto" w:fill="FFFFFF"/>
        </w:rPr>
        <w:t>者的心理反应，有无精神紧张，恐惧等。</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0" w:firstLineChars="0"/>
        <w:textAlignment w:val="auto"/>
        <w:outlineLvl w:val="9"/>
        <w:rPr>
          <w:rFonts w:hint="eastAsia" w:ascii="宋体" w:hAnsi="宋体" w:eastAsia="宋体" w:cs="宋体"/>
          <w:b w:val="0"/>
          <w:bCs w:val="0"/>
          <w:color w:val="auto"/>
          <w:sz w:val="24"/>
          <w:szCs w:val="24"/>
          <w:shd w:val="clear" w:color="auto" w:fill="FFFFFF"/>
        </w:rPr>
      </w:pPr>
      <w:r>
        <w:rPr>
          <w:rFonts w:hint="eastAsia" w:ascii="宋体" w:hAnsi="宋体" w:eastAsia="宋体" w:cs="宋体"/>
          <w:b w:val="0"/>
          <w:bCs w:val="0"/>
          <w:color w:val="auto"/>
          <w:sz w:val="24"/>
          <w:szCs w:val="24"/>
          <w:shd w:val="clear" w:color="auto" w:fill="FFFFFF"/>
          <w:lang w:val="en-US" w:eastAsia="zh-CN"/>
        </w:rPr>
        <w:t>2</w:t>
      </w:r>
      <w:r>
        <w:rPr>
          <w:rFonts w:hint="eastAsia" w:ascii="宋体" w:hAnsi="宋体" w:eastAsia="宋体" w:cs="宋体"/>
          <w:b w:val="0"/>
          <w:bCs w:val="0"/>
          <w:color w:val="auto"/>
          <w:sz w:val="24"/>
          <w:szCs w:val="24"/>
          <w:shd w:val="clear" w:color="auto" w:fill="FFFFFF"/>
        </w:rPr>
        <w:t>、转运前的准备：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Cs/>
          <w:color w:val="auto"/>
          <w:sz w:val="24"/>
          <w:szCs w:val="24"/>
          <w:shd w:val="clear" w:color="auto" w:fill="FFFFFF"/>
          <w:lang w:val="en-US" w:eastAsia="zh-CN"/>
        </w:rPr>
      </w:pPr>
      <w:r>
        <w:rPr>
          <w:rFonts w:hint="eastAsia" w:ascii="宋体" w:hAnsi="宋体" w:eastAsia="宋体" w:cs="宋体"/>
          <w:b w:val="0"/>
          <w:bCs w:val="0"/>
          <w:color w:val="auto"/>
          <w:sz w:val="24"/>
          <w:szCs w:val="24"/>
          <w:shd w:val="clear" w:color="auto" w:fill="FFFFFF"/>
        </w:rPr>
        <w:t>（1）</w:t>
      </w:r>
      <w:r>
        <w:rPr>
          <w:rFonts w:hint="eastAsia" w:ascii="宋体" w:hAnsi="宋体" w:eastAsia="宋体" w:cs="宋体"/>
          <w:bCs/>
          <w:color w:val="auto"/>
          <w:sz w:val="24"/>
          <w:szCs w:val="24"/>
          <w:shd w:val="clear" w:color="auto" w:fill="FFFFFF"/>
        </w:rPr>
        <w:t>转运前</w:t>
      </w:r>
      <w:r>
        <w:rPr>
          <w:rFonts w:hint="eastAsia" w:ascii="宋体" w:hAnsi="宋体" w:eastAsia="宋体" w:cs="宋体"/>
          <w:bCs/>
          <w:color w:val="auto"/>
          <w:sz w:val="24"/>
          <w:szCs w:val="24"/>
          <w:shd w:val="clear" w:color="auto" w:fill="FFFFFF"/>
          <w:lang w:eastAsia="zh-CN"/>
        </w:rPr>
        <w:t>电话联系</w:t>
      </w:r>
      <w:r>
        <w:rPr>
          <w:rFonts w:hint="eastAsia" w:ascii="宋体" w:hAnsi="宋体" w:eastAsia="宋体" w:cs="宋体"/>
          <w:bCs/>
          <w:color w:val="auto"/>
          <w:sz w:val="24"/>
          <w:szCs w:val="24"/>
          <w:shd w:val="clear" w:color="auto" w:fill="FFFFFF"/>
          <w:lang w:val="en-US" w:eastAsia="zh-CN"/>
        </w:rPr>
        <w:t>ICU做好接收患者准备，确定转入时间。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Cs/>
          <w:color w:val="auto"/>
          <w:sz w:val="24"/>
          <w:szCs w:val="24"/>
          <w:shd w:val="clear" w:color="auto" w:fill="FFFFFF"/>
          <w:lang w:val="en-US" w:eastAsia="zh-CN"/>
        </w:rPr>
      </w:pPr>
      <w:r>
        <w:rPr>
          <w:rFonts w:hint="eastAsia" w:ascii="宋体" w:hAnsi="宋体" w:eastAsia="宋体" w:cs="宋体"/>
          <w:bCs/>
          <w:color w:val="auto"/>
          <w:sz w:val="24"/>
          <w:szCs w:val="24"/>
          <w:shd w:val="clear" w:color="auto" w:fill="FFFFFF"/>
          <w:lang w:eastAsia="zh-CN"/>
        </w:rPr>
        <w:t>（</w:t>
      </w:r>
      <w:r>
        <w:rPr>
          <w:rFonts w:hint="eastAsia" w:ascii="宋体" w:hAnsi="宋体" w:eastAsia="宋体" w:cs="宋体"/>
          <w:bCs/>
          <w:color w:val="auto"/>
          <w:sz w:val="24"/>
          <w:szCs w:val="24"/>
          <w:shd w:val="clear" w:color="auto" w:fill="FFFFFF"/>
          <w:lang w:val="en-US" w:eastAsia="zh-CN"/>
        </w:rPr>
        <w:t>2）</w:t>
      </w:r>
      <w:r>
        <w:rPr>
          <w:rFonts w:hint="eastAsia" w:ascii="宋体" w:hAnsi="宋体" w:eastAsia="宋体" w:cs="宋体"/>
          <w:bCs/>
          <w:color w:val="auto"/>
          <w:sz w:val="24"/>
          <w:szCs w:val="24"/>
          <w:shd w:val="clear" w:color="auto" w:fill="FFFFFF"/>
          <w:lang w:eastAsia="zh-CN"/>
        </w:rPr>
        <w:t>电话通知保卫科确保转运路线畅通，</w:t>
      </w:r>
      <w:r>
        <w:rPr>
          <w:rFonts w:hint="eastAsia" w:ascii="宋体" w:hAnsi="宋体" w:eastAsia="宋体" w:cs="宋体"/>
          <w:bCs/>
          <w:color w:val="auto"/>
          <w:sz w:val="24"/>
          <w:szCs w:val="24"/>
          <w:shd w:val="clear" w:color="auto" w:fill="FFFFFF"/>
        </w:rPr>
        <w:t xml:space="preserve">缩短转运途中的时间，降低转运风险。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
          <w:bCs/>
          <w:color w:val="auto"/>
          <w:sz w:val="24"/>
          <w:szCs w:val="24"/>
          <w:shd w:val="clear" w:color="auto" w:fill="FFFFFF"/>
          <w:lang w:val="en-US" w:eastAsia="zh-CN"/>
        </w:rPr>
      </w:pPr>
      <w:r>
        <w:rPr>
          <w:rFonts w:hint="eastAsia" w:ascii="宋体" w:hAnsi="宋体" w:eastAsia="宋体" w:cs="宋体"/>
          <w:b w:val="0"/>
          <w:bCs w:val="0"/>
          <w:color w:val="auto"/>
          <w:sz w:val="24"/>
          <w:szCs w:val="24"/>
          <w:shd w:val="clear" w:color="auto" w:fill="FFFFFF"/>
        </w:rPr>
        <w:t>（</w:t>
      </w:r>
      <w:r>
        <w:rPr>
          <w:rFonts w:hint="eastAsia" w:ascii="宋体" w:hAnsi="宋体" w:eastAsia="宋体" w:cs="宋体"/>
          <w:b w:val="0"/>
          <w:bCs w:val="0"/>
          <w:color w:val="auto"/>
          <w:sz w:val="24"/>
          <w:szCs w:val="24"/>
          <w:shd w:val="clear" w:color="auto" w:fill="FFFFFF"/>
          <w:lang w:val="en-US" w:eastAsia="zh-CN"/>
        </w:rPr>
        <w:t>3</w:t>
      </w:r>
      <w:r>
        <w:rPr>
          <w:rFonts w:hint="eastAsia" w:ascii="宋体" w:hAnsi="宋体" w:eastAsia="宋体" w:cs="宋体"/>
          <w:b w:val="0"/>
          <w:bCs w:val="0"/>
          <w:color w:val="auto"/>
          <w:sz w:val="24"/>
          <w:szCs w:val="24"/>
          <w:shd w:val="clear" w:color="auto" w:fill="FFFFFF"/>
          <w:lang w:eastAsia="zh-CN"/>
        </w:rPr>
        <w:t>）</w:t>
      </w:r>
      <w:r>
        <w:rPr>
          <w:rFonts w:hint="eastAsia" w:ascii="宋体" w:hAnsi="宋体" w:eastAsia="宋体" w:cs="宋体"/>
          <w:bCs/>
          <w:color w:val="auto"/>
          <w:sz w:val="24"/>
          <w:szCs w:val="24"/>
          <w:shd w:val="clear" w:color="auto" w:fill="FFFFFF"/>
        </w:rPr>
        <w:t>负责转运的医护人员均应具有丰富的转运临床经验及突发事件的应急处理能力，具有良好的业务和心理素质，随时保持应急状态。</w:t>
      </w:r>
      <w:r>
        <w:rPr>
          <w:rFonts w:hint="eastAsia" w:ascii="宋体" w:hAnsi="宋体" w:eastAsia="宋体" w:cs="宋体"/>
          <w:b/>
          <w:bCs/>
          <w:color w:val="auto"/>
          <w:sz w:val="24"/>
          <w:szCs w:val="24"/>
          <w:shd w:val="clear" w:color="auto"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Cs/>
          <w:color w:val="auto"/>
          <w:sz w:val="24"/>
          <w:szCs w:val="24"/>
          <w:shd w:val="clear" w:color="auto" w:fill="FFFFFF"/>
        </w:rPr>
      </w:pPr>
      <w:r>
        <w:rPr>
          <w:rFonts w:hint="eastAsia" w:ascii="宋体" w:hAnsi="宋体" w:eastAsia="宋体" w:cs="宋体"/>
          <w:b w:val="0"/>
          <w:bCs w:val="0"/>
          <w:color w:val="auto"/>
          <w:sz w:val="24"/>
          <w:szCs w:val="24"/>
          <w:shd w:val="clear" w:color="auto" w:fill="FFFFFF"/>
        </w:rPr>
        <w:t>（</w:t>
      </w:r>
      <w:r>
        <w:rPr>
          <w:rFonts w:hint="eastAsia" w:ascii="宋体" w:hAnsi="宋体" w:eastAsia="宋体" w:cs="宋体"/>
          <w:b w:val="0"/>
          <w:bCs w:val="0"/>
          <w:color w:val="auto"/>
          <w:sz w:val="24"/>
          <w:szCs w:val="24"/>
          <w:shd w:val="clear" w:color="auto" w:fill="FFFFFF"/>
          <w:lang w:val="en-US" w:eastAsia="zh-CN"/>
        </w:rPr>
        <w:t>4</w:t>
      </w:r>
      <w:r>
        <w:rPr>
          <w:rFonts w:hint="eastAsia" w:ascii="宋体" w:hAnsi="宋体" w:eastAsia="宋体" w:cs="宋体"/>
          <w:b w:val="0"/>
          <w:bCs w:val="0"/>
          <w:color w:val="auto"/>
          <w:sz w:val="24"/>
          <w:szCs w:val="24"/>
          <w:shd w:val="clear" w:color="auto" w:fill="FFFFFF"/>
        </w:rPr>
        <w:t>）</w:t>
      </w:r>
      <w:r>
        <w:rPr>
          <w:rFonts w:hint="eastAsia" w:ascii="宋体" w:hAnsi="宋体" w:eastAsia="宋体" w:cs="宋体"/>
          <w:bCs/>
          <w:color w:val="auto"/>
          <w:sz w:val="24"/>
          <w:szCs w:val="24"/>
          <w:shd w:val="clear" w:color="auto" w:fill="FFFFFF"/>
        </w:rPr>
        <w:t>对高风险的病例，转运时应根据病情需要配备便携式多功能监护仪（充电量足）、简易呼吸器或便携式呼吸机（充电量足）、急救药品、氧气等抢救物品。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 w:val="0"/>
          <w:bCs w:val="0"/>
          <w:color w:val="auto"/>
          <w:sz w:val="24"/>
          <w:szCs w:val="24"/>
          <w:shd w:val="clear" w:color="auto" w:fill="FFFFFF"/>
        </w:rPr>
      </w:pPr>
      <w:r>
        <w:rPr>
          <w:rFonts w:hint="eastAsia" w:ascii="宋体" w:hAnsi="宋体" w:eastAsia="宋体" w:cs="宋体"/>
          <w:b w:val="0"/>
          <w:bCs w:val="0"/>
          <w:color w:val="auto"/>
          <w:sz w:val="24"/>
          <w:szCs w:val="24"/>
          <w:shd w:val="clear" w:color="auto" w:fill="FFFFFF"/>
          <w:lang w:val="en-US" w:eastAsia="zh-CN"/>
        </w:rPr>
        <w:t>3</w:t>
      </w:r>
      <w:r>
        <w:rPr>
          <w:rFonts w:hint="eastAsia" w:ascii="宋体" w:hAnsi="宋体" w:eastAsia="宋体" w:cs="宋体"/>
          <w:b w:val="0"/>
          <w:bCs w:val="0"/>
          <w:color w:val="auto"/>
          <w:sz w:val="24"/>
          <w:szCs w:val="24"/>
          <w:shd w:val="clear" w:color="auto" w:fill="FFFFFF"/>
        </w:rPr>
        <w:t>、转运中的病情观察及护理：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Cs/>
          <w:color w:val="auto"/>
          <w:sz w:val="24"/>
          <w:szCs w:val="24"/>
          <w:shd w:val="clear" w:color="auto" w:fill="FFFFFF"/>
        </w:rPr>
      </w:pPr>
      <w:r>
        <w:rPr>
          <w:rFonts w:hint="eastAsia" w:ascii="宋体" w:hAnsi="宋体" w:eastAsia="宋体" w:cs="宋体"/>
          <w:b w:val="0"/>
          <w:bCs w:val="0"/>
          <w:color w:val="auto"/>
          <w:sz w:val="24"/>
          <w:szCs w:val="24"/>
          <w:shd w:val="clear" w:color="auto" w:fill="FFFFFF"/>
        </w:rPr>
        <w:t>（1）</w:t>
      </w:r>
      <w:r>
        <w:rPr>
          <w:rFonts w:hint="eastAsia" w:ascii="宋体" w:hAnsi="宋体" w:eastAsia="宋体" w:cs="宋体"/>
          <w:bCs/>
          <w:color w:val="auto"/>
          <w:sz w:val="24"/>
          <w:szCs w:val="24"/>
          <w:shd w:val="clear" w:color="auto" w:fill="FFFFFF"/>
        </w:rPr>
        <w:t>严密观察病情变化：转运中，</w:t>
      </w:r>
      <w:r>
        <w:rPr>
          <w:rFonts w:hint="eastAsia" w:ascii="宋体" w:hAnsi="宋体" w:eastAsia="宋体" w:cs="宋体"/>
          <w:bCs/>
          <w:color w:val="auto"/>
          <w:sz w:val="24"/>
          <w:szCs w:val="24"/>
          <w:shd w:val="clear" w:color="auto" w:fill="FFFFFF"/>
          <w:lang w:eastAsia="zh-CN"/>
        </w:rPr>
        <w:t>医生、</w:t>
      </w:r>
      <w:r>
        <w:rPr>
          <w:rFonts w:hint="eastAsia" w:ascii="宋体" w:hAnsi="宋体" w:eastAsia="宋体" w:cs="宋体"/>
          <w:bCs/>
          <w:color w:val="auto"/>
          <w:sz w:val="24"/>
          <w:szCs w:val="24"/>
          <w:shd w:val="clear" w:color="auto" w:fill="FFFFFF"/>
        </w:rPr>
        <w:t>护士全程陪同，始终站在</w:t>
      </w:r>
      <w:r>
        <w:rPr>
          <w:rFonts w:hint="eastAsia" w:ascii="宋体" w:hAnsi="宋体" w:eastAsia="宋体" w:cs="宋体"/>
          <w:bCs/>
          <w:color w:val="auto"/>
          <w:sz w:val="24"/>
          <w:szCs w:val="24"/>
          <w:shd w:val="clear" w:color="auto" w:fill="FFFFFF"/>
          <w:lang w:eastAsia="zh-CN"/>
        </w:rPr>
        <w:t>受试者</w:t>
      </w:r>
      <w:r>
        <w:rPr>
          <w:rFonts w:hint="eastAsia" w:ascii="宋体" w:hAnsi="宋体" w:eastAsia="宋体" w:cs="宋体"/>
          <w:bCs/>
          <w:color w:val="auto"/>
          <w:sz w:val="24"/>
          <w:szCs w:val="24"/>
          <w:shd w:val="clear" w:color="auto" w:fill="FFFFFF"/>
        </w:rPr>
        <w:t>头侧，随时严密观察</w:t>
      </w:r>
      <w:r>
        <w:rPr>
          <w:rFonts w:hint="eastAsia" w:ascii="宋体" w:hAnsi="宋体" w:eastAsia="宋体" w:cs="宋体"/>
          <w:bCs/>
          <w:color w:val="auto"/>
          <w:sz w:val="24"/>
          <w:szCs w:val="24"/>
          <w:shd w:val="clear" w:color="auto" w:fill="FFFFFF"/>
          <w:lang w:eastAsia="zh-CN"/>
        </w:rPr>
        <w:t>患者</w:t>
      </w:r>
      <w:r>
        <w:rPr>
          <w:rFonts w:hint="eastAsia" w:ascii="宋体" w:hAnsi="宋体" w:eastAsia="宋体" w:cs="宋体"/>
          <w:bCs/>
          <w:color w:val="auto"/>
          <w:sz w:val="24"/>
          <w:szCs w:val="24"/>
          <w:shd w:val="clear" w:color="auto" w:fill="FFFFFF"/>
        </w:rPr>
        <w:t>的意识、瞳孔、呼吸、脉搏、血压等生命体征的变化，如遇躁动不安的患者除加护栏外应采取保护性约束，以保证病人安全，内出血的患者有无休克发生，重点观察患者的皮肤</w:t>
      </w:r>
      <w:r>
        <w:rPr>
          <w:rFonts w:hint="eastAsia" w:ascii="宋体" w:hAnsi="宋体" w:eastAsia="宋体" w:cs="宋体"/>
          <w:bCs/>
          <w:color w:val="auto"/>
          <w:sz w:val="24"/>
          <w:szCs w:val="24"/>
          <w:shd w:val="clear" w:color="auto" w:fill="FFFFFF"/>
          <w:lang w:eastAsia="zh-CN"/>
        </w:rPr>
        <w:t>温</w:t>
      </w:r>
      <w:r>
        <w:rPr>
          <w:rFonts w:hint="eastAsia" w:ascii="宋体" w:hAnsi="宋体" w:eastAsia="宋体" w:cs="宋体"/>
          <w:bCs/>
          <w:color w:val="auto"/>
          <w:sz w:val="24"/>
          <w:szCs w:val="24"/>
          <w:shd w:val="clear" w:color="auto" w:fill="FFFFFF"/>
        </w:rPr>
        <w:t>湿度、神志状况等，如有病情变化应及时处理。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Cs/>
          <w:color w:val="auto"/>
          <w:sz w:val="24"/>
          <w:szCs w:val="24"/>
          <w:shd w:val="clear" w:color="auto" w:fill="FFFFFF"/>
          <w:lang w:eastAsia="zh-CN"/>
        </w:rPr>
      </w:pPr>
      <w:r>
        <w:rPr>
          <w:rFonts w:hint="eastAsia" w:ascii="宋体" w:hAnsi="宋体" w:eastAsia="宋体" w:cs="宋体"/>
          <w:b w:val="0"/>
          <w:bCs w:val="0"/>
          <w:color w:val="auto"/>
          <w:sz w:val="24"/>
          <w:szCs w:val="24"/>
          <w:shd w:val="clear" w:color="auto" w:fill="FFFFFF"/>
        </w:rPr>
        <w:t>（2）</w:t>
      </w:r>
      <w:r>
        <w:rPr>
          <w:rFonts w:hint="eastAsia" w:ascii="宋体" w:hAnsi="宋体" w:eastAsia="宋体" w:cs="宋体"/>
          <w:bCs/>
          <w:color w:val="auto"/>
          <w:sz w:val="24"/>
          <w:szCs w:val="24"/>
          <w:shd w:val="clear" w:color="auto" w:fill="FFFFFF"/>
        </w:rPr>
        <w:t>保持呼吸道通畅：转运中</w:t>
      </w:r>
      <w:r>
        <w:rPr>
          <w:rFonts w:hint="eastAsia" w:ascii="宋体" w:hAnsi="宋体" w:eastAsia="宋体" w:cs="宋体"/>
          <w:bCs/>
          <w:color w:val="auto"/>
          <w:sz w:val="24"/>
          <w:szCs w:val="24"/>
          <w:shd w:val="clear" w:color="auto" w:fill="FFFFFF"/>
          <w:lang w:eastAsia="zh-CN"/>
        </w:rPr>
        <w:t>应确保患者的呼吸道通畅，密切观察患者的呼吸变化。</w:t>
      </w:r>
      <w:r>
        <w:rPr>
          <w:rFonts w:hint="eastAsia" w:ascii="宋体" w:hAnsi="宋体" w:eastAsia="宋体" w:cs="宋体"/>
          <w:bCs/>
          <w:color w:val="auto"/>
          <w:sz w:val="24"/>
          <w:szCs w:val="24"/>
          <w:shd w:val="clear" w:color="auto" w:fill="FFFFFF"/>
        </w:rPr>
        <w:t>呼吸道分泌物多时，应将头偏向一侧，</w:t>
      </w:r>
      <w:r>
        <w:rPr>
          <w:rFonts w:hint="eastAsia" w:ascii="宋体" w:hAnsi="宋体" w:eastAsia="宋体" w:cs="宋体"/>
          <w:bCs/>
          <w:color w:val="auto"/>
          <w:sz w:val="24"/>
          <w:szCs w:val="24"/>
          <w:shd w:val="clear" w:color="auto" w:fill="FFFFFF"/>
          <w:lang w:eastAsia="zh-CN"/>
        </w:rPr>
        <w:t>及</w:t>
      </w:r>
      <w:r>
        <w:rPr>
          <w:rFonts w:hint="eastAsia" w:ascii="宋体" w:hAnsi="宋体" w:eastAsia="宋体" w:cs="宋体"/>
          <w:bCs/>
          <w:color w:val="auto"/>
          <w:sz w:val="24"/>
          <w:szCs w:val="24"/>
          <w:shd w:val="clear" w:color="auto" w:fill="FFFFFF"/>
        </w:rPr>
        <w:t>时清除呼吸道分泌物</w:t>
      </w:r>
      <w:r>
        <w:rPr>
          <w:rFonts w:hint="eastAsia" w:ascii="宋体" w:hAnsi="宋体" w:eastAsia="宋体" w:cs="宋体"/>
          <w:bCs/>
          <w:color w:val="auto"/>
          <w:sz w:val="24"/>
          <w:szCs w:val="24"/>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Cs/>
          <w:color w:val="auto"/>
          <w:sz w:val="24"/>
          <w:szCs w:val="24"/>
          <w:shd w:val="clear" w:color="auto" w:fill="FFFFFF"/>
        </w:rPr>
      </w:pPr>
      <w:r>
        <w:rPr>
          <w:rFonts w:hint="eastAsia" w:ascii="宋体" w:hAnsi="宋体" w:eastAsia="宋体" w:cs="宋体"/>
          <w:b w:val="0"/>
          <w:bCs w:val="0"/>
          <w:color w:val="auto"/>
          <w:sz w:val="24"/>
          <w:szCs w:val="24"/>
          <w:shd w:val="clear" w:color="auto" w:fill="FFFFFF"/>
        </w:rPr>
        <w:t>（3）</w:t>
      </w:r>
      <w:r>
        <w:rPr>
          <w:rFonts w:hint="eastAsia" w:ascii="宋体" w:hAnsi="宋体" w:eastAsia="宋体" w:cs="宋体"/>
          <w:bCs/>
          <w:color w:val="auto"/>
          <w:sz w:val="24"/>
          <w:szCs w:val="24"/>
          <w:shd w:val="clear" w:color="auto" w:fill="FFFFFF"/>
        </w:rPr>
        <w:t>保持各种管道的通畅：患者转运是一个连续性的救治过程，要对患者病情连续不断的监测及有效治疗。</w:t>
      </w:r>
      <w:r>
        <w:rPr>
          <w:rFonts w:hint="eastAsia" w:ascii="宋体" w:hAnsi="宋体" w:eastAsia="宋体" w:cs="宋体"/>
          <w:bCs/>
          <w:color w:val="auto"/>
          <w:sz w:val="24"/>
          <w:szCs w:val="24"/>
          <w:shd w:val="clear" w:color="auto" w:fill="FFFFFF"/>
        </w:rPr>
        <w:sym w:font="Wingdings" w:char="F081"/>
      </w:r>
      <w:r>
        <w:rPr>
          <w:rFonts w:hint="eastAsia" w:ascii="宋体" w:hAnsi="宋体" w:eastAsia="宋体" w:cs="宋体"/>
          <w:bCs/>
          <w:color w:val="auto"/>
          <w:sz w:val="24"/>
          <w:szCs w:val="24"/>
          <w:shd w:val="clear" w:color="auto" w:fill="FFFFFF"/>
        </w:rPr>
        <w:t>保持静脉输液</w:t>
      </w:r>
      <w:r>
        <w:rPr>
          <w:rFonts w:hint="eastAsia" w:ascii="宋体" w:hAnsi="宋体" w:eastAsia="宋体" w:cs="宋体"/>
          <w:bCs/>
          <w:color w:val="auto"/>
          <w:sz w:val="24"/>
          <w:szCs w:val="24"/>
          <w:shd w:val="clear" w:color="auto" w:fill="FFFFFF"/>
          <w:lang w:eastAsia="zh-CN"/>
        </w:rPr>
        <w:t>管路通畅，各种药物输入顺利；</w:t>
      </w:r>
      <w:r>
        <w:rPr>
          <w:rFonts w:hint="eastAsia" w:ascii="宋体" w:hAnsi="宋体" w:eastAsia="宋体" w:cs="宋体"/>
          <w:bCs/>
          <w:color w:val="auto"/>
          <w:sz w:val="24"/>
          <w:szCs w:val="24"/>
          <w:shd w:val="clear" w:color="auto" w:fill="FFFFFF"/>
        </w:rPr>
        <w:sym w:font="Wingdings" w:char="F082"/>
      </w:r>
      <w:r>
        <w:rPr>
          <w:rFonts w:hint="eastAsia" w:ascii="宋体" w:hAnsi="宋体" w:eastAsia="宋体" w:cs="宋体"/>
          <w:bCs/>
          <w:color w:val="auto"/>
          <w:sz w:val="24"/>
          <w:szCs w:val="24"/>
          <w:shd w:val="clear" w:color="auto" w:fill="FFFFFF"/>
        </w:rPr>
        <w:t>各引流管</w:t>
      </w:r>
      <w:r>
        <w:rPr>
          <w:rFonts w:hint="eastAsia" w:ascii="宋体" w:hAnsi="宋体" w:eastAsia="宋体" w:cs="宋体"/>
          <w:bCs/>
          <w:color w:val="auto"/>
          <w:sz w:val="24"/>
          <w:szCs w:val="24"/>
          <w:shd w:val="clear" w:color="auto" w:fill="FFFFFF"/>
          <w:lang w:eastAsia="zh-CN"/>
        </w:rPr>
        <w:t>应妥善固定，保持通畅</w:t>
      </w:r>
      <w:r>
        <w:rPr>
          <w:rFonts w:hint="eastAsia" w:ascii="宋体" w:hAnsi="宋体" w:eastAsia="宋体" w:cs="宋体"/>
          <w:bCs/>
          <w:color w:val="auto"/>
          <w:sz w:val="24"/>
          <w:szCs w:val="24"/>
          <w:shd w:val="clear" w:color="auto" w:fill="FFFFFF"/>
        </w:rPr>
        <w:t>，防止扭曲、受压。</w:t>
      </w:r>
      <w:r>
        <w:rPr>
          <w:rFonts w:hint="eastAsia" w:ascii="宋体" w:hAnsi="宋体" w:eastAsia="宋体" w:cs="宋体"/>
          <w:bCs/>
          <w:color w:val="auto"/>
          <w:sz w:val="24"/>
          <w:szCs w:val="24"/>
          <w:shd w:val="clear" w:color="auto" w:fill="FFFFFF"/>
        </w:rPr>
        <w:sym w:font="Wingdings" w:char="F083"/>
      </w:r>
      <w:r>
        <w:rPr>
          <w:rFonts w:hint="eastAsia" w:ascii="宋体" w:hAnsi="宋体" w:eastAsia="宋体" w:cs="宋体"/>
          <w:bCs/>
          <w:color w:val="auto"/>
          <w:sz w:val="24"/>
          <w:szCs w:val="24"/>
          <w:shd w:val="clear" w:color="auto" w:fill="FFFFFF"/>
        </w:rPr>
        <w:t>气管插管的病人应妥善固定，随时观察插管位置、刻度并保证足够的氧气。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Cs/>
          <w:color w:val="auto"/>
          <w:sz w:val="24"/>
          <w:szCs w:val="24"/>
          <w:shd w:val="clear" w:color="auto" w:fill="FFFFFF"/>
        </w:rPr>
      </w:pPr>
      <w:r>
        <w:rPr>
          <w:rFonts w:hint="eastAsia" w:ascii="宋体" w:hAnsi="宋体" w:eastAsia="宋体" w:cs="宋体"/>
          <w:b w:val="0"/>
          <w:bCs w:val="0"/>
          <w:color w:val="auto"/>
          <w:sz w:val="24"/>
          <w:szCs w:val="24"/>
          <w:shd w:val="clear" w:color="auto" w:fill="FFFFFF"/>
        </w:rPr>
        <w:t>（4）</w:t>
      </w:r>
      <w:r>
        <w:rPr>
          <w:rFonts w:hint="eastAsia" w:ascii="宋体" w:hAnsi="宋体" w:eastAsia="宋体" w:cs="宋体"/>
          <w:bCs/>
          <w:color w:val="auto"/>
          <w:sz w:val="24"/>
          <w:szCs w:val="24"/>
          <w:shd w:val="clear" w:color="auto" w:fill="FFFFFF"/>
        </w:rPr>
        <w:t>保暖和安全：转运时注意全身保暖，防止受凉，此外，搬运患者时医务人员注意动作轻稳，协调一致，确保患者安全与舒适。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Cs/>
          <w:color w:val="auto"/>
          <w:sz w:val="24"/>
          <w:szCs w:val="24"/>
          <w:shd w:val="clear" w:color="auto" w:fill="FFFFFF"/>
        </w:rPr>
      </w:pPr>
      <w:r>
        <w:rPr>
          <w:rFonts w:hint="eastAsia" w:ascii="宋体" w:hAnsi="宋体" w:eastAsia="宋体" w:cs="宋体"/>
          <w:b w:val="0"/>
          <w:bCs w:val="0"/>
          <w:color w:val="auto"/>
          <w:sz w:val="24"/>
          <w:szCs w:val="24"/>
          <w:shd w:val="clear" w:color="auto" w:fill="FFFFFF"/>
        </w:rPr>
        <w:t>（5）</w:t>
      </w:r>
      <w:r>
        <w:rPr>
          <w:rFonts w:hint="eastAsia" w:ascii="宋体" w:hAnsi="宋体" w:eastAsia="宋体" w:cs="宋体"/>
          <w:bCs/>
          <w:color w:val="auto"/>
          <w:sz w:val="24"/>
          <w:szCs w:val="24"/>
          <w:shd w:val="clear" w:color="auto" w:fill="FFFFFF"/>
        </w:rPr>
        <w:t>做好心理护理：</w:t>
      </w:r>
      <w:r>
        <w:rPr>
          <w:rFonts w:hint="eastAsia" w:ascii="宋体" w:hAnsi="宋体" w:eastAsia="宋体" w:cs="宋体"/>
          <w:bCs/>
          <w:color w:val="auto"/>
          <w:sz w:val="24"/>
          <w:szCs w:val="24"/>
          <w:shd w:val="clear" w:color="auto" w:fill="FFFFFF"/>
          <w:lang w:eastAsia="zh-CN"/>
        </w:rPr>
        <w:t>患者转运过程中</w:t>
      </w:r>
      <w:r>
        <w:rPr>
          <w:rFonts w:hint="eastAsia" w:ascii="宋体" w:hAnsi="宋体" w:eastAsia="宋体" w:cs="宋体"/>
          <w:bCs/>
          <w:color w:val="auto"/>
          <w:sz w:val="24"/>
          <w:szCs w:val="24"/>
          <w:shd w:val="clear" w:color="auto" w:fill="FFFFFF"/>
        </w:rPr>
        <w:t>往往会产生恐惧、紧张、烦躁情绪，护士应及时予以心理安慰和指导，做好解释工作，以取得</w:t>
      </w:r>
      <w:r>
        <w:rPr>
          <w:rFonts w:hint="eastAsia" w:ascii="宋体" w:hAnsi="宋体" w:eastAsia="宋体" w:cs="宋体"/>
          <w:bCs/>
          <w:color w:val="auto"/>
          <w:sz w:val="24"/>
          <w:szCs w:val="24"/>
          <w:shd w:val="clear" w:color="auto" w:fill="FFFFFF"/>
          <w:lang w:eastAsia="zh-CN"/>
        </w:rPr>
        <w:t>患者</w:t>
      </w:r>
      <w:r>
        <w:rPr>
          <w:rFonts w:hint="eastAsia" w:ascii="宋体" w:hAnsi="宋体" w:eastAsia="宋体" w:cs="宋体"/>
          <w:bCs/>
          <w:color w:val="auto"/>
          <w:sz w:val="24"/>
          <w:szCs w:val="24"/>
          <w:shd w:val="clear" w:color="auto" w:fill="FFFFFF"/>
        </w:rPr>
        <w:t>合作，消除</w:t>
      </w:r>
      <w:r>
        <w:rPr>
          <w:rFonts w:hint="eastAsia" w:ascii="宋体" w:hAnsi="宋体" w:eastAsia="宋体" w:cs="宋体"/>
          <w:bCs/>
          <w:color w:val="auto"/>
          <w:sz w:val="24"/>
          <w:szCs w:val="24"/>
          <w:shd w:val="clear" w:color="auto" w:fill="FFFFFF"/>
          <w:lang w:eastAsia="zh-CN"/>
        </w:rPr>
        <w:t>其</w:t>
      </w:r>
      <w:r>
        <w:rPr>
          <w:rFonts w:hint="eastAsia" w:ascii="宋体" w:hAnsi="宋体" w:eastAsia="宋体" w:cs="宋体"/>
          <w:bCs/>
          <w:color w:val="auto"/>
          <w:sz w:val="24"/>
          <w:szCs w:val="24"/>
          <w:shd w:val="clear" w:color="auto" w:fill="FFFFFF"/>
        </w:rPr>
        <w:t>紧张、恐惧情绪。</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0" w:firstLineChars="0"/>
        <w:textAlignment w:val="auto"/>
        <w:outlineLvl w:val="9"/>
        <w:rPr>
          <w:rFonts w:hint="eastAsia" w:ascii="宋体" w:hAnsi="宋体" w:eastAsia="宋体" w:cs="宋体"/>
          <w:b w:val="0"/>
          <w:bCs w:val="0"/>
          <w:color w:val="auto"/>
          <w:sz w:val="24"/>
          <w:szCs w:val="24"/>
          <w:shd w:val="clear" w:color="auto" w:fill="FFFFFF"/>
        </w:rPr>
      </w:pPr>
      <w:r>
        <w:rPr>
          <w:rFonts w:hint="eastAsia" w:ascii="宋体" w:hAnsi="宋体" w:eastAsia="宋体" w:cs="宋体"/>
          <w:b w:val="0"/>
          <w:bCs w:val="0"/>
          <w:color w:val="auto"/>
          <w:sz w:val="24"/>
          <w:szCs w:val="24"/>
          <w:shd w:val="clear" w:color="auto" w:fill="FFFFFF"/>
          <w:lang w:val="en-US" w:eastAsia="zh-CN"/>
        </w:rPr>
        <w:t>4</w:t>
      </w:r>
      <w:r>
        <w:rPr>
          <w:rFonts w:hint="eastAsia" w:ascii="宋体" w:hAnsi="宋体" w:eastAsia="宋体" w:cs="宋体"/>
          <w:b w:val="0"/>
          <w:bCs w:val="0"/>
          <w:color w:val="auto"/>
          <w:sz w:val="24"/>
          <w:szCs w:val="24"/>
          <w:shd w:val="clear" w:color="auto" w:fill="FFFFFF"/>
        </w:rPr>
        <w:t>、转运后的交接</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0" w:firstLineChars="0"/>
        <w:textAlignment w:val="auto"/>
        <w:outlineLvl w:val="9"/>
        <w:rPr>
          <w:rFonts w:hint="eastAsia" w:ascii="宋体" w:hAnsi="宋体" w:eastAsia="宋体" w:cs="宋体"/>
          <w:bCs/>
          <w:color w:val="auto"/>
          <w:sz w:val="24"/>
          <w:szCs w:val="24"/>
          <w:shd w:val="clear" w:color="auto" w:fill="FFFFFF"/>
        </w:rPr>
      </w:pPr>
      <w:r>
        <w:rPr>
          <w:rFonts w:hint="eastAsia" w:ascii="宋体" w:hAnsi="宋体" w:eastAsia="宋体" w:cs="宋体"/>
          <w:bCs/>
          <w:color w:val="auto"/>
          <w:sz w:val="24"/>
          <w:szCs w:val="24"/>
          <w:shd w:val="clear" w:color="auto" w:fill="FFFFFF"/>
          <w:lang w:eastAsia="zh-CN"/>
        </w:rPr>
        <w:t>患者</w:t>
      </w:r>
      <w:r>
        <w:rPr>
          <w:rFonts w:hint="eastAsia" w:ascii="宋体" w:hAnsi="宋体" w:eastAsia="宋体" w:cs="宋体"/>
          <w:bCs/>
          <w:color w:val="auto"/>
          <w:sz w:val="24"/>
          <w:szCs w:val="24"/>
          <w:shd w:val="clear" w:color="auto" w:fill="FFFFFF"/>
        </w:rPr>
        <w:t>转运</w:t>
      </w:r>
      <w:r>
        <w:rPr>
          <w:rFonts w:hint="eastAsia" w:ascii="宋体" w:hAnsi="宋体" w:eastAsia="宋体" w:cs="宋体"/>
          <w:bCs/>
          <w:color w:val="auto"/>
          <w:sz w:val="24"/>
          <w:szCs w:val="24"/>
          <w:shd w:val="clear" w:color="auto" w:fill="FFFFFF"/>
          <w:lang w:eastAsia="zh-CN"/>
        </w:rPr>
        <w:t>至</w:t>
      </w:r>
      <w:r>
        <w:rPr>
          <w:rFonts w:hint="eastAsia" w:ascii="宋体" w:hAnsi="宋体" w:eastAsia="宋体" w:cs="宋体"/>
          <w:bCs/>
          <w:color w:val="auto"/>
          <w:sz w:val="24"/>
          <w:szCs w:val="24"/>
          <w:shd w:val="clear" w:color="auto" w:fill="FFFFFF"/>
          <w:lang w:val="en-US" w:eastAsia="zh-CN"/>
        </w:rPr>
        <w:t>ICU后，与ICU医护人员</w:t>
      </w:r>
      <w:r>
        <w:rPr>
          <w:rFonts w:hint="eastAsia" w:ascii="宋体" w:hAnsi="宋体" w:eastAsia="宋体" w:cs="宋体"/>
          <w:bCs/>
          <w:color w:val="auto"/>
          <w:sz w:val="24"/>
          <w:szCs w:val="24"/>
          <w:shd w:val="clear" w:color="auto" w:fill="FFFFFF"/>
        </w:rPr>
        <w:t>严格交接</w:t>
      </w:r>
      <w:r>
        <w:rPr>
          <w:rFonts w:hint="eastAsia" w:ascii="宋体" w:hAnsi="宋体" w:eastAsia="宋体" w:cs="宋体"/>
          <w:bCs/>
          <w:color w:val="auto"/>
          <w:sz w:val="24"/>
          <w:szCs w:val="24"/>
          <w:shd w:val="clear" w:color="auto" w:fill="FFFFFF"/>
          <w:lang w:eastAsia="zh-CN"/>
        </w:rPr>
        <w:t>，填写</w:t>
      </w:r>
      <w:r>
        <w:rPr>
          <w:rFonts w:hint="eastAsia" w:ascii="宋体" w:hAnsi="宋体" w:eastAsia="宋体" w:cs="宋体"/>
          <w:bCs/>
          <w:color w:val="auto"/>
          <w:sz w:val="24"/>
          <w:szCs w:val="24"/>
          <w:shd w:val="clear" w:color="auto" w:fill="FFFFFF"/>
        </w:rPr>
        <w:t>危重病人转入、转出交接登记记录本，由双方护士签字备查，并将病历一同交由对方科室，以保证护理治疗的连续性。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参考文献</w:t>
      </w:r>
    </w:p>
    <w:p>
      <w:pPr>
        <w:keepNext w:val="0"/>
        <w:keepLines w:val="0"/>
        <w:pageBreakBefore w:val="0"/>
        <w:widowControl w:val="0"/>
        <w:kinsoku/>
        <w:wordWrap/>
        <w:overflowPunct/>
        <w:topLinePunct w:val="0"/>
        <w:autoSpaceDE/>
        <w:autoSpaceDN/>
        <w:bidi w:val="0"/>
        <w:adjustRightInd/>
        <w:snapToGrid/>
        <w:spacing w:line="360" w:lineRule="auto"/>
        <w:ind w:left="600" w:leftChars="0" w:right="0" w:rightChars="0" w:hanging="600" w:hangingChars="250"/>
        <w:jc w:val="both"/>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［1］应急预案汇编（修订版）．沂源县人民医院，20</w:t>
      </w:r>
      <w:r>
        <w:rPr>
          <w:rFonts w:hint="eastAsia" w:ascii="宋体" w:hAnsi="宋体" w:eastAsia="宋体" w:cs="宋体"/>
          <w:color w:val="auto"/>
          <w:sz w:val="24"/>
          <w:szCs w:val="24"/>
          <w:lang w:val="en-US" w:eastAsia="zh-CN"/>
        </w:rPr>
        <w:t>19.</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eastAsia" w:ascii="黑体" w:hAnsi="黑体" w:eastAsia="黑体" w:cs="黑体"/>
          <w:b w:val="0"/>
          <w:bCs/>
          <w:color w:val="auto"/>
          <w:sz w:val="24"/>
          <w:szCs w:val="28"/>
          <w:lang w:eastAsia="zh-CN"/>
        </w:rPr>
      </w:pPr>
      <w:r>
        <w:rPr>
          <w:rFonts w:hint="eastAsia" w:ascii="黑体" w:hAnsi="黑体" w:eastAsia="黑体" w:cs="黑体"/>
          <w:b w:val="0"/>
          <w:bCs/>
          <w:color w:val="auto"/>
          <w:sz w:val="24"/>
          <w:szCs w:val="28"/>
          <w:lang w:eastAsia="zh-CN"/>
        </w:rPr>
        <w:t>修订记录</w:t>
      </w:r>
    </w:p>
    <w:tbl>
      <w:tblPr>
        <w:tblStyle w:val="28"/>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36"/>
        <w:gridCol w:w="1050"/>
        <w:gridCol w:w="2604"/>
        <w:gridCol w:w="269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序号</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修订前版本号</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修订后版本号</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修订原因、依据</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修订内容</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val="en-US" w:eastAsia="zh-CN"/>
              </w:rPr>
              <w:t>修订人/</w:t>
            </w:r>
            <w:r>
              <w:rPr>
                <w:rFonts w:hint="eastAsia" w:asciiTheme="minorEastAsia" w:hAnsiTheme="minorEastAsia" w:cstheme="minorEastAsia"/>
                <w:color w:val="auto"/>
                <w:sz w:val="21"/>
                <w:szCs w:val="21"/>
                <w:vertAlign w:val="baseline"/>
                <w:lang w:eastAsia="zh-CN"/>
              </w:rPr>
              <w:t>修订日期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45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260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r>
              <w:rPr>
                <w:rFonts w:hint="eastAsia" w:asciiTheme="minorEastAsia" w:hAnsiTheme="minorEastAsia" w:cstheme="minorEastAsia"/>
                <w:color w:val="auto"/>
                <w:sz w:val="21"/>
                <w:szCs w:val="21"/>
                <w:vertAlign w:val="baseline"/>
                <w:lang w:eastAsia="zh-CN"/>
              </w:rPr>
              <w:t>增加应急预案参考文献信息。</w:t>
            </w:r>
          </w:p>
        </w:tc>
        <w:tc>
          <w:tcPr>
            <w:tcW w:w="2699"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1.文末添加相关参考文献名称、作者、时间等信息。</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heme="minorEastAsia" w:hAnsiTheme="minorEastAsia" w:cstheme="minorEastAsia"/>
                <w:color w:val="auto"/>
                <w:sz w:val="21"/>
                <w:szCs w:val="21"/>
                <w:vertAlign w:val="baseline"/>
                <w:lang w:val="en-US" w:eastAsia="zh-CN"/>
              </w:rPr>
            </w:pPr>
          </w:p>
        </w:tc>
      </w:tr>
    </w:tbl>
    <w:p>
      <w:pPr>
        <w:pStyle w:val="33"/>
        <w:ind w:left="0" w:leftChars="0" w:firstLine="0" w:firstLineChars="0"/>
        <w:rPr>
          <w:rFonts w:hint="eastAsia"/>
          <w:color w:val="auto"/>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bCs/>
          <w:color w:val="auto"/>
          <w:sz w:val="24"/>
          <w:szCs w:val="24"/>
          <w:shd w:val="clear" w:color="auto" w:fill="FFFFFF"/>
        </w:rPr>
      </w:pPr>
      <w:r>
        <w:rPr>
          <w:rFonts w:hint="eastAsia" w:ascii="宋体" w:hAnsi="宋体" w:eastAsia="宋体" w:cs="宋体"/>
          <w:bCs/>
          <w:color w:val="auto"/>
          <w:sz w:val="24"/>
          <w:szCs w:val="24"/>
          <w:shd w:val="clear" w:color="auto" w:fill="FFFFFF"/>
        </w:rPr>
        <w:t xml:space="preserve">   </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center"/>
        <w:textAlignment w:val="auto"/>
        <w:outlineLvl w:val="9"/>
        <w:rPr>
          <w:rFonts w:hint="eastAsia" w:ascii="黑体" w:hAnsi="黑体" w:eastAsia="黑体" w:cs="黑体"/>
          <w:b/>
          <w:color w:val="auto"/>
          <w:sz w:val="28"/>
          <w:szCs w:val="28"/>
          <w:shd w:val="clear" w:color="auto" w:fill="FFFFFF"/>
          <w:lang w:eastAsia="zh-CN"/>
        </w:rPr>
        <w:sectPr>
          <w:headerReference r:id="rId216" w:type="default"/>
          <w:footerReference r:id="rId217"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center"/>
        <w:textAlignment w:val="auto"/>
        <w:outlineLvl w:val="9"/>
        <w:rPr>
          <w:rFonts w:hint="eastAsia" w:ascii="黑体" w:hAnsi="黑体" w:eastAsia="黑体" w:cs="黑体"/>
          <w:b/>
          <w:color w:val="auto"/>
          <w:sz w:val="28"/>
          <w:szCs w:val="28"/>
          <w:shd w:val="clear" w:color="auto" w:fill="FFFFFF"/>
        </w:rPr>
      </w:pPr>
      <w:r>
        <w:rPr>
          <w:rFonts w:hint="eastAsia" w:ascii="黑体" w:hAnsi="黑体" w:eastAsia="黑体" w:cs="黑体"/>
          <w:b/>
          <w:color w:val="auto"/>
          <w:sz w:val="28"/>
          <w:szCs w:val="28"/>
          <w:shd w:val="clear" w:color="auto" w:fill="FFFFFF"/>
          <w:lang w:eastAsia="zh-CN"/>
        </w:rPr>
        <w:t>高血压急症</w:t>
      </w:r>
      <w:r>
        <w:rPr>
          <w:rFonts w:hint="eastAsia" w:ascii="黑体" w:hAnsi="黑体" w:eastAsia="黑体" w:cs="黑体"/>
          <w:b/>
          <w:color w:val="auto"/>
          <w:sz w:val="28"/>
          <w:szCs w:val="28"/>
          <w:shd w:val="clear" w:color="auto" w:fill="FFFFFF"/>
        </w:rPr>
        <w:t>的</w:t>
      </w:r>
      <w:r>
        <w:rPr>
          <w:rFonts w:hint="eastAsia" w:ascii="黑体" w:hAnsi="黑体" w:eastAsia="黑体" w:cs="黑体"/>
          <w:b/>
          <w:color w:val="auto"/>
          <w:sz w:val="28"/>
          <w:szCs w:val="28"/>
          <w:shd w:val="clear" w:color="auto" w:fill="FFFFFF"/>
          <w:lang w:eastAsia="zh-CN"/>
        </w:rPr>
        <w:t>急救</w:t>
      </w:r>
      <w:r>
        <w:rPr>
          <w:rFonts w:hint="eastAsia" w:ascii="黑体" w:hAnsi="黑体" w:eastAsia="黑体" w:cs="黑体"/>
          <w:b/>
          <w:color w:val="auto"/>
          <w:sz w:val="28"/>
          <w:szCs w:val="28"/>
          <w:shd w:val="clear" w:color="auto" w:fill="FFFFFF"/>
        </w:rPr>
        <w:t>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目的</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为使</w:t>
      </w:r>
      <w:r>
        <w:rPr>
          <w:rFonts w:hint="eastAsia" w:ascii="宋体" w:hAnsi="宋体" w:eastAsia="宋体" w:cs="宋体"/>
          <w:color w:val="auto"/>
          <w:sz w:val="24"/>
          <w:szCs w:val="24"/>
          <w:lang w:eastAsia="zh-CN"/>
        </w:rPr>
        <w:t>高血压急症</w:t>
      </w:r>
      <w:r>
        <w:rPr>
          <w:rFonts w:hint="eastAsia" w:ascii="宋体" w:hAnsi="宋体" w:eastAsia="宋体" w:cs="宋体"/>
          <w:color w:val="auto"/>
          <w:sz w:val="24"/>
          <w:szCs w:val="24"/>
        </w:rPr>
        <w:t>的救治规范化，特制订本规范。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适用于</w:t>
      </w:r>
      <w:r>
        <w:rPr>
          <w:rFonts w:hint="eastAsia" w:ascii="宋体" w:hAnsi="宋体" w:eastAsia="宋体" w:cs="宋体"/>
          <w:color w:val="auto"/>
          <w:sz w:val="24"/>
          <w:szCs w:val="24"/>
          <w:lang w:val="en-US" w:eastAsia="zh-CN"/>
        </w:rPr>
        <w:t>临床</w:t>
      </w:r>
      <w:r>
        <w:rPr>
          <w:rFonts w:hint="eastAsia" w:ascii="宋体" w:hAnsi="宋体" w:eastAsia="宋体" w:cs="宋体"/>
          <w:color w:val="auto"/>
          <w:sz w:val="24"/>
          <w:szCs w:val="24"/>
        </w:rPr>
        <w:t>试验所有受试者。</w:t>
      </w:r>
    </w:p>
    <w:p>
      <w:pPr>
        <w:keepNext w:val="0"/>
        <w:keepLines w:val="0"/>
        <w:pageBreakBefore w:val="0"/>
        <w:widowControl w:val="0"/>
        <w:tabs>
          <w:tab w:val="left" w:pos="5188"/>
        </w:tabs>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ascii="宋体" w:hAnsi="宋体" w:eastAsia="宋体" w:cs="宋体"/>
          <w:color w:val="auto"/>
          <w:sz w:val="24"/>
          <w:szCs w:val="24"/>
          <w:lang w:eastAsia="zh-CN"/>
        </w:rPr>
        <w:t>、急救程序</w:t>
      </w:r>
      <w:r>
        <w:rPr>
          <w:rFonts w:hint="eastAsia" w:ascii="宋体" w:hAnsi="宋体" w:eastAsia="宋体" w:cs="宋体"/>
          <w:color w:val="auto"/>
          <w:sz w:val="24"/>
          <w:szCs w:val="24"/>
          <w:lang w:eastAsia="zh-CN"/>
        </w:rPr>
        <w:tab/>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3"/>
          <w:sz w:val="24"/>
          <w:szCs w:val="24"/>
        </w:rPr>
      </w:pPr>
      <w:r>
        <w:rPr>
          <w:rFonts w:hint="eastAsia" w:ascii="宋体" w:hAnsi="宋体" w:eastAsia="宋体" w:cs="宋体"/>
          <w:color w:val="auto"/>
          <w:kern w:val="3"/>
          <w:sz w:val="24"/>
          <w:szCs w:val="24"/>
          <w:lang w:val="en-US" w:eastAsia="zh-CN" w:bidi="ar"/>
        </w:rPr>
        <w:t>1、评估：高血压急症是指原发性或继发性高血压患者在某些诱因作用下，血压突然和显著升高(一般超过180/120mmHg) ，同时伴有进行性心、脑、肾等重要靶器官功能不全的表现。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3"/>
          <w:sz w:val="24"/>
          <w:szCs w:val="24"/>
        </w:rPr>
      </w:pPr>
      <w:r>
        <w:rPr>
          <w:rFonts w:hint="eastAsia" w:ascii="宋体" w:hAnsi="宋体" w:eastAsia="宋体" w:cs="宋体"/>
          <w:color w:val="auto"/>
          <w:kern w:val="3"/>
          <w:sz w:val="24"/>
          <w:szCs w:val="24"/>
          <w:lang w:val="en-US" w:eastAsia="zh-CN" w:bidi="ar"/>
        </w:rPr>
        <w:t xml:space="preserve">2、治疗原则: 应持续监测血压及生命体征; 去除或纠正引起血压升高的诱因及病因; 酌情使用有效的镇静药以消除恐惧心理; 尽快静脉应用合适的降压药控制血压，以阻止靶器官进一步损害，对受损的靶器官给予相应的处理; 降低并发症并改善结局。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3"/>
          <w:sz w:val="24"/>
          <w:szCs w:val="24"/>
        </w:rPr>
      </w:pPr>
      <w:r>
        <w:rPr>
          <w:rFonts w:hint="eastAsia" w:ascii="宋体" w:hAnsi="宋体" w:eastAsia="宋体" w:cs="宋体"/>
          <w:color w:val="auto"/>
          <w:kern w:val="3"/>
          <w:sz w:val="24"/>
          <w:szCs w:val="24"/>
          <w:lang w:val="en-US" w:eastAsia="zh-CN" w:bidi="ar"/>
        </w:rPr>
        <w:t xml:space="preserve">3、药物选择: 根据受累的靶器官及肝肾功能状态选择药物。理想的药物应能预期降压的强度和速度，保护靶器官功能，并方便调节。常用高血压急症的药物见第5条常用药物。经过初始静脉用药血压趋于平稳，可以开始口服药物，静脉用药逐渐减量至停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color w:val="auto"/>
          <w:kern w:val="3"/>
          <w:sz w:val="24"/>
          <w:szCs w:val="24"/>
        </w:rPr>
      </w:pPr>
      <w:r>
        <w:rPr>
          <w:rFonts w:hint="eastAsia" w:ascii="宋体" w:hAnsi="宋体" w:eastAsia="宋体" w:cs="宋体"/>
          <w:color w:val="auto"/>
          <w:kern w:val="3"/>
          <w:sz w:val="24"/>
          <w:szCs w:val="24"/>
          <w:lang w:val="en-US" w:eastAsia="zh-CN" w:bidi="ar"/>
        </w:rPr>
        <w:t xml:space="preserve">  4、降压的幅度及速度: 在不影响脏器灌注基础上降压，渐进地将血压调控至适宜水平，初始阶段( 1 小时内) 血压控制的目标为平均动脉压的降低幅度不超过治疗前水平的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3"/>
          <w:sz w:val="24"/>
          <w:szCs w:val="24"/>
          <w:lang w:val="en-US" w:eastAsia="zh-CN" w:bidi="ar"/>
        </w:rPr>
      </w:pPr>
      <w:r>
        <w:rPr>
          <w:rFonts w:hint="eastAsia" w:ascii="宋体" w:hAnsi="宋体" w:eastAsia="宋体" w:cs="宋体"/>
          <w:color w:val="auto"/>
          <w:kern w:val="3"/>
          <w:sz w:val="24"/>
          <w:szCs w:val="24"/>
          <w:lang w:val="en-US" w:eastAsia="zh-CN" w:bidi="ar"/>
        </w:rPr>
        <w:t>25%，在随后的 2 ～ 6 小时内将血压降至较安全水平，一般为160 /100mmHg 左右。如果可耐受，在以后 24 ～ 48 小时逐步降压达到正常水平。对于妊娠合并高血压急症的患者，应尽快、平稳地将血压控制到相对安全的范围( ＜ 150 /100mmHg) ，并避免血压骤降而影响胎盘血液循环。不同靶器官受损的高血压急症降压的幅度及速度不同。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3"/>
          <w:sz w:val="24"/>
          <w:szCs w:val="24"/>
          <w:lang w:val="en-US" w:eastAsia="zh-CN" w:bidi="ar"/>
        </w:rPr>
      </w:pPr>
      <w:r>
        <w:rPr>
          <w:rFonts w:hint="eastAsia" w:ascii="宋体" w:hAnsi="宋体" w:eastAsia="宋体" w:cs="宋体"/>
          <w:color w:val="auto"/>
          <w:kern w:val="3"/>
          <w:sz w:val="24"/>
          <w:szCs w:val="24"/>
          <w:lang w:val="en-US" w:eastAsia="zh-CN" w:bidi="ar"/>
        </w:rPr>
        <w:t>5、常用药物：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3"/>
          <w:sz w:val="24"/>
          <w:szCs w:val="24"/>
          <w:lang w:val="en-US" w:eastAsia="zh-CN" w:bidi="ar"/>
        </w:rPr>
      </w:pPr>
      <w:r>
        <w:rPr>
          <w:rFonts w:hint="eastAsia" w:ascii="宋体" w:hAnsi="宋体" w:eastAsia="宋体" w:cs="宋体"/>
          <w:color w:val="auto"/>
          <w:kern w:val="3"/>
          <w:sz w:val="24"/>
          <w:szCs w:val="24"/>
          <w:lang w:val="en-US" w:eastAsia="zh-CN" w:bidi="ar"/>
        </w:rPr>
        <w:t>硝普钠：同时直接扩张动静脉，降低心脏前、后负荷。静脉给药后立即起效，高峰时间1～2分钟，停药后仅维持3～5分钟，常用剂量0.25~10μg/(kg·min)，用时根据血压水平仔细调节滴注速度。（注意：硝普钠禁用于子痫，因该药能通过胎盘；慎用于肝肾功能不全患者，因该药在体内红细胞中代谢产生氰化物，长期大量使用可能发生硫氰酸中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3"/>
          <w:sz w:val="24"/>
          <w:szCs w:val="24"/>
          <w:lang w:val="en-US" w:eastAsia="zh-CN" w:bidi="ar"/>
        </w:rPr>
      </w:pPr>
      <w:r>
        <w:rPr>
          <w:rFonts w:hint="eastAsia" w:ascii="宋体" w:hAnsi="宋体" w:eastAsia="宋体" w:cs="宋体"/>
          <w:color w:val="auto"/>
          <w:kern w:val="3"/>
          <w:sz w:val="24"/>
          <w:szCs w:val="24"/>
          <w:lang w:val="en-US" w:eastAsia="zh-CN" w:bidi="ar"/>
        </w:rPr>
        <w:t>硝酸甘油：扩张静脉和选择性扩张冠状动脉与大动脉，降低前、后负荷。静脉给药后1～2分钟起效，高峰时间1～2分钟，停药后仅维持5～10分钟左右，常用剂量5～100μg/min，自5～10μg／min起始，根据血压监测情况，可逐步增加剂量。滴注速度过快可引起头痛、心动过速或呕吐；持续滴注12小时可产生耐药作用，此时须增加剂量或换用其他药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3"/>
          <w:sz w:val="24"/>
          <w:szCs w:val="24"/>
          <w:lang w:val="en-US" w:eastAsia="zh-CN" w:bidi="ar"/>
        </w:rPr>
      </w:pPr>
      <w:r>
        <w:rPr>
          <w:rFonts w:hint="eastAsia" w:ascii="宋体" w:hAnsi="宋体" w:eastAsia="宋体" w:cs="宋体"/>
          <w:color w:val="auto"/>
          <w:kern w:val="3"/>
          <w:sz w:val="24"/>
          <w:szCs w:val="24"/>
          <w:lang w:val="en-US" w:eastAsia="zh-CN" w:bidi="ar"/>
        </w:rPr>
        <w:t>乌拉地尔：降压效果平稳显著，并且具有减轻心脏负荷，降低心肌耗氧量，增加心搏出量，降低肺动脉高压及增加肾血流量，而不引起反射性心动过速的优点。起效5分钟，持续2～8小时，常用剂量10～50mg 静脉注射，降压效果不满意时可5～10分钟重复一次，或6～24mg／h静脉泵入或滴注。不良反应较少，可见嗜睡、恶心、头痛、乏力等，常在用药早期出现，多能耐受。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3"/>
          <w:sz w:val="24"/>
          <w:szCs w:val="24"/>
          <w:lang w:val="en-US" w:eastAsia="zh-CN" w:bidi="ar"/>
        </w:rPr>
      </w:pPr>
      <w:r>
        <w:rPr>
          <w:rFonts w:hint="eastAsia" w:ascii="宋体" w:hAnsi="宋体" w:eastAsia="宋体" w:cs="宋体"/>
          <w:color w:val="auto"/>
          <w:kern w:val="3"/>
          <w:sz w:val="24"/>
          <w:szCs w:val="24"/>
          <w:lang w:val="en-US" w:eastAsia="zh-CN" w:bidi="ar"/>
        </w:rPr>
        <w:t>拉贝洛尔：兼有α受体阻滞作用的β受体阻滞剂，降压作用强而平稳。起效5～10分钟，持续3～6小时，起始缓慢静脉注射20～100mg，必要时15分钟后重复一次，也可0.5～2.0mg／min 静脉滴注，24小时总剂量不超过300mg。主要用于妊娠期或肾衰竭时高血压急症，也作为使用硝普钠疗效欠佳者的次选药。（注意，该药物不良反应有直立性低血压、头晕、心脏传导阻滞等，偶可诱发支气管哮喘，慎用于心功能不全患者。）</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3"/>
          <w:sz w:val="24"/>
          <w:szCs w:val="24"/>
          <w:lang w:val="en-US" w:eastAsia="zh-CN" w:bidi="ar"/>
        </w:rPr>
      </w:pPr>
      <w:r>
        <w:rPr>
          <w:rFonts w:hint="eastAsia" w:ascii="宋体" w:hAnsi="宋体" w:eastAsia="宋体" w:cs="宋体"/>
          <w:color w:val="auto"/>
          <w:kern w:val="3"/>
          <w:sz w:val="24"/>
          <w:szCs w:val="24"/>
          <w:lang w:val="en-US" w:eastAsia="zh-CN" w:bidi="ar"/>
        </w:rPr>
        <w:t>参考文献</w:t>
      </w:r>
    </w:p>
    <w:p>
      <w:pPr>
        <w:keepNext w:val="0"/>
        <w:keepLines w:val="0"/>
        <w:pageBreakBefore w:val="0"/>
        <w:widowControl w:val="0"/>
        <w:numPr>
          <w:ilvl w:val="0"/>
          <w:numId w:val="91"/>
        </w:numPr>
        <w:kinsoku/>
        <w:wordWrap w:val="0"/>
        <w:overflowPunct/>
        <w:topLinePunct w:val="0"/>
        <w:autoSpaceDE/>
        <w:autoSpaceDN/>
        <w:bidi w:val="0"/>
        <w:adjustRightInd/>
        <w:snapToGrid/>
        <w:spacing w:line="360" w:lineRule="auto"/>
        <w:ind w:left="360" w:right="0" w:rightChars="0" w:hanging="360" w:hangingChars="15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中国高血压防治指南2018年修订版［J］．心脑血管病防治，2019,19（01）：1-44．</w:t>
      </w:r>
    </w:p>
    <w:p>
      <w:pPr>
        <w:keepNext w:val="0"/>
        <w:keepLines w:val="0"/>
        <w:pageBreakBefore w:val="0"/>
        <w:widowControl w:val="0"/>
        <w:numPr>
          <w:ilvl w:val="0"/>
          <w:numId w:val="91"/>
        </w:numPr>
        <w:kinsoku/>
        <w:wordWrap w:val="0"/>
        <w:overflowPunct/>
        <w:topLinePunct w:val="0"/>
        <w:autoSpaceDE/>
        <w:autoSpaceDN/>
        <w:bidi w:val="0"/>
        <w:adjustRightInd/>
        <w:snapToGrid/>
        <w:spacing w:line="360" w:lineRule="auto"/>
        <w:ind w:left="360" w:right="0" w:rightChars="0" w:hanging="360" w:hangingChars="150"/>
        <w:textAlignment w:val="auto"/>
        <w:outlineLvl w:val="9"/>
        <w:rPr>
          <w:rFonts w:hint="eastAsia" w:ascii="宋体" w:hAnsi="宋体" w:eastAsia="宋体" w:cs="宋体"/>
          <w:color w:val="auto"/>
          <w:sz w:val="24"/>
          <w:szCs w:val="24"/>
          <w:lang w:eastAsia="zh-CN"/>
        </w:rPr>
      </w:pPr>
      <w:r>
        <w:rPr>
          <w:rFonts w:hint="eastAsia" w:ascii="宋体" w:hAnsi="宋体" w:eastAsia="宋体" w:cs="Arial"/>
          <w:i w:val="0"/>
          <w:iCs w:val="0"/>
          <w:caps w:val="0"/>
          <w:color w:val="auto"/>
          <w:spacing w:val="0"/>
          <w:sz w:val="24"/>
          <w:szCs w:val="30"/>
          <w:shd w:val="clear" w:fill="FFFFFF"/>
          <w:lang w:val="en-US" w:eastAsia="zh-CN"/>
        </w:rPr>
        <w:t>陈燕启，李小刚.急危重症“三基”理论与实践上册.第四章第六节高血压急症</w:t>
      </w:r>
      <w:r>
        <w:rPr>
          <w:rFonts w:hint="default" w:ascii="宋体" w:hAnsi="宋体" w:eastAsia="宋体" w:cs="Arial"/>
          <w:i w:val="0"/>
          <w:iCs w:val="0"/>
          <w:caps w:val="0"/>
          <w:color w:val="auto"/>
          <w:spacing w:val="0"/>
          <w:sz w:val="24"/>
          <w:szCs w:val="30"/>
          <w:shd w:val="clear" w:fill="FFFFFF"/>
          <w:lang w:val="en-US" w:eastAsia="zh-CN"/>
        </w:rPr>
        <w:t>［M］</w:t>
      </w:r>
      <w:r>
        <w:rPr>
          <w:rFonts w:hint="eastAsia" w:ascii="宋体" w:hAnsi="宋体" w:eastAsia="宋体" w:cs="Arial"/>
          <w:i w:val="0"/>
          <w:iCs w:val="0"/>
          <w:caps w:val="0"/>
          <w:color w:val="auto"/>
          <w:spacing w:val="0"/>
          <w:sz w:val="24"/>
          <w:szCs w:val="30"/>
          <w:shd w:val="clear" w:fill="FFFFFF"/>
          <w:lang w:val="en-US" w:eastAsia="zh-CN"/>
        </w:rPr>
        <w:t>.北京：人民卫生出版社，2015.</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360" w:right="0" w:rightChars="0" w:hanging="360" w:hangingChars="150"/>
        <w:textAlignment w:val="auto"/>
        <w:outlineLvl w:val="9"/>
        <w:rPr>
          <w:rFonts w:hint="default" w:ascii="宋体" w:hAnsi="宋体" w:eastAsia="宋体" w:cs="Arial"/>
          <w:i w:val="0"/>
          <w:iCs w:val="0"/>
          <w:caps w:val="0"/>
          <w:color w:val="auto"/>
          <w:spacing w:val="0"/>
          <w:sz w:val="24"/>
          <w:szCs w:val="30"/>
          <w:shd w:val="clear" w:fill="FFFFFF"/>
          <w:lang w:val="en-US" w:eastAsia="zh-CN"/>
        </w:rPr>
      </w:pPr>
      <w:r>
        <w:rPr>
          <w:rFonts w:hint="eastAsia" w:ascii="宋体" w:hAnsi="宋体" w:eastAsia="宋体" w:cs="Arial"/>
          <w:i w:val="0"/>
          <w:iCs w:val="0"/>
          <w:caps w:val="0"/>
          <w:color w:val="auto"/>
          <w:spacing w:val="0"/>
          <w:sz w:val="24"/>
          <w:szCs w:val="30"/>
          <w:shd w:val="clear" w:fill="FFFFFF"/>
          <w:lang w:val="en-US" w:eastAsia="zh-CN"/>
        </w:rPr>
        <w:t>[3]</w:t>
      </w:r>
      <w:r>
        <w:rPr>
          <w:rFonts w:hint="default" w:ascii="宋体" w:hAnsi="宋体" w:eastAsia="宋体" w:cs="Arial"/>
          <w:i w:val="0"/>
          <w:iCs w:val="0"/>
          <w:caps w:val="0"/>
          <w:color w:val="auto"/>
          <w:spacing w:val="0"/>
          <w:sz w:val="24"/>
          <w:szCs w:val="30"/>
          <w:shd w:val="clear" w:fill="FFFFFF"/>
          <w:lang w:val="en-US" w:eastAsia="zh-CN"/>
        </w:rPr>
        <w:t>陈灏珠，林果为．实用内科学（第1</w:t>
      </w:r>
      <w:r>
        <w:rPr>
          <w:rFonts w:hint="eastAsia" w:ascii="宋体" w:hAnsi="宋体" w:eastAsia="宋体" w:cs="Arial"/>
          <w:i w:val="0"/>
          <w:iCs w:val="0"/>
          <w:caps w:val="0"/>
          <w:color w:val="auto"/>
          <w:spacing w:val="0"/>
          <w:sz w:val="24"/>
          <w:szCs w:val="30"/>
          <w:shd w:val="clear" w:fill="FFFFFF"/>
          <w:lang w:val="en-US" w:eastAsia="zh-CN"/>
        </w:rPr>
        <w:t>6</w:t>
      </w:r>
      <w:r>
        <w:rPr>
          <w:rFonts w:hint="default" w:ascii="宋体" w:hAnsi="宋体" w:eastAsia="宋体" w:cs="Arial"/>
          <w:i w:val="0"/>
          <w:iCs w:val="0"/>
          <w:caps w:val="0"/>
          <w:color w:val="auto"/>
          <w:spacing w:val="0"/>
          <w:sz w:val="24"/>
          <w:szCs w:val="30"/>
          <w:shd w:val="clear" w:fill="FFFFFF"/>
          <w:lang w:val="en-US" w:eastAsia="zh-CN"/>
        </w:rPr>
        <w:t>版）上册</w:t>
      </w:r>
      <w:r>
        <w:rPr>
          <w:rFonts w:hint="eastAsia" w:ascii="宋体" w:hAnsi="宋体" w:eastAsia="宋体" w:cs="Arial"/>
          <w:i w:val="0"/>
          <w:iCs w:val="0"/>
          <w:caps w:val="0"/>
          <w:color w:val="auto"/>
          <w:spacing w:val="0"/>
          <w:sz w:val="24"/>
          <w:szCs w:val="30"/>
          <w:shd w:val="clear" w:fill="FFFFFF"/>
          <w:lang w:val="en-US" w:eastAsia="zh-CN"/>
        </w:rPr>
        <w:t>.第十二篇循环系统疾病.第十章高血压</w:t>
      </w:r>
      <w:r>
        <w:rPr>
          <w:rFonts w:hint="default" w:ascii="宋体" w:hAnsi="宋体" w:eastAsia="宋体" w:cs="Arial"/>
          <w:i w:val="0"/>
          <w:iCs w:val="0"/>
          <w:caps w:val="0"/>
          <w:color w:val="auto"/>
          <w:spacing w:val="0"/>
          <w:sz w:val="24"/>
          <w:szCs w:val="30"/>
          <w:shd w:val="clear" w:fill="FFFFFF"/>
          <w:lang w:val="en-US" w:eastAsia="zh-CN"/>
        </w:rPr>
        <w:t>［M］．北京：人民卫生出版社，20</w:t>
      </w:r>
      <w:r>
        <w:rPr>
          <w:rFonts w:hint="eastAsia" w:ascii="宋体" w:hAnsi="宋体" w:eastAsia="宋体" w:cs="Arial"/>
          <w:i w:val="0"/>
          <w:iCs w:val="0"/>
          <w:caps w:val="0"/>
          <w:color w:val="auto"/>
          <w:spacing w:val="0"/>
          <w:sz w:val="24"/>
          <w:szCs w:val="30"/>
          <w:shd w:val="clear" w:fill="FFFFFF"/>
          <w:lang w:val="en-US" w:eastAsia="zh-CN"/>
        </w:rPr>
        <w:t>22.</w:t>
      </w:r>
    </w:p>
    <w:p>
      <w:pPr>
        <w:pStyle w:val="33"/>
        <w:rPr>
          <w:rFonts w:hint="eastAsia"/>
          <w:color w:val="auto"/>
          <w:lang w:eastAsia="zh-CN"/>
        </w:rPr>
        <w:sectPr>
          <w:headerReference r:id="rId218"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pPr>
    </w:p>
    <w:p>
      <w:pPr>
        <w:keepNext w:val="0"/>
        <w:keepLines w:val="0"/>
        <w:pageBreakBefore w:val="0"/>
        <w:widowControl w:val="0"/>
        <w:numPr>
          <w:ilvl w:val="0"/>
          <w:numId w:val="0"/>
        </w:numPr>
        <w:tabs>
          <w:tab w:val="left" w:pos="575"/>
        </w:tabs>
        <w:kinsoku/>
        <w:wordWrap/>
        <w:overflowPunct/>
        <w:topLinePunct w:val="0"/>
        <w:autoSpaceDE/>
        <w:autoSpaceDN/>
        <w:bidi w:val="0"/>
        <w:adjustRightInd/>
        <w:snapToGrid/>
        <w:spacing w:line="360" w:lineRule="auto"/>
        <w:ind w:right="0" w:rightChars="0"/>
        <w:jc w:val="center"/>
        <w:textAlignment w:val="auto"/>
        <w:outlineLvl w:val="9"/>
        <w:rPr>
          <w:rFonts w:hint="eastAsia" w:ascii="黑体" w:hAnsi="黑体" w:eastAsia="黑体" w:cs="黑体"/>
          <w:color w:val="auto"/>
          <w:sz w:val="28"/>
          <w:szCs w:val="28"/>
        </w:rPr>
      </w:pPr>
      <w:r>
        <w:rPr>
          <w:rFonts w:hint="eastAsia" w:ascii="黑体" w:hAnsi="黑体" w:eastAsia="黑体" w:cs="黑体"/>
          <w:b/>
          <w:bCs/>
          <w:color w:val="auto"/>
          <w:sz w:val="28"/>
          <w:szCs w:val="28"/>
          <w:lang w:eastAsia="zh-CN"/>
        </w:rPr>
        <w:t>急性药物性肝损伤</w:t>
      </w:r>
      <w:r>
        <w:rPr>
          <w:rFonts w:hint="eastAsia" w:ascii="黑体" w:hAnsi="黑体" w:eastAsia="黑体" w:cs="黑体"/>
          <w:b/>
          <w:bCs/>
          <w:color w:val="auto"/>
          <w:sz w:val="28"/>
          <w:szCs w:val="28"/>
        </w:rPr>
        <w:t>的</w:t>
      </w:r>
      <w:r>
        <w:rPr>
          <w:rFonts w:hint="eastAsia" w:ascii="黑体" w:hAnsi="黑体" w:eastAsia="黑体" w:cs="黑体"/>
          <w:b/>
          <w:bCs/>
          <w:color w:val="auto"/>
          <w:sz w:val="28"/>
          <w:szCs w:val="28"/>
          <w:lang w:eastAsia="zh-CN"/>
        </w:rPr>
        <w:t>急救</w:t>
      </w:r>
      <w:r>
        <w:rPr>
          <w:rFonts w:hint="eastAsia" w:ascii="黑体" w:hAnsi="黑体" w:eastAsia="黑体" w:cs="黑体"/>
          <w:b/>
          <w:bCs/>
          <w:color w:val="auto"/>
          <w:sz w:val="28"/>
          <w:szCs w:val="28"/>
        </w:rPr>
        <w:t>预案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为使药物性肝损伤的救治规范化，特制订本规范。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适用于临床试验所有受试者。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三、急救程序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估：急性药物性肝损伤多数患者无明显症状，仅有肝生化指标不同程度升高；部分可有消化道症状；淤胆明显者可有全身皮肤黄染、大便颜色变浅和皮肤瘙痒等；少数患者可有发热、皮疹等过敏表现，或伴有其他肝外器官损伤的表现；病情严重者可出现急性肝功能衰竭（ALF）或亚急性肝功能衰竭（SALF）。</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诊断要点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全面细致地追溯可疑药物应用史，甄别肝生化异常与用药的时间关系。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除外其他肝损伤病因。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当有基础肝病或多种肝损伤病因存在时，应仔细甄别最可能原因。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必要时应考虑肝活检。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一般来说，药物性肝损伤的第一个迹象是肝脏生化改变，只有在已经发生严重伤害时才会出现与急性药物性肝损伤相关的症状和体征。通过肝脏生化检测，及时识别可疑药物肝毒性是诊治药物性肝损伤最重要的；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治疗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急性药物性肝损伤迄今仍缺乏特异的治疗，当前可采用的基本治疗方法是：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停用可疑肝损伤药物 及时停用可疑的肝损伤药物，尽量避免再次使用可疑或同类药物。是最为重要的治疗措施；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请消化内科会诊，必要时转消化内科专科治疗；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解毒治疗 对固有型药物性肝损伤，可采用早期洗胃、导泻，血液透析，早期使用N-乙酰半胱氨酸。其中早期使用N-乙酰半胱氨酸（NAC）可有效治疗对乙酰氨基酚过量导致的肝损伤；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支持治疗 加强支持疗法，维持内环境稳定，可酌情补充血浆、白蛋白、支链氨基酸等，无肝性脑病时可给予高热量高蛋白饮食，补充维生素，注意维持水电解质和酸碱平衡；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合理应用肝病治疗药物 保肝药物种类繁多，包括以抗炎保肝为主的甘草酸制剂类、水飞蓟宾类，抗自由基损伤为主的硫普罗宁、还原型谷胱甘肽、N-乙酰半胱氨酸，保护肝细胞膜为主的多烯磷脂酰胆碱，促进肝细胞代谢的腺苷蛋氨酸、葡醛内酯、复合辅酶、门冬氨酸钾镁，促进肝细胞修复、再生的促肝细胞生长因子，促进胆红素及胆汁酸代谢的腺苷</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参考文献</w:t>
      </w:r>
    </w:p>
    <w:p>
      <w:pPr>
        <w:keepNext w:val="0"/>
        <w:keepLines w:val="0"/>
        <w:pageBreakBefore w:val="0"/>
        <w:widowControl w:val="0"/>
        <w:kinsoku/>
        <w:wordWrap/>
        <w:overflowPunct/>
        <w:topLinePunct w:val="0"/>
        <w:autoSpaceDE/>
        <w:autoSpaceDN/>
        <w:bidi w:val="0"/>
        <w:adjustRightInd/>
        <w:snapToGrid/>
        <w:spacing w:line="360" w:lineRule="auto"/>
        <w:ind w:left="600" w:hanging="600" w:hangingChars="25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［1］陈灏珠，林果为．实用内科学（第16版）下册.第十五篇消化系统疾病.第八章第二节药物性肝病［M］．北京：人民卫生出版社，2022</w:t>
      </w:r>
      <w:r>
        <w:rPr>
          <w:rFonts w:hint="eastAsia" w:ascii="宋体" w:hAnsi="宋体" w:eastAsia="宋体" w:cs="宋体"/>
          <w:color w:val="auto"/>
          <w:sz w:val="24"/>
          <w:szCs w:val="24"/>
          <w:lang w:val="en-US" w:eastAsia="zh-CN"/>
        </w:rPr>
        <w:t>.</w:t>
      </w:r>
    </w:p>
    <w:p>
      <w:pPr>
        <w:bidi w:val="0"/>
        <w:jc w:val="both"/>
        <w:rPr>
          <w:rFonts w:hint="eastAsia"/>
          <w:color w:val="auto"/>
          <w:lang w:val="en-US" w:eastAsia="zh-CN"/>
        </w:rPr>
      </w:pPr>
      <w:r>
        <w:rPr>
          <w:rFonts w:hint="eastAsia" w:ascii="宋体" w:hAnsi="宋体" w:eastAsia="宋体" w:cs="宋体"/>
          <w:color w:val="auto"/>
          <w:sz w:val="24"/>
          <w:szCs w:val="24"/>
        </w:rPr>
        <w:t>［2］陈旻湖，杨云生，唐承薇.消化病学［M］.北京：人民卫生出版社，2019.</w:t>
      </w:r>
    </w:p>
    <w:p>
      <w:pPr>
        <w:bidi w:val="0"/>
        <w:jc w:val="both"/>
        <w:rPr>
          <w:rFonts w:hint="eastAsia"/>
          <w:color w:val="auto"/>
          <w:lang w:val="en-US" w:eastAsia="zh-CN"/>
        </w:rPr>
      </w:pPr>
    </w:p>
    <w:sectPr>
      <w:headerReference r:id="rId219" w:type="default"/>
      <w:footerReference r:id="rId220" w:type="default"/>
      <w:pgSz w:w="11906" w:h="16838"/>
      <w:pgMar w:top="1417" w:right="1191" w:bottom="1474" w:left="1474" w:header="0" w:footer="992" w:gutter="0"/>
      <w:pgBorders>
        <w:top w:val="none" w:sz="0" w:space="0"/>
        <w:left w:val="none" w:sz="0" w:space="0"/>
        <w:bottom w:val="none" w:sz="0" w:space="0"/>
        <w:right w:val="none" w:sz="0" w:space="0"/>
      </w:pgBorders>
      <w:pgNumType w:fmt="decimal"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ì.">
    <w:altName w:val="宋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仿宋体">
    <w:altName w:val="仿宋"/>
    <w:panose1 w:val="00000000000000000000"/>
    <w:charset w:val="86"/>
    <w:family w:val="roman"/>
    <w:pitch w:val="default"/>
    <w:sig w:usb0="00000000" w:usb1="00000000" w:usb2="00000010" w:usb3="00000000" w:csb0="00040000" w:csb1="00000000"/>
  </w:font>
  <w:font w:name="新宋体-18030">
    <w:altName w:val="宋体"/>
    <w:panose1 w:val="00000000000000000000"/>
    <w:charset w:val="86"/>
    <w:family w:val="auto"/>
    <w:pitch w:val="default"/>
    <w:sig w:usb0="00000000" w:usb1="00000000" w:usb2="0000001E" w:usb3="00000000" w:csb0="003C0041" w:csb1="00000000"/>
  </w:font>
  <w:font w:name="Malgun Gothic">
    <w:panose1 w:val="020B0503020000020004"/>
    <w:charset w:val="81"/>
    <w:family w:val="swiss"/>
    <w:pitch w:val="default"/>
    <w:sig w:usb0="9000002F" w:usb1="29D77CFB" w:usb2="00000012" w:usb3="00000000" w:csb0="00080001" w:csb1="00000000"/>
  </w:font>
  <w:font w:name="FZSSK--GBK1-0">
    <w:altName w:val="Segoe Print"/>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FZHTK--GBK1-0">
    <w:altName w:val="Segoe Print"/>
    <w:panose1 w:val="00000000000000000000"/>
    <w:charset w:val="00"/>
    <w:family w:val="auto"/>
    <w:pitch w:val="default"/>
    <w:sig w:usb0="00000000" w:usb1="00000000" w:usb2="00000000" w:usb3="00000000" w:csb0="00000000" w:csb1="00000000"/>
  </w:font>
  <w:font w:name="NEU-BZ-Bold">
    <w:altName w:val="Segoe Print"/>
    <w:panose1 w:val="00000000000000000000"/>
    <w:charset w:val="00"/>
    <w:family w:val="auto"/>
    <w:pitch w:val="default"/>
    <w:sig w:usb0="00000000" w:usb1="00000000" w:usb2="00000000" w:usb3="00000000" w:csb0="00000000" w:csb1="00000000"/>
  </w:font>
  <w:font w:name="方正粗圆_GBK">
    <w:altName w:val="Segoe Print"/>
    <w:panose1 w:val="00000000000000000000"/>
    <w:charset w:val="00"/>
    <w:family w:val="auto"/>
    <w:pitch w:val="default"/>
    <w:sig w:usb0="00000000" w:usb1="00000000" w:usb2="00000000" w:usb3="00000000" w:csb0="00000000" w:csb1="00000000"/>
  </w:font>
  <w:font w:name="FZKTK--GBK1-00">
    <w:altName w:val="Segoe Print"/>
    <w:panose1 w:val="00000000000000000000"/>
    <w:charset w:val="00"/>
    <w:family w:val="auto"/>
    <w:pitch w:val="default"/>
    <w:sig w:usb0="00000000" w:usb1="00000000" w:usb2="00000000" w:usb3="00000000" w:csb0="00000000" w:csb1="00000000"/>
  </w:font>
  <w:font w:name="FZHTK--GBK1-00">
    <w:altName w:val="Segoe Print"/>
    <w:panose1 w:val="00000000000000000000"/>
    <w:charset w:val="00"/>
    <w:family w:val="auto"/>
    <w:pitch w:val="default"/>
    <w:sig w:usb0="00000000" w:usb1="00000000" w:usb2="00000000" w:usb3="00000000" w:csb0="00000000" w:csb1="00000000"/>
  </w:font>
  <w:font w:name="E-HZ">
    <w:altName w:val="Segoe Print"/>
    <w:panose1 w:val="00000000000000000000"/>
    <w:charset w:val="00"/>
    <w:family w:val="auto"/>
    <w:pitch w:val="default"/>
    <w:sig w:usb0="00000000" w:usb1="00000000" w:usb2="00000000" w:usb3="00000000" w:csb0="00000000" w:csb1="00000000"/>
  </w:font>
  <w:font w:name="SSJ4">
    <w:altName w:val="Segoe Print"/>
    <w:panose1 w:val="00000000000000000000"/>
    <w:charset w:val="00"/>
    <w:family w:val="auto"/>
    <w:pitch w:val="default"/>
    <w:sig w:usb0="00000000" w:usb1="00000000" w:usb2="00000000" w:usb3="00000000" w:csb0="00000000" w:csb1="00000000"/>
  </w:font>
  <w:font w:name="E-BZ">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w:t>
                    </w:r>
                    <w:r>
                      <w:t xml:space="preserve"> 页</w:t>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eastAsia="宋体"/>
        <w:lang w:val="en-US" w:eastAsia="zh-CN"/>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RHX+8sBAACd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rpavKXHc4sgv379dfvy6/PxK&#10;ltXLLFEfoMbMu4C5aXjrB1yc2Q/ozMwHFW3+IieCcRT4fBVYDomI/Gi9Wq8rDAmMzRfEZw/PQ4T0&#10;TnpLstHQiBMswvLTB0hj6pySqzl/q40pUzTuLwdiZg/LvY89ZisN+2EitPftGfn0OPyGOtx1Ssx7&#10;h9rmPZmNOBv72TiGqA9dWaRcD8KbY8ImSm+5wgg7FcapFXbThuW1+PNesh7+qu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DkR1/vLAQAAnQ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4J2Z8sBAACd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qJg3fc4sgv379dfvy6/PxK&#10;ltXrLFEfoMbMh4C5abjzAy7O7Ad0ZuaDijZ/kRPBOAp8vgosh0REfrRerdcVhgTG5gvis8fnIUJ6&#10;K70l2WhoxAkWYfnpPaQxdU7J1Zy/18aUKRr3lwMxs4fl3sces5WG/TAR2vv2jHx6HH5DHe46Jead&#10;Q23znsxGnI39bBxD1IeuLFKuB+H2mLCJ0luuMMJOhXFqhd20YXkt/ryXrMe/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DuCdmfLAQAAnQ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27"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i1cmQzAEAAJ0DAAAOAAAAAAAAAAEAIAAAAB4BAABkcnMvZTJv&#10;RG9jLnhtbFBLBQYAAAAABgAGAFkBAABc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27"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3JovqzAEAAJ0DAAAOAAAAAAAAAAEAIAAAAB4BAABkcnMvZTJv&#10;RG9jLnhtbFBLBQYAAAAABgAGAFkBAABc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w:t>
                    </w:r>
                    <w:r>
                      <w:t xml:space="preserve"> 页</w:t>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eastAsia="宋体"/>
        <w:lang w:val="en-US" w:eastAsia="zh-CN"/>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g8MY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YPDGNAIAAGUEAAAOAAAAAAAAAAEAIAAAAB8BAABkcnMvZTJvRG9jLnhtbFBL&#10;BQYAAAAABgAGAFkBAADFBQ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w:t>
                    </w:r>
                    <w:r>
                      <w:t xml:space="preserve"> 页</w:t>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pBSsHzAEAAJ0DAAAOAAAAAAAAAAEAIAAAAB4BAABkcnMvZTJv&#10;RG9jLnhtbFBLBQYAAAAABgAGAFkBAABc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10"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mGPh7LAQAAnQ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eastAsiaTheme="minorEastAsia"/>
        <w:lang w:val="en-US" w:eastAsia="zh-CN"/>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w:t>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w:t>
                          </w:r>
                          <w:r>
                            <w:rPr>
                              <w:rFonts w:hint="eastAsia"/>
                              <w:lang w:eastAsia="zh-CN"/>
                            </w:rPr>
                            <w:t xml:space="preserve"> 页</w:t>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ARslsoBAACbAwAADgAAAGRycy9lMm9Eb2MueG1srVPNjtMwEL4j8Q6W&#10;79TZagV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EtbsL1G0octzjy84/v55+/z7++&#10;kessUB+gxrz7gJlpeOsHTJ79gM7Me1DR5i8yIhhHeU8XeeWQiMiPVsvVqsKQwNh8QXz28DxESO+k&#10;tyQbDY04vyIrP36ANKbOKbma83famDJD4/5xIGb2sNz72GO20rAbJkI7356QT4+jb6jDTafEvHeo&#10;bN6S2YizsZuNQ4h635U1yvUg3B4SNlF6yxVG2Kkwzqywm/YrL8Xf95L18E9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xARslsoBAACb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w:t>
                    </w:r>
                    <w:r>
                      <w:rPr>
                        <w:rFonts w:hint="eastAsia"/>
                        <w:lang w:eastAsia="zh-CN"/>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7PT98kBAACb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AaB++4xZGff/44//pz/v2d&#10;vMkC9QFqzLsNmJmG937A5NkP6My8BxVt/iIjgnGU93SRVw6JiPxotVytKgwJjM0XxGf3z0OE9EF6&#10;S7LR0IjzK7Ly4ydIY+qckqs5f6ONKTM07j8HYmYPy72PPWYrDbthIrTz7Qn59Dj6hjrcdErMR4fK&#10;5i2ZjTgbu9k4hKj3XVmjXA/Cu0PCJkpvucIIOxXGmRV2037lpfj3XrLu/6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bs9P3yQEAAJs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V/C9soBAACbAwAADgAAAGRycy9lMm9Eb2MueG1srVPNjtMwEL4j8Q6W&#10;79TZCq1K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gWN+H1G0octzjy84/v55+/z7++&#10;kessUB+gxrz7gJlpeOsHTJ79gM7Me1DR5i8yIhhHeU8XeeWQiMiPVsvVqsKQwNh8QXz28DxESO+k&#10;tyQbDY04vyIrP36ANKbOKbma83famDJD4/5xIGb2sNz72GO20rAbJkI7356QT4+jb6jDTafEvHeo&#10;bN6S2YizsZuNQ4h635U1yvUg3B4SNlF6yxVG2Kkwzqywm/YrL8Xf95L18E9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KV/C9soBAACb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Qazt8kBAACbAwAADgAAAGRycy9lMm9Eb2MueG1srVPNjtMwEL4j8Q6W&#10;79TZSkA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AaNXHc4sjPP3+cf/05//5O&#10;3maB+gA15t0GzEzDez9g8uwHdGbeg4o2f5ERwThCnS7yyiERkR+tlqtVhSGBsfmC+Oz+eYiQPkhv&#10;STYaGnF+RVZ+/ARpTJ1TcjXnb7QxZYbG/edAzOxhufexx2ylYTdMhHa+PSGfHkffUIebTon56FBZ&#10;7C/NRpyN3WwcQtT7rqxRrgfh3SFhE6W3XGGEnQrjzAq7ab/yUvx7L1n3/9T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5BrO3yQEAAJs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9Z1AcoBAACbAwAADgAAAGRycy9lMm9Eb2MueG1srVNLbtswEN0XyB0I&#10;7mPKBlo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7C2yUllhsc+fn7t/OPX+ef&#10;X0mZBOo9VJj35DEzDnduwOTZD+hMvIc2mPRFRgTjKO/pIq8cIhHpUbkqywJDAmPzBfHZ83MfIL6X&#10;zpBk1DTg/LKs/PgIcUydU1I16+6V1nmG2v7lQMzkYan3scdkxWE3TIR2rjkhnx5HX1OLm06JfrCo&#10;bNqS2QizsZuNgw9q3+U1SvXA3x4iNpF7SxVG2Kkwziyzm/YrLcWf95z1/E9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9Z1AcoBAACb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fcKb8oBAACbAwAADgAAAGRycy9lMm9Eb2MueG1srVPNjtMwEL4j8Q6W&#10;79TZSqA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B6SYnjFkd+/vnj/OvP+fd3&#10;8jYL1AeoMe82YGYa3vsBk2c/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fcKb8oBAACb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lEZoc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87osoBAACc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lvchFcvKXHc4sgv379dfvy6/PxK&#10;lsusUB+gxsS7gKlpeOsHzJ79gM5MfFDR5i9SIhhHfc9XfeWQiMiP1qv1usKQwNh8QXz28DxESO+k&#10;tyQbDY04wKIrP32ANKbOKbma87famDJE4/5yIGb2sNz72GO20rAfJkJ7356RT4+zb6jDVafEvHco&#10;bV6T2YizsZ+NY4j60JU9yvUgvDkmbKL0liuMsFNhHFphNy1Y3oo/7yXr4af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i+87os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w:t>
                    </w:r>
                    <w:r>
                      <w:rPr>
                        <w:rFonts w:hint="eastAsia"/>
                        <w:lang w:eastAsia="zh-CN"/>
                      </w:rP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w:t>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JjL28oBAACd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D6LSWOWxz5+eeP868/59/f&#10;SXaiRH2AGjNvA+am4b0fMH32Azoz80FFm7/IiWAcBT5dBJZDIiI/Wi1XqwpDAmPzBfHZ/fMQIX2Q&#10;3pJsNDTiBIuw/PgJ0pg6p+Rqzt9oY8oUjfvPgZjZw3LvY4/ZSsNumAjtfHtCPj0Ov6EOd50S89Gh&#10;tnlPZiPOxm42DiHqfVcWKdeD8O6QsInSW64wwk6FcWqF3bRheS3+vZes+79q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JjL28oBAACdAwAADgAAAAAAAAABACAAAAAeAQAAZHJzL2Uyb0Rv&#10;Yy54bWxQSwUGAAAAAAYABgBZAQAAWgUAAAAA&#10;">
              <v:fill on="f" focussize="0,0"/>
              <v:stroke on="f"/>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w:t>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SxR38oBAACc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5xE1ZvKHHc4sgv379dfvy6/PxK&#10;lsusUB+gxsSHgKlpuPMDZs9+QGcmPqho8xcpEYyjvuervnJIRORH69V6XWFIYGy+ID57fB4ipLfS&#10;W5KNhkYcYNGVn95DGlPnlFzN+XttTBmicX85EDN7WO597DFbadgPE6G9b8/Ip8fZN9ThqlNi3jmU&#10;Nq/JbMTZ2M/GMUR96Moe5XoQbo8Jmyi95Qoj7FQYh1bYTQuWt+LPe8l6/Km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pSxR38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5</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neCE8oBAACc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Vjh4B23OPLL92+XH78uP7+S&#10;5eusUB+gxsSHgKlpuPMDZs9+QGcmPqho8xcpEYyjvuervnJIRORH69V6XWFIYGy+ID57fB4ipLfS&#10;W5KNhkYcYNGVn95DGlPnlFzN+XttTBmicX85EDN7WO597DFbadgPE6G9b8/Ip8fZN9ThqlNi3jmU&#10;Nq/JbMTZ2M/GMUR96Moe5XoQbo8Jmyi95Qoj7FQYh1bYTQuWt+LPe8l6/Km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neCE8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5</w:t>
                    </w:r>
                    <w:r>
                      <w:rPr>
                        <w:rFonts w:hint="eastAsia"/>
                        <w:lang w:eastAsia="zh-CN"/>
                      </w:rP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5</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NPuUM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5</w:t>
                    </w:r>
                    <w:r>
                      <w:rPr>
                        <w:rFonts w:hint="eastAsia"/>
                        <w:lang w:eastAsia="zh-CN"/>
                      </w:rP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wps:txbx>
                    <wps:bodyPr wrap="none" lIns="0" tIns="0" rIns="0" bIns="0" upright="0">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a2nrMsBAACcAwAADgAAAGRycy9lMm9Eb2MueG1srVPNjtMwEL4j8Q6W&#10;79TZClZV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gWN+H6DSWOWxz5+cf388/f51/f&#10;yPJ1VqgPUGPifcDUNLz1A2bPfkBnJj6oaPMXKRGMo76ni75ySETkR6vlalVhSGBsviA+e3geIqR3&#10;0luSjYZGHGDRlR8/QBpT55Rczfk7bUwZonH/OBAze1jufewxW2nYDROhnW9PyKfH2TfU4apTYt47&#10;lDavyWzE2djNxiFEve/KHuV6EG4PCZsoveUKI+xUGIdW2E0Llrfi73vJevipN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2tp6z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oU/M8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EfIscoBAACcAwAADgAAAGRycy9lMm9Eb2MueG1srVPNjtMwEL4j8Q6W&#10;79RppUV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rFTbjBwTtuceSXH98vP39ffn0j&#10;y5usUB+gxsT7gKlpeOsHzJ79gM5MfFDR5i9SIhhHfc9XfeWQiMiP1qv1usKQwNh8QXz28DxESO+k&#10;tyQbDY04wKIrP32ANKbOKbma83famDJE4/5yIGb2sNz72GO20rAfJkJ7356RT4+zb6jDVafEvHco&#10;bV6T2YizsZ+NY4j60JU9yvUgvDkmbKL0liuMsFNhHFphNy1Y3orH95L18FN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pEfIsc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q6rVsoBAACcAwAADgAAAGRycy9lMm9Eb2MueG1srVPNjtMwEL4j8Q6W&#10;79RpJVYl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lvchJevKHHc4sgv379dfvy6/PxK&#10;ljdZoT5AjYn3AVPT8MYPmD37AZ2Z+KCizV+kRDCO+p6v+sohEZEfrVfrdYUhgbH5gvjs4XmIkN5K&#10;b0k2GhpxgEVXfnoPaUydU3I15++0MWWIxv3lQMzsYbn3scdspWE/TIT2vj0jnx5n31CHq06JeedQ&#10;2rwmsxFnYz8bxxD1oSt7lOtBeH1M2ETpLVcYYafCOLTCblqwvBV/3kvWw0+1/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q6rVs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HZaTskBAACc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e4CTeoieMWR3758f3y8/fl1zey&#10;fJ0V6gPUmHgfMDUNb/2A2bMf0JmJDyra/EVKBOOIdb7qK4dERH60Xq3XFYYExuYL4rOH5yFCeie9&#10;JdloaMQBFl356QOkMXVOydWcv9PGlCEa95cDMbOH5d7HHrOVhv0wEdr79ox8epx9Qx2uOiXmvUNp&#10;sb80G3E29rNxDFEfurJHuR6EN8eETZTecoURdiqMQyvspgXLW/H4XrIefqr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UdlpOyQEAAJw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8qPuHs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w:t>
                    </w:r>
                    <w:r>
                      <w:rPr>
                        <w:rFonts w:hint="eastAsia"/>
                        <w:lang w:val="en-US" w:eastAsia="zh-CN"/>
                      </w:rPr>
                      <w:t>2</w:t>
                    </w:r>
                    <w:r>
                      <w:rPr>
                        <w:rFonts w:hint="eastAsia"/>
                        <w:lang w:eastAsia="zh-CN"/>
                      </w:rP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w:t>
                          </w:r>
                          <w:r>
                            <w:rPr>
                              <w:rFonts w:hint="eastAsia"/>
                              <w:lang w:val="en-US" w:eastAsia="zh-CN"/>
                            </w:rPr>
                            <w:t xml:space="preserve"> 3</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Yt2gcoBAACcAwAADgAAAGRycy9lMm9Eb2MueG1srVPNjtMwEL4j8Q6W&#10;79RpD6sS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e4CTcrShy3OPLLj++Xn78vv76R&#10;5eusUB+gxsT7gKlpeOsHzJ79gM5MfFDR5i9SIhhHfc9XfeWQiMiP1qv1usKQwNh8QXz28DxESO+k&#10;tyQbDY04wKIrP32ANKbOKbma83famDJE4/5yIGb2sNz72GO20rAfJkJ7356RT4+zb6jDVafEvHco&#10;bV6T2YizsZ+NY4j60JU9yvUgvDkmbKL0liuMsFNhHFphNy1Y3orH95L18FN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SYt2gc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w:t>
                    </w:r>
                    <w:r>
                      <w:rPr>
                        <w:rFonts w:hint="eastAsia"/>
                        <w:lang w:val="en-US" w:eastAsia="zh-CN"/>
                      </w:rPr>
                      <w:t xml:space="preserve"> 3</w:t>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w:t>
                          </w:r>
                          <w:r>
                            <w:rPr>
                              <w:rFonts w:hint="eastAsia"/>
                              <w:lang w:eastAsia="zh-CN"/>
                            </w:rPr>
                            <w:t xml:space="preserve"> 页</w:t>
                          </w: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cZA0TyQEAAJw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w:t>
                    </w:r>
                    <w:r>
                      <w:rPr>
                        <w:rFonts w:hint="eastAsia"/>
                        <w:lang w:eastAsia="zh-CN"/>
                      </w:rP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eastAsiaTheme="minorEastAsia"/>
        <w:lang w:eastAsia="zh-CN"/>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w:t>
                          </w:r>
                          <w:r>
                            <w:rPr>
                              <w:rFonts w:hint="eastAsia"/>
                              <w:lang w:eastAsia="zh-CN"/>
                            </w:rPr>
                            <w:t xml:space="preserve"> 页</w:t>
                          </w:r>
                        </w:p>
                      </w:txbxContent>
                    </wps:txbx>
                    <wps:bodyPr wrap="none" lIns="0" tIns="0" rIns="0" bIns="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dovEMoBAACc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ty8psRxiyO//Ph++fn78usb&#10;WS2zQn2AGhPvA6am4a0fMHv2Azoz8UFFm79IiWAc9T1f9ZVDIiI/Wq/W6wpDAmPzBfHZw/MQIb2T&#10;3pJsNDTiAIuu/PQB0pg6p+Rqzt9pY8oQjfvLgZjZw3LvY4/ZSsN+mAjtfXtGPj3OvqEOV50S896h&#10;tHlNZiPOxn42jiHqQ1f2KNeD8OaYsInSW64wwk6FcWiF3bRgeSse30vWw0+1/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AdovEM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w:t>
                    </w:r>
                    <w:r>
                      <w:rPr>
                        <w:rFonts w:hint="eastAsia"/>
                        <w:lang w:eastAsia="zh-CN"/>
                      </w:rP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eastAsiaTheme="minorEastAsia"/>
        <w:lang w:eastAsia="zh-CN"/>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YWzMsBAACcAwAADgAAAGRycy9lMm9Eb2MueG1srVPNjtMwEL4j8Q6W&#10;79TZglZV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gWN+HNa0octzjy84/v55+/z7++&#10;keV1VqgPUGPifcDUNLz1A2bPfkBnJj6oaPMXKRGMo76ni75ySETkR6vlalVhSGBsviA+e3geIqR3&#10;0luSjYZGHGDRlR8/QBpT55Rczfk7bUwZonH/OBAze1jufewxW2nYDROhnW9PyKfH2TfU4apTYt47&#10;lDavyWzE2djNxiFEve/KHuV6EG4PCZsoveUKI+xUGIdW2E0Llrfi73vJevipN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mFsz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wps:txbx>
                    <wps:bodyPr wrap="none" lIns="0" tIns="0" rIns="0" bIns="0"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ii3OZc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 共 </w:t>
                          </w:r>
                          <w:r>
                            <w:rPr>
                              <w:rFonts w:hint="eastAsia"/>
                              <w:lang w:val="en-US" w:eastAsia="zh-CN"/>
                            </w:rPr>
                            <w:t>10</w:t>
                          </w:r>
                          <w:r>
                            <w:rPr>
                              <w:rFonts w:hint="eastAsia"/>
                              <w:lang w:eastAsia="zh-CN"/>
                            </w:rPr>
                            <w:t xml:space="preserve"> 页</w:t>
                          </w:r>
                        </w:p>
                      </w:txbxContent>
                    </wps:txbx>
                    <wps:bodyPr wrap="none" lIns="0" tIns="0" rIns="0" bIns="0" upright="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enP+coBAACc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3iJrxBTRy3OPLzzx/nX3/Ov7+T&#10;5dusUB+gxsTbgKlpeO8HzJ79gM5MfFDR5i9SIhhHrNNFXzkkIvKj1XK1qjAkMDZfEJ/dPw8R0gfp&#10;LclGQyMOsOjKj58gjalzSq7m/I02pgzRuP8ciJk9LPc+9pitNOyGidDOtyfk0+PsG+pw1SkxHx1K&#10;i/2l2YizsZuNQ4h635U9yvUgvDskbKL0liuMsFNhHFphNy1Y3op/7yXr/qf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enP+c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 共 </w:t>
                    </w:r>
                    <w:r>
                      <w:rPr>
                        <w:rFonts w:hint="eastAsia"/>
                        <w:lang w:val="en-US" w:eastAsia="zh-CN"/>
                      </w:rPr>
                      <w:t>10</w:t>
                    </w:r>
                    <w:r>
                      <w:rPr>
                        <w:rFonts w:hint="eastAsia"/>
                        <w:lang w:eastAsia="zh-CN"/>
                      </w:rPr>
                      <w:t xml:space="preserve"> 页</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 共 </w:t>
                          </w:r>
                          <w:r>
                            <w:rPr>
                              <w:rFonts w:hint="eastAsia"/>
                              <w:lang w:val="en-US" w:eastAsia="zh-CN"/>
                            </w:rPr>
                            <w:t>10</w:t>
                          </w:r>
                          <w:r>
                            <w:rPr>
                              <w:rFonts w:hint="eastAsia"/>
                              <w:lang w:eastAsia="zh-CN"/>
                            </w:rPr>
                            <w:t xml:space="preserve"> 页</w:t>
                          </w:r>
                        </w:p>
                      </w:txbxContent>
                    </wps:txbx>
                    <wps:bodyPr wrap="none" lIns="0" tIns="0" rIns="0" bIns="0" upright="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y2bgXIAQAAm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 共 </w:t>
                    </w:r>
                    <w:r>
                      <w:rPr>
                        <w:rFonts w:hint="eastAsia"/>
                        <w:lang w:val="en-US" w:eastAsia="zh-CN"/>
                      </w:rPr>
                      <w:t>10</w:t>
                    </w:r>
                    <w:r>
                      <w:rPr>
                        <w:rFonts w:hint="eastAsia"/>
                        <w:lang w:eastAsia="zh-CN"/>
                      </w:rPr>
                      <w:t xml:space="preserve"> 页</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620"/>
        <w:tab w:val="clear" w:pos="4153"/>
      </w:tabs>
      <w:jc w:val="center"/>
    </w:pPr>
    <w:r>
      <w:rPr>
        <w:sz w:val="18"/>
      </w:rPr>
      <mc:AlternateContent>
        <mc:Choice Requires="wps">
          <w:drawing>
            <wp:anchor distT="0" distB="0" distL="114300" distR="114300" simplePos="0" relativeHeight="251751424" behindDoc="0" locked="0" layoutInCell="1" allowOverlap="1">
              <wp:simplePos x="0" y="0"/>
              <wp:positionH relativeFrom="margin">
                <wp:posOffset>2425065</wp:posOffset>
              </wp:positionH>
              <wp:positionV relativeFrom="paragraph">
                <wp:posOffset>0</wp:posOffset>
              </wp:positionV>
              <wp:extent cx="1828800" cy="1828800"/>
              <wp:effectExtent l="0" t="0" r="0" b="0"/>
              <wp:wrapNone/>
              <wp:docPr id="172"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页 共 </w:t>
                          </w:r>
                          <w:r>
                            <w:rPr>
                              <w:rFonts w:hint="eastAsia"/>
                              <w:lang w:val="en-US" w:eastAsia="zh-CN"/>
                            </w:rPr>
                            <w:t>13</w:t>
                          </w:r>
                          <w:r>
                            <w:rPr>
                              <w:rFonts w:hint="eastAsia"/>
                              <w:lang w:eastAsia="zh-CN"/>
                            </w:rPr>
                            <w:t xml:space="preserve"> 页</w:t>
                          </w:r>
                        </w:p>
                      </w:txbxContent>
                    </wps:txbx>
                    <wps:bodyPr wrap="none" lIns="0" tIns="0" rIns="0" bIns="0" upright="0">
                      <a:spAutoFit/>
                    </wps:bodyPr>
                  </wps:wsp>
                </a:graphicData>
              </a:graphic>
            </wp:anchor>
          </w:drawing>
        </mc:Choice>
        <mc:Fallback>
          <w:pict>
            <v:shape id="文本框 31" o:spid="_x0000_s1026" o:spt="202" type="#_x0000_t202" style="position:absolute;left:0pt;margin-left:190.95pt;margin-top:0pt;height:144pt;width:144pt;mso-position-horizontal-relative:margin;mso-wrap-style:none;z-index:251751424;mso-width-relative:page;mso-height-relative:page;" filled="f" stroked="f" coordsize="21600,21600" o:gfxdata="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2DV79MAAAAIAQAADwAAAAAAAAABACAAAAAiAAAAZHJzL2Rvd25y&#10;ZXYueG1sUEsBAhQAFAAAAAgAh07iQI3pFBrKAQAAnAMAAA4AAAAAAAAAAQAgAAAAIgEAAGRycy9l&#10;Mm9Eb2MueG1sUEsFBgAAAAAGAAYAWQEAAF4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页 共 </w:t>
                    </w:r>
                    <w:r>
                      <w:rPr>
                        <w:rFonts w:hint="eastAsia"/>
                        <w:lang w:val="en-US" w:eastAsia="zh-CN"/>
                      </w:rPr>
                      <w:t>13</w:t>
                    </w:r>
                    <w:r>
                      <w:rPr>
                        <w:rFonts w:hint="eastAsia"/>
                        <w:lang w:eastAsia="zh-CN"/>
                      </w:rPr>
                      <w:t xml:space="preserve"> 页</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32"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wB3/csBAACc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EtbsKba0octzjy84/v55+/z7++&#10;ketlVqgPUGPifcDUNLz1A2bPfkBnJj6oaPMXKRGMo76ni75ySETkR6vlalVhSGBsviA+e3geIqR3&#10;0luSjYZGHGDRlR8/QBpT55Rczfk7bUwZonH/OBAze1jufewxW2nYDROhnW9PyKfH2TfU4apTYt47&#10;lDavyWzE2djNxiFEve/KHuV6EG4PCZsoveUKI+xUGIdW2E0Llrfi73vJevipN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CcAd/3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1"/>
      <w:jc w:val="cente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6</w:t>
                          </w:r>
                          <w:r>
                            <w:rPr>
                              <w:rFonts w:hint="eastAsia"/>
                              <w:lang w:eastAsia="zh-CN"/>
                            </w:rPr>
                            <w:t xml:space="preserve"> 页</w:t>
                          </w:r>
                        </w:p>
                      </w:txbxContent>
                    </wps:txbx>
                    <wps:bodyPr wrap="none" lIns="0" tIns="0" rIns="0" bIns="0" upright="0">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q+Vf7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6</w:t>
                    </w:r>
                    <w:r>
                      <w:rPr>
                        <w:rFonts w:hint="eastAsia"/>
                        <w:lang w:eastAsia="zh-CN"/>
                      </w:rPr>
                      <w:t xml:space="preserve"> 页</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1"/>
      <w:jc w:val="cente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EN7dM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1"/>
      <w:jc w:val="cente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1</w:t>
                          </w:r>
                          <w:r>
                            <w:rPr>
                              <w:rFonts w:hint="eastAsia"/>
                              <w:lang w:eastAsia="zh-CN"/>
                            </w:rPr>
                            <w:t xml:space="preserve"> 页</w:t>
                          </w:r>
                        </w:p>
                      </w:txbxContent>
                    </wps:txbx>
                    <wps:bodyPr wrap="none" lIns="0" tIns="0" rIns="0" bIns="0" upright="0">
                      <a:spAutoFit/>
                    </wps:bodyPr>
                  </wps:wsp>
                </a:graphicData>
              </a:graphic>
            </wp:anchor>
          </w:drawing>
        </mc:Choice>
        <mc:Fallback>
          <w:pict>
            <v:shape id="文本框 35"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9r4+v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1</w:t>
                    </w:r>
                    <w:r>
                      <w:rPr>
                        <w:rFonts w:hint="eastAsia"/>
                        <w:lang w:eastAsia="zh-CN"/>
                      </w:rPr>
                      <w:t xml:space="preserve"> 页</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1"/>
      <w:jc w:val="cente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wps:txbx>
                    <wps:bodyPr wrap="none" lIns="0" tIns="0" rIns="0" bIns="0" upright="0">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WCgAz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1"/>
      <w:jc w:val="center"/>
      <w:rPr>
        <w:rFonts w:hint="eastAsia"/>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11"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xtzPzLAQAAnQ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1"/>
      <w:jc w:val="center"/>
      <w:rPr>
        <w:rFonts w:hint="eastAsia"/>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12"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S/5fswBAACd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Zl+ZYSyw2O/Pz92/nHr/PP&#10;r2S5LJNEvYcKM5885sbhzg24OLMf0JmYD20w6YucCMZR4NNFYDlEItKjVblaFRgSGJsviM+en/sA&#10;8b10hiSjpgEnmIXlx0eIY+qckqpZd6+0zlPU9i8HYiYPS72PPSYrDrthIrRzzQn59Dj8mlrcdUr0&#10;g0Vt057MRpiN3WwcfFD7Li9Sqgf+9hCxidxbqjDCToVxapndtGFpLf6856znv2r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lL/l+zAEAAJ0DAAAOAAAAAAAAAAEAIAAAAB4BAABkcnMvZTJv&#10;RG9jLnhtbFBLBQYAAAAABgAGAFkBAABc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1"/>
      <w:jc w:val="center"/>
      <w:rPr>
        <w:rFonts w:hint="eastAsia"/>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14"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cICIOzAEAAJ0DAAAOAAAAAAAAAAEAIAAAAB4BAABkcnMvZTJv&#10;RG9jLnhtbFBLBQYAAAAABgAGAFkBAABc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1"/>
      <w:jc w:val="center"/>
      <w:rPr>
        <w:rFonts w:hint="eastAsia"/>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36LG6zAEAAJ0DAAAOAAAAAAAAAAEAIAAAAB4BAABkcnMvZTJv&#10;RG9jLnhtbFBLBQYAAAAABgAGAFkBAABc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1"/>
      <w:jc w:val="center"/>
      <w:rPr>
        <w:rFonts w:hint="eastAsia"/>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1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PfxthDLAQAAnQ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1"/>
      <w:jc w:val="center"/>
      <w:rPr>
        <w:rFonts w:hint="eastAsia"/>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17"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cOSWkzAEAAJ0DAAAOAAAAAAAAAAEAIAAAAB4BAABkcnMvZTJv&#10;RG9jLnhtbFBLBQYAAAAABgAGAFkBAABc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18"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XdcQswBAACdAwAADgAAAGRycy9lMm9Eb2MueG1srVNLbtswEN0XyB0I&#10;7mPKLlA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TU1Xb1ETyw2O/Pz92/nHr/PP&#10;r2S5LJNEvYcKM5885sbhzg24OLMf0JmYD20w6YucCMYR7HQRWA6RiPSoXJVlgSGBsfmC+Oz5uQ8Q&#10;30tnSDJqGnCCWVh+fIQ4ps4pqZp190rrPEVt/3IgZvKw1PvYY7LisBsmQjvXnJBPj8OvqcVdp0Q/&#10;WNQW+4uzEWZjNxsHH9S+y4uU6oG/PURsIveWKoywU2GcWmY3bVhaiz/vOev5r9r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ld1xCzAEAAJ0DAAAOAAAAAAAAAAEAIAAAAB4BAABkcnMvZTJv&#10;RG9jLnhtbFBLBQYAAAAABgAGAFkBAABc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20"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3nEoXLAQAAnQ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rPr>
                          </w:pPr>
                        </w:p>
                      </w:txbxContent>
                    </wps:txbx>
                    <wps:bodyPr wrap="none" lIns="0" tIns="0" rIns="0" bIns="0" upright="1">
                      <a:spAutoFit/>
                    </wps:bodyPr>
                  </wps:wsp>
                </a:graphicData>
              </a:graphic>
            </wp:anchor>
          </w:drawing>
        </mc:Choice>
        <mc:Fallback>
          <w:pict>
            <v:shape id="文本框 78"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M1O9n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22"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xTtXlzAEAAJ0DAAAOAAAAAAAAAAEAIAAAAB4BAABkcnMvZTJv&#10;RG9jLnhtbFBLBQYAAAAABgAGAFkBAABc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rPr>
                          </w:pPr>
                        </w:p>
                      </w:txbxContent>
                    </wps:txbx>
                    <wps:bodyPr wrap="none" lIns="0" tIns="0" rIns="0" bIns="0" upright="1">
                      <a:spAutoFit/>
                    </wps:bodyPr>
                  </wps:wsp>
                </a:graphicData>
              </a:graphic>
            </wp:anchor>
          </w:drawing>
        </mc:Choice>
        <mc:Fallback>
          <w:pict>
            <v:shape id="文本框 119"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MGuw8M0BAACdAwAADgAAAAAAAAABACAAAAAeAQAAZHJzL2Uy&#10;b0RvYy54bWxQSwUGAAAAAAYABgBZAQAAXQUAAAAA&#10;">
              <v:fill on="f" focussize="0,0"/>
              <v:stroke on="f"/>
              <v:imagedata o:title=""/>
              <o:lock v:ext="edit" aspectratio="f"/>
              <v:textbox inset="0mm,0mm,0mm,0mm" style="mso-fit-shape-to-text:t;">
                <w:txbxContent>
                  <w:p>
                    <w:pPr>
                      <w:pStyle w:val="18"/>
                      <w:rPr>
                        <w:rFonts w:hint="eastAsia"/>
                      </w:rPr>
                    </w:pP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23"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2oZGUc0BAACdAwAADgAAAAAAAAABACAAAAAeAQAAZHJzL2Uy&#10;b0RvYy54bWxQSwUGAAAAAAYABgBZAQAAXQ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15</w:t>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rPr>
                          </w:pPr>
                        </w:p>
                      </w:txbxContent>
                    </wps:txbx>
                    <wps:bodyPr wrap="none" lIns="0" tIns="0" rIns="0" bIns="0" upright="1">
                      <a:spAutoFit/>
                    </wps:bodyPr>
                  </wps:wsp>
                </a:graphicData>
              </a:graphic>
            </wp:anchor>
          </w:drawing>
        </mc:Choice>
        <mc:Fallback>
          <w:pict>
            <v:shape id="文本框 121"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Y+/43zAEAAJ0DAAAOAAAAAAAAAAEAIAAAAB4BAABkcnMvZTJv&#10;RG9jLnhtbFBLBQYAAAAABgAGAFkBAABcBQAAAAA=&#10;">
              <v:fill on="f" focussize="0,0"/>
              <v:stroke on="f"/>
              <v:imagedata o:title=""/>
              <o:lock v:ext="edit" aspectratio="f"/>
              <v:textbox inset="0mm,0mm,0mm,0mm" style="mso-fit-shape-to-text:t;">
                <w:txbxContent>
                  <w:p>
                    <w:pPr>
                      <w:pStyle w:val="18"/>
                      <w:rPr>
                        <w:rFonts w:hint="eastAsia"/>
                      </w:rPr>
                    </w:pP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1"/>
      <w:jc w:val="center"/>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wps:txbx>
                    <wps:bodyPr wrap="none" lIns="0" tIns="0" rIns="0" bIns="0" upright="0">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sNFaMyQEAAJw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1"/>
      <w:jc w:val="cente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wps:txbx>
                    <wps:bodyPr wrap="none" lIns="0" tIns="0" rIns="0" bIns="0" upright="0">
                      <a:spAutoFit/>
                    </wps:bodyPr>
                  </wps:wsp>
                </a:graphicData>
              </a:graphic>
            </wp:anchor>
          </w:drawing>
        </mc:Choice>
        <mc:Fallback>
          <w:pict>
            <v:shape id="文本框 50"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eWUbryQEAAJw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1"/>
      <w:jc w:val="center"/>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wps:txbx>
                    <wps:bodyPr wrap="none" lIns="0" tIns="0" rIns="0" bIns="0" upright="0">
                      <a:spAutoFit/>
                    </wps:bodyPr>
                  </wps:wsp>
                </a:graphicData>
              </a:graphic>
            </wp:anchor>
          </w:drawing>
        </mc:Choice>
        <mc:Fallback>
          <w:pict>
            <v:shape id="文本框 51"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XHedMsBAACcAwAADgAAAGRycy9lMm9Eb2MueG1srVNLbtswEN0XyB0I&#10;7mPKBlo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5CuaLEcoMjP3//dv7x6/zz&#10;K3m7TAr1HipMfPKYGoc7N2D27Ad0JuJDG0z6IiWCcdT3dNFXDpGI9KhclWWBIYGx+YL47Pm5DxDf&#10;S2dIMmoacIBZV358hDimzimpmnX3Sus8RG3/ciBm8rDU+9hjsuKwGyZCO9eckE+Ps6+pxVWnRD9Y&#10;lDatyWyE2djNxsEHte/yHqV64G8PEZvIvaUKI+xUGIeW2U0Llrbiz3vOev6pN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CVx3nT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1"/>
      <w:jc w:val="cente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wps:txbx>
                    <wps:bodyPr wrap="none" lIns="0" tIns="0" rIns="0" bIns="0" upright="0">
                      <a:spAutoFit/>
                    </wps:bodyPr>
                  </wps:wsp>
                </a:graphicData>
              </a:graphic>
            </wp:anchor>
          </w:drawing>
        </mc:Choice>
        <mc:Fallback>
          <w:pict>
            <v:shape id="文本框 52"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YvZP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1"/>
      <w:jc w:val="both"/>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wps:txbx>
                    <wps:bodyPr wrap="none" lIns="0" tIns="0" rIns="0" bIns="0" upright="0">
                      <a:spAutoFit/>
                    </wps:bodyPr>
                  </wps:wsp>
                </a:graphicData>
              </a:graphic>
            </wp:anchor>
          </w:drawing>
        </mc:Choice>
        <mc:Fallback>
          <w:pict>
            <v:shape id="文本框 53"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BImn5D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wps:txbx>
                    <wps:bodyPr wrap="none" lIns="0" tIns="0" rIns="0" bIns="0" upright="0">
                      <a:spAutoFit/>
                    </wps:bodyPr>
                  </wps:wsp>
                </a:graphicData>
              </a:graphic>
            </wp:anchor>
          </w:drawing>
        </mc:Choice>
        <mc:Fallback>
          <w:pict>
            <v:shape id="文本框 82"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w8q6b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rPr>
                              <w:rFonts w:hint="eastAsia"/>
                            </w:rPr>
                          </w:pPr>
                        </w:p>
                      </w:txbxContent>
                    </wps:txbx>
                    <wps:bodyPr wrap="none" lIns="0" tIns="0" rIns="0" bIns="0" upright="1">
                      <a:spAutoFit/>
                    </wps:bodyPr>
                  </wps:wsp>
                </a:graphicData>
              </a:graphic>
            </wp:anchor>
          </w:drawing>
        </mc:Choice>
        <mc:Fallback>
          <w:pict>
            <v:shape id="文本框 78"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8f/Uo9ABAACqAwAADgAAAAAAAAABACAAAAAeAQAAZHJz&#10;L2Uyb0RvYy54bWxQSwUGAAAAAAYABgBZAQAAYAUAAAAA&#10;">
              <v:fill on="f" focussize="0,0"/>
              <v:stroke on="f"/>
              <v:imagedata o:title=""/>
              <o:lock v:ext="edit" aspectratio="f"/>
              <v:textbox inset="0mm,0mm,0mm,0mm" style="mso-fit-shape-to-text:t;">
                <w:txbxContent>
                  <w:p>
                    <w:pPr>
                      <w:pStyle w:val="18"/>
                      <w:rPr>
                        <w:rFonts w:hint="eastAsia"/>
                      </w:rPr>
                    </w:pP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wps:txbx>
                    <wps:bodyPr wrap="none" lIns="0" tIns="0" rIns="0" bIns="0" upright="0">
                      <a:spAutoFit/>
                    </wps:bodyPr>
                  </wps:wsp>
                </a:graphicData>
              </a:graphic>
            </wp:anchor>
          </w:drawing>
        </mc:Choice>
        <mc:Fallback>
          <w:pict>
            <v:shape id="文本框 84"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npHbP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rPr>
                              <w:rFonts w:hint="eastAsia"/>
                            </w:rPr>
                          </w:pPr>
                        </w:p>
                      </w:txbxContent>
                    </wps:txbx>
                    <wps:bodyPr wrap="none" lIns="0" tIns="0" rIns="0" bIns="0" upright="1">
                      <a:spAutoFit/>
                    </wps:bodyPr>
                  </wps:wsp>
                </a:graphicData>
              </a:graphic>
            </wp:anchor>
          </w:drawing>
        </mc:Choice>
        <mc:Fallback>
          <w:pict>
            <v:shape id="文本框 78"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JgsoidABAACqAwAADgAAAAAAAAABACAAAAAeAQAAZHJz&#10;L2Uyb0RvYy54bWxQSwUGAAAAAAYABgBZAQAAYAUAAAAA&#10;">
              <v:fill on="f" focussize="0,0"/>
              <v:stroke on="f"/>
              <v:imagedata o:title=""/>
              <o:lock v:ext="edit" aspectratio="f"/>
              <v:textbox inset="0mm,0mm,0mm,0mm" style="mso-fit-shape-to-text:t;">
                <w:txbxContent>
                  <w:p>
                    <w:pPr>
                      <w:pStyle w:val="18"/>
                      <w:rPr>
                        <w:rFonts w:hint="eastAsia"/>
                      </w:rPr>
                    </w:pP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wps:txbx>
                    <wps:bodyPr wrap="none" lIns="0" tIns="0" rIns="0" bIns="0" upright="0">
                      <a:spAutoFit/>
                    </wps:bodyPr>
                  </wps:wsp>
                </a:graphicData>
              </a:graphic>
            </wp:anchor>
          </w:drawing>
        </mc:Choice>
        <mc:Fallback>
          <w:pict>
            <v:shape id="文本框 85"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hithizAEAAJwDAAAOAAAAAAAAAAEAIAAAAB4BAABkcnMvZTJv&#10;RG9jLnhtbFBLBQYAAAAABgAGAFkBAABc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8"/>
                            <w:rPr>
                              <w:rFonts w:hint="eastAsia"/>
                            </w:rPr>
                          </w:pPr>
                        </w:p>
                      </w:txbxContent>
                    </wps:txbx>
                    <wps:bodyPr wrap="none" lIns="0" tIns="0" rIns="0" bIns="0" upright="1">
                      <a:spAutoFit/>
                    </wps:bodyPr>
                  </wps:wsp>
                </a:graphicData>
              </a:graphic>
            </wp:anchor>
          </w:drawing>
        </mc:Choice>
        <mc:Fallback>
          <w:pict>
            <v:shape id="文本框 78"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uivI9ABAACqAwAADgAAAAAAAAABACAAAAAeAQAAZHJz&#10;L2Uyb0RvYy54bWxQSwUGAAAAAAYABgBZAQAAYAUAAAAA&#10;">
              <v:fill on="f" focussize="0,0"/>
              <v:stroke on="f"/>
              <v:imagedata o:title=""/>
              <o:lock v:ext="edit" aspectratio="f"/>
              <v:textbox inset="0mm,0mm,0mm,0mm" style="mso-fit-shape-to-text:t;">
                <w:txbxContent>
                  <w:p>
                    <w:pPr>
                      <w:pStyle w:val="18"/>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wps:txbx>
                    <wps:bodyPr wrap="none" lIns="0" tIns="0" rIns="0" bIns="0" upright="0">
                      <a:spAutoFit/>
                    </wps:bodyPr>
                  </wps:wsp>
                </a:graphicData>
              </a:graphic>
            </wp:anchor>
          </w:drawing>
        </mc:Choice>
        <mc:Fallback>
          <w:pict>
            <v:shape id="文本框 58"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sOdmrc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 xml:space="preserve"> 页</w:t>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6</w:t>
                    </w:r>
                    <w:r>
                      <w:t xml:space="preserve"> 页</w:t>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Lines="0" w:afterLines="0"/>
      <w:jc w:val="center"/>
      <w:rPr>
        <w:rFonts w:hint="default"/>
        <w:sz w:val="18"/>
        <w:szCs w:val="18"/>
      </w:rPr>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11</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11</w:t>
                    </w:r>
                    <w:r>
                      <w:t xml:space="preserve"> 页</w:t>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Lines="0" w:afterLines="0"/>
      <w:jc w:val="center"/>
      <w:rPr>
        <w:rFonts w:hint="default"/>
        <w:sz w:val="18"/>
        <w:szCs w:val="18"/>
      </w:rPr>
    </w:pPr>
    <w:r>
      <w:rPr>
        <w:rFonts w:hint="default"/>
        <w:sz w:val="18"/>
        <w:szCs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spacing w:beforeLines="0" w:afterLines="0"/>
                            <w:rPr>
                              <w:rFonts w:hint="eastAsia"/>
                              <w:sz w:val="18"/>
                              <w:szCs w:val="18"/>
                            </w:rPr>
                          </w:pPr>
                          <w:r>
                            <w:rPr>
                              <w:rFonts w:hint="eastAsia"/>
                              <w:sz w:val="18"/>
                              <w:szCs w:val="18"/>
                            </w:rPr>
                            <w:t xml:space="preserve">第 </w:t>
                          </w: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rFonts w:hint="eastAsia"/>
                              <w:sz w:val="18"/>
                              <w:szCs w:val="18"/>
                            </w:rPr>
                            <w:t>2</w:t>
                          </w:r>
                          <w:r>
                            <w:rPr>
                              <w:rFonts w:hint="eastAsia"/>
                              <w:sz w:val="18"/>
                              <w:szCs w:val="18"/>
                            </w:rPr>
                            <w:fldChar w:fldCharType="end"/>
                          </w:r>
                          <w:r>
                            <w:rPr>
                              <w:rFonts w:hint="eastAsia"/>
                              <w:sz w:val="18"/>
                              <w:szCs w:val="18"/>
                            </w:rPr>
                            <w:t xml:space="preserve"> 页 共 </w:t>
                          </w:r>
                          <w:r>
                            <w:rPr>
                              <w:rFonts w:hint="eastAsia"/>
                              <w:sz w:val="18"/>
                              <w:szCs w:val="18"/>
                              <w:lang w:val="en-US" w:eastAsia="zh-CN"/>
                            </w:rPr>
                            <w:t>11</w:t>
                          </w:r>
                          <w:r>
                            <w:rPr>
                              <w:rFonts w:hint="eastAsia"/>
                              <w:sz w:val="18"/>
                              <w:szCs w:val="18"/>
                            </w:rPr>
                            <w:t xml:space="preserve"> 页</w:t>
                          </w:r>
                        </w:p>
                      </w:txbxContent>
                    </wps:txbx>
                    <wps:bodyPr vert="horz" wrap="none" lIns="0" tIns="0" rIns="0" bIns="0" anchor="t" anchorCtr="0" upright="1">
                      <a:spAutoFit/>
                    </wps:bodyPr>
                  </wps:wsp>
                </a:graphicData>
              </a:graphic>
            </wp:anchor>
          </w:drawing>
        </mc:Choice>
        <mc:Fallback>
          <w:pict>
            <v:shape id="文本框 59"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Fmo/RDgAQAAwQMAAA4AAAAA&#10;AAAAAQAgAAAAHgEAAGRycy9lMm9Eb2MueG1sUEsFBgAAAAAGAAYAWQEAAHAFAAAAAA==&#10;">
              <v:fill on="f" focussize="0,0"/>
              <v:stroke on="f"/>
              <v:imagedata o:title=""/>
              <o:lock v:ext="edit" aspectratio="f"/>
              <v:textbox inset="0mm,0mm,0mm,0mm" style="mso-fit-shape-to-text:t;">
                <w:txbxContent>
                  <w:p>
                    <w:pPr>
                      <w:pStyle w:val="18"/>
                      <w:spacing w:beforeLines="0" w:afterLines="0"/>
                      <w:rPr>
                        <w:rFonts w:hint="eastAsia"/>
                        <w:sz w:val="18"/>
                        <w:szCs w:val="18"/>
                      </w:rPr>
                    </w:pPr>
                    <w:r>
                      <w:rPr>
                        <w:rFonts w:hint="eastAsia"/>
                        <w:sz w:val="18"/>
                        <w:szCs w:val="18"/>
                      </w:rPr>
                      <w:t xml:space="preserve">第 </w:t>
                    </w: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rFonts w:hint="eastAsia"/>
                        <w:sz w:val="18"/>
                        <w:szCs w:val="18"/>
                      </w:rPr>
                      <w:t>2</w:t>
                    </w:r>
                    <w:r>
                      <w:rPr>
                        <w:rFonts w:hint="eastAsia"/>
                        <w:sz w:val="18"/>
                        <w:szCs w:val="18"/>
                      </w:rPr>
                      <w:fldChar w:fldCharType="end"/>
                    </w:r>
                    <w:r>
                      <w:rPr>
                        <w:rFonts w:hint="eastAsia"/>
                        <w:sz w:val="18"/>
                        <w:szCs w:val="18"/>
                      </w:rPr>
                      <w:t xml:space="preserve"> 页 共 </w:t>
                    </w:r>
                    <w:r>
                      <w:rPr>
                        <w:rFonts w:hint="eastAsia"/>
                        <w:sz w:val="18"/>
                        <w:szCs w:val="18"/>
                        <w:lang w:val="en-US" w:eastAsia="zh-CN"/>
                      </w:rPr>
                      <w:t>11</w:t>
                    </w:r>
                    <w:r>
                      <w:rPr>
                        <w:rFonts w:hint="eastAsia"/>
                        <w:sz w:val="18"/>
                        <w:szCs w:val="18"/>
                      </w:rPr>
                      <w:t xml:space="preserve"> 页</w:t>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61"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TrSjQc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wps:txbx>
                    <wps:bodyPr wrap="none" lIns="0" tIns="0" rIns="0" bIns="0" upright="0">
                      <a:spAutoFit/>
                    </wps:bodyPr>
                  </wps:wsp>
                </a:graphicData>
              </a:graphic>
            </wp:anchor>
          </w:drawing>
        </mc:Choice>
        <mc:Fallback>
          <w:pict>
            <v:shape id="文本框 62"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q2k68oBAACcAwAADgAAAGRycy9lMm9Eb2MueG1srVPNjtMwEL4j8Q6W&#10;79TZHpYq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EtbsJbHLzjFkd+/vnj/OvP+fd3&#10;cr3MCvUBaky8D5iahnd+wOzZD+jMxAcVbf4iJYJx1Pd00VcOiYj8aLVcrSoMCYzNF8RnD89DhPRe&#10;ekuy0dCIAyy68uNHSGPqnJKrOX+njSlDNO4fB2JmD8u9jz1mKw27YSK08+0J+fQ4+4Y6XHVKzAeH&#10;0uY1mY04G7vZOISo913Zo1wPwu0hYROlt1xhhJ0K49AKu2nB8lY8vpesh59q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Tq2k68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eastAsiaTheme="minorEastAsia"/>
        <w:lang w:eastAsia="zh-CN"/>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wps:txbx>
                    <wps:bodyPr wrap="none" lIns="0" tIns="0" rIns="0" bIns="0" upright="0">
                      <a:spAutoFit/>
                    </wps:bodyPr>
                  </wps:wsp>
                </a:graphicData>
              </a:graphic>
            </wp:anchor>
          </w:drawing>
        </mc:Choice>
        <mc:Fallback>
          <w:pict>
            <v:shape id="文本框 63"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UYk73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eastAsia="楷体_GB2312"/>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1</w:t>
                          </w:r>
                          <w:r>
                            <w:rPr>
                              <w:rFonts w:hint="eastAsia"/>
                              <w:lang w:eastAsia="zh-CN"/>
                            </w:rPr>
                            <w:t xml:space="preserve"> 页</w:t>
                          </w:r>
                        </w:p>
                      </w:txbxContent>
                    </wps:txbx>
                    <wps:bodyPr wrap="none" lIns="0" tIns="0" rIns="0" bIns="0" upright="0">
                      <a:spAutoFit/>
                    </wps:bodyPr>
                  </wps:wsp>
                </a:graphicData>
              </a:graphic>
            </wp:anchor>
          </w:drawing>
        </mc:Choice>
        <mc:Fallback>
          <w:pict>
            <v:shape id="文本框 64"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EJ5esoBAACcAwAADgAAAGRycy9lMm9Eb2MueG1srVPNjtMwEL4j8Q6W&#10;79TZCq1K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gWN+ENauK4xZGff3w///x9/vWN&#10;XL/OCvUBaky8D5iahrd+wOzZD+jMxAcVbf4iJYJxxDpd9JVDIiI/Wi1XqwpDAmPzBfHZw/MQIb2T&#10;3pJsNDTiAIuu/PgB0pg6p+Rqzt9pY8oQjfvHgZjZw3LvY4/ZSsNumAjtfHtCPj3OvqEOV50S896h&#10;tNhfmo04G7vZOISo913Zo1wPwu0hYROlt1xhhJ0K49AKu2nB8lb8fS9ZDz/V5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LEJ5es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1</w:t>
                    </w:r>
                    <w:r>
                      <w:rPr>
                        <w:rFonts w:hint="eastAsia"/>
                        <w:lang w:eastAsia="zh-CN"/>
                      </w:rPr>
                      <w:t xml:space="preserve"> 页</w:t>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eastAsia="楷体_GB2312"/>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1</w:t>
                          </w:r>
                          <w:r>
                            <w:rPr>
                              <w:rFonts w:hint="eastAsia"/>
                              <w:lang w:eastAsia="zh-CN"/>
                            </w:rPr>
                            <w:t xml:space="preserve"> 页</w:t>
                          </w:r>
                        </w:p>
                      </w:txbxContent>
                    </wps:txbx>
                    <wps:bodyPr wrap="none" lIns="0" tIns="0" rIns="0" bIns="0" upright="0">
                      <a:spAutoFit/>
                    </wps:bodyPr>
                  </wps:wsp>
                </a:graphicData>
              </a:graphic>
            </wp:anchor>
          </w:drawing>
        </mc:Choice>
        <mc:Fallback>
          <w:pict>
            <v:shape id="文本框 65"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CG8q8oBAACcAwAADgAAAGRycy9lMm9Eb2MueG1srVPNjtMwEL4j8Q6W&#10;79RpJVYl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lvchFdLShy3OPLL92+XH78uP7+S&#10;m5dZoT5AjYn3AVPT8MYPmD37AZ2Z+KCizV+kRDCO+p6v+sohEZEfrVfrdYUhgbH5gvjs4XmIkN5K&#10;b0k2GhpxgEVXfnoPaUydU3I15++0MWWIxv3lQMzsYbn3scdspWE/TIT2vj0jnx5n31CHq06JeedQ&#10;2rwmsxFnYz8bxxD1oSt7lOtBeH1M2ETpLVcYYafCOLTCblqwvBV/3kvWw0+1/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hCG8q8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1</w:t>
                    </w:r>
                    <w:r>
                      <w:rPr>
                        <w:rFonts w:hint="eastAsia"/>
                        <w:lang w:eastAsia="zh-CN"/>
                      </w:rPr>
                      <w:t xml:space="preserve"> 页</w:t>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eastAsia="楷体_GB2312"/>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6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PYOCAs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229</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jFelckBAACbAwAADgAAAGRycy9lMm9Eb2MueG1srVPNjtMwEL4j8Q6W&#10;79RptUJ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rFTbi5ocRxiyO//Ph++fn78usb&#10;WWaB+gA15t0HzEzDWz9g8uwHdGbeg4o2f5ERwTjKe77KK4dERH60Xq3XFYYExuYL4rOH5yFCeie9&#10;JdloaMT5FVn56QOkMXVOydWcv9PGlBka95cDMbOH5d7HHrOVhv0wEdr79ox8ehx9Qx1uOiXmvUNl&#10;85bMRpyN/WwcQ9SHrqxRrgfhzTFhE6W3XGGEnQrjzAq7ab/yUjy+l6yHf2r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SMV6VyQEAAJs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229</w:t>
                    </w:r>
                    <w:r>
                      <w:rPr>
                        <w:rFonts w:hint="eastAsia"/>
                        <w:lang w:eastAsia="zh-CN"/>
                      </w:rPr>
                      <w:fldChar w:fldCharType="end"/>
                    </w:r>
                    <w:r>
                      <w:rPr>
                        <w:rFonts w:hint="eastAsia"/>
                        <w:lang w:eastAsia="zh-CN"/>
                      </w:rPr>
                      <w:t xml:space="preserve"> 页</w:t>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eastAsia="楷体_GB2312"/>
      </w:rPr>
    </w:pPr>
    <w:r>
      <w:rPr>
        <w:sz w:val="18"/>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27</w:t>
                          </w:r>
                          <w:r>
                            <w:rPr>
                              <w:rFonts w:hint="eastAsia"/>
                              <w:lang w:eastAsia="zh-CN"/>
                            </w:rPr>
                            <w:t xml:space="preserve"> 页</w:t>
                          </w:r>
                        </w:p>
                      </w:txbxContent>
                    </wps:txbx>
                    <wps:bodyPr wrap="none" lIns="0" tIns="0" rIns="0" bIns="0" upright="0">
                      <a:spAutoFit/>
                    </wps:bodyPr>
                  </wps:wsp>
                </a:graphicData>
              </a:graphic>
            </wp:anchor>
          </w:drawing>
        </mc:Choice>
        <mc:Fallback>
          <w:pict>
            <v:shape id="文本框 67"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A9oAH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27</w:t>
                    </w:r>
                    <w:r>
                      <w:rPr>
                        <w:rFonts w:hint="eastAsia"/>
                        <w:lang w:eastAsia="zh-CN"/>
                      </w:rPr>
                      <w:t xml:space="preserve"> 页</w:t>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eastAsia="楷体_GB2312"/>
        <w:lang w:eastAsia="zh-CN"/>
      </w:rPr>
    </w:pPr>
    <w:r>
      <w:rPr>
        <w:sz w:val="18"/>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27</w:t>
                          </w:r>
                          <w:r>
                            <w:rPr>
                              <w:rFonts w:hint="eastAsia"/>
                              <w:lang w:eastAsia="zh-CN"/>
                            </w:rPr>
                            <w:t xml:space="preserve"> 页</w:t>
                          </w:r>
                        </w:p>
                      </w:txbxContent>
                    </wps:txbx>
                    <wps:bodyPr wrap="none" lIns="0" tIns="0" rIns="0" bIns="0" upright="0">
                      <a:spAutoFit/>
                    </wps:bodyPr>
                  </wps:wsp>
                </a:graphicData>
              </a:graphic>
            </wp:anchor>
          </w:drawing>
        </mc:Choice>
        <mc:Fallback>
          <w:pict>
            <v:shape id="文本框 68"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aNJH8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27</w:t>
                    </w:r>
                    <w:r>
                      <w:rPr>
                        <w:rFonts w:hint="eastAsia"/>
                        <w:lang w:eastAsia="zh-CN"/>
                      </w:rPr>
                      <w:t xml:space="preserve"> 页</w:t>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eastAsia="楷体_GB2312"/>
      </w:rPr>
    </w:pPr>
    <w:r>
      <w:rPr>
        <w:sz w:val="18"/>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r>
                            <w:rPr>
                              <w:rFonts w:hint="eastAsia"/>
                              <w:lang w:eastAsia="zh-CN"/>
                            </w:rPr>
                            <w:t xml:space="preserve"> 页 共 </w:t>
                          </w:r>
                          <w:r>
                            <w:rPr>
                              <w:rFonts w:hint="eastAsia"/>
                              <w:lang w:val="en-US" w:eastAsia="zh-CN"/>
                            </w:rPr>
                            <w:t>27</w:t>
                          </w:r>
                          <w:r>
                            <w:rPr>
                              <w:rFonts w:hint="eastAsia"/>
                              <w:lang w:eastAsia="zh-CN"/>
                            </w:rPr>
                            <w:t xml:space="preserve"> 页</w:t>
                          </w:r>
                        </w:p>
                      </w:txbxContent>
                    </wps:txbx>
                    <wps:bodyPr wrap="none" lIns="0" tIns="0" rIns="0" bIns="0" upright="0">
                      <a:spAutoFit/>
                    </wps:bodyPr>
                  </wps:wsp>
                </a:graphicData>
              </a:graphic>
            </wp:anchor>
          </w:drawing>
        </mc:Choice>
        <mc:Fallback>
          <w:pict>
            <v:shape id="文本框 70"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nzll4yQEAAJw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r>
                      <w:rPr>
                        <w:rFonts w:hint="eastAsia"/>
                        <w:lang w:eastAsia="zh-CN"/>
                      </w:rPr>
                      <w:t xml:space="preserve"> 页 共 </w:t>
                    </w:r>
                    <w:r>
                      <w:rPr>
                        <w:rFonts w:hint="eastAsia"/>
                        <w:lang w:val="en-US" w:eastAsia="zh-CN"/>
                      </w:rPr>
                      <w:t>27</w:t>
                    </w:r>
                    <w:r>
                      <w:rPr>
                        <w:rFonts w:hint="eastAsia"/>
                        <w:lang w:eastAsia="zh-CN"/>
                      </w:rPr>
                      <w:t xml:space="preserve"> 页</w:t>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eastAsia="楷体_GB2312"/>
      </w:rPr>
    </w:pPr>
    <w:r>
      <w:rPr>
        <w:sz w:val="18"/>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 共 </w:t>
                          </w:r>
                          <w:r>
                            <w:rPr>
                              <w:rFonts w:hint="eastAsia"/>
                              <w:lang w:val="en-US" w:eastAsia="zh-CN"/>
                            </w:rPr>
                            <w:t>27</w:t>
                          </w:r>
                          <w:r>
                            <w:rPr>
                              <w:rFonts w:hint="eastAsia"/>
                              <w:lang w:eastAsia="zh-CN"/>
                            </w:rPr>
                            <w:t xml:space="preserve"> 页</w:t>
                          </w:r>
                        </w:p>
                      </w:txbxContent>
                    </wps:txbx>
                    <wps:bodyPr wrap="none" lIns="0" tIns="0" rIns="0" bIns="0" upright="0">
                      <a:spAutoFit/>
                    </wps:bodyPr>
                  </wps:wsp>
                </a:graphicData>
              </a:graphic>
            </wp:anchor>
          </w:drawing>
        </mc:Choice>
        <mc:Fallback>
          <w:pict>
            <v:shape id="文本框 71"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3Wn+ZyQEAAJw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 共 </w:t>
                    </w:r>
                    <w:r>
                      <w:rPr>
                        <w:rFonts w:hint="eastAsia"/>
                        <w:lang w:val="en-US" w:eastAsia="zh-CN"/>
                      </w:rPr>
                      <w:t>27</w:t>
                    </w:r>
                    <w:r>
                      <w:rPr>
                        <w:rFonts w:hint="eastAsia"/>
                        <w:lang w:eastAsia="zh-CN"/>
                      </w:rPr>
                      <w:t xml:space="preserve"> 页</w:t>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rPr>
                          </w:pPr>
                        </w:p>
                      </w:txbxContent>
                    </wps:txbx>
                    <wps:bodyPr wrap="none" lIns="0" tIns="0" rIns="0" bIns="0" upright="1">
                      <a:spAutoFit/>
                    </wps:bodyPr>
                  </wps:wsp>
                </a:graphicData>
              </a:graphic>
            </wp:anchor>
          </w:drawing>
        </mc:Choice>
        <mc:Fallback>
          <w:pict>
            <v:shape id="文本框 119"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zn15szAEAAJ0DAAAOAAAAAAAAAAEAIAAAAB4BAABkcnMvZTJv&#10;RG9jLnhtbFBLBQYAAAAABgAGAFkBAABcBQAAAAA=&#10;">
              <v:fill on="f" focussize="0,0"/>
              <v:stroke on="f"/>
              <v:imagedata o:title=""/>
              <o:lock v:ext="edit" aspectratio="f"/>
              <v:textbox inset="0mm,0mm,0mm,0mm" style="mso-fit-shape-to-text:t;">
                <w:txbxContent>
                  <w:p>
                    <w:pPr>
                      <w:pStyle w:val="18"/>
                      <w:rPr>
                        <w:rFonts w:hint="eastAsia"/>
                      </w:rPr>
                    </w:pP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eastAsia="楷体_GB2312"/>
      </w:rPr>
    </w:pPr>
    <w:r>
      <w:rPr>
        <w:sz w:val="18"/>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r>
                            <w:rPr>
                              <w:rFonts w:hint="eastAsia"/>
                              <w:lang w:eastAsia="zh-CN"/>
                            </w:rPr>
                            <w:t xml:space="preserve"> 页 共 </w:t>
                          </w:r>
                          <w:r>
                            <w:rPr>
                              <w:rFonts w:hint="eastAsia"/>
                              <w:lang w:val="en-US" w:eastAsia="zh-CN"/>
                            </w:rPr>
                            <w:t>27</w:t>
                          </w:r>
                          <w:r>
                            <w:rPr>
                              <w:rFonts w:hint="eastAsia"/>
                              <w:lang w:eastAsia="zh-CN"/>
                            </w:rPr>
                            <w:t>页</w:t>
                          </w:r>
                        </w:p>
                      </w:txbxContent>
                    </wps:txbx>
                    <wps:bodyPr wrap="none" lIns="0" tIns="0" rIns="0" bIns="0" upright="0">
                      <a:spAutoFit/>
                    </wps:bodyPr>
                  </wps:wsp>
                </a:graphicData>
              </a:graphic>
            </wp:anchor>
          </w:drawing>
        </mc:Choice>
        <mc:Fallback>
          <w:pict>
            <v:shape id="文本框 128"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CMl4yzLAQAAnQ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r>
                      <w:rPr>
                        <w:rFonts w:hint="eastAsia"/>
                        <w:lang w:eastAsia="zh-CN"/>
                      </w:rPr>
                      <w:t xml:space="preserve"> 页 共 </w:t>
                    </w:r>
                    <w:r>
                      <w:rPr>
                        <w:rFonts w:hint="eastAsia"/>
                        <w:lang w:val="en-US" w:eastAsia="zh-CN"/>
                      </w:rPr>
                      <w:t>27</w:t>
                    </w:r>
                    <w:r>
                      <w:rPr>
                        <w:rFonts w:hint="eastAsia"/>
                        <w:lang w:eastAsia="zh-CN"/>
                      </w:rPr>
                      <w:t>页</w:t>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eastAsia="楷体_GB2312"/>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 共 </w:t>
                          </w:r>
                          <w:r>
                            <w:rPr>
                              <w:rFonts w:hint="eastAsia"/>
                              <w:lang w:val="en-US" w:eastAsia="zh-CN"/>
                            </w:rPr>
                            <w:t>9</w:t>
                          </w:r>
                          <w:r>
                            <w:rPr>
                              <w:rFonts w:hint="eastAsia"/>
                              <w:lang w:eastAsia="zh-CN"/>
                            </w:rPr>
                            <w:t xml:space="preserve"> 页</w:t>
                          </w:r>
                        </w:p>
                      </w:txbxContent>
                    </wps:txbx>
                    <wps:bodyPr wrap="none" lIns="0" tIns="0" rIns="0" bIns="0" upright="0">
                      <a:spAutoFit/>
                    </wps:bodyPr>
                  </wps:wsp>
                </a:graphicData>
              </a:graphic>
            </wp:anchor>
          </w:drawing>
        </mc:Choice>
        <mc:Fallback>
          <w:pict>
            <v:shape id="文本框 72"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XbMcfs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 共 </w:t>
                    </w:r>
                    <w:r>
                      <w:rPr>
                        <w:rFonts w:hint="eastAsia"/>
                        <w:lang w:val="en-US" w:eastAsia="zh-CN"/>
                      </w:rPr>
                      <w:t>9</w:t>
                    </w:r>
                    <w:r>
                      <w:rPr>
                        <w:rFonts w:hint="eastAsia"/>
                        <w:lang w:eastAsia="zh-CN"/>
                      </w:rPr>
                      <w:t xml:space="preserve"> 页</w:t>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r>
                            <w:rPr>
                              <w:rFonts w:hint="eastAsia"/>
                              <w:lang w:eastAsia="zh-CN"/>
                            </w:rPr>
                            <w:t xml:space="preserve"> 页 共 </w:t>
                          </w:r>
                          <w:r>
                            <w:rPr>
                              <w:rFonts w:hint="eastAsia"/>
                              <w:lang w:val="en-US" w:eastAsia="zh-CN"/>
                            </w:rPr>
                            <w:t>11</w:t>
                          </w:r>
                          <w:r>
                            <w:rPr>
                              <w:rFonts w:hint="eastAsia"/>
                              <w:lang w:eastAsia="zh-CN"/>
                            </w:rPr>
                            <w:t xml:space="preserve"> 页</w:t>
                          </w:r>
                        </w:p>
                      </w:txbxContent>
                    </wps:txbx>
                    <wps:bodyPr wrap="none" lIns="0" tIns="0" rIns="0" bIns="0" upright="0">
                      <a:spAutoFit/>
                    </wps:bodyPr>
                  </wps:wsp>
                </a:graphicData>
              </a:graphic>
            </wp:anchor>
          </w:drawing>
        </mc:Choice>
        <mc:Fallback>
          <w:pict>
            <v:shape id="文本框 73"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3mxn0c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r>
                      <w:rPr>
                        <w:rFonts w:hint="eastAsia"/>
                        <w:lang w:eastAsia="zh-CN"/>
                      </w:rPr>
                      <w:t xml:space="preserve"> 页 共 </w:t>
                    </w:r>
                    <w:r>
                      <w:rPr>
                        <w:rFonts w:hint="eastAsia"/>
                        <w:lang w:val="en-US" w:eastAsia="zh-CN"/>
                      </w:rPr>
                      <w:t>11</w:t>
                    </w:r>
                    <w:r>
                      <w:rPr>
                        <w:rFonts w:hint="eastAsia"/>
                        <w:lang w:eastAsia="zh-CN"/>
                      </w:rPr>
                      <w:t xml:space="preserve"> 页</w:t>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r>
                            <w:rPr>
                              <w:rFonts w:hint="eastAsia"/>
                              <w:lang w:eastAsia="zh-CN"/>
                            </w:rPr>
                            <w:t xml:space="preserve"> 页 共 </w:t>
                          </w:r>
                          <w:r>
                            <w:rPr>
                              <w:rFonts w:hint="eastAsia"/>
                              <w:lang w:val="en-US" w:eastAsia="zh-CN"/>
                            </w:rPr>
                            <w:t>17</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30"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1ylQXLAQAAnQ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r>
                      <w:rPr>
                        <w:rFonts w:hint="eastAsia"/>
                        <w:lang w:eastAsia="zh-CN"/>
                      </w:rPr>
                      <w:t xml:space="preserve"> 页 共 </w:t>
                    </w:r>
                    <w:r>
                      <w:rPr>
                        <w:rFonts w:hint="eastAsia"/>
                        <w:lang w:val="en-US" w:eastAsia="zh-CN"/>
                      </w:rPr>
                      <w:t>17</w:t>
                    </w:r>
                    <w:r>
                      <w:rPr>
                        <w:rFonts w:hint="eastAsia"/>
                        <w:lang w:eastAsia="zh-CN"/>
                      </w:rPr>
                      <w:t xml:space="preserve"> 页</w:t>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r>
                            <w:rPr>
                              <w:rFonts w:hint="eastAsia"/>
                              <w:lang w:eastAsia="zh-CN"/>
                            </w:rPr>
                            <w:t xml:space="preserve"> 页 共 </w:t>
                          </w:r>
                          <w:r>
                            <w:rPr>
                              <w:rFonts w:hint="eastAsia"/>
                              <w:lang w:val="en-US" w:eastAsia="zh-CN"/>
                            </w:rPr>
                            <w:t>17</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24"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IszOOs0BAACdAwAADgAAAAAAAAABACAAAAAeAQAAZHJzL2Uy&#10;b0RvYy54bWxQSwUGAAAAAAYABgBZAQAAXQ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r>
                      <w:rPr>
                        <w:rFonts w:hint="eastAsia"/>
                        <w:lang w:eastAsia="zh-CN"/>
                      </w:rPr>
                      <w:t xml:space="preserve"> 页 共 </w:t>
                    </w:r>
                    <w:r>
                      <w:rPr>
                        <w:rFonts w:hint="eastAsia"/>
                        <w:lang w:val="en-US" w:eastAsia="zh-CN"/>
                      </w:rPr>
                      <w:t>17</w:t>
                    </w:r>
                    <w:r>
                      <w:rPr>
                        <w:rFonts w:hint="eastAsia"/>
                        <w:lang w:eastAsia="zh-CN"/>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sdt>
      <w:sdtPr>
        <w:id w:val="1575551505"/>
        <w:docPartObj>
          <w:docPartGallery w:val="autotext"/>
        </w:docPartObj>
      </w:sdtPr>
      <w:sdtContent>
        <w:sdt>
          <w:sdtPr>
            <w:id w:val="-1705238520"/>
            <w:docPartObj>
              <w:docPartGallery w:val="autotext"/>
            </w:docPartObj>
          </w:sdtPr>
          <w:sdtContent>
            <w:r>
              <w:rPr>
                <w:rFonts w:hint="eastAsia"/>
                <w:sz w:val="21"/>
                <w:szCs w:val="21"/>
              </w:rPr>
              <w:t>第1页 共</w:t>
            </w:r>
            <w:r>
              <w:rPr>
                <w:rFonts w:hint="eastAsia"/>
                <w:sz w:val="21"/>
                <w:szCs w:val="21"/>
                <w:lang w:val="en-US" w:eastAsia="zh-CN"/>
              </w:rPr>
              <w:t xml:space="preserve"> 1 </w:t>
            </w:r>
            <w:r>
              <w:rPr>
                <w:rFonts w:hint="eastAsia"/>
                <w:sz w:val="21"/>
                <w:szCs w:val="21"/>
              </w:rPr>
              <w:t>页</w:t>
            </w:r>
          </w:sdtContent>
        </w:sdt>
      </w:sdtContent>
    </w:sdt>
  </w:p>
  <w:p>
    <w:pPr>
      <w:pStyle w:val="18"/>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74"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Uyuic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680"/>
        <w:tab w:val="left" w:pos="6088"/>
      </w:tabs>
      <w:jc w:val="left"/>
      <w:rPr>
        <w:rFonts w:hint="eastAsia" w:eastAsiaTheme="minorEastAsia"/>
        <w:lang w:val="en-US" w:eastAsia="zh-CN"/>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75"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B9OjOr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680"/>
        <w:tab w:val="left" w:pos="6088"/>
      </w:tabs>
      <w:jc w:val="left"/>
      <w:rPr>
        <w:rFonts w:hint="eastAsia" w:eastAsiaTheme="minorEastAsia"/>
        <w:lang w:val="en-US" w:eastAsia="zh-CN"/>
      </w:rP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6</w:t>
                          </w:r>
                          <w:r>
                            <w:rPr>
                              <w:rFonts w:hint="eastAsia"/>
                              <w:lang w:eastAsia="zh-CN"/>
                            </w:rPr>
                            <w:t xml:space="preserve"> 页</w:t>
                          </w:r>
                        </w:p>
                      </w:txbxContent>
                    </wps:txbx>
                    <wps:bodyPr wrap="none" lIns="0" tIns="0" rIns="0" bIns="0" upright="0">
                      <a:spAutoFit/>
                    </wps:bodyPr>
                  </wps:wsp>
                </a:graphicData>
              </a:graphic>
            </wp:anchor>
          </w:drawing>
        </mc:Choice>
        <mc:Fallback>
          <w:pict>
            <v:shape id="文本框 75"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EKoFskBAACbAwAADgAAAGRycy9lMm9Eb2MueG1srVPNjtMwEL4j8Q6W&#10;79RpJ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lvchCUljluc+OX7t8uPX5efX8nr&#10;l1mgPkCNeXcBM9Pw1g+YPPsBnZn3oKLNX2REMI7ynq/yyiERkR+tV+t1hSGBsfmC+OzheYiQ3klv&#10;STYaGnF+RVZ++gBpTJ1TcjXnb7UxZYbG/eVAzOxhufexx2ylYT9MhPa+PSOfHkffUIebTol571DZ&#10;vCWzEWdjPxvHEPWhK2uU60F4c0zYROktVxhhp8I4s8Ju2q+8FH/eS9bD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4QqgWyQEAAJs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6</w:t>
                    </w:r>
                    <w:r>
                      <w:rPr>
                        <w:rFonts w:hint="eastAsia"/>
                        <w:lang w:eastAsia="zh-CN"/>
                      </w:rPr>
                      <w:t xml:space="preserve"> 页</w:t>
                    </w:r>
                  </w:p>
                </w:txbxContent>
              </v:textbox>
            </v:shape>
          </w:pict>
        </mc:Fallback>
      </mc:AlternateConten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680"/>
        <w:tab w:val="left" w:pos="6088"/>
      </w:tabs>
      <w:jc w:val="left"/>
      <w:rPr>
        <w:rFonts w:hint="eastAsia" w:eastAsiaTheme="minorEastAsia"/>
        <w:lang w:val="en-US" w:eastAsia="zh-CN"/>
      </w:rPr>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4</w:t>
                          </w:r>
                          <w:r>
                            <w:rPr>
                              <w:rFonts w:hint="eastAsia"/>
                              <w:lang w:eastAsia="zh-CN"/>
                            </w:rPr>
                            <w:t xml:space="preserve"> 页</w:t>
                          </w:r>
                        </w:p>
                      </w:txbxContent>
                    </wps:txbx>
                    <wps:bodyPr wrap="none" lIns="0" tIns="0" rIns="0" bIns="0" upright="0">
                      <a:spAutoFit/>
                    </wps:bodyPr>
                  </wps:wsp>
                </a:graphicData>
              </a:graphic>
            </wp:anchor>
          </w:drawing>
        </mc:Choice>
        <mc:Fallback>
          <w:pict>
            <v:shape id="文本框 75"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CV7MoBAACcAwAADgAAAGRycy9lMm9Eb2MueG1srVPNjtMwEL4j8Q6W&#10;79TZIqCK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3iJrxETRy3OPLzzx/nX3/Ov7+T&#10;N6+yQn2AGhNvA6am4Z0fMHv2Azoz8UFFm79IiWAcsU4XfeWQiMiPVsvVqsKQwNh8QXx29zxESO+l&#10;tyQbDY04wKIrP36ENKbOKbma8zfamDJE4/5zIGb2sNz72GO20rAbJkI7356QT4+zb6jDVafEfHAo&#10;LfaXZiPOxm42DiHqfVf2KNeD8PaQsInSW64wwk6FcWiF3bRgeSv+vZesu59q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ACV7M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4</w:t>
                    </w:r>
                    <w:r>
                      <w:rPr>
                        <w:rFonts w:hint="eastAsia"/>
                        <w:lang w:eastAsia="zh-CN"/>
                      </w:rPr>
                      <w:t xml:space="preserve"> 页</w:t>
                    </w:r>
                  </w:p>
                </w:txbxContent>
              </v:textbox>
            </v:shape>
          </w:pict>
        </mc:Fallback>
      </mc:AlternateConten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680"/>
        <w:tab w:val="left" w:pos="6088"/>
      </w:tabs>
      <w:jc w:val="left"/>
      <w:rPr>
        <w:rFonts w:hint="eastAsia" w:eastAsiaTheme="minorEastAsia"/>
        <w:lang w:val="en-US" w:eastAsia="zh-CN"/>
      </w:rP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6</w:t>
                          </w:r>
                          <w:r>
                            <w:rPr>
                              <w:rFonts w:hint="eastAsia"/>
                              <w:lang w:eastAsia="zh-CN"/>
                            </w:rPr>
                            <w:t xml:space="preserve"> 页</w:t>
                          </w:r>
                        </w:p>
                      </w:txbxContent>
                    </wps:txbx>
                    <wps:bodyPr wrap="none" lIns="0" tIns="0" rIns="0" bIns="0" upright="0">
                      <a:spAutoFit/>
                    </wps:bodyPr>
                  </wps:wsp>
                </a:graphicData>
              </a:graphic>
            </wp:anchor>
          </w:drawing>
        </mc:Choice>
        <mc:Fallback>
          <w:pict>
            <v:shape id="文本框 75"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oHHa8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6</w:t>
                    </w:r>
                    <w:r>
                      <w:rPr>
                        <w:rFonts w:hint="eastAsia"/>
                        <w:lang w:eastAsia="zh-CN"/>
                      </w:rPr>
                      <w:t xml:space="preserve"> 页</w:t>
                    </w:r>
                  </w:p>
                </w:txbxContent>
              </v:textbox>
            </v:shape>
          </w:pict>
        </mc:Fallback>
      </mc:AlternateConten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680"/>
        <w:tab w:val="left" w:pos="6088"/>
      </w:tabs>
      <w:jc w:val="left"/>
      <w:rPr>
        <w:rFonts w:hint="eastAsia" w:eastAsiaTheme="minorEastAsia"/>
        <w:lang w:val="en-US" w:eastAsia="zh-CN"/>
      </w:rPr>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10</w:t>
                          </w:r>
                          <w:r>
                            <w:rPr>
                              <w:rFonts w:hint="eastAsia"/>
                              <w:lang w:eastAsia="zh-CN"/>
                            </w:rPr>
                            <w:t xml:space="preserve"> 页</w:t>
                          </w:r>
                        </w:p>
                      </w:txbxContent>
                    </wps:txbx>
                    <wps:bodyPr wrap="none" lIns="0" tIns="0" rIns="0" bIns="0" upright="0">
                      <a:spAutoFit/>
                    </wps:bodyPr>
                  </wps:wsp>
                </a:graphicData>
              </a:graphic>
            </wp:anchor>
          </w:drawing>
        </mc:Choice>
        <mc:Fallback>
          <w:pict>
            <v:shape id="文本框 75"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SYDJsoBAACcAwAADgAAAGRycy9lMm9Eb2MueG1srVNNrtMwEN4jcQfL&#10;e+q0CKi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BY34fmSEsctjvzy/dvlx6/Lz6/k&#10;1YusUB+gxsS7gKlpeOMHzJ79gM5MfFDR5i9SIhhHfc9XfeWQiMiP1qv1usKQwNh8QXx2/zxESG+l&#10;tyQbDY04wKIrP72HNKbOKbma87famDJE4/5yIGb2sNz72GO20rAfJkJ7356RT4+zb6jDVafEvHMo&#10;bV6T2YizsZ+NY4j60JU9yvUgvD4mbKL0liuMsFNhHFphNy1Y3oo/7yXr/qf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SYDJs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10</w:t>
                    </w:r>
                    <w:r>
                      <w:rPr>
                        <w:rFonts w:hint="eastAsia"/>
                        <w:lang w:eastAsia="zh-CN"/>
                      </w:rPr>
                      <w:t xml:space="preserve"> 页</w:t>
                    </w:r>
                  </w:p>
                </w:txbxContent>
              </v:textbox>
            </v:shape>
          </w:pict>
        </mc:Fallback>
      </mc:AlternateConten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 xml:space="preserve">10 </w:t>
                          </w:r>
                          <w:r>
                            <w:rPr>
                              <w:rFonts w:hint="eastAsia"/>
                              <w:lang w:eastAsia="zh-CN"/>
                            </w:rPr>
                            <w:t>页</w:t>
                          </w:r>
                        </w:p>
                      </w:txbxContent>
                    </wps:txbx>
                    <wps:bodyPr wrap="none" lIns="0" tIns="0" rIns="0" bIns="0" upright="0">
                      <a:spAutoFit/>
                    </wps:bodyPr>
                  </wps:wsp>
                </a:graphicData>
              </a:graphic>
            </wp:anchor>
          </w:drawing>
        </mc:Choice>
        <mc:Fallback>
          <w:pict>
            <v:shape id="文本框 7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afvDcoBAACcAwAADgAAAGRycy9lMm9Eb2MueG1srVPNjtMwEL4j8Q6W&#10;79TZHpYq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FtQ7E+JY5bHPn554/zrz/n39/J&#10;2+usUB+gxsT7gKlpeOcH3JvZD+jMxAcVbf4iJYJx1Pd00VcOiYj8aLVcrSoMCYzNF8RnD89DhPRe&#10;ekuy0dCIAyy68uNHSGPqnJKrOX+njSlDNO4fB2JmD8u9jz1mKw27YSK08+0J+fQ4+4Y6XHVKzAeH&#10;0uY1mY04G7vZOISo913Zo1wPwu0hYROlt1xhhJ0K49AKu2nB8lY8vpesh59q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tafvDc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val="en-US" w:eastAsia="zh-CN"/>
                      </w:rPr>
                      <w:t xml:space="preserve">10 </w:t>
                    </w:r>
                    <w:r>
                      <w:rPr>
                        <w:rFonts w:hint="eastAsia"/>
                        <w:lang w:eastAsia="zh-CN"/>
                      </w:rPr>
                      <w:t>页</w:t>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wps:txbx>
                    <wps:bodyPr wrap="none" lIns="0" tIns="0" rIns="0" bIns="0" upright="0">
                      <a:spAutoFit/>
                    </wps:bodyPr>
                  </wps:wsp>
                </a:graphicData>
              </a:graphic>
            </wp:anchor>
          </w:drawing>
        </mc:Choice>
        <mc:Fallback>
          <w:pict>
            <v:shape id="文本框 77"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o93ks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w:t>
                          </w:r>
                          <w:r>
                            <w:rPr>
                              <w:rFonts w:hint="eastAsia"/>
                              <w:lang w:val="en-US" w:eastAsia="zh-CN"/>
                            </w:rPr>
                            <w:t xml:space="preserve"> 3 </w:t>
                          </w:r>
                          <w:r>
                            <w:rPr>
                              <w:rFonts w:hint="eastAsia"/>
                              <w:lang w:eastAsia="zh-CN"/>
                            </w:rPr>
                            <w:t>页</w:t>
                          </w:r>
                        </w:p>
                      </w:txbxContent>
                    </wps:txbx>
                    <wps:bodyPr wrap="none" lIns="0" tIns="0" rIns="0" bIns="0" upright="0">
                      <a:spAutoFit/>
                    </wps:bodyPr>
                  </wps:wsp>
                </a:graphicData>
              </a:graphic>
            </wp:anchor>
          </w:drawing>
        </mc:Choice>
        <mc:Fallback>
          <w:pict>
            <v:shape id="文本框 8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5RYtc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val="en-US" w:eastAsia="zh-CN"/>
                      </w:rPr>
                      <w:t xml:space="preserve"> </w:t>
                    </w: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w:t>
                    </w:r>
                    <w:r>
                      <w:rPr>
                        <w:rFonts w:hint="eastAsia"/>
                        <w:lang w:val="en-US" w:eastAsia="zh-CN"/>
                      </w:rPr>
                      <w:t xml:space="preserve"> 3 </w:t>
                    </w:r>
                    <w:r>
                      <w:rPr>
                        <w:rFonts w:hint="eastAsia"/>
                        <w:lang w:eastAsia="zh-CN"/>
                      </w:rPr>
                      <w:t>页</w:t>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w:t>
                          </w:r>
                          <w:r>
                            <w:rPr>
                              <w:rFonts w:hint="eastAsia"/>
                              <w:lang w:val="en-US" w:eastAsia="zh-CN"/>
                            </w:rPr>
                            <w:t xml:space="preserve"> 7 </w:t>
                          </w:r>
                          <w:r>
                            <w:rPr>
                              <w:rFonts w:hint="eastAsia"/>
                              <w:lang w:eastAsia="zh-CN"/>
                            </w:rPr>
                            <w:t>页</w:t>
                          </w:r>
                        </w:p>
                      </w:txbxContent>
                    </wps:txbx>
                    <wps:bodyPr wrap="none" lIns="0" tIns="0" rIns="0" bIns="0" upright="0">
                      <a:spAutoFit/>
                    </wps:bodyPr>
                  </wps:wsp>
                </a:graphicData>
              </a:graphic>
            </wp:anchor>
          </w:drawing>
        </mc:Choice>
        <mc:Fallback>
          <w:pict>
            <v:shape id="文本框 129"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I7XCYzAEAAJ0DAAAOAAAAAAAAAAEAIAAAAB4BAABkcnMvZTJv&#10;RG9jLnhtbFBLBQYAAAAABgAGAFkBAABc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w:t>
                    </w:r>
                    <w:r>
                      <w:rPr>
                        <w:rFonts w:hint="eastAsia"/>
                        <w:lang w:val="en-US" w:eastAsia="zh-CN"/>
                      </w:rPr>
                      <w:t xml:space="preserve"> 7 </w:t>
                    </w:r>
                    <w:r>
                      <w:rPr>
                        <w:rFonts w:hint="eastAsia"/>
                        <w:lang w:eastAsia="zh-CN"/>
                      </w:rPr>
                      <w:t>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eastAsiaTheme="minorEastAsia"/>
        <w:lang w:val="en-US" w:eastAsia="zh-CN"/>
      </w:rPr>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1</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ifrA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X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lifrAzAgAAZQQAAA4AAAAAAAAAAQAgAAAAHwEAAGRycy9lMm9Eb2MueG1sUEsF&#10;BgAAAAAGAAYAWQEAAMQFA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1</w:t>
                    </w:r>
                    <w:r>
                      <w:t xml:space="preserve"> 页</w:t>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87"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Nv3nWT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5</w:t>
                          </w:r>
                          <w:r>
                            <w:rPr>
                              <w:rFonts w:hint="eastAsia"/>
                              <w:lang w:eastAsia="zh-CN"/>
                            </w:rPr>
                            <w:t xml:space="preserve"> 页</w:t>
                          </w:r>
                        </w:p>
                      </w:txbxContent>
                    </wps:txbx>
                    <wps:bodyPr wrap="none" lIns="0" tIns="0" rIns="0" bIns="0" upright="0">
                      <a:spAutoFit/>
                    </wps:bodyPr>
                  </wps:wsp>
                </a:graphicData>
              </a:graphic>
            </wp:anchor>
          </w:drawing>
        </mc:Choice>
        <mc:Fallback>
          <w:pict>
            <v:shape id="文本框 97"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xhXTlMoBAACc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5</w:t>
                    </w:r>
                    <w:r>
                      <w:rPr>
                        <w:rFonts w:hint="eastAsia"/>
                        <w:lang w:eastAsia="zh-CN"/>
                      </w:rPr>
                      <w:t xml:space="preserve"> 页</w:t>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wps:txbx>
                    <wps:bodyPr wrap="none" lIns="0" tIns="0" rIns="0" bIns="0" upright="0">
                      <a:spAutoFit/>
                    </wps:bodyPr>
                  </wps:wsp>
                </a:graphicData>
              </a:graphic>
            </wp:anchor>
          </w:drawing>
        </mc:Choice>
        <mc:Fallback>
          <w:pict>
            <v:shape id="文本框 125"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JBF2OzAEAAJ0DAAAOAAAAAAAAAAEAIAAAAB4BAABkcnMvZTJv&#10;RG9jLnhtbFBLBQYAAAAABgAGAFkBAABc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w:t>
                    </w:r>
                    <w:r>
                      <w:rPr>
                        <w:rFonts w:hint="eastAsia"/>
                        <w:lang w:eastAsia="zh-CN"/>
                      </w:rPr>
                      <w:t xml:space="preserve"> 页</w:t>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eastAsia="宋体"/>
        <w:lang w:val="en-US" w:eastAsia="zh-CN"/>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98"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MBnxMsBAACc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PVckmJ5QZHfv7+7fzj1/nn&#10;V/KuTAr1HipMfPKYGoc7N+DezH5AZyI+tMGkL1IiGEd9Txd95RCJSI/KVVkWGBIYmy+Iz56f+wDx&#10;vXSGJKOmAQeYdeXHR4hj6pySqll3r7TOQ9T2LwdiJg9LvY89JisOu2EitHPNCfn0OPuaWlx1SvSD&#10;RWnTmsxGmI3dbBx8UPsu71GqB/72ELGJ3FuqMMJOhXFomd20YGkr/rznrOefav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DAZ8T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w:t>
                    </w:r>
                    <w:r>
                      <w:rPr>
                        <w:rFonts w:hint="eastAsia"/>
                        <w:lang w:eastAsia="zh-CN"/>
                      </w:rPr>
                      <w:t xml:space="preserve"> 页</w:t>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w:t>
                          </w:r>
                          <w:r>
                            <w:rPr>
                              <w:rFonts w:hint="eastAsia"/>
                              <w:lang w:val="en-US" w:eastAsia="zh-CN"/>
                            </w:rPr>
                            <w:t>2</w:t>
                          </w:r>
                          <w:r>
                            <w:rPr>
                              <w:rFonts w:hint="eastAsia"/>
                              <w:lang w:eastAsia="zh-CN"/>
                            </w:rPr>
                            <w:t xml:space="preserve"> 页</w:t>
                          </w:r>
                        </w:p>
                      </w:txbxContent>
                    </wps:txbx>
                    <wps:bodyPr wrap="none" lIns="0" tIns="0" rIns="0" bIns="0" upright="0">
                      <a:spAutoFit/>
                    </wps:bodyPr>
                  </wps:wsp>
                </a:graphicData>
              </a:graphic>
            </wp:anchor>
          </w:drawing>
        </mc:Choice>
        <mc:Fallback>
          <w:pict>
            <v:shape id="文本框 99"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Nvo/1vLAQAAnAMAAA4AAAAAAAAAAQAgAAAAHgEAAGRycy9lMm9E&#10;b2MueG1sUEsFBgAAAAAGAAYAWQEAAFs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w:t>
                    </w:r>
                    <w:r>
                      <w:rPr>
                        <w:rFonts w:hint="eastAsia"/>
                        <w:lang w:val="en-US" w:eastAsia="zh-CN"/>
                      </w:rPr>
                      <w:t>2</w:t>
                    </w:r>
                    <w:r>
                      <w:rPr>
                        <w:rFonts w:hint="eastAsia"/>
                        <w:lang w:eastAsia="zh-CN"/>
                      </w:rPr>
                      <w:t xml:space="preserve"> 页</w:t>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eastAsia" w:eastAsia="宋体"/>
        <w:lang w:val="en-US" w:eastAsia="zh-CN"/>
      </w:rPr>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JfIc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SXyHNAIAAGUEAAAOAAAAAAAAAAEAIAAAAB8BAABkcnMvZTJvRG9jLnhtbFBL&#10;BQYAAAAABgAGAFkBAADFBQ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w:t>
                    </w:r>
                    <w:r>
                      <w:t xml:space="preserve"> 页</w:t>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val="en-US" w:eastAsia="zh-CN"/>
                            </w:rPr>
                            <w:t>2</w:t>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NnUxA6AgAAc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TZ1MQOgIAAHMEAAAOAAAAAAAAAAEAIAAAAB8BAABkcnMvZTJvRG9j&#10;LnhtbFBLBQYAAAAABgAGAFkBAADLBQ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val="en-US" w:eastAsia="zh-CN"/>
                      </w:rPr>
                      <w:t>2</w:t>
                    </w:r>
                    <w:r>
                      <w:rPr>
                        <w:rFonts w:hint="eastAsia" w:eastAsia="宋体"/>
                        <w:lang w:eastAsia="zh-CN"/>
                      </w:rPr>
                      <w:t xml:space="preserve"> 页</w:t>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3MGU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i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NzBlNAIAAGUEAAAOAAAAAAAAAAEAIAAAAB8BAABkcnMvZTJvRG9jLnhtbFBL&#10;BQYAAAAABgAGAFkBAADFBQ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w:t>
                    </w:r>
                    <w:r>
                      <w:t xml:space="preserve"> 页</w:t>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val="en-US" w:eastAsia="zh-CN"/>
                            </w:rPr>
                            <w:t>2</w:t>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YcQE7AgAAcw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JdhxATsCAABzBAAADgAAAAAAAAABACAAAAAfAQAAZHJzL2Uyb0Rv&#10;Yy54bWxQSwUGAAAAAAYABgBZAQAAzAU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val="en-US" w:eastAsia="zh-CN"/>
                      </w:rPr>
                      <w:t>2</w:t>
                    </w:r>
                    <w:r>
                      <w:rPr>
                        <w:rFonts w:hint="eastAsia" w:eastAsia="宋体"/>
                        <w:lang w:eastAsia="zh-CN"/>
                      </w:rPr>
                      <w:t xml:space="preserve"> 页</w:t>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val="en-US" w:eastAsia="zh-CN"/>
                            </w:rPr>
                            <w:t>2</w:t>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np387AgAAcw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uyenfzsCAABzBAAADgAAAAAAAAABACAAAAAfAQAAZHJzL2Uyb0Rv&#10;Yy54bWxQSwUGAAAAAAYABgBZAQAAzAU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val="en-US" w:eastAsia="zh-CN"/>
                      </w:rPr>
                      <w:t>2</w:t>
                    </w:r>
                    <w:r>
                      <w:rPr>
                        <w:rFonts w:hint="eastAsia" w:eastAsia="宋体"/>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hint="eastAsia"/>
        <w:sz w:val="21"/>
        <w:szCs w:val="21"/>
      </w:rPr>
    </w:pPr>
    <w:r>
      <w:rPr>
        <w:rFonts w:hint="eastAsia"/>
      </w:rPr>
      <w:t xml:space="preserve"> </w:t>
    </w:r>
    <w:r>
      <w:rPr>
        <w:rFonts w:hint="eastAsia"/>
        <w:sz w:val="21"/>
        <w:szCs w:val="21"/>
      </w:rPr>
      <w:t xml:space="preserve"> </w:t>
    </w:r>
  </w:p>
  <w:p>
    <w:pPr>
      <w:pStyle w:val="19"/>
      <w:jc w:val="left"/>
      <w:rPr>
        <w:rFonts w:hint="eastAsia"/>
        <w:sz w:val="21"/>
        <w:szCs w:val="21"/>
      </w:rPr>
    </w:pPr>
    <w:r>
      <w:rPr>
        <w:rFonts w:hint="eastAsia"/>
      </w:rPr>
      <w:drawing>
        <wp:anchor distT="0" distB="0" distL="0" distR="0" simplePos="0" relativeHeight="251788288" behindDoc="0" locked="0" layoutInCell="1" allowOverlap="1">
          <wp:simplePos x="0" y="0"/>
          <wp:positionH relativeFrom="column">
            <wp:posOffset>4091940</wp:posOffset>
          </wp:positionH>
          <wp:positionV relativeFrom="paragraph">
            <wp:posOffset>102235</wp:posOffset>
          </wp:positionV>
          <wp:extent cx="1758950" cy="401320"/>
          <wp:effectExtent l="0" t="0" r="8890" b="10160"/>
          <wp:wrapNone/>
          <wp:docPr id="1" name="图片 1" descr="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浏览器截屏未命名.png"/>
                  <pic:cNvPicPr>
                    <a:picLocks noChangeAspect="1"/>
                  </pic:cNvPicPr>
                </pic:nvPicPr>
                <pic:blipFill>
                  <a:blip r:embed="rId1"/>
                  <a:stretch>
                    <a:fillRect/>
                  </a:stretch>
                </pic:blipFill>
                <pic:spPr>
                  <a:xfrm>
                    <a:off x="0" y="0"/>
                    <a:ext cx="1758950" cy="401320"/>
                  </a:xfrm>
                  <a:prstGeom prst="rect">
                    <a:avLst/>
                  </a:prstGeom>
                </pic:spPr>
              </pic:pic>
            </a:graphicData>
          </a:graphic>
        </wp:anchor>
      </w:drawing>
    </w:r>
  </w:p>
  <w:p>
    <w:pPr>
      <w:pStyle w:val="19"/>
      <w:jc w:val="left"/>
      <w:rPr>
        <w:rFonts w:hint="eastAsia"/>
        <w:sz w:val="21"/>
        <w:szCs w:val="21"/>
      </w:rPr>
    </w:pPr>
  </w:p>
  <w:p>
    <w:pPr>
      <w:pStyle w:val="19"/>
      <w:jc w:val="left"/>
    </w:pPr>
    <w:r>
      <w:rPr>
        <w:rFonts w:hint="eastAsia"/>
        <w:sz w:val="21"/>
        <w:szCs w:val="21"/>
      </w:rPr>
      <w:t>国家药物</w:t>
    </w:r>
    <w:r>
      <w:rPr>
        <w:rFonts w:hint="eastAsia"/>
        <w:sz w:val="21"/>
        <w:szCs w:val="21"/>
        <w:lang w:val="en-US" w:eastAsia="zh-CN"/>
      </w:rPr>
      <w:t>/医疗器械</w:t>
    </w:r>
    <w:r>
      <w:rPr>
        <w:rFonts w:hint="eastAsia"/>
        <w:sz w:val="21"/>
        <w:szCs w:val="21"/>
      </w:rPr>
      <w:t xml:space="preserve">临床试验机构制度/SOP            </w:t>
    </w:r>
    <w:r>
      <w:rPr>
        <w:rFonts w:hint="eastAsia"/>
      </w:rPr>
      <w:t xml:space="preserve">  </w:t>
    </w:r>
    <w:r>
      <w:rPr>
        <w:rFonts w:hint="eastAsia"/>
        <w:lang w:val="en-US" w:eastAsia="zh-CN"/>
      </w:rPr>
      <w:t xml:space="preserve"> </w:t>
    </w:r>
    <w:r>
      <w:rPr>
        <w:rFonts w:hint="eastAsia"/>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right"/>
      <w:rPr>
        <w:sz w:val="21"/>
        <w:szCs w:val="21"/>
      </w:rPr>
    </w:pPr>
  </w:p>
  <w:p>
    <w:pPr>
      <w:pStyle w:val="19"/>
      <w:jc w:val="left"/>
    </w:pPr>
    <w:r>
      <w:rPr>
        <w:rFonts w:hint="eastAsia"/>
        <w:sz w:val="21"/>
        <w:szCs w:val="21"/>
      </w:rPr>
      <w:t xml:space="preserve">研究医生职责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YYH-ZZ-CTC-00</w:t>
    </w:r>
    <w:r>
      <w:rPr>
        <w:rFonts w:hint="eastAsia"/>
        <w:sz w:val="21"/>
        <w:szCs w:val="21"/>
        <w:lang w:val="en-US" w:eastAsia="zh-CN"/>
      </w:rPr>
      <w:t xml:space="preserve">6 </w:t>
    </w:r>
    <w:r>
      <w:rPr>
        <w:rFonts w:hint="eastAsia"/>
        <w:sz w:val="21"/>
        <w:szCs w:val="21"/>
      </w:rPr>
      <w:t>3.</w:t>
    </w:r>
    <w:r>
      <w:rPr>
        <w:rFonts w:hint="eastAsia"/>
        <w:sz w:val="21"/>
        <w:szCs w:val="21"/>
        <w:lang w:val="en-US" w:eastAsia="zh-CN"/>
      </w:rPr>
      <w:t>0</w:t>
    </w:r>
    <w:r>
      <w:rPr>
        <w:rFonts w:hint="eastAsia"/>
        <w:sz w:val="21"/>
        <w:szCs w:val="21"/>
      </w:rPr>
      <w:t xml:space="preserve">       </w:t>
    </w:r>
    <w:r>
      <w:rPr>
        <w:rFonts w:hint="eastAsia"/>
      </w:rPr>
      <w:t xml:space="preserve">                                                                                           </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pPr>
    <w:r>
      <w:rPr>
        <w:rFonts w:hint="eastAsia"/>
        <w:sz w:val="21"/>
        <w:szCs w:val="21"/>
        <w:lang w:val="en-US" w:eastAsia="zh-CN"/>
      </w:rPr>
      <w:t xml:space="preserve">上消化道出血的急救预案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009 3.1</w:t>
    </w:r>
    <w:r>
      <w:rPr>
        <w:rFonts w:hint="eastAsia"/>
        <w:sz w:val="21"/>
        <w:szCs w:val="21"/>
      </w:rPr>
      <w:t xml:space="preserve">       </w:t>
    </w:r>
    <w:r>
      <w:rPr>
        <w:rFonts w:hint="eastAsia"/>
      </w:rPr>
      <w:t xml:space="preserve">                                                                                           </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急性大咯血的急救预案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010 3.1</w:t>
    </w:r>
    <w:r>
      <w:rPr>
        <w:rFonts w:hint="eastAsia"/>
        <w:sz w:val="21"/>
        <w:szCs w:val="21"/>
      </w:rPr>
      <w:t xml:space="preserve">       </w:t>
    </w:r>
    <w:r>
      <w:rPr>
        <w:rFonts w:hint="eastAsia"/>
      </w:rPr>
      <w:t xml:space="preserve">                                                                                           </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急性肾功能衰竭的急救预案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011 3.1</w:t>
    </w:r>
    <w:r>
      <w:rPr>
        <w:rFonts w:hint="eastAsia"/>
        <w:sz w:val="21"/>
        <w:szCs w:val="21"/>
      </w:rPr>
      <w:t xml:space="preserve">       </w:t>
    </w:r>
    <w:r>
      <w:rPr>
        <w:rFonts w:hint="eastAsia"/>
      </w:rPr>
      <w:t xml:space="preserve">                                                                                           </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ind w:left="7560" w:hanging="7560" w:hangingChars="3600"/>
      <w:jc w:val="left"/>
    </w:pPr>
    <w:r>
      <w:rPr>
        <w:rFonts w:hint="eastAsia"/>
        <w:sz w:val="21"/>
        <w:szCs w:val="21"/>
        <w:lang w:val="en-US" w:eastAsia="zh-CN"/>
      </w:rPr>
      <w:t xml:space="preserve">急性肺损伤／急性呼吸窘迫综合征的急救预案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012 3.1</w:t>
    </w:r>
    <w:r>
      <w:rPr>
        <w:rFonts w:hint="eastAsia"/>
        <w:sz w:val="21"/>
        <w:szCs w:val="21"/>
      </w:rPr>
      <w:t xml:space="preserve">       </w:t>
    </w:r>
    <w:r>
      <w:rPr>
        <w:rFonts w:hint="eastAsia"/>
      </w:rPr>
      <w:t xml:space="preserve">                                                                                           </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ind w:left="7560" w:hanging="7560" w:hangingChars="3600"/>
      <w:jc w:val="left"/>
    </w:pPr>
    <w:r>
      <w:rPr>
        <w:rFonts w:hint="eastAsia"/>
        <w:sz w:val="21"/>
        <w:szCs w:val="21"/>
        <w:lang w:val="en-US" w:eastAsia="zh-CN"/>
      </w:rPr>
      <w:t xml:space="preserve">脑出血诊疗的急救预案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013 3.1</w:t>
    </w:r>
    <w:r>
      <w:rPr>
        <w:rFonts w:hint="eastAsia"/>
        <w:sz w:val="21"/>
        <w:szCs w:val="21"/>
      </w:rPr>
      <w:t xml:space="preserve">       </w:t>
    </w:r>
    <w:r>
      <w:rPr>
        <w:rFonts w:hint="eastAsia"/>
      </w:rPr>
      <w:t xml:space="preserve">                                                                                           </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ind w:left="7560" w:hanging="7560" w:hangingChars="3600"/>
      <w:jc w:val="left"/>
    </w:pPr>
    <w:r>
      <w:rPr>
        <w:rFonts w:hint="eastAsia"/>
        <w:sz w:val="21"/>
        <w:szCs w:val="21"/>
        <w:lang w:val="en-US" w:eastAsia="zh-CN"/>
      </w:rPr>
      <w:t xml:space="preserve">呼吸机使用中突遇断电的应急预案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014 3.1</w:t>
    </w:r>
    <w:r>
      <w:rPr>
        <w:rFonts w:hint="eastAsia"/>
        <w:sz w:val="21"/>
        <w:szCs w:val="21"/>
      </w:rPr>
      <w:t xml:space="preserve">       </w:t>
    </w:r>
    <w:r>
      <w:rPr>
        <w:rFonts w:hint="eastAsia"/>
      </w:rPr>
      <w:t xml:space="preserve">                                                                                           </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pPr>
    <w:r>
      <w:rPr>
        <w:rFonts w:hint="eastAsia"/>
        <w:sz w:val="21"/>
        <w:szCs w:val="21"/>
        <w:lang w:val="en-US" w:eastAsia="zh-CN"/>
      </w:rPr>
      <w:t xml:space="preserve">防火安全的应急预案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015 3.1</w:t>
    </w:r>
    <w:r>
      <w:rPr>
        <w:rFonts w:hint="eastAsia"/>
        <w:sz w:val="21"/>
        <w:szCs w:val="21"/>
      </w:rPr>
      <w:t xml:space="preserve">       </w:t>
    </w:r>
    <w:r>
      <w:rPr>
        <w:rFonts w:hint="eastAsia"/>
      </w:rPr>
      <w:t xml:space="preserve">                                                                                           </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猝死的应急预案</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016 3.1</w:t>
    </w:r>
    <w:r>
      <w:rPr>
        <w:rFonts w:hint="eastAsia"/>
        <w:sz w:val="21"/>
        <w:szCs w:val="21"/>
      </w:rPr>
      <w:t xml:space="preserve">       </w:t>
    </w:r>
    <w:r>
      <w:rPr>
        <w:rFonts w:hint="eastAsia"/>
      </w:rPr>
      <w:t xml:space="preserve">                                                                                           </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default" w:eastAsiaTheme="minorEastAsia"/>
        <w:sz w:val="21"/>
        <w:szCs w:val="21"/>
        <w:lang w:val="en-US" w:eastAsia="zh-CN"/>
      </w:rPr>
    </w:pPr>
  </w:p>
  <w:p>
    <w:pPr>
      <w:pStyle w:val="19"/>
      <w:jc w:val="left"/>
    </w:pPr>
    <w:r>
      <w:rPr>
        <w:rFonts w:hint="eastAsia"/>
        <w:sz w:val="21"/>
        <w:szCs w:val="21"/>
        <w:lang w:val="en-US" w:eastAsia="zh-CN"/>
      </w:rPr>
      <w:t xml:space="preserve">危重患者院内转运ICU的应急流程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017 3.1</w:t>
    </w:r>
    <w:r>
      <w:rPr>
        <w:rFonts w:hint="eastAsia"/>
        <w:sz w:val="21"/>
        <w:szCs w:val="21"/>
      </w:rPr>
      <w:t xml:space="preserve">       </w:t>
    </w:r>
    <w:r>
      <w:rPr>
        <w:rFonts w:hint="eastAsia"/>
      </w:rPr>
      <w:t xml:space="preserve">                                                                                           </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default" w:eastAsiaTheme="minorEastAsia"/>
        <w:sz w:val="21"/>
        <w:szCs w:val="21"/>
        <w:lang w:val="en-US" w:eastAsia="zh-CN"/>
      </w:rPr>
    </w:pPr>
  </w:p>
  <w:p>
    <w:pPr>
      <w:pStyle w:val="19"/>
      <w:jc w:val="left"/>
    </w:pPr>
    <w:r>
      <w:rPr>
        <w:rFonts w:hint="eastAsia"/>
        <w:sz w:val="21"/>
        <w:szCs w:val="21"/>
        <w:lang w:val="en-US" w:eastAsia="zh-CN"/>
      </w:rPr>
      <w:t xml:space="preserve">高血压急症的应急流程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018 1.0</w:t>
    </w:r>
    <w:r>
      <w:rPr>
        <w:rFonts w:hint="eastAsia"/>
        <w:sz w:val="21"/>
        <w:szCs w:val="21"/>
      </w:rPr>
      <w:t xml:space="preserve">       </w:t>
    </w:r>
    <w:r>
      <w:rPr>
        <w:rFonts w:hint="eastAsia"/>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right"/>
      <w:rPr>
        <w:sz w:val="21"/>
        <w:szCs w:val="21"/>
      </w:rPr>
    </w:pPr>
  </w:p>
  <w:p>
    <w:pPr>
      <w:pStyle w:val="19"/>
      <w:jc w:val="left"/>
    </w:pPr>
    <w:r>
      <w:rPr>
        <w:rFonts w:hint="eastAsia"/>
        <w:sz w:val="21"/>
        <w:szCs w:val="21"/>
      </w:rPr>
      <w:t xml:space="preserve">研究护士职责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YYH-ZZ-CTC-00</w:t>
    </w:r>
    <w:r>
      <w:rPr>
        <w:rFonts w:hint="eastAsia"/>
        <w:sz w:val="21"/>
        <w:szCs w:val="21"/>
        <w:lang w:val="en-US" w:eastAsia="zh-CN"/>
      </w:rPr>
      <w:t xml:space="preserve">7 </w:t>
    </w:r>
    <w:r>
      <w:rPr>
        <w:rFonts w:hint="eastAsia"/>
        <w:sz w:val="21"/>
        <w:szCs w:val="21"/>
      </w:rPr>
      <w:t>3.</w:t>
    </w:r>
    <w:r>
      <w:rPr>
        <w:rFonts w:hint="eastAsia"/>
        <w:sz w:val="21"/>
        <w:szCs w:val="21"/>
        <w:lang w:val="en-US" w:eastAsia="zh-CN"/>
      </w:rPr>
      <w:t>0</w:t>
    </w:r>
    <w:r>
      <w:rPr>
        <w:rFonts w:hint="eastAsia"/>
        <w:sz w:val="21"/>
        <w:szCs w:val="21"/>
      </w:rPr>
      <w:t xml:space="preserve">       </w:t>
    </w:r>
    <w:r>
      <w:rPr>
        <w:rFonts w:hint="eastAsia"/>
      </w:rPr>
      <w:t xml:space="preserve">                                                                                           </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default" w:eastAsiaTheme="minorEastAsia"/>
        <w:sz w:val="21"/>
        <w:szCs w:val="21"/>
        <w:lang w:val="en-US" w:eastAsia="zh-CN"/>
      </w:rPr>
    </w:pPr>
  </w:p>
  <w:p>
    <w:pPr>
      <w:pStyle w:val="19"/>
      <w:jc w:val="left"/>
    </w:pPr>
    <w:r>
      <w:rPr>
        <w:rFonts w:hint="default" w:eastAsiaTheme="minorEastAsia"/>
        <w:sz w:val="21"/>
        <w:szCs w:val="21"/>
        <w:lang w:val="en-US" w:eastAsia="zh-CN"/>
      </w:rPr>
      <w:t>急性药物性肝损伤的急救预案</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019 1.0</w:t>
    </w:r>
    <w:r>
      <w:rPr>
        <w:rFonts w:hint="eastAsia"/>
        <w:sz w:val="21"/>
        <w:szCs w:val="21"/>
        <w:lang w:val="en-US" w:eastAsia="zh-CN"/>
      </w:rPr>
      <w:t xml:space="preserve">                                      </w:t>
    </w:r>
    <w:r>
      <w:rPr>
        <w:rFonts w:hint="eastAsia"/>
        <w:sz w:val="21"/>
        <w:szCs w:val="21"/>
      </w:rPr>
      <w:t xml:space="preserve">      </w:t>
    </w:r>
    <w:r>
      <w:rPr>
        <w:rFonts w:hint="eastAsia"/>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right"/>
      <w:rPr>
        <w:sz w:val="21"/>
        <w:szCs w:val="21"/>
      </w:rPr>
    </w:pPr>
  </w:p>
  <w:p>
    <w:pPr>
      <w:pStyle w:val="19"/>
      <w:jc w:val="left"/>
    </w:pPr>
    <w:r>
      <w:rPr>
        <w:rFonts w:hint="eastAsia"/>
        <w:sz w:val="21"/>
        <w:szCs w:val="21"/>
      </w:rPr>
      <w:t xml:space="preserve">资料管理员职责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YYH-ZZ-CTC-00</w:t>
    </w:r>
    <w:r>
      <w:rPr>
        <w:rFonts w:hint="eastAsia"/>
        <w:sz w:val="21"/>
        <w:szCs w:val="21"/>
        <w:lang w:val="en-US" w:eastAsia="zh-CN"/>
      </w:rPr>
      <w:t xml:space="preserve">8 </w:t>
    </w:r>
    <w:r>
      <w:rPr>
        <w:rFonts w:hint="eastAsia"/>
        <w:sz w:val="21"/>
        <w:szCs w:val="21"/>
      </w:rPr>
      <w:t>3.</w:t>
    </w:r>
    <w:r>
      <w:rPr>
        <w:rFonts w:hint="eastAsia"/>
        <w:sz w:val="21"/>
        <w:szCs w:val="21"/>
        <w:lang w:val="en-US" w:eastAsia="zh-CN"/>
      </w:rPr>
      <w:t>0</w:t>
    </w:r>
    <w:r>
      <w:rPr>
        <w:rFonts w:hint="eastAsia"/>
        <w:sz w:val="21"/>
        <w:szCs w:val="21"/>
      </w:rPr>
      <w:t xml:space="preserve">       </w:t>
    </w:r>
    <w:r>
      <w:rPr>
        <w:rFonts w:hint="eastAsia"/>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right"/>
      <w:rPr>
        <w:sz w:val="21"/>
        <w:szCs w:val="21"/>
      </w:rPr>
    </w:pPr>
  </w:p>
  <w:p>
    <w:pPr>
      <w:pStyle w:val="19"/>
      <w:jc w:val="left"/>
    </w:pPr>
    <w:r>
      <w:rPr>
        <w:rFonts w:hint="eastAsia"/>
        <w:sz w:val="21"/>
        <w:szCs w:val="21"/>
      </w:rPr>
      <w:t xml:space="preserve">质量管理员职责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YYH-ZZ-CTC-00</w:t>
    </w:r>
    <w:r>
      <w:rPr>
        <w:rFonts w:hint="eastAsia"/>
        <w:sz w:val="21"/>
        <w:szCs w:val="21"/>
        <w:lang w:val="en-US" w:eastAsia="zh-CN"/>
      </w:rPr>
      <w:t xml:space="preserve">9 </w:t>
    </w:r>
    <w:r>
      <w:rPr>
        <w:rFonts w:hint="eastAsia"/>
        <w:sz w:val="21"/>
        <w:szCs w:val="21"/>
      </w:rPr>
      <w:t xml:space="preserve">3.0       </w:t>
    </w:r>
    <w:r>
      <w:rPr>
        <w:rFonts w:hint="eastAsia"/>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right"/>
      <w:rPr>
        <w:sz w:val="21"/>
        <w:szCs w:val="21"/>
      </w:rPr>
    </w:pPr>
  </w:p>
  <w:p>
    <w:pPr>
      <w:pStyle w:val="19"/>
      <w:jc w:val="left"/>
    </w:pPr>
    <w:r>
      <w:rPr>
        <w:rFonts w:hint="eastAsia"/>
        <w:sz w:val="21"/>
        <w:szCs w:val="21"/>
      </w:rPr>
      <w:t xml:space="preserve">药物管理员职责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YYH-ZZ-CTC-0</w:t>
    </w:r>
    <w:r>
      <w:rPr>
        <w:rFonts w:hint="eastAsia"/>
        <w:sz w:val="21"/>
        <w:szCs w:val="21"/>
        <w:lang w:val="en-US" w:eastAsia="zh-CN"/>
      </w:rPr>
      <w:t xml:space="preserve">10 </w:t>
    </w:r>
    <w:r>
      <w:rPr>
        <w:rFonts w:hint="eastAsia"/>
        <w:sz w:val="21"/>
        <w:szCs w:val="21"/>
      </w:rPr>
      <w:t>3.</w:t>
    </w:r>
    <w:r>
      <w:rPr>
        <w:rFonts w:hint="eastAsia"/>
        <w:sz w:val="21"/>
        <w:szCs w:val="21"/>
        <w:lang w:val="en-US" w:eastAsia="zh-CN"/>
      </w:rPr>
      <w:t>0</w:t>
    </w:r>
    <w:r>
      <w:rPr>
        <w:rFonts w:hint="eastAsia"/>
        <w:sz w:val="21"/>
        <w:szCs w:val="21"/>
      </w:rPr>
      <w:t xml:space="preserve">      </w:t>
    </w:r>
    <w:r>
      <w:rPr>
        <w:rFonts w:hint="eastAsia"/>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right"/>
      <w:rPr>
        <w:sz w:val="21"/>
        <w:szCs w:val="21"/>
      </w:rPr>
    </w:pPr>
  </w:p>
  <w:p>
    <w:pPr>
      <w:pStyle w:val="19"/>
      <w:jc w:val="left"/>
    </w:pPr>
    <w:r>
      <w:rPr>
        <w:rFonts w:hint="eastAsia"/>
        <w:sz w:val="21"/>
        <w:szCs w:val="21"/>
      </w:rPr>
      <w:t xml:space="preserve">医疗器械管理员职责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YYH-ZZ-CTC-0</w:t>
    </w:r>
    <w:r>
      <w:rPr>
        <w:rFonts w:hint="eastAsia"/>
        <w:sz w:val="21"/>
        <w:szCs w:val="21"/>
        <w:lang w:val="en-US" w:eastAsia="zh-CN"/>
      </w:rPr>
      <w:t xml:space="preserve">11 </w:t>
    </w:r>
    <w:r>
      <w:rPr>
        <w:rFonts w:hint="eastAsia"/>
        <w:sz w:val="21"/>
        <w:szCs w:val="21"/>
      </w:rPr>
      <w:t>3.</w:t>
    </w:r>
    <w:r>
      <w:rPr>
        <w:rFonts w:hint="eastAsia"/>
        <w:sz w:val="21"/>
        <w:szCs w:val="21"/>
        <w:lang w:val="en-US" w:eastAsia="zh-CN"/>
      </w:rPr>
      <w:t>1</w:t>
    </w:r>
    <w:r>
      <w:rPr>
        <w:rFonts w:hint="eastAsia"/>
        <w:sz w:val="21"/>
        <w:szCs w:val="21"/>
      </w:rPr>
      <w:t xml:space="preserve">       </w:t>
    </w:r>
    <w:r>
      <w:rPr>
        <w:rFonts w:hint="eastAsia"/>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rFonts w:hint="eastAsia"/>
        <w:sz w:val="21"/>
        <w:szCs w:val="21"/>
      </w:rPr>
    </w:pPr>
  </w:p>
  <w:p>
    <w:pPr>
      <w:pStyle w:val="19"/>
      <w:jc w:val="left"/>
    </w:pPr>
    <w:r>
      <w:rPr>
        <w:rFonts w:hint="eastAsia"/>
        <w:sz w:val="21"/>
        <w:szCs w:val="21"/>
      </w:rPr>
      <w:t xml:space="preserve">机构办公室副主任职责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YYH-Z</w:t>
    </w:r>
    <w:r>
      <w:rPr>
        <w:rFonts w:hint="eastAsia"/>
        <w:sz w:val="21"/>
        <w:szCs w:val="21"/>
        <w:lang w:val="en-US" w:eastAsia="zh-CN"/>
      </w:rPr>
      <w:t>Z</w:t>
    </w:r>
    <w:r>
      <w:rPr>
        <w:rFonts w:hint="eastAsia"/>
        <w:sz w:val="21"/>
        <w:szCs w:val="21"/>
      </w:rPr>
      <w:t>-CTC-0</w:t>
    </w:r>
    <w:r>
      <w:rPr>
        <w:rFonts w:hint="eastAsia"/>
        <w:sz w:val="21"/>
        <w:szCs w:val="21"/>
        <w:lang w:val="en-US" w:eastAsia="zh-CN"/>
      </w:rPr>
      <w:t>12 1.0</w:t>
    </w:r>
    <w:r>
      <w:rPr>
        <w:rFonts w:hint="eastAsia"/>
        <w:sz w:val="21"/>
        <w:szCs w:val="21"/>
      </w:rPr>
      <w:t xml:space="preserve">       </w:t>
    </w:r>
    <w:r>
      <w:rPr>
        <w:rFonts w:hint="eastAsia"/>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4" w:space="1"/>
      </w:pBdr>
      <w:jc w:val="left"/>
      <w:rPr>
        <w:rFonts w:hint="default" w:ascii="宋体" w:hAnsi="宋体" w:eastAsia="宋体" w:cs="宋体"/>
        <w:sz w:val="21"/>
        <w:szCs w:val="21"/>
        <w:lang w:val="en-US" w:eastAsia="zh-CN"/>
      </w:rPr>
    </w:pPr>
    <w:r>
      <w:rPr>
        <w:rFonts w:hint="eastAsia" w:ascii="宋体" w:hAnsi="宋体" w:eastAsia="宋体" w:cs="宋体"/>
        <w:sz w:val="21"/>
        <w:szCs w:val="21"/>
      </w:rPr>
      <w:t>临床</w:t>
    </w:r>
    <w:r>
      <w:rPr>
        <w:rFonts w:hint="eastAsia" w:ascii="宋体" w:hAnsi="宋体" w:eastAsia="宋体" w:cs="宋体"/>
        <w:sz w:val="21"/>
        <w:szCs w:val="21"/>
        <w:lang w:val="en-US" w:eastAsia="zh-CN"/>
      </w:rPr>
      <w:t>研究</w:t>
    </w:r>
    <w:r>
      <w:rPr>
        <w:rFonts w:hint="eastAsia" w:ascii="宋体" w:hAnsi="宋体" w:eastAsia="宋体" w:cs="宋体"/>
        <w:sz w:val="21"/>
        <w:szCs w:val="21"/>
      </w:rPr>
      <w:t xml:space="preserve">协调员（CRC）职责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YYH-ZZ-CTC-01</w:t>
    </w:r>
    <w:r>
      <w:rPr>
        <w:rFonts w:hint="eastAsia" w:ascii="宋体" w:hAnsi="宋体" w:eastAsia="宋体" w:cs="宋体"/>
        <w:sz w:val="21"/>
        <w:szCs w:val="21"/>
        <w:lang w:val="en-US" w:eastAsia="zh-CN"/>
      </w:rPr>
      <w:t>3 1.0</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rFonts w:hint="eastAsia"/>
        <w:sz w:val="21"/>
        <w:szCs w:val="21"/>
      </w:rPr>
    </w:pPr>
  </w:p>
  <w:p>
    <w:pPr>
      <w:pStyle w:val="19"/>
      <w:jc w:val="left"/>
    </w:pPr>
    <w:r>
      <w:rPr>
        <w:rFonts w:hint="eastAsia"/>
        <w:sz w:val="21"/>
        <w:szCs w:val="21"/>
      </w:rPr>
      <w:t xml:space="preserve">临床试验管理制度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YYH-Z</w:t>
    </w:r>
    <w:r>
      <w:rPr>
        <w:rFonts w:hint="eastAsia"/>
        <w:sz w:val="21"/>
        <w:szCs w:val="21"/>
        <w:lang w:val="en-US" w:eastAsia="zh-CN"/>
      </w:rPr>
      <w:t>D</w:t>
    </w:r>
    <w:r>
      <w:rPr>
        <w:rFonts w:hint="eastAsia"/>
        <w:sz w:val="21"/>
        <w:szCs w:val="21"/>
      </w:rPr>
      <w:t>-CTC-0</w:t>
    </w:r>
    <w:r>
      <w:rPr>
        <w:rFonts w:hint="eastAsia"/>
        <w:sz w:val="21"/>
        <w:szCs w:val="21"/>
        <w:lang w:val="en-US" w:eastAsia="zh-CN"/>
      </w:rPr>
      <w:t>01 3.1</w:t>
    </w:r>
    <w:r>
      <w:rPr>
        <w:rFonts w:hint="eastAsia"/>
        <w:sz w:val="21"/>
        <w:szCs w:val="21"/>
      </w:rPr>
      <w:t xml:space="preserve">      </w:t>
    </w:r>
    <w:r>
      <w:rPr>
        <w:rFonts w:hint="eastAsia"/>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rPr>
      <w:t xml:space="preserve">临床试验运行管理制度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YYH-Z</w:t>
    </w:r>
    <w:r>
      <w:rPr>
        <w:rFonts w:hint="eastAsia"/>
        <w:sz w:val="21"/>
        <w:szCs w:val="21"/>
        <w:lang w:val="en-US" w:eastAsia="zh-CN"/>
      </w:rPr>
      <w:t>D</w:t>
    </w:r>
    <w:r>
      <w:rPr>
        <w:rFonts w:hint="eastAsia"/>
        <w:sz w:val="21"/>
        <w:szCs w:val="21"/>
      </w:rPr>
      <w:t>-CTC-0</w:t>
    </w:r>
    <w:r>
      <w:rPr>
        <w:rFonts w:hint="eastAsia"/>
        <w:sz w:val="21"/>
        <w:szCs w:val="21"/>
        <w:lang w:val="en-US" w:eastAsia="zh-CN"/>
      </w:rPr>
      <w:t xml:space="preserve">02 </w:t>
    </w:r>
    <w:r>
      <w:rPr>
        <w:rFonts w:hint="eastAsia"/>
        <w:sz w:val="21"/>
        <w:szCs w:val="21"/>
      </w:rPr>
      <w:t>3.</w:t>
    </w:r>
    <w:r>
      <w:rPr>
        <w:rFonts w:hint="eastAsia"/>
        <w:sz w:val="21"/>
        <w:szCs w:val="21"/>
        <w:lang w:val="en-US" w:eastAsia="zh-CN"/>
      </w:rPr>
      <w:t>1</w:t>
    </w:r>
    <w:r>
      <w:rPr>
        <w:rFonts w:hint="eastAsia"/>
        <w:sz w:val="21"/>
        <w:szCs w:val="21"/>
      </w:rPr>
      <w:t xml:space="preserve">     </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rFonts w:hint="eastAsia"/>
        <w:sz w:val="21"/>
        <w:szCs w:val="21"/>
        <w:lang w:val="en-US" w:eastAsia="zh-CN"/>
      </w:rPr>
    </w:pPr>
  </w:p>
  <w:p>
    <w:pPr>
      <w:pStyle w:val="19"/>
      <w:jc w:val="left"/>
    </w:pPr>
    <w:r>
      <w:rPr>
        <w:rFonts w:hint="eastAsia"/>
        <w:sz w:val="21"/>
        <w:szCs w:val="21"/>
        <w:lang w:val="en-US" w:eastAsia="zh-CN"/>
      </w:rPr>
      <w:t>合同</w:t>
    </w:r>
    <w:r>
      <w:rPr>
        <w:rFonts w:hint="eastAsia"/>
        <w:sz w:val="21"/>
        <w:szCs w:val="21"/>
      </w:rPr>
      <w:t xml:space="preserve">管理制度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YYH-Z</w:t>
    </w:r>
    <w:r>
      <w:rPr>
        <w:rFonts w:hint="eastAsia"/>
        <w:sz w:val="21"/>
        <w:szCs w:val="21"/>
        <w:lang w:val="en-US" w:eastAsia="zh-CN"/>
      </w:rPr>
      <w:t>D</w:t>
    </w:r>
    <w:r>
      <w:rPr>
        <w:rFonts w:hint="eastAsia"/>
        <w:sz w:val="21"/>
        <w:szCs w:val="21"/>
      </w:rPr>
      <w:t>-CTC-0</w:t>
    </w:r>
    <w:r>
      <w:rPr>
        <w:rFonts w:hint="eastAsia"/>
        <w:sz w:val="21"/>
        <w:szCs w:val="21"/>
        <w:lang w:val="en-US" w:eastAsia="zh-CN"/>
      </w:rPr>
      <w:t xml:space="preserve">04 </w:t>
    </w:r>
    <w:r>
      <w:rPr>
        <w:rFonts w:hint="eastAsia"/>
        <w:sz w:val="21"/>
        <w:szCs w:val="21"/>
      </w:rPr>
      <w:t xml:space="preserve">3.0       </w:t>
    </w:r>
    <w:r>
      <w:rPr>
        <w:rFonts w:hint="eastAsia"/>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rPr>
      <w:t xml:space="preserve">经费管理制度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YYH-Z</w:t>
    </w:r>
    <w:r>
      <w:rPr>
        <w:rFonts w:hint="eastAsia"/>
        <w:sz w:val="21"/>
        <w:szCs w:val="21"/>
        <w:lang w:val="en-US" w:eastAsia="zh-CN"/>
      </w:rPr>
      <w:t>D</w:t>
    </w:r>
    <w:r>
      <w:rPr>
        <w:rFonts w:hint="eastAsia"/>
        <w:sz w:val="21"/>
        <w:szCs w:val="21"/>
      </w:rPr>
      <w:t>-CTC-0</w:t>
    </w:r>
    <w:r>
      <w:rPr>
        <w:rFonts w:hint="eastAsia"/>
        <w:sz w:val="21"/>
        <w:szCs w:val="21"/>
        <w:lang w:val="en-US" w:eastAsia="zh-CN"/>
      </w:rPr>
      <w:t xml:space="preserve">05 </w:t>
    </w:r>
    <w:r>
      <w:rPr>
        <w:rFonts w:hint="eastAsia"/>
        <w:sz w:val="21"/>
        <w:szCs w:val="21"/>
      </w:rPr>
      <w:t>3.</w:t>
    </w:r>
    <w:r>
      <w:rPr>
        <w:rFonts w:hint="eastAsia"/>
        <w:sz w:val="21"/>
        <w:szCs w:val="21"/>
        <w:lang w:val="en-US" w:eastAsia="zh-CN"/>
      </w:rPr>
      <w:t>0</w:t>
    </w:r>
    <w:r>
      <w:rPr>
        <w:rFonts w:hint="eastAsia"/>
        <w:sz w:val="21"/>
        <w:szCs w:val="21"/>
      </w:rPr>
      <w:t xml:space="preserve">       </w:t>
    </w:r>
    <w:r>
      <w:rPr>
        <w:rFonts w:hint="eastAsia"/>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rPr>
      <w:t xml:space="preserve">保密管理制度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YYH-Z</w:t>
    </w:r>
    <w:r>
      <w:rPr>
        <w:rFonts w:hint="eastAsia"/>
        <w:sz w:val="21"/>
        <w:szCs w:val="21"/>
        <w:lang w:val="en-US" w:eastAsia="zh-CN"/>
      </w:rPr>
      <w:t>D</w:t>
    </w:r>
    <w:r>
      <w:rPr>
        <w:rFonts w:hint="eastAsia"/>
        <w:sz w:val="21"/>
        <w:szCs w:val="21"/>
      </w:rPr>
      <w:t>-CTC-0</w:t>
    </w:r>
    <w:r>
      <w:rPr>
        <w:rFonts w:hint="eastAsia"/>
        <w:sz w:val="21"/>
        <w:szCs w:val="21"/>
        <w:lang w:val="en-US" w:eastAsia="zh-CN"/>
      </w:rPr>
      <w:t xml:space="preserve">06 </w:t>
    </w:r>
    <w:r>
      <w:rPr>
        <w:rFonts w:hint="eastAsia"/>
        <w:sz w:val="21"/>
        <w:szCs w:val="21"/>
      </w:rPr>
      <w:t xml:space="preserve">3.0       </w:t>
    </w:r>
    <w:r>
      <w:rPr>
        <w:rFonts w:hint="eastAsia"/>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rPr>
      <w:t xml:space="preserve">人员培训管理制度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YYH-Z</w:t>
    </w:r>
    <w:r>
      <w:rPr>
        <w:rFonts w:hint="eastAsia"/>
        <w:sz w:val="21"/>
        <w:szCs w:val="21"/>
        <w:lang w:val="en-US" w:eastAsia="zh-CN"/>
      </w:rPr>
      <w:t>D</w:t>
    </w:r>
    <w:r>
      <w:rPr>
        <w:rFonts w:hint="eastAsia"/>
        <w:sz w:val="21"/>
        <w:szCs w:val="21"/>
      </w:rPr>
      <w:t>-CTC-0</w:t>
    </w:r>
    <w:r>
      <w:rPr>
        <w:rFonts w:hint="eastAsia"/>
        <w:sz w:val="21"/>
        <w:szCs w:val="21"/>
        <w:lang w:val="en-US" w:eastAsia="zh-CN"/>
      </w:rPr>
      <w:t xml:space="preserve">07 </w:t>
    </w:r>
    <w:r>
      <w:rPr>
        <w:rFonts w:hint="eastAsia"/>
        <w:sz w:val="21"/>
        <w:szCs w:val="21"/>
      </w:rPr>
      <w:t xml:space="preserve">3.0       </w:t>
    </w:r>
    <w:r>
      <w:rPr>
        <w:rFonts w:hint="eastAsia"/>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lang w:val="en-US" w:eastAsia="zh-CN"/>
      </w:rPr>
      <w:t>试验用</w:t>
    </w:r>
    <w:r>
      <w:rPr>
        <w:rFonts w:hint="eastAsia"/>
        <w:sz w:val="21"/>
        <w:szCs w:val="21"/>
      </w:rPr>
      <w:t xml:space="preserve">药物管理制度                                 </w:t>
    </w:r>
    <w:r>
      <w:rPr>
        <w:rFonts w:hint="eastAsia"/>
        <w:sz w:val="21"/>
        <w:szCs w:val="21"/>
        <w:lang w:val="en-US" w:eastAsia="zh-CN"/>
      </w:rPr>
      <w:t xml:space="preserve">                   </w:t>
    </w:r>
    <w:r>
      <w:rPr>
        <w:rFonts w:hint="eastAsia"/>
        <w:sz w:val="21"/>
        <w:szCs w:val="21"/>
      </w:rPr>
      <w:t xml:space="preserve"> YYH-Z</w:t>
    </w:r>
    <w:r>
      <w:rPr>
        <w:rFonts w:hint="eastAsia"/>
        <w:sz w:val="21"/>
        <w:szCs w:val="21"/>
        <w:lang w:val="en-US" w:eastAsia="zh-CN"/>
      </w:rPr>
      <w:t>D</w:t>
    </w:r>
    <w:r>
      <w:rPr>
        <w:rFonts w:hint="eastAsia"/>
        <w:sz w:val="21"/>
        <w:szCs w:val="21"/>
      </w:rPr>
      <w:t>-CTC-0</w:t>
    </w:r>
    <w:r>
      <w:rPr>
        <w:rFonts w:hint="eastAsia"/>
        <w:sz w:val="21"/>
        <w:szCs w:val="21"/>
        <w:lang w:val="en-US" w:eastAsia="zh-CN"/>
      </w:rPr>
      <w:t xml:space="preserve">08 </w:t>
    </w:r>
    <w:r>
      <w:rPr>
        <w:rFonts w:hint="eastAsia"/>
        <w:sz w:val="21"/>
        <w:szCs w:val="21"/>
      </w:rPr>
      <w:t xml:space="preserve">3.0       </w:t>
    </w:r>
    <w:r>
      <w:rPr>
        <w:rFonts w:hint="eastAsia"/>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rPr>
      <w:t xml:space="preserve">试验用医疗器械管理制度                     </w:t>
    </w:r>
    <w:r>
      <w:rPr>
        <w:rFonts w:hint="eastAsia"/>
        <w:sz w:val="21"/>
        <w:szCs w:val="21"/>
        <w:lang w:val="en-US" w:eastAsia="zh-CN"/>
      </w:rPr>
      <w:t xml:space="preserve">                           </w:t>
    </w:r>
    <w:r>
      <w:rPr>
        <w:rFonts w:hint="eastAsia"/>
        <w:sz w:val="21"/>
        <w:szCs w:val="21"/>
      </w:rPr>
      <w:t xml:space="preserve"> YYH-Z</w:t>
    </w:r>
    <w:r>
      <w:rPr>
        <w:rFonts w:hint="eastAsia"/>
        <w:sz w:val="21"/>
        <w:szCs w:val="21"/>
        <w:lang w:val="en-US" w:eastAsia="zh-CN"/>
      </w:rPr>
      <w:t>D</w:t>
    </w:r>
    <w:r>
      <w:rPr>
        <w:rFonts w:hint="eastAsia"/>
        <w:sz w:val="21"/>
        <w:szCs w:val="21"/>
      </w:rPr>
      <w:t>-CTC</w:t>
    </w:r>
    <w:r>
      <w:rPr>
        <w:rFonts w:hint="eastAsia"/>
        <w:sz w:val="21"/>
        <w:szCs w:val="21"/>
        <w:lang w:val="en-US" w:eastAsia="zh-CN"/>
      </w:rPr>
      <w:t xml:space="preserve">-009 </w:t>
    </w:r>
    <w:r>
      <w:rPr>
        <w:rFonts w:hint="eastAsia"/>
        <w:sz w:val="21"/>
        <w:szCs w:val="21"/>
      </w:rPr>
      <w:t xml:space="preserve">3.0       </w:t>
    </w:r>
    <w:r>
      <w:rPr>
        <w:rFonts w:hint="eastAsia"/>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rPr>
      <w:t xml:space="preserve">仪器设备管理制度                     </w:t>
    </w:r>
    <w:r>
      <w:rPr>
        <w:rFonts w:hint="eastAsia"/>
        <w:sz w:val="21"/>
        <w:szCs w:val="21"/>
        <w:lang w:val="en-US" w:eastAsia="zh-CN"/>
      </w:rPr>
      <w:t xml:space="preserve">                                 </w:t>
    </w:r>
    <w:r>
      <w:rPr>
        <w:rFonts w:hint="eastAsia"/>
        <w:sz w:val="21"/>
        <w:szCs w:val="21"/>
      </w:rPr>
      <w:t xml:space="preserve"> YYH-Z</w:t>
    </w:r>
    <w:r>
      <w:rPr>
        <w:rFonts w:hint="eastAsia"/>
        <w:sz w:val="21"/>
        <w:szCs w:val="21"/>
        <w:lang w:val="en-US" w:eastAsia="zh-CN"/>
      </w:rPr>
      <w:t>D</w:t>
    </w:r>
    <w:r>
      <w:rPr>
        <w:rFonts w:hint="eastAsia"/>
        <w:sz w:val="21"/>
        <w:szCs w:val="21"/>
      </w:rPr>
      <w:t>-CTC</w:t>
    </w:r>
    <w:r>
      <w:rPr>
        <w:rFonts w:hint="eastAsia"/>
        <w:sz w:val="21"/>
        <w:szCs w:val="21"/>
        <w:lang w:val="en-US" w:eastAsia="zh-CN"/>
      </w:rPr>
      <w:t xml:space="preserve">-010 </w:t>
    </w:r>
    <w:r>
      <w:rPr>
        <w:rFonts w:hint="eastAsia"/>
        <w:sz w:val="21"/>
        <w:szCs w:val="21"/>
      </w:rPr>
      <w:t>3.</w:t>
    </w:r>
    <w:r>
      <w:rPr>
        <w:rFonts w:hint="eastAsia"/>
        <w:sz w:val="21"/>
        <w:szCs w:val="21"/>
        <w:lang w:val="en-US" w:eastAsia="zh-CN"/>
      </w:rPr>
      <w:t>0</w:t>
    </w:r>
    <w:r>
      <w:rPr>
        <w:rFonts w:hint="eastAsia"/>
        <w:sz w:val="21"/>
        <w:szCs w:val="21"/>
      </w:rPr>
      <w:t xml:space="preserve">       </w:t>
    </w:r>
    <w:r>
      <w:rPr>
        <w:rFonts w:hint="eastAsia"/>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lang w:eastAsia="zh-CN"/>
      </w:rPr>
      <w:t>档案</w:t>
    </w:r>
    <w:r>
      <w:rPr>
        <w:rFonts w:hint="eastAsia"/>
        <w:sz w:val="21"/>
        <w:szCs w:val="21"/>
      </w:rPr>
      <w:t xml:space="preserve">管理制度                      </w:t>
    </w:r>
    <w:r>
      <w:rPr>
        <w:rFonts w:hint="eastAsia"/>
        <w:sz w:val="21"/>
        <w:szCs w:val="21"/>
        <w:lang w:val="en-US" w:eastAsia="zh-CN"/>
      </w:rPr>
      <w:t xml:space="preserve">                                    </w:t>
    </w:r>
    <w:r>
      <w:rPr>
        <w:rFonts w:hint="eastAsia"/>
        <w:sz w:val="21"/>
        <w:szCs w:val="21"/>
      </w:rPr>
      <w:t xml:space="preserve"> YYH-Z</w:t>
    </w:r>
    <w:r>
      <w:rPr>
        <w:rFonts w:hint="eastAsia"/>
        <w:sz w:val="21"/>
        <w:szCs w:val="21"/>
        <w:lang w:val="en-US" w:eastAsia="zh-CN"/>
      </w:rPr>
      <w:t>D</w:t>
    </w:r>
    <w:r>
      <w:rPr>
        <w:rFonts w:hint="eastAsia"/>
        <w:sz w:val="21"/>
        <w:szCs w:val="21"/>
      </w:rPr>
      <w:t>-CTC</w:t>
    </w:r>
    <w:r>
      <w:rPr>
        <w:rFonts w:hint="eastAsia"/>
        <w:sz w:val="21"/>
        <w:szCs w:val="21"/>
        <w:lang w:val="en-US" w:eastAsia="zh-CN"/>
      </w:rPr>
      <w:t xml:space="preserve">-011 </w:t>
    </w:r>
    <w:r>
      <w:rPr>
        <w:rFonts w:hint="eastAsia"/>
        <w:sz w:val="21"/>
        <w:szCs w:val="21"/>
      </w:rPr>
      <w:t>3.</w:t>
    </w:r>
    <w:r>
      <w:rPr>
        <w:rFonts w:hint="eastAsia"/>
        <w:sz w:val="21"/>
        <w:szCs w:val="21"/>
        <w:lang w:val="en-US" w:eastAsia="zh-CN"/>
      </w:rPr>
      <w:t>1</w:t>
    </w:r>
    <w:r>
      <w:rPr>
        <w:rFonts w:hint="eastAsia"/>
        <w:sz w:val="21"/>
        <w:szCs w:val="21"/>
      </w:rPr>
      <w:t xml:space="preserve">       </w:t>
    </w:r>
    <w:r>
      <w:rPr>
        <w:rFonts w:hint="eastAsia"/>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lang w:eastAsia="zh-CN"/>
      </w:rPr>
      <w:t>研究文件管理制度</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YYH-Z</w:t>
    </w:r>
    <w:r>
      <w:rPr>
        <w:rFonts w:hint="eastAsia"/>
        <w:sz w:val="21"/>
        <w:szCs w:val="21"/>
        <w:lang w:val="en-US" w:eastAsia="zh-CN"/>
      </w:rPr>
      <w:t>D</w:t>
    </w:r>
    <w:r>
      <w:rPr>
        <w:rFonts w:hint="eastAsia"/>
        <w:sz w:val="21"/>
        <w:szCs w:val="21"/>
      </w:rPr>
      <w:t>-CTC</w:t>
    </w:r>
    <w:r>
      <w:rPr>
        <w:rFonts w:hint="eastAsia"/>
        <w:sz w:val="21"/>
        <w:szCs w:val="21"/>
        <w:lang w:val="en-US" w:eastAsia="zh-CN"/>
      </w:rPr>
      <w:t xml:space="preserve">-012 </w:t>
    </w:r>
    <w:r>
      <w:rPr>
        <w:rFonts w:hint="eastAsia"/>
        <w:sz w:val="21"/>
        <w:szCs w:val="21"/>
      </w:rPr>
      <w:t xml:space="preserve">3.0       </w:t>
    </w:r>
    <w:r>
      <w:rPr>
        <w:rFonts w:hint="eastAsia"/>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rPr>
      <w:t xml:space="preserve">质量控制管理制度                      </w:t>
    </w:r>
    <w:r>
      <w:rPr>
        <w:rFonts w:hint="eastAsia"/>
        <w:sz w:val="21"/>
        <w:szCs w:val="21"/>
        <w:lang w:val="en-US" w:eastAsia="zh-CN"/>
      </w:rPr>
      <w:t xml:space="preserve">                                </w:t>
    </w:r>
    <w:r>
      <w:rPr>
        <w:rFonts w:hint="eastAsia"/>
        <w:sz w:val="21"/>
        <w:szCs w:val="21"/>
      </w:rPr>
      <w:t xml:space="preserve"> YYH-Z</w:t>
    </w:r>
    <w:r>
      <w:rPr>
        <w:rFonts w:hint="eastAsia"/>
        <w:sz w:val="21"/>
        <w:szCs w:val="21"/>
        <w:lang w:val="en-US" w:eastAsia="zh-CN"/>
      </w:rPr>
      <w:t>D</w:t>
    </w:r>
    <w:r>
      <w:rPr>
        <w:rFonts w:hint="eastAsia"/>
        <w:sz w:val="21"/>
        <w:szCs w:val="21"/>
      </w:rPr>
      <w:t>-CTC</w:t>
    </w:r>
    <w:r>
      <w:rPr>
        <w:rFonts w:hint="eastAsia"/>
        <w:sz w:val="21"/>
        <w:szCs w:val="21"/>
        <w:lang w:val="en-US" w:eastAsia="zh-CN"/>
      </w:rPr>
      <w:t xml:space="preserve">-013 </w:t>
    </w:r>
    <w:r>
      <w:rPr>
        <w:rFonts w:hint="eastAsia"/>
        <w:sz w:val="21"/>
        <w:szCs w:val="21"/>
      </w:rPr>
      <w:t xml:space="preserve">3.0       </w:t>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rPr>
      <w:t xml:space="preserve">公章使用管理制度                      </w:t>
    </w:r>
    <w:r>
      <w:rPr>
        <w:rFonts w:hint="eastAsia"/>
        <w:sz w:val="21"/>
        <w:szCs w:val="21"/>
        <w:lang w:val="en-US" w:eastAsia="zh-CN"/>
      </w:rPr>
      <w:t xml:space="preserve">                                </w:t>
    </w:r>
    <w:r>
      <w:rPr>
        <w:rFonts w:hint="eastAsia"/>
        <w:sz w:val="21"/>
        <w:szCs w:val="21"/>
      </w:rPr>
      <w:t xml:space="preserve"> YYH-Z</w:t>
    </w:r>
    <w:r>
      <w:rPr>
        <w:rFonts w:hint="eastAsia"/>
        <w:sz w:val="21"/>
        <w:szCs w:val="21"/>
        <w:lang w:val="en-US" w:eastAsia="zh-CN"/>
      </w:rPr>
      <w:t>D</w:t>
    </w:r>
    <w:r>
      <w:rPr>
        <w:rFonts w:hint="eastAsia"/>
        <w:sz w:val="21"/>
        <w:szCs w:val="21"/>
      </w:rPr>
      <w:t>-CTC</w:t>
    </w:r>
    <w:r>
      <w:rPr>
        <w:rFonts w:hint="eastAsia"/>
        <w:sz w:val="21"/>
        <w:szCs w:val="21"/>
        <w:lang w:val="en-US" w:eastAsia="zh-CN"/>
      </w:rPr>
      <w:t xml:space="preserve">-014 </w:t>
    </w:r>
    <w:r>
      <w:rPr>
        <w:rFonts w:hint="eastAsia"/>
        <w:sz w:val="21"/>
        <w:szCs w:val="21"/>
      </w:rPr>
      <w:t xml:space="preserve">3.0       </w:t>
    </w:r>
    <w:r>
      <w:rPr>
        <w:rFonts w:hint="eastAsia"/>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rPr>
      <w:t xml:space="preserve">临床试验中违规行为处理管理制度        </w:t>
    </w:r>
    <w:r>
      <w:rPr>
        <w:rFonts w:hint="eastAsia"/>
        <w:sz w:val="21"/>
        <w:szCs w:val="21"/>
        <w:lang w:val="en-US" w:eastAsia="zh-CN"/>
      </w:rPr>
      <w:t xml:space="preserve">                                </w:t>
    </w:r>
    <w:r>
      <w:rPr>
        <w:rFonts w:hint="eastAsia"/>
        <w:sz w:val="21"/>
        <w:szCs w:val="21"/>
      </w:rPr>
      <w:t xml:space="preserve"> YYH-Z</w:t>
    </w:r>
    <w:r>
      <w:rPr>
        <w:rFonts w:hint="eastAsia"/>
        <w:sz w:val="21"/>
        <w:szCs w:val="21"/>
        <w:lang w:val="en-US" w:eastAsia="zh-CN"/>
      </w:rPr>
      <w:t>D</w:t>
    </w:r>
    <w:r>
      <w:rPr>
        <w:rFonts w:hint="eastAsia"/>
        <w:sz w:val="21"/>
        <w:szCs w:val="21"/>
      </w:rPr>
      <w:t>-CTC</w:t>
    </w:r>
    <w:r>
      <w:rPr>
        <w:rFonts w:hint="eastAsia"/>
        <w:sz w:val="21"/>
        <w:szCs w:val="21"/>
        <w:lang w:val="en-US" w:eastAsia="zh-CN"/>
      </w:rPr>
      <w:t xml:space="preserve">-015 </w:t>
    </w:r>
    <w:r>
      <w:rPr>
        <w:rFonts w:hint="eastAsia"/>
        <w:sz w:val="21"/>
        <w:szCs w:val="21"/>
      </w:rPr>
      <w:t xml:space="preserve">3.0       </w:t>
    </w:r>
    <w:r>
      <w:rPr>
        <w:rFonts w:hint="eastAsia"/>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rPr>
      <w:t>临床</w:t>
    </w:r>
    <w:r>
      <w:rPr>
        <w:rFonts w:hint="eastAsia"/>
        <w:sz w:val="21"/>
        <w:szCs w:val="21"/>
        <w:lang w:val="en-US" w:eastAsia="zh-CN"/>
      </w:rPr>
      <w:t>研究</w:t>
    </w:r>
    <w:r>
      <w:rPr>
        <w:rFonts w:hint="eastAsia"/>
        <w:sz w:val="21"/>
        <w:szCs w:val="21"/>
      </w:rPr>
      <w:t xml:space="preserve">协调员（CRC）管理制度     </w:t>
    </w:r>
    <w:r>
      <w:rPr>
        <w:rFonts w:hint="eastAsia"/>
        <w:sz w:val="21"/>
        <w:szCs w:val="21"/>
        <w:lang w:val="en-US" w:eastAsia="zh-CN"/>
      </w:rPr>
      <w:t xml:space="preserve">                                      YYH-ZD-CTC-016 1.0 </w:t>
    </w:r>
    <w:r>
      <w:rPr>
        <w:rFonts w:hint="eastAsia"/>
        <w:sz w:val="21"/>
        <w:szCs w:val="21"/>
      </w:rPr>
      <w:t xml:space="preserve">     </w:t>
    </w:r>
    <w:r>
      <w:rPr>
        <w:rFonts w:hint="eastAsia"/>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rFonts w:hint="eastAsia"/>
        <w:sz w:val="21"/>
        <w:szCs w:val="21"/>
        <w:lang w:val="en-US" w:eastAsia="zh-CN"/>
      </w:rPr>
    </w:pPr>
    <w:r>
      <w:rPr>
        <w:rFonts w:hint="eastAsia"/>
        <w:sz w:val="21"/>
        <w:szCs w:val="21"/>
        <w:lang w:val="en-US" w:eastAsia="zh-CN"/>
      </w:rPr>
      <w:t xml:space="preserve"> </w:t>
    </w:r>
  </w:p>
  <w:p>
    <w:pPr>
      <w:pStyle w:val="19"/>
      <w:jc w:val="left"/>
      <w:rPr>
        <w:rFonts w:hint="eastAsia"/>
        <w:sz w:val="21"/>
        <w:szCs w:val="21"/>
        <w:lang w:val="en-US" w:eastAsia="zh-CN"/>
      </w:rPr>
    </w:pPr>
  </w:p>
  <w:p>
    <w:pPr>
      <w:pStyle w:val="19"/>
      <w:jc w:val="left"/>
    </w:pPr>
    <w:r>
      <w:rPr>
        <w:rFonts w:hint="eastAsia"/>
        <w:sz w:val="21"/>
        <w:szCs w:val="21"/>
        <w:lang w:val="en-US" w:eastAsia="zh-CN"/>
      </w:rPr>
      <w:t>制定</w:t>
    </w:r>
    <w:r>
      <w:rPr>
        <w:rFonts w:hint="eastAsia"/>
        <w:sz w:val="21"/>
        <w:szCs w:val="21"/>
      </w:rPr>
      <w:t>制度</w:t>
    </w:r>
    <w:r>
      <w:rPr>
        <w:rFonts w:hint="eastAsia"/>
        <w:sz w:val="21"/>
        <w:szCs w:val="21"/>
        <w:lang w:val="en-US" w:eastAsia="zh-CN"/>
      </w:rPr>
      <w:t>的SOP</w:t>
    </w:r>
    <w:r>
      <w:rPr>
        <w:rFonts w:hint="eastAsia"/>
        <w:sz w:val="21"/>
        <w:szCs w:val="21"/>
      </w:rPr>
      <w:t xml:space="preserve">     </w:t>
    </w:r>
    <w:r>
      <w:rPr>
        <w:rFonts w:hint="eastAsia"/>
        <w:sz w:val="21"/>
        <w:szCs w:val="21"/>
        <w:lang w:val="en-US" w:eastAsia="zh-CN"/>
      </w:rPr>
      <w:t xml:space="preserve">                                                    YYH-SOP-CTC-001 3.1</w:t>
    </w:r>
    <w:r>
      <w:rPr>
        <w:rFonts w:hint="eastAsia"/>
        <w:sz w:val="21"/>
        <w:szCs w:val="21"/>
      </w:rPr>
      <w:t xml:space="preserve">     </w:t>
    </w:r>
    <w:r>
      <w:rPr>
        <w:rFonts w:hint="eastAsia"/>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rPr>
      <w:t xml:space="preserve">制定SOP的SOP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02 3.1</w:t>
    </w:r>
    <w:r>
      <w:rPr>
        <w:rFonts w:hint="eastAsia"/>
        <w:sz w:val="21"/>
        <w:szCs w:val="21"/>
      </w:rPr>
      <w:t xml:space="preserve">       </w:t>
    </w:r>
    <w:r>
      <w:rPr>
        <w:rFonts w:hint="eastAsia"/>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rPr>
      <w:t xml:space="preserve">临床试验方案设计的SOP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03 3.1</w:t>
    </w:r>
    <w:r>
      <w:rPr>
        <w:rFonts w:hint="eastAsia"/>
        <w:sz w:val="21"/>
        <w:szCs w:val="21"/>
      </w:rPr>
      <w:t xml:space="preserve">       </w:t>
    </w:r>
    <w:r>
      <w:rPr>
        <w:rFonts w:hint="eastAsia"/>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rPr>
      <w:t xml:space="preserve">临床试验方案设计的SOP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03 3.1</w:t>
    </w:r>
    <w:r>
      <w:rPr>
        <w:rFonts w:hint="eastAsia"/>
        <w:sz w:val="21"/>
        <w:szCs w:val="21"/>
      </w:rPr>
      <w:t xml:space="preserve">       </w:t>
    </w:r>
    <w:r>
      <w:rPr>
        <w:rFonts w:hint="eastAsia"/>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rPr>
      <w:t>临床试验申请、评估及立项审批的SOP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04 3.3</w:t>
    </w:r>
    <w:r>
      <w:rPr>
        <w:rFonts w:hint="eastAsia"/>
        <w:sz w:val="21"/>
        <w:szCs w:val="21"/>
      </w:rPr>
      <w:t xml:space="preserve">       </w:t>
    </w:r>
    <w:r>
      <w:rPr>
        <w:rFonts w:hint="eastAsia"/>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rPr>
      <w:t>临床试验合同签订的SOP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05 3.1</w:t>
    </w:r>
    <w:r>
      <w:rPr>
        <w:rFonts w:hint="eastAsia"/>
        <w:sz w:val="21"/>
        <w:szCs w:val="21"/>
      </w:rPr>
      <w:t xml:space="preserve">       </w:t>
    </w:r>
    <w:r>
      <w:rPr>
        <w:rFonts w:hint="eastAsia"/>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 xml:space="preserve">临床试验启动会召开的SOP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06 3.0</w:t>
    </w:r>
    <w:r>
      <w:rPr>
        <w:rFonts w:hint="eastAsia"/>
        <w:sz w:val="21"/>
        <w:szCs w:val="21"/>
      </w:rPr>
      <w:t xml:space="preserve">       </w:t>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pPr>
  </w:p>
  <w:p>
    <w:pPr>
      <w:pStyle w:val="19"/>
      <w:jc w:val="left"/>
    </w:pPr>
  </w:p>
  <w:p>
    <w:pPr>
      <w:pStyle w:val="19"/>
      <w:jc w:val="left"/>
    </w:pPr>
    <w:r>
      <w:rPr>
        <w:rFonts w:hint="eastAsia"/>
        <w:sz w:val="21"/>
        <w:szCs w:val="21"/>
      </w:rPr>
      <w:t>机构主任职责</w:t>
    </w:r>
    <w:r>
      <w:rPr>
        <w:rFonts w:hint="eastAsia"/>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 xml:space="preserve">受试者知情同意的SOP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07 3.1</w:t>
    </w:r>
    <w:r>
      <w:rPr>
        <w:rFonts w:hint="eastAsia"/>
        <w:sz w:val="21"/>
        <w:szCs w:val="21"/>
      </w:rPr>
      <w:t xml:space="preserve">       </w:t>
    </w:r>
    <w:r>
      <w:rPr>
        <w:rFonts w:hint="eastAsia"/>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 xml:space="preserve">紧急揭盲的SOP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08 3.0</w:t>
    </w:r>
    <w:r>
      <w:rPr>
        <w:rFonts w:hint="eastAsia"/>
        <w:sz w:val="21"/>
        <w:szCs w:val="21"/>
      </w:rPr>
      <w:t xml:space="preserve">       </w:t>
    </w:r>
    <w:r>
      <w:rPr>
        <w:rFonts w:hint="eastAsia"/>
      </w:rP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受试者招募</w:t>
    </w:r>
    <w:r>
      <w:rPr>
        <w:rFonts w:hint="eastAsia"/>
        <w:sz w:val="21"/>
        <w:szCs w:val="21"/>
      </w:rPr>
      <w:t xml:space="preserve">的SOP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09 3.0</w:t>
    </w:r>
    <w:r>
      <w:rPr>
        <w:rFonts w:hint="eastAsia"/>
        <w:sz w:val="21"/>
        <w:szCs w:val="21"/>
      </w:rPr>
      <w:t xml:space="preserve">       </w:t>
    </w:r>
    <w:r>
      <w:rPr>
        <w:rFonts w:hint="eastAsia"/>
      </w:rP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受试者招募</w:t>
    </w:r>
    <w:r>
      <w:rPr>
        <w:rFonts w:hint="eastAsia"/>
        <w:sz w:val="21"/>
        <w:szCs w:val="21"/>
      </w:rPr>
      <w:t xml:space="preserve">的SOP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09 3.0</w:t>
    </w:r>
    <w:r>
      <w:rPr>
        <w:rFonts w:hint="eastAsia"/>
        <w:sz w:val="21"/>
        <w:szCs w:val="21"/>
      </w:rPr>
      <w:t xml:space="preserve">       </w:t>
    </w:r>
    <w:r>
      <w:rPr>
        <w:rFonts w:hint="eastAsia"/>
      </w:rP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受试者管理</w:t>
    </w:r>
    <w:r>
      <w:rPr>
        <w:rFonts w:hint="eastAsia"/>
        <w:sz w:val="21"/>
        <w:szCs w:val="21"/>
      </w:rPr>
      <w:t xml:space="preserve">的SOP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10 3.0</w:t>
    </w:r>
    <w:r>
      <w:rPr>
        <w:rFonts w:hint="eastAsia"/>
        <w:sz w:val="21"/>
        <w:szCs w:val="21"/>
      </w:rPr>
      <w:t xml:space="preserve">       </w:t>
    </w:r>
    <w:r>
      <w:rPr>
        <w:rFonts w:hint="eastAsia"/>
      </w:rP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药物的接收、保存、分发、回收、退还、销毁的SOP</w:t>
    </w:r>
    <w:r>
      <w:rPr>
        <w:rFonts w:hint="eastAsia"/>
        <w:sz w:val="21"/>
        <w:szCs w:val="21"/>
      </w:rPr>
      <w:t xml:space="preserve">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11 3.0</w:t>
    </w:r>
    <w:r>
      <w:rPr>
        <w:rFonts w:hint="eastAsia"/>
        <w:sz w:val="21"/>
        <w:szCs w:val="21"/>
      </w:rPr>
      <w:t xml:space="preserve">       </w:t>
    </w:r>
    <w:r>
      <w:rPr>
        <w:rFonts w:hint="eastAsia"/>
      </w:rP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药物的接收、保存、分发、回收、退还、销毁的SOP</w:t>
    </w:r>
    <w:r>
      <w:rPr>
        <w:rFonts w:hint="eastAsia"/>
        <w:sz w:val="21"/>
        <w:szCs w:val="21"/>
      </w:rPr>
      <w:t xml:space="preserve">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11 3.0</w:t>
    </w:r>
    <w:r>
      <w:rPr>
        <w:rFonts w:hint="eastAsia"/>
        <w:sz w:val="21"/>
        <w:szCs w:val="21"/>
      </w:rPr>
      <w:t xml:space="preserve">       </w:t>
    </w:r>
    <w:r>
      <w:rPr>
        <w:rFonts w:hint="eastAsia"/>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药物的接收、保存、分发、回收、退还、销毁的SOP</w:t>
    </w:r>
    <w:r>
      <w:rPr>
        <w:rFonts w:hint="eastAsia"/>
        <w:sz w:val="21"/>
        <w:szCs w:val="21"/>
      </w:rPr>
      <w:t xml:space="preserve">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11 3.0</w:t>
    </w:r>
    <w:r>
      <w:rPr>
        <w:rFonts w:hint="eastAsia"/>
        <w:sz w:val="21"/>
        <w:szCs w:val="21"/>
      </w:rPr>
      <w:t xml:space="preserve">       </w:t>
    </w:r>
    <w:r>
      <w:rPr>
        <w:rFonts w:hint="eastAsia"/>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药物的接收、保存、分发、回收、退还、销毁的SOP</w:t>
    </w:r>
    <w:r>
      <w:rPr>
        <w:rFonts w:hint="eastAsia"/>
        <w:sz w:val="21"/>
        <w:szCs w:val="21"/>
      </w:rPr>
      <w:t xml:space="preserve">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11 3.0</w:t>
    </w:r>
    <w:r>
      <w:rPr>
        <w:rFonts w:hint="eastAsia"/>
        <w:sz w:val="21"/>
        <w:szCs w:val="21"/>
      </w:rPr>
      <w:t xml:space="preserve">       </w:t>
    </w:r>
    <w:r>
      <w:rPr>
        <w:rFonts w:hint="eastAsia"/>
      </w:rP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药物的接收、保存、分发、回收、退还、销毁的SOP</w:t>
    </w:r>
    <w:r>
      <w:rPr>
        <w:rFonts w:hint="eastAsia"/>
        <w:sz w:val="21"/>
        <w:szCs w:val="21"/>
      </w:rPr>
      <w:t xml:space="preserve">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11 3.0</w:t>
    </w:r>
    <w:r>
      <w:rPr>
        <w:rFonts w:hint="eastAsia"/>
        <w:sz w:val="21"/>
        <w:szCs w:val="21"/>
      </w:rP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pPr>
  </w:p>
  <w:p>
    <w:pPr>
      <w:pStyle w:val="19"/>
      <w:jc w:val="left"/>
    </w:pPr>
    <w:r>
      <w:ptab w:relativeTo="margin" w:alignment="center" w:leader="none"/>
    </w:r>
  </w:p>
  <w:p>
    <w:pPr>
      <w:pStyle w:val="19"/>
      <w:jc w:val="left"/>
    </w:pPr>
    <w:r>
      <w:rPr>
        <w:rFonts w:hint="eastAsia"/>
        <w:sz w:val="21"/>
        <w:szCs w:val="21"/>
      </w:rPr>
      <w:t>机构主任职责</w:t>
    </w:r>
    <w:r>
      <w:rPr>
        <w:rFonts w:hint="eastAsia"/>
      </w:rPr>
      <w:t xml:space="preserve">                                                                      </w:t>
    </w:r>
    <w:r>
      <w:rPr>
        <w:rFonts w:hint="eastAsia"/>
        <w:sz w:val="21"/>
        <w:szCs w:val="21"/>
      </w:rPr>
      <w:t>YYH-ZZ-CTC-001 3.</w:t>
    </w:r>
    <w:r>
      <w:rPr>
        <w:rFonts w:hint="eastAsia"/>
        <w:sz w:val="21"/>
        <w:szCs w:val="21"/>
        <w:lang w:val="en-US" w:eastAsia="zh-CN"/>
      </w:rPr>
      <w:t>0</w:t>
    </w:r>
    <w:r>
      <w:rPr>
        <w:rFonts w:hint="eastAsia"/>
        <w:sz w:val="21"/>
        <w:szCs w:val="21"/>
      </w:rPr>
      <w:t xml:space="preserve">       </w:t>
    </w:r>
    <w:r>
      <w:rPr>
        <w:rFonts w:hint="eastAsia"/>
      </w:rPr>
      <w:t xml:space="preserv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药物的接收、保存、分发、回收、退还、销毁的SOP</w:t>
    </w:r>
    <w:r>
      <w:rPr>
        <w:rFonts w:hint="eastAsia"/>
        <w:sz w:val="21"/>
        <w:szCs w:val="21"/>
      </w:rPr>
      <w:t xml:space="preserve">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11 3.0</w:t>
    </w:r>
    <w:r>
      <w:rPr>
        <w:rFonts w:hint="eastAsia"/>
        <w:sz w:val="21"/>
        <w:szCs w:val="21"/>
      </w:rPr>
      <w:t xml:space="preserve">       </w:t>
    </w:r>
    <w:r>
      <w:rPr>
        <w:rFonts w:hint="eastAsia"/>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药物的接收、保存、分发、回收、退还、销毁的SOP</w:t>
    </w:r>
    <w:r>
      <w:rPr>
        <w:rFonts w:hint="eastAsia"/>
        <w:sz w:val="21"/>
        <w:szCs w:val="21"/>
      </w:rPr>
      <w:t xml:space="preserve">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11 3.0</w:t>
    </w:r>
    <w:r>
      <w:rPr>
        <w:rFonts w:hint="eastAsia"/>
        <w:sz w:val="21"/>
        <w:szCs w:val="21"/>
      </w:rPr>
      <w:t xml:space="preserve">       </w:t>
    </w:r>
    <w:r>
      <w:rPr>
        <w:rFonts w:hint="eastAsia"/>
      </w:rPr>
      <w:t xml:space="preserve">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药物的接收、保存、分发、回收、退还、销毁的SOP</w:t>
    </w:r>
    <w:r>
      <w:rPr>
        <w:rFonts w:hint="eastAsia"/>
        <w:sz w:val="21"/>
        <w:szCs w:val="21"/>
      </w:rPr>
      <w:t xml:space="preserve">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11 3.0</w:t>
    </w:r>
    <w:r>
      <w:rPr>
        <w:rFonts w:hint="eastAsia"/>
        <w:sz w:val="21"/>
        <w:szCs w:val="21"/>
      </w:rPr>
      <w:t xml:space="preserve">       </w:t>
    </w:r>
    <w:r>
      <w:rPr>
        <w:rFonts w:hint="eastAsia"/>
      </w:rP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试验用医疗器械的接收、保存、分发、回收、退还、销毁的SOP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12 3.1</w:t>
    </w:r>
    <w:r>
      <w:rPr>
        <w:rFonts w:hint="eastAsia"/>
        <w:sz w:val="21"/>
        <w:szCs w:val="21"/>
      </w:rPr>
      <w:t xml:space="preserve">       </w:t>
    </w:r>
    <w:r>
      <w:rPr>
        <w:rFonts w:hint="eastAsia"/>
      </w:rP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试验用医疗器械的接收、保存、分发、回收、退还、销毁的SOP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12 3.1</w:t>
    </w:r>
    <w:r>
      <w:rPr>
        <w:rFonts w:hint="eastAsia"/>
        <w:sz w:val="21"/>
        <w:szCs w:val="21"/>
      </w:rPr>
      <w:t xml:space="preserve">       </w:t>
    </w:r>
    <w:r>
      <w:rPr>
        <w:rFonts w:hint="eastAsia"/>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试验用医疗器械的接收、保存、分发、回收、退还、销毁的SOP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12 3.1</w:t>
    </w:r>
    <w:r>
      <w:rPr>
        <w:rFonts w:hint="eastAsia"/>
        <w:sz w:val="21"/>
        <w:szCs w:val="21"/>
      </w:rPr>
      <w:t xml:space="preserve">       </w:t>
    </w:r>
    <w:r>
      <w:rPr>
        <w:rFonts w:hint="eastAsia"/>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试验用医疗器械的接收、保存、分发、回收、退还、销毁的SOP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12 3.1</w:t>
    </w:r>
    <w:r>
      <w:rPr>
        <w:rFonts w:hint="eastAsia"/>
        <w:sz w:val="21"/>
        <w:szCs w:val="21"/>
      </w:rPr>
      <w:t xml:space="preserve">       </w:t>
    </w:r>
    <w:r>
      <w:rPr>
        <w:rFonts w:hint="eastAsia"/>
      </w:rP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试验用医疗器械的接收、保存、分发、回收、退还、销毁的SOP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12 3.1</w:t>
    </w:r>
    <w:r>
      <w:rPr>
        <w:rFonts w:hint="eastAsia"/>
        <w:sz w:val="21"/>
        <w:szCs w:val="21"/>
      </w:rPr>
      <w:t xml:space="preserve">       </w:t>
    </w:r>
    <w:r>
      <w:rPr>
        <w:rFonts w:hint="eastAsia"/>
      </w:rPr>
      <w:t xml:space="preserve">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试验用医疗器械的接收、保存、分发、回收、退还、销毁的SOP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12 3.1</w:t>
    </w:r>
    <w:r>
      <w:rPr>
        <w:rFonts w:hint="eastAsia"/>
        <w:sz w:val="21"/>
        <w:szCs w:val="21"/>
      </w:rPr>
      <w:t xml:space="preserve">       </w:t>
    </w:r>
    <w:r>
      <w:rPr>
        <w:rFonts w:hint="eastAsia"/>
      </w:rP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试验用医疗器械的接收、保存、分发、回收、退还、销毁的SOP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12 3.1</w:t>
    </w:r>
    <w:r>
      <w:rPr>
        <w:rFonts w:hint="eastAsia"/>
        <w:sz w:val="21"/>
        <w:szCs w:val="21"/>
      </w:rPr>
      <w:t xml:space="preserve">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pPr>
  </w:p>
  <w:p>
    <w:pPr>
      <w:pStyle w:val="19"/>
      <w:jc w:val="right"/>
    </w:pPr>
  </w:p>
  <w:p>
    <w:pPr>
      <w:pStyle w:val="19"/>
      <w:jc w:val="left"/>
    </w:pPr>
    <w:r>
      <w:rPr>
        <w:rFonts w:hint="eastAsia"/>
        <w:sz w:val="21"/>
        <w:szCs w:val="21"/>
      </w:rPr>
      <w:t>机构副主任职责</w:t>
    </w:r>
    <w:r>
      <w:rPr>
        <w:rFonts w:hint="eastAsia"/>
      </w:rPr>
      <w:t xml:space="preserve">                                                                   </w:t>
    </w:r>
    <w:r>
      <w:rPr>
        <w:rFonts w:hint="eastAsia"/>
        <w:sz w:val="21"/>
        <w:szCs w:val="21"/>
      </w:rPr>
      <w:t>YYH-ZZ-CTC-00</w:t>
    </w:r>
    <w:r>
      <w:rPr>
        <w:rFonts w:hint="eastAsia"/>
        <w:sz w:val="21"/>
        <w:szCs w:val="21"/>
        <w:lang w:val="en-US" w:eastAsia="zh-CN"/>
      </w:rPr>
      <w:t>2</w:t>
    </w:r>
    <w:r>
      <w:rPr>
        <w:rFonts w:hint="eastAsia"/>
        <w:sz w:val="21"/>
        <w:szCs w:val="21"/>
      </w:rPr>
      <w:t xml:space="preserve"> 3.</w:t>
    </w:r>
    <w:r>
      <w:rPr>
        <w:rFonts w:hint="eastAsia"/>
        <w:sz w:val="21"/>
        <w:szCs w:val="21"/>
        <w:lang w:val="en-US" w:eastAsia="zh-CN"/>
      </w:rPr>
      <w:t>0</w:t>
    </w:r>
    <w:r>
      <w:rPr>
        <w:rFonts w:hint="eastAsia"/>
        <w:sz w:val="21"/>
        <w:szCs w:val="21"/>
      </w:rPr>
      <w:t xml:space="preserve">       </w:t>
    </w:r>
    <w:r>
      <w:rPr>
        <w:rFonts w:hint="eastAsia"/>
      </w:rPr>
      <w:t xml:space="preserve">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试验用医疗器械的接收、保存、分发、回收、退还、销毁的SOP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12 3.1</w:t>
    </w:r>
    <w:r>
      <w:rPr>
        <w:rFonts w:hint="eastAsia"/>
        <w:sz w:val="21"/>
        <w:szCs w:val="21"/>
      </w:rPr>
      <w:t xml:space="preserve">      </w:t>
    </w:r>
    <w:r>
      <w:rPr>
        <w:rFonts w:hint="eastAsia"/>
      </w:rPr>
      <w:t xml:space="preserve">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试验用医疗器械的接收、保存、分发、回收、退还、销毁的SOP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12 3.1</w:t>
    </w:r>
    <w:r>
      <w:rPr>
        <w:rFonts w:hint="eastAsia"/>
        <w:sz w:val="21"/>
        <w:szCs w:val="21"/>
      </w:rPr>
      <w:t xml:space="preserve">      </w:t>
    </w:r>
    <w:r>
      <w:rPr>
        <w:rFonts w:hint="eastAsia"/>
      </w:rPr>
      <w:t xml:space="preserve">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相关仪器设备管理和使用的SOP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13 3.0</w:t>
    </w:r>
    <w:r>
      <w:rPr>
        <w:rFonts w:hint="eastAsia"/>
        <w:sz w:val="21"/>
        <w:szCs w:val="21"/>
      </w:rPr>
      <w:t xml:space="preserve">     </w:t>
    </w:r>
    <w:r>
      <w:rPr>
        <w:rFonts w:hint="eastAsia"/>
      </w:rP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不良事件及严重不良事件处理与记录的SOP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14 3.1</w:t>
    </w:r>
    <w:r>
      <w:rPr>
        <w:rFonts w:hint="eastAsia"/>
        <w:sz w:val="21"/>
        <w:szCs w:val="21"/>
      </w:rPr>
      <w:t xml:space="preserve">       </w:t>
    </w:r>
    <w:r>
      <w:rPr>
        <w:rFonts w:hint="eastAsia"/>
      </w:rPr>
      <w:t xml:space="preserve">                                                                                           </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beforeLines="0" w:afterLines="0"/>
      <w:jc w:val="left"/>
      <w:rPr>
        <w:rFonts w:hint="default"/>
        <w:sz w:val="18"/>
        <w:szCs w:val="18"/>
      </w:rPr>
    </w:pPr>
    <w:r>
      <w:rPr>
        <w:rFonts w:hint="eastAsia"/>
        <w:sz w:val="21"/>
        <w:szCs w:val="21"/>
      </w:rPr>
      <w:t xml:space="preserve">临床试验“SAE报告”的SOP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YYH-SOP-CTC-01</w:t>
    </w:r>
    <w:r>
      <w:rPr>
        <w:rFonts w:hint="eastAsia"/>
        <w:sz w:val="21"/>
        <w:szCs w:val="21"/>
        <w:lang w:val="en-US" w:eastAsia="zh-CN"/>
      </w:rPr>
      <w:t>5</w:t>
    </w:r>
    <w:r>
      <w:rPr>
        <w:rFonts w:hint="eastAsia"/>
        <w:sz w:val="21"/>
        <w:szCs w:val="21"/>
      </w:rPr>
      <w:t xml:space="preserve"> 3.</w:t>
    </w:r>
    <w:r>
      <w:rPr>
        <w:rFonts w:hint="eastAsia"/>
        <w:sz w:val="21"/>
        <w:szCs w:val="21"/>
        <w:lang w:val="en-US" w:eastAsia="zh-CN"/>
      </w:rPr>
      <w:t>1</w:t>
    </w:r>
    <w:r>
      <w:rPr>
        <w:rFonts w:hint="eastAsia"/>
        <w:sz w:val="21"/>
        <w:szCs w:val="21"/>
      </w:rPr>
      <w:t xml:space="preserve">                             </w:t>
    </w:r>
    <w:r>
      <w:rPr>
        <w:rFonts w:hint="eastAsia"/>
        <w:sz w:val="18"/>
        <w:szCs w:val="18"/>
      </w:rPr>
      <w:t xml:space="preserve">                                                                     </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beforeLines="0" w:afterLines="0"/>
      <w:jc w:val="left"/>
      <w:rPr>
        <w:rFonts w:hint="eastAsia"/>
        <w:sz w:val="21"/>
        <w:szCs w:val="21"/>
      </w:rPr>
    </w:pPr>
  </w:p>
  <w:p>
    <w:pPr>
      <w:pStyle w:val="19"/>
      <w:spacing w:beforeLines="0" w:afterLines="0"/>
      <w:jc w:val="left"/>
      <w:rPr>
        <w:rFonts w:hint="eastAsia"/>
        <w:sz w:val="21"/>
        <w:szCs w:val="21"/>
      </w:rPr>
    </w:pPr>
  </w:p>
  <w:p>
    <w:pPr>
      <w:pStyle w:val="19"/>
      <w:spacing w:beforeLines="0" w:afterLines="0"/>
      <w:jc w:val="left"/>
      <w:rPr>
        <w:rFonts w:hint="eastAsia"/>
        <w:sz w:val="21"/>
        <w:szCs w:val="21"/>
      </w:rPr>
    </w:pPr>
  </w:p>
  <w:p>
    <w:pPr>
      <w:pStyle w:val="19"/>
      <w:spacing w:beforeLines="0" w:afterLines="0"/>
      <w:jc w:val="left"/>
      <w:rPr>
        <w:rFonts w:hint="default"/>
        <w:sz w:val="18"/>
        <w:szCs w:val="18"/>
      </w:rPr>
    </w:pPr>
    <w:r>
      <w:rPr>
        <w:rFonts w:hint="eastAsia"/>
        <w:sz w:val="21"/>
        <w:szCs w:val="21"/>
      </w:rPr>
      <w:t xml:space="preserve">临床试验“SAE报告”的SOP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4"/>
      </w:rPr>
      <w:t>YYH-SOP-CTC-01</w:t>
    </w:r>
    <w:r>
      <w:rPr>
        <w:rFonts w:hint="eastAsia"/>
        <w:sz w:val="21"/>
        <w:szCs w:val="24"/>
        <w:lang w:val="en-US" w:eastAsia="zh-CN"/>
      </w:rPr>
      <w:t>5</w:t>
    </w:r>
    <w:r>
      <w:rPr>
        <w:rFonts w:hint="eastAsia"/>
        <w:sz w:val="21"/>
        <w:szCs w:val="24"/>
      </w:rPr>
      <w:t xml:space="preserve"> 3.</w:t>
    </w:r>
    <w:r>
      <w:rPr>
        <w:rFonts w:hint="eastAsia"/>
        <w:sz w:val="21"/>
        <w:szCs w:val="24"/>
        <w:lang w:val="en-US" w:eastAsia="zh-CN"/>
      </w:rPr>
      <w:t>1</w:t>
    </w:r>
    <w:r>
      <w:rPr>
        <w:rFonts w:hint="eastAsia"/>
        <w:sz w:val="21"/>
        <w:szCs w:val="21"/>
      </w:rPr>
      <w:t xml:space="preserve">       </w:t>
    </w:r>
    <w:r>
      <w:rPr>
        <w:rFonts w:hint="eastAsia"/>
        <w:sz w:val="18"/>
        <w:szCs w:val="18"/>
      </w:rPr>
      <w:t xml:space="preserve">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临床试验应急预案和急救SOP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16 3.0</w:t>
    </w:r>
    <w:r>
      <w:rPr>
        <w:rFonts w:hint="eastAsia"/>
        <w:sz w:val="21"/>
        <w:szCs w:val="21"/>
      </w:rPr>
      <w:t xml:space="preserve">       </w:t>
    </w:r>
    <w:r>
      <w:rPr>
        <w:rFonts w:hint="eastAsia"/>
      </w:rPr>
      <w:t xml:space="preserve">                                                                                           </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原始资料记录的SOP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17 3.1</w:t>
    </w:r>
    <w:r>
      <w:rPr>
        <w:rFonts w:hint="eastAsia"/>
        <w:sz w:val="21"/>
        <w:szCs w:val="21"/>
      </w:rPr>
      <w:t xml:space="preserve">       </w:t>
    </w:r>
    <w:r>
      <w:rPr>
        <w:rFonts w:hint="eastAsia"/>
      </w:rPr>
      <w:t xml:space="preserve">                                                                                           </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病例报告表(CRF)记录的SOP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18 3.2</w:t>
    </w:r>
    <w:r>
      <w:rPr>
        <w:rFonts w:hint="eastAsia"/>
        <w:sz w:val="21"/>
        <w:szCs w:val="21"/>
      </w:rPr>
      <w:t xml:space="preserve">       </w:t>
    </w:r>
    <w:r>
      <w:rPr>
        <w:rFonts w:hint="eastAsia"/>
      </w:rPr>
      <w:t xml:space="preserve">                                                                                           </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实验室检测及质量控制的SOP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19 3.0</w:t>
    </w:r>
    <w:r>
      <w:rPr>
        <w:rFonts w:hint="eastAsia"/>
        <w:sz w:val="21"/>
        <w:szCs w:val="21"/>
      </w:rPr>
      <w:t xml:space="preserve">       </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pPr>
  </w:p>
  <w:p>
    <w:pPr>
      <w:pStyle w:val="19"/>
      <w:jc w:val="right"/>
    </w:pPr>
  </w:p>
  <w:p>
    <w:pPr>
      <w:pStyle w:val="19"/>
      <w:jc w:val="left"/>
    </w:pPr>
    <w:r>
      <w:rPr>
        <w:rFonts w:hint="eastAsia"/>
        <w:sz w:val="21"/>
        <w:szCs w:val="21"/>
      </w:rPr>
      <w:t>机构办公室主任职责</w:t>
    </w:r>
    <w:r>
      <w:rPr>
        <w:rFonts w:hint="eastAsia"/>
      </w:rPr>
      <w:t xml:space="preserve">                                                               </w:t>
    </w:r>
    <w:r>
      <w:rPr>
        <w:rFonts w:hint="eastAsia"/>
        <w:sz w:val="21"/>
        <w:szCs w:val="21"/>
      </w:rPr>
      <w:t>YYH-ZZ-CTC-00</w:t>
    </w:r>
    <w:r>
      <w:rPr>
        <w:sz w:val="21"/>
        <w:szCs w:val="21"/>
      </w:rPr>
      <w:t>3</w:t>
    </w:r>
    <w:r>
      <w:rPr>
        <w:rFonts w:hint="eastAsia"/>
        <w:sz w:val="21"/>
        <w:szCs w:val="21"/>
      </w:rPr>
      <w:t xml:space="preserve"> 3.</w:t>
    </w:r>
    <w:r>
      <w:rPr>
        <w:rFonts w:hint="eastAsia"/>
        <w:sz w:val="21"/>
        <w:szCs w:val="21"/>
        <w:lang w:val="en-US" w:eastAsia="zh-CN"/>
      </w:rPr>
      <w:t>0</w:t>
    </w:r>
    <w:r>
      <w:rPr>
        <w:rFonts w:hint="eastAsia"/>
        <w:sz w:val="21"/>
        <w:szCs w:val="21"/>
      </w:rPr>
      <w:t xml:space="preserve">       </w:t>
    </w:r>
    <w:r>
      <w:rPr>
        <w:rFonts w:hint="eastAsia"/>
      </w:rPr>
      <w:t xml:space="preserve">                                                                                           </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临床试验文件查阅/复印的SOP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YYH-SOP-CTC-0</w:t>
    </w:r>
    <w:r>
      <w:rPr>
        <w:rFonts w:hint="eastAsia" w:cstheme="minorBidi"/>
        <w:kern w:val="2"/>
        <w:sz w:val="21"/>
        <w:szCs w:val="24"/>
        <w:vertAlign w:val="baseline"/>
        <w:lang w:val="en-US" w:eastAsia="zh-CN" w:bidi="ar-SA"/>
      </w:rPr>
      <w:t>20 3.0</w:t>
    </w:r>
    <w:r>
      <w:rPr>
        <w:rFonts w:hint="eastAsia"/>
        <w:sz w:val="21"/>
        <w:szCs w:val="21"/>
      </w:rPr>
      <w:t xml:space="preserve">       </w:t>
    </w:r>
    <w:r>
      <w:rPr>
        <w:rFonts w:hint="eastAsia"/>
      </w:rPr>
      <w:t xml:space="preserve">                                                                                           </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试验数据采集、记录、管理与统计分析的SOP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w:t>
    </w:r>
    <w:r>
      <w:rPr>
        <w:rFonts w:hint="eastAsia" w:cstheme="minorBidi"/>
        <w:kern w:val="2"/>
        <w:sz w:val="21"/>
        <w:szCs w:val="24"/>
        <w:vertAlign w:val="baseline"/>
        <w:lang w:val="en-US" w:eastAsia="zh-CN" w:bidi="ar-SA"/>
      </w:rPr>
      <w:t>021 3.0</w:t>
    </w:r>
    <w:r>
      <w:rPr>
        <w:rFonts w:hint="eastAsia"/>
        <w:sz w:val="21"/>
        <w:szCs w:val="21"/>
      </w:rPr>
      <w:t xml:space="preserve">       </w:t>
    </w:r>
    <w:r>
      <w:rPr>
        <w:rFonts w:hint="eastAsia"/>
      </w:rPr>
      <w:t xml:space="preserve">                                                                                           </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临床试验档案管理的SOP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w:t>
    </w:r>
    <w:r>
      <w:rPr>
        <w:rFonts w:hint="eastAsia" w:cstheme="minorBidi"/>
        <w:kern w:val="2"/>
        <w:sz w:val="21"/>
        <w:szCs w:val="24"/>
        <w:vertAlign w:val="baseline"/>
        <w:lang w:val="en-US" w:eastAsia="zh-CN" w:bidi="ar-SA"/>
      </w:rPr>
      <w:t>022 3.2</w:t>
    </w:r>
    <w:r>
      <w:rPr>
        <w:rFonts w:hint="eastAsia"/>
        <w:sz w:val="21"/>
        <w:szCs w:val="21"/>
      </w:rPr>
      <w:t xml:space="preserve">       </w:t>
    </w:r>
    <w:r>
      <w:rPr>
        <w:rFonts w:hint="eastAsia"/>
      </w:rPr>
      <w:t xml:space="preserve">                                                                                           </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临床试验档案管理的SOP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w:t>
    </w:r>
    <w:r>
      <w:rPr>
        <w:rFonts w:hint="eastAsia" w:cstheme="minorBidi"/>
        <w:kern w:val="2"/>
        <w:sz w:val="21"/>
        <w:szCs w:val="24"/>
        <w:vertAlign w:val="baseline"/>
        <w:lang w:val="en-US" w:eastAsia="zh-CN" w:bidi="ar-SA"/>
      </w:rPr>
      <w:t>022 3.2</w:t>
    </w:r>
    <w:r>
      <w:rPr>
        <w:rFonts w:hint="eastAsia"/>
        <w:sz w:val="21"/>
        <w:szCs w:val="21"/>
      </w:rPr>
      <w:t xml:space="preserve">      </w:t>
    </w:r>
    <w:r>
      <w:rPr>
        <w:rFonts w:hint="eastAsia"/>
      </w:rPr>
      <w:t xml:space="preserve">                                                                                           </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临床试验档案管理的SOP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w:t>
    </w:r>
    <w:r>
      <w:rPr>
        <w:rFonts w:hint="eastAsia" w:cstheme="minorBidi"/>
        <w:kern w:val="2"/>
        <w:sz w:val="21"/>
        <w:szCs w:val="24"/>
        <w:vertAlign w:val="baseline"/>
        <w:lang w:val="en-US" w:eastAsia="zh-CN" w:bidi="ar-SA"/>
      </w:rPr>
      <w:t>022 3.2</w:t>
    </w:r>
    <w:r>
      <w:rPr>
        <w:rFonts w:hint="eastAsia"/>
        <w:sz w:val="21"/>
        <w:szCs w:val="21"/>
      </w:rPr>
      <w:t xml:space="preserve">       </w:t>
    </w:r>
    <w:r>
      <w:rPr>
        <w:rFonts w:hint="eastAsia"/>
      </w:rPr>
      <w:t xml:space="preserve">                                                                                           </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sz w:val="21"/>
        <w:szCs w:val="21"/>
      </w:rPr>
    </w:pPr>
  </w:p>
  <w:p>
    <w:pPr>
      <w:pStyle w:val="19"/>
      <w:jc w:val="left"/>
      <w:rPr>
        <w:rFonts w:hint="eastAsia"/>
        <w:sz w:val="21"/>
        <w:szCs w:val="21"/>
      </w:rPr>
    </w:pPr>
    <w:r>
      <w:rPr>
        <w:rFonts w:hint="eastAsia"/>
        <w:sz w:val="21"/>
        <w:szCs w:val="21"/>
      </w:rPr>
      <w:drawing>
        <wp:anchor distT="0" distB="0" distL="0" distR="0" simplePos="0" relativeHeight="251860992" behindDoc="0" locked="0" layoutInCell="1" allowOverlap="1">
          <wp:simplePos x="0" y="0"/>
          <wp:positionH relativeFrom="column">
            <wp:posOffset>4497705</wp:posOffset>
          </wp:positionH>
          <wp:positionV relativeFrom="paragraph">
            <wp:posOffset>158115</wp:posOffset>
          </wp:positionV>
          <wp:extent cx="1416050" cy="323215"/>
          <wp:effectExtent l="0" t="0" r="1270" b="12065"/>
          <wp:wrapNone/>
          <wp:docPr id="142" name="图片 142" descr="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QQ浏览器截屏未命名.png"/>
                  <pic:cNvPicPr>
                    <a:picLocks noChangeAspect="1"/>
                  </pic:cNvPicPr>
                </pic:nvPicPr>
                <pic:blipFill>
                  <a:blip r:embed="rId1"/>
                  <a:stretch>
                    <a:fillRect/>
                  </a:stretch>
                </pic:blipFill>
                <pic:spPr>
                  <a:xfrm>
                    <a:off x="0" y="0"/>
                    <a:ext cx="1416050" cy="323215"/>
                  </a:xfrm>
                  <a:prstGeom prst="rect">
                    <a:avLst/>
                  </a:prstGeom>
                </pic:spPr>
              </pic:pic>
            </a:graphicData>
          </a:graphic>
        </wp:anchor>
      </w:drawing>
    </w:r>
  </w:p>
  <w:p>
    <w:pPr>
      <w:pStyle w:val="19"/>
      <w:jc w:val="left"/>
      <w:rPr>
        <w:rFonts w:hint="eastAsia"/>
        <w:sz w:val="21"/>
        <w:szCs w:val="21"/>
      </w:rPr>
    </w:pPr>
  </w:p>
  <w:p>
    <w:pPr>
      <w:pStyle w:val="19"/>
      <w:jc w:val="left"/>
    </w:pPr>
    <w:r>
      <w:rPr>
        <w:rFonts w:hint="eastAsia"/>
        <w:sz w:val="21"/>
        <w:szCs w:val="21"/>
      </w:rPr>
      <w:t>YYH-SOP-CTC-022-3.1-A1</w:t>
    </w:r>
    <w:r>
      <w:rPr>
        <w:rFonts w:hint="eastAsia"/>
        <w:sz w:val="21"/>
        <w:szCs w:val="21"/>
      </w:rPr>
      <w:drawing>
        <wp:anchor distT="0" distB="0" distL="0" distR="0" simplePos="0" relativeHeight="251859968" behindDoc="0" locked="0" layoutInCell="1" allowOverlap="1">
          <wp:simplePos x="0" y="0"/>
          <wp:positionH relativeFrom="column">
            <wp:posOffset>7397750</wp:posOffset>
          </wp:positionH>
          <wp:positionV relativeFrom="paragraph">
            <wp:posOffset>158115</wp:posOffset>
          </wp:positionV>
          <wp:extent cx="1416050" cy="323215"/>
          <wp:effectExtent l="0" t="0" r="1270" b="12065"/>
          <wp:wrapNone/>
          <wp:docPr id="145" name="图片 145" descr="QQ浏览器截屏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QQ浏览器截屏未命名.png"/>
                  <pic:cNvPicPr>
                    <a:picLocks noChangeAspect="1"/>
                  </pic:cNvPicPr>
                </pic:nvPicPr>
                <pic:blipFill>
                  <a:blip r:embed="rId1"/>
                  <a:stretch>
                    <a:fillRect/>
                  </a:stretch>
                </pic:blipFill>
                <pic:spPr>
                  <a:xfrm>
                    <a:off x="0" y="0"/>
                    <a:ext cx="1416050" cy="323215"/>
                  </a:xfrm>
                  <a:prstGeom prst="rect">
                    <a:avLst/>
                  </a:prstGeom>
                </pic:spPr>
              </pic:pic>
            </a:graphicData>
          </a:graphic>
        </wp:anchor>
      </w:drawing>
    </w:r>
    <w:r>
      <w:rPr>
        <w:rFonts w:hint="eastAsia"/>
        <w:sz w:val="21"/>
        <w:szCs w:val="21"/>
        <w:lang w:val="en-US" w:eastAsia="zh-CN"/>
      </w:rPr>
      <w:t xml:space="preserve">1                                                                              </w:t>
    </w:r>
    <w:r>
      <w:rPr>
        <w:rFonts w:hint="eastAsia"/>
        <w:sz w:val="21"/>
        <w:szCs w:val="21"/>
      </w:rPr>
      <w:t xml:space="preserve">      </w:t>
    </w:r>
    <w:r>
      <w:rPr>
        <w:rFonts w:hint="eastAsia"/>
      </w:rPr>
      <w:t xml:space="preserve">                                                                                           </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 xml:space="preserve">临床试验档案管理的SOP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w:t>
    </w:r>
    <w:r>
      <w:rPr>
        <w:rFonts w:hint="eastAsia" w:cstheme="minorBidi"/>
        <w:kern w:val="2"/>
        <w:sz w:val="21"/>
        <w:szCs w:val="24"/>
        <w:vertAlign w:val="baseline"/>
        <w:lang w:val="en-US" w:eastAsia="zh-CN" w:bidi="ar-SA"/>
      </w:rPr>
      <w:t>022 3.2</w:t>
    </w:r>
    <w:r>
      <w:rPr>
        <w:rFonts w:hint="eastAsia"/>
        <w:sz w:val="21"/>
        <w:szCs w:val="21"/>
      </w:rPr>
      <w:t xml:space="preserve">       </w:t>
    </w:r>
    <w:r>
      <w:rPr>
        <w:rFonts w:hint="eastAsia"/>
      </w:rPr>
      <w:t xml:space="preserve">                                                                                           </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临床试验结题的SOP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w:t>
    </w:r>
    <w:r>
      <w:rPr>
        <w:rFonts w:hint="eastAsia" w:cstheme="minorBidi"/>
        <w:kern w:val="2"/>
        <w:sz w:val="21"/>
        <w:szCs w:val="24"/>
        <w:vertAlign w:val="baseline"/>
        <w:lang w:val="en-US" w:eastAsia="zh-CN" w:bidi="ar-SA"/>
      </w:rPr>
      <w:t>023 3.0</w:t>
    </w:r>
    <w:r>
      <w:rPr>
        <w:rFonts w:hint="eastAsia"/>
        <w:sz w:val="21"/>
        <w:szCs w:val="21"/>
      </w:rPr>
      <w:t xml:space="preserve">       </w:t>
    </w:r>
    <w:r>
      <w:rPr>
        <w:rFonts w:hint="eastAsia"/>
      </w:rPr>
      <w:t xml:space="preserve">                                                                                           </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临床试验质量控制的SOP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w:t>
    </w:r>
    <w:r>
      <w:rPr>
        <w:rFonts w:hint="eastAsia" w:cstheme="minorBidi"/>
        <w:kern w:val="2"/>
        <w:sz w:val="21"/>
        <w:szCs w:val="24"/>
        <w:vertAlign w:val="baseline"/>
        <w:lang w:val="en-US" w:eastAsia="zh-CN" w:bidi="ar-SA"/>
      </w:rPr>
      <w:t>024 3.1</w:t>
    </w:r>
    <w:r>
      <w:rPr>
        <w:rFonts w:hint="eastAsia"/>
        <w:sz w:val="21"/>
        <w:szCs w:val="21"/>
      </w:rPr>
      <w:t xml:space="preserve">      </w:t>
    </w:r>
    <w:r>
      <w:rPr>
        <w:rFonts w:hint="eastAsia"/>
      </w:rPr>
      <w:t xml:space="preserve">                                                                                           </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机构对各专业临床试验质量控制的SOP                                  </w:t>
    </w:r>
    <w:r>
      <w:rPr>
        <w:rFonts w:hint="eastAsia" w:asciiTheme="minorHAnsi" w:hAnsiTheme="minorHAnsi" w:eastAsiaTheme="minorEastAsia" w:cstheme="minorBidi"/>
        <w:kern w:val="2"/>
        <w:sz w:val="21"/>
        <w:szCs w:val="24"/>
        <w:vertAlign w:val="baseline"/>
        <w:lang w:val="en-US" w:eastAsia="zh-CN" w:bidi="ar-SA"/>
      </w:rPr>
      <w:t>YYH-SOP-CTC-</w:t>
    </w:r>
    <w:r>
      <w:rPr>
        <w:rFonts w:hint="eastAsia" w:cstheme="minorBidi"/>
        <w:kern w:val="2"/>
        <w:sz w:val="21"/>
        <w:szCs w:val="24"/>
        <w:vertAlign w:val="baseline"/>
        <w:lang w:val="en-US" w:eastAsia="zh-CN" w:bidi="ar-SA"/>
      </w:rPr>
      <w:t>025 3.1</w:t>
    </w:r>
    <w:r>
      <w:rPr>
        <w:rFonts w:hint="eastAsia"/>
        <w:sz w:val="21"/>
        <w:szCs w:val="21"/>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right"/>
      <w:rPr>
        <w:sz w:val="21"/>
        <w:szCs w:val="21"/>
      </w:rPr>
    </w:pPr>
  </w:p>
  <w:p>
    <w:pPr>
      <w:pStyle w:val="19"/>
      <w:jc w:val="left"/>
    </w:pPr>
    <w:r>
      <w:rPr>
        <w:rFonts w:hint="eastAsia"/>
        <w:sz w:val="21"/>
        <w:szCs w:val="21"/>
      </w:rPr>
      <w:t xml:space="preserve">机构办公室秘书职责     </w:t>
    </w:r>
    <w:r>
      <w:rPr>
        <w:rFonts w:hint="eastAsia"/>
        <w:sz w:val="21"/>
        <w:szCs w:val="21"/>
        <w:lang w:val="en-US" w:eastAsia="zh-CN"/>
      </w:rPr>
      <w:t xml:space="preserve"> </w:t>
    </w:r>
    <w:r>
      <w:rPr>
        <w:rFonts w:hint="eastAsia"/>
        <w:sz w:val="21"/>
        <w:szCs w:val="21"/>
      </w:rPr>
      <w:t xml:space="preserve">                                                YYH-ZZ-CTC-00</w:t>
    </w:r>
    <w:r>
      <w:rPr>
        <w:rFonts w:hint="eastAsia"/>
        <w:sz w:val="21"/>
        <w:szCs w:val="21"/>
        <w:lang w:val="en-US" w:eastAsia="zh-CN"/>
      </w:rPr>
      <w:t xml:space="preserve">4 </w:t>
    </w:r>
    <w:r>
      <w:rPr>
        <w:rFonts w:hint="eastAsia"/>
        <w:sz w:val="21"/>
        <w:szCs w:val="21"/>
      </w:rPr>
      <w:t>3.</w:t>
    </w:r>
    <w:r>
      <w:rPr>
        <w:rFonts w:hint="eastAsia"/>
        <w:sz w:val="21"/>
        <w:szCs w:val="21"/>
        <w:lang w:val="en-US" w:eastAsia="zh-CN"/>
      </w:rPr>
      <w:t>1</w:t>
    </w:r>
    <w:r>
      <w:rPr>
        <w:rFonts w:hint="eastAsia"/>
        <w:sz w:val="21"/>
        <w:szCs w:val="21"/>
      </w:rPr>
      <w:t xml:space="preserve">      </w:t>
    </w:r>
    <w:r>
      <w:rPr>
        <w:rFonts w:hint="eastAsia"/>
      </w:rPr>
      <w:t xml:space="preserve">                                                                                           </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构对各专业临床试验质量控制的SOP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w:t>
    </w:r>
    <w:r>
      <w:rPr>
        <w:rFonts w:hint="eastAsia" w:cstheme="minorBidi"/>
        <w:kern w:val="2"/>
        <w:sz w:val="21"/>
        <w:szCs w:val="24"/>
        <w:vertAlign w:val="baseline"/>
        <w:lang w:val="en-US" w:eastAsia="zh-CN" w:bidi="ar-SA"/>
      </w:rPr>
      <w:t>025 3.1</w:t>
    </w:r>
    <w:r>
      <w:rPr>
        <w:rFonts w:hint="eastAsia"/>
        <w:sz w:val="21"/>
        <w:szCs w:val="21"/>
      </w:rPr>
      <w:t xml:space="preserve">       </w:t>
    </w:r>
    <w:r>
      <w:rPr>
        <w:rFonts w:hint="eastAsia"/>
      </w:rPr>
      <w:t xml:space="preserve">                                                                                           </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临床试验的问题分级和处理的SOP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w:t>
    </w:r>
    <w:r>
      <w:rPr>
        <w:rFonts w:hint="eastAsia" w:cstheme="minorBidi"/>
        <w:kern w:val="2"/>
        <w:sz w:val="21"/>
        <w:szCs w:val="24"/>
        <w:vertAlign w:val="baseline"/>
        <w:lang w:val="en-US" w:eastAsia="zh-CN" w:bidi="ar-SA"/>
      </w:rPr>
      <w:t>026 3.0</w:t>
    </w:r>
    <w:r>
      <w:rPr>
        <w:rFonts w:hint="eastAsia"/>
        <w:sz w:val="21"/>
        <w:szCs w:val="21"/>
      </w:rPr>
      <w:t xml:space="preserve">       </w:t>
    </w:r>
    <w:r>
      <w:rPr>
        <w:rFonts w:hint="eastAsia"/>
      </w:rPr>
      <w:t xml:space="preserve">                                                                                           </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接受和配合各种检查的SOP</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YYH-SOP-CTC-</w:t>
    </w:r>
    <w:r>
      <w:rPr>
        <w:rFonts w:hint="eastAsia" w:cstheme="minorBidi"/>
        <w:kern w:val="2"/>
        <w:sz w:val="21"/>
        <w:szCs w:val="24"/>
        <w:vertAlign w:val="baseline"/>
        <w:lang w:val="en-US" w:eastAsia="zh-CN" w:bidi="ar-SA"/>
      </w:rPr>
      <w:t>027 3.0</w:t>
    </w:r>
    <w:r>
      <w:rPr>
        <w:rFonts w:hint="eastAsia"/>
        <w:sz w:val="21"/>
        <w:szCs w:val="21"/>
      </w:rPr>
      <w:t xml:space="preserve">       </w:t>
    </w:r>
    <w:r>
      <w:rPr>
        <w:rFonts w:hint="eastAsia"/>
      </w:rPr>
      <w:t xml:space="preserve">                                                                                           </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pPr>
    <w:r>
      <w:rPr>
        <w:rFonts w:hint="eastAsia"/>
        <w:sz w:val="21"/>
        <w:szCs w:val="21"/>
        <w:lang w:val="en-US" w:eastAsia="zh-CN"/>
      </w:rPr>
      <w:t xml:space="preserve">生物样本管理的SOP                                                    </w:t>
    </w:r>
    <w:r>
      <w:rPr>
        <w:rFonts w:hint="eastAsia" w:asciiTheme="minorHAnsi" w:hAnsiTheme="minorHAnsi" w:eastAsiaTheme="minorEastAsia" w:cstheme="minorBidi"/>
        <w:kern w:val="2"/>
        <w:sz w:val="21"/>
        <w:szCs w:val="24"/>
        <w:vertAlign w:val="baseline"/>
        <w:lang w:val="en-US" w:eastAsia="zh-CN" w:bidi="ar-SA"/>
      </w:rPr>
      <w:t>YYH-SOP-CTC-</w:t>
    </w:r>
    <w:r>
      <w:rPr>
        <w:rFonts w:hint="eastAsia" w:cstheme="minorBidi"/>
        <w:kern w:val="2"/>
        <w:sz w:val="21"/>
        <w:szCs w:val="24"/>
        <w:vertAlign w:val="baseline"/>
        <w:lang w:val="en-US" w:eastAsia="zh-CN" w:bidi="ar-SA"/>
      </w:rPr>
      <w:t>028 2.0</w:t>
    </w:r>
    <w:r>
      <w:rPr>
        <w:rFonts w:hint="eastAsia"/>
        <w:sz w:val="21"/>
        <w:szCs w:val="21"/>
      </w:rPr>
      <w:t xml:space="preserve">       </w:t>
    </w:r>
    <w:r>
      <w:rPr>
        <w:rFonts w:hint="eastAsia"/>
      </w:rPr>
      <w:t xml:space="preserve">                                                                                           </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pPr>
    <w:r>
      <w:rPr>
        <w:rFonts w:hint="eastAsia"/>
        <w:sz w:val="21"/>
        <w:szCs w:val="21"/>
        <w:lang w:val="en-US" w:eastAsia="zh-CN"/>
      </w:rPr>
      <w:t xml:space="preserve">医疗器械缺陷处理、记录与报告的SOP                                   </w:t>
    </w:r>
    <w:r>
      <w:rPr>
        <w:rFonts w:hint="eastAsia" w:asciiTheme="minorHAnsi" w:hAnsiTheme="minorHAnsi" w:eastAsiaTheme="minorEastAsia" w:cstheme="minorBidi"/>
        <w:kern w:val="2"/>
        <w:sz w:val="21"/>
        <w:szCs w:val="24"/>
        <w:vertAlign w:val="baseline"/>
        <w:lang w:val="en-US" w:eastAsia="zh-CN" w:bidi="ar-SA"/>
      </w:rPr>
      <w:t>YYH-SOP-CTC-</w:t>
    </w:r>
    <w:r>
      <w:rPr>
        <w:rFonts w:hint="eastAsia" w:cstheme="minorBidi"/>
        <w:kern w:val="2"/>
        <w:sz w:val="21"/>
        <w:szCs w:val="24"/>
        <w:vertAlign w:val="baseline"/>
        <w:lang w:val="en-US" w:eastAsia="zh-CN" w:bidi="ar-SA"/>
      </w:rPr>
      <w:t>029 0 2.0</w:t>
    </w:r>
    <w:r>
      <w:rPr>
        <w:rFonts w:hint="eastAsia"/>
        <w:sz w:val="21"/>
        <w:szCs w:val="21"/>
      </w:rPr>
      <w:t xml:space="preserve">       </w:t>
    </w:r>
    <w:r>
      <w:rPr>
        <w:rFonts w:hint="eastAsia"/>
      </w:rPr>
      <w:t xml:space="preserve">                                                                                           </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pPr>
    <w:r>
      <w:rPr>
        <w:rFonts w:hint="eastAsia"/>
        <w:sz w:val="21"/>
        <w:szCs w:val="21"/>
        <w:lang w:val="en-US" w:eastAsia="zh-CN"/>
      </w:rPr>
      <w:t xml:space="preserve">医疗器械缺陷处理、记录与报告的SOP                                   </w:t>
    </w:r>
    <w:r>
      <w:rPr>
        <w:rFonts w:hint="eastAsia" w:asciiTheme="minorHAnsi" w:hAnsiTheme="minorHAnsi" w:eastAsiaTheme="minorEastAsia" w:cstheme="minorBidi"/>
        <w:kern w:val="2"/>
        <w:sz w:val="21"/>
        <w:szCs w:val="24"/>
        <w:vertAlign w:val="baseline"/>
        <w:lang w:val="en-US" w:eastAsia="zh-CN" w:bidi="ar-SA"/>
      </w:rPr>
      <w:t>YYH-SOP-CTC-</w:t>
    </w:r>
    <w:r>
      <w:rPr>
        <w:rFonts w:hint="eastAsia" w:cstheme="minorBidi"/>
        <w:kern w:val="2"/>
        <w:sz w:val="21"/>
        <w:szCs w:val="24"/>
        <w:vertAlign w:val="baseline"/>
        <w:lang w:val="en-US" w:eastAsia="zh-CN" w:bidi="ar-SA"/>
      </w:rPr>
      <w:t>029 0 1.0</w:t>
    </w:r>
    <w:r>
      <w:rPr>
        <w:rFonts w:hint="eastAsia"/>
        <w:sz w:val="21"/>
        <w:szCs w:val="21"/>
      </w:rPr>
      <w:t xml:space="preserve">       </w:t>
    </w:r>
    <w:r>
      <w:rPr>
        <w:rFonts w:hint="eastAsia"/>
      </w:rPr>
      <w:t xml:space="preserve">                                                                                           </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left"/>
      <w:rPr>
        <w:sz w:val="21"/>
        <w:szCs w:val="21"/>
      </w:rPr>
    </w:pPr>
  </w:p>
  <w:p>
    <w:pPr>
      <w:pStyle w:val="19"/>
      <w:jc w:val="left"/>
    </w:pPr>
    <w:r>
      <w:rPr>
        <w:rFonts w:hint="eastAsia"/>
        <w:sz w:val="21"/>
        <w:szCs w:val="21"/>
      </w:rPr>
      <w:t>临床试验方案</w:t>
    </w:r>
    <w:r>
      <w:rPr>
        <w:rFonts w:hint="eastAsia"/>
        <w:sz w:val="21"/>
        <w:szCs w:val="21"/>
        <w:lang w:val="en-US" w:eastAsia="zh-CN"/>
      </w:rPr>
      <w:t xml:space="preserve">设计规范    </w:t>
    </w:r>
    <w:r>
      <w:rPr>
        <w:rFonts w:hint="eastAsia"/>
        <w:sz w:val="21"/>
        <w:szCs w:val="21"/>
      </w:rPr>
      <w:t xml:space="preserve"> </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GF</w:t>
    </w:r>
    <w:r>
      <w:rPr>
        <w:rFonts w:hint="eastAsia" w:asciiTheme="minorHAnsi" w:hAnsiTheme="minorHAnsi" w:eastAsiaTheme="minorEastAsia" w:cstheme="minorBidi"/>
        <w:kern w:val="2"/>
        <w:sz w:val="21"/>
        <w:szCs w:val="24"/>
        <w:vertAlign w:val="baseline"/>
        <w:lang w:val="en-US" w:eastAsia="zh-CN" w:bidi="ar-SA"/>
      </w:rPr>
      <w:t>-CTC-0</w:t>
    </w:r>
    <w:r>
      <w:rPr>
        <w:rFonts w:hint="eastAsia" w:cstheme="minorBidi"/>
        <w:kern w:val="2"/>
        <w:sz w:val="21"/>
        <w:szCs w:val="24"/>
        <w:vertAlign w:val="baseline"/>
        <w:lang w:val="en-US" w:eastAsia="zh-CN" w:bidi="ar-SA"/>
      </w:rPr>
      <w:t>01 3.1</w:t>
    </w:r>
    <w:r>
      <w:rPr>
        <w:rFonts w:hint="eastAsia"/>
        <w:sz w:val="21"/>
        <w:szCs w:val="21"/>
      </w:rPr>
      <w:t xml:space="preserve">       </w:t>
    </w:r>
    <w:r>
      <w:rPr>
        <w:rFonts w:hint="eastAsia"/>
      </w:rPr>
      <w:t xml:space="preserve">                                                                                           </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临床试验方案设计规范</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GF</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001 3.1</w:t>
    </w:r>
    <w:r>
      <w:rPr>
        <w:rFonts w:hint="eastAsia"/>
        <w:sz w:val="21"/>
        <w:szCs w:val="21"/>
      </w:rPr>
      <w:t xml:space="preserve">       </w:t>
    </w:r>
    <w:r>
      <w:rPr>
        <w:rFonts w:hint="eastAsia"/>
      </w:rPr>
      <w:t xml:space="preserve">                                                                                           </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病例报告表设计规范</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GF</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002 3.1</w:t>
    </w:r>
    <w:r>
      <w:rPr>
        <w:rFonts w:hint="eastAsia"/>
        <w:sz w:val="21"/>
        <w:szCs w:val="21"/>
      </w:rPr>
      <w:t xml:space="preserve">       </w:t>
    </w:r>
    <w:r>
      <w:rPr>
        <w:rFonts w:hint="eastAsia"/>
      </w:rPr>
      <w:t xml:space="preserve">                                                                                           </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知情同意书设计规范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GF</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003 3.1</w:t>
    </w:r>
    <w:r>
      <w:rPr>
        <w:rFonts w:hint="eastAsia"/>
        <w:sz w:val="21"/>
        <w:szCs w:val="21"/>
      </w:rPr>
      <w:t xml:space="preserve">      </w:t>
    </w: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rPr>
        <w:rFonts w:hint="eastAsia"/>
      </w:rPr>
      <w:t xml:space="preserve"> </w:t>
    </w:r>
  </w:p>
  <w:p>
    <w:pPr>
      <w:pStyle w:val="19"/>
      <w:jc w:val="left"/>
      <w:rPr>
        <w:sz w:val="21"/>
        <w:szCs w:val="21"/>
      </w:rPr>
    </w:pPr>
  </w:p>
  <w:p>
    <w:pPr>
      <w:pStyle w:val="19"/>
      <w:jc w:val="right"/>
      <w:rPr>
        <w:sz w:val="21"/>
        <w:szCs w:val="21"/>
      </w:rPr>
    </w:pPr>
  </w:p>
  <w:p>
    <w:pPr>
      <w:pStyle w:val="19"/>
      <w:jc w:val="left"/>
    </w:pPr>
    <w:r>
      <w:rPr>
        <w:rFonts w:hint="eastAsia"/>
        <w:sz w:val="21"/>
        <w:szCs w:val="21"/>
      </w:rPr>
      <w:t xml:space="preserve">项目负责人职责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YYH-ZZ-CTC-00</w:t>
    </w:r>
    <w:r>
      <w:rPr>
        <w:rFonts w:hint="eastAsia"/>
        <w:sz w:val="21"/>
        <w:szCs w:val="21"/>
        <w:lang w:val="en-US" w:eastAsia="zh-CN"/>
      </w:rPr>
      <w:t xml:space="preserve">5 </w:t>
    </w:r>
    <w:r>
      <w:rPr>
        <w:rFonts w:hint="eastAsia"/>
        <w:sz w:val="21"/>
        <w:szCs w:val="21"/>
      </w:rPr>
      <w:t>3.</w:t>
    </w:r>
    <w:r>
      <w:rPr>
        <w:rFonts w:hint="eastAsia"/>
        <w:sz w:val="21"/>
        <w:szCs w:val="21"/>
        <w:lang w:val="en-US" w:eastAsia="zh-CN"/>
      </w:rPr>
      <w:t>1</w:t>
    </w:r>
    <w:r>
      <w:rPr>
        <w:rFonts w:hint="eastAsia"/>
        <w:sz w:val="21"/>
        <w:szCs w:val="21"/>
      </w:rPr>
      <w:t xml:space="preserve">       </w:t>
    </w:r>
    <w:r>
      <w:rPr>
        <w:rFonts w:hint="eastAsia"/>
      </w:rPr>
      <w:t xml:space="preserve">                                                                                           </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临床试验总结报告设计规范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GF</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004 3.1</w:t>
    </w:r>
    <w:r>
      <w:rPr>
        <w:rFonts w:hint="eastAsia"/>
        <w:sz w:val="21"/>
        <w:szCs w:val="21"/>
      </w:rPr>
      <w:t xml:space="preserve">     </w:t>
    </w:r>
    <w:r>
      <w:rPr>
        <w:rFonts w:hint="eastAsia"/>
      </w:rPr>
      <w:t xml:space="preserve">                                                            </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临床试验文件设计与编码规范</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GF</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005 3.1</w:t>
    </w:r>
    <w:r>
      <w:rPr>
        <w:rFonts w:hint="eastAsia"/>
        <w:sz w:val="21"/>
        <w:szCs w:val="21"/>
      </w:rPr>
      <w:t xml:space="preserve">       </w:t>
    </w:r>
    <w:r>
      <w:rPr>
        <w:rFonts w:hint="eastAsia"/>
      </w:rPr>
      <w:t xml:space="preserve">                                                                                           </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rPr>
      <w:t>防范和处理受试者损害及突发事件预案</w:t>
    </w:r>
    <w:r>
      <w:rPr>
        <w:rFonts w:hint="eastAsia"/>
        <w:sz w:val="21"/>
        <w:szCs w:val="21"/>
        <w:lang w:val="en-US" w:eastAsia="zh-CN"/>
      </w:rPr>
      <w:t xml:space="preserve">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001 3.2</w:t>
    </w:r>
    <w:r>
      <w:rPr>
        <w:rFonts w:hint="eastAsia"/>
        <w:sz w:val="21"/>
        <w:szCs w:val="21"/>
      </w:rPr>
      <w:t xml:space="preserve">       </w:t>
    </w:r>
    <w:r>
      <w:rPr>
        <w:rFonts w:hint="eastAsia"/>
      </w:rPr>
      <w:t xml:space="preserve">                                                                                           </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心跳呼吸骤停的急救预案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002 3.1</w:t>
    </w:r>
    <w:r>
      <w:rPr>
        <w:rFonts w:hint="eastAsia"/>
        <w:sz w:val="21"/>
        <w:szCs w:val="21"/>
      </w:rPr>
      <w:t xml:space="preserve">       </w:t>
    </w:r>
    <w:r>
      <w:rPr>
        <w:rFonts w:hint="eastAsia"/>
      </w:rPr>
      <w:t xml:space="preserve">                                                                                           </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过敏性休克的急救预案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003 3.1</w:t>
    </w:r>
    <w:r>
      <w:rPr>
        <w:rFonts w:hint="eastAsia"/>
        <w:sz w:val="21"/>
        <w:szCs w:val="21"/>
      </w:rPr>
      <w:t xml:space="preserve">       </w:t>
    </w:r>
    <w:r>
      <w:rPr>
        <w:rFonts w:hint="eastAsia"/>
      </w:rPr>
      <w:t xml:space="preserve">                                                                                           </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hint="eastAsia" w:eastAsiaTheme="minorEastAsia"/>
        <w:sz w:val="21"/>
        <w:szCs w:val="21"/>
        <w:lang w:val="en-US" w:eastAsia="zh-CN"/>
      </w:rPr>
    </w:pPr>
  </w:p>
  <w:p>
    <w:pPr>
      <w:pStyle w:val="19"/>
      <w:jc w:val="left"/>
      <w:rPr>
        <w:rFonts w:hint="eastAsia"/>
        <w:sz w:val="21"/>
        <w:szCs w:val="21"/>
      </w:rPr>
    </w:pPr>
  </w:p>
  <w:p>
    <w:pPr>
      <w:pStyle w:val="19"/>
      <w:jc w:val="left"/>
      <w:rPr>
        <w:rFonts w:hint="eastAsia"/>
        <w:sz w:val="21"/>
        <w:szCs w:val="21"/>
      </w:rPr>
    </w:pPr>
  </w:p>
  <w:p>
    <w:pPr>
      <w:pStyle w:val="19"/>
      <w:jc w:val="left"/>
    </w:pPr>
    <w:r>
      <w:rPr>
        <w:rFonts w:hint="eastAsia"/>
        <w:sz w:val="21"/>
        <w:szCs w:val="21"/>
        <w:lang w:val="en-US" w:eastAsia="zh-CN"/>
      </w:rPr>
      <w:t xml:space="preserve">晕厥的急救预案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004 3.1</w:t>
    </w:r>
    <w:r>
      <w:rPr>
        <w:rFonts w:hint="eastAsia"/>
        <w:sz w:val="21"/>
        <w:szCs w:val="21"/>
      </w:rPr>
      <w:t xml:space="preserve">      </w:t>
    </w:r>
    <w:r>
      <w:rPr>
        <w:rFonts w:hint="eastAsia"/>
      </w:rPr>
      <w:t xml:space="preserve">                                                                                           </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pPr>
    <w:r>
      <w:rPr>
        <w:rFonts w:hint="eastAsia"/>
        <w:sz w:val="21"/>
        <w:szCs w:val="21"/>
        <w:lang w:val="en-US" w:eastAsia="zh-CN"/>
      </w:rPr>
      <w:t xml:space="preserve">低血糖的急救预案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005 3.1</w:t>
    </w:r>
    <w:r>
      <w:rPr>
        <w:rFonts w:hint="eastAsia"/>
        <w:sz w:val="21"/>
        <w:szCs w:val="21"/>
      </w:rPr>
      <w:t xml:space="preserve">      </w:t>
    </w:r>
    <w:r>
      <w:rPr>
        <w:rFonts w:hint="eastAsia"/>
      </w:rPr>
      <w:t xml:space="preserve">                                                                                           </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pPr>
    <w:r>
      <w:rPr>
        <w:rFonts w:hint="eastAsia"/>
        <w:sz w:val="21"/>
        <w:szCs w:val="21"/>
        <w:lang w:val="en-US" w:eastAsia="zh-CN"/>
      </w:rPr>
      <w:t xml:space="preserve">药物中毒的急救预案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006 3.1</w:t>
    </w:r>
    <w:r>
      <w:rPr>
        <w:rFonts w:hint="eastAsia"/>
        <w:sz w:val="21"/>
        <w:szCs w:val="21"/>
      </w:rPr>
      <w:t xml:space="preserve">       </w:t>
    </w:r>
    <w:r>
      <w:rPr>
        <w:rFonts w:hint="eastAsia"/>
      </w:rPr>
      <w:t xml:space="preserve">                                                                                           </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pPr>
    <w:r>
      <w:rPr>
        <w:rFonts w:hint="eastAsia"/>
        <w:sz w:val="21"/>
        <w:szCs w:val="21"/>
        <w:lang w:val="en-US" w:eastAsia="zh-CN"/>
      </w:rPr>
      <w:t xml:space="preserve">急性荨麻疹的急救预案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007 3.1</w:t>
    </w:r>
    <w:r>
      <w:rPr>
        <w:rFonts w:hint="eastAsia"/>
        <w:sz w:val="21"/>
        <w:szCs w:val="21"/>
      </w:rPr>
      <w:t xml:space="preserve">       </w:t>
    </w:r>
    <w:r>
      <w:rPr>
        <w:rFonts w:hint="eastAsia"/>
      </w:rPr>
      <w:t xml:space="preserve">                                                                                           </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pPr>
    <w:r>
      <w:rPr>
        <w:rFonts w:hint="eastAsia"/>
        <w:sz w:val="21"/>
        <w:szCs w:val="21"/>
        <w:lang w:val="en-US" w:eastAsia="zh-CN"/>
      </w:rPr>
      <w:t xml:space="preserve">重症药疹的急救预案                                                     </w:t>
    </w:r>
    <w:r>
      <w:rPr>
        <w:rFonts w:hint="eastAsia" w:asciiTheme="minorHAnsi" w:hAnsiTheme="minorHAnsi" w:eastAsiaTheme="minorEastAsia" w:cstheme="minorBidi"/>
        <w:kern w:val="2"/>
        <w:sz w:val="21"/>
        <w:szCs w:val="24"/>
        <w:vertAlign w:val="baseline"/>
        <w:lang w:val="en-US" w:eastAsia="zh-CN" w:bidi="ar-SA"/>
      </w:rPr>
      <w:t>YYH-</w:t>
    </w:r>
    <w:r>
      <w:rPr>
        <w:rFonts w:hint="eastAsia" w:cstheme="minorBidi"/>
        <w:kern w:val="2"/>
        <w:sz w:val="21"/>
        <w:szCs w:val="24"/>
        <w:vertAlign w:val="baseline"/>
        <w:lang w:val="en-US" w:eastAsia="zh-CN" w:bidi="ar-SA"/>
      </w:rPr>
      <w:t>YA</w:t>
    </w:r>
    <w:r>
      <w:rPr>
        <w:rFonts w:hint="eastAsia" w:asciiTheme="minorHAnsi" w:hAnsiTheme="minorHAnsi" w:eastAsiaTheme="minorEastAsia" w:cstheme="minorBidi"/>
        <w:kern w:val="2"/>
        <w:sz w:val="21"/>
        <w:szCs w:val="24"/>
        <w:vertAlign w:val="baseline"/>
        <w:lang w:val="en-US" w:eastAsia="zh-CN" w:bidi="ar-SA"/>
      </w:rPr>
      <w:t>-CTC-</w:t>
    </w:r>
    <w:r>
      <w:rPr>
        <w:rFonts w:hint="eastAsia" w:cstheme="minorBidi"/>
        <w:kern w:val="2"/>
        <w:sz w:val="21"/>
        <w:szCs w:val="24"/>
        <w:vertAlign w:val="baseline"/>
        <w:lang w:val="en-US" w:eastAsia="zh-CN" w:bidi="ar-SA"/>
      </w:rPr>
      <w:t>008 3.1</w:t>
    </w:r>
    <w:r>
      <w:rPr>
        <w:rFonts w:hint="eastAsia"/>
        <w:sz w:val="21"/>
        <w:szCs w:val="21"/>
      </w:rP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C98BFA"/>
    <w:multiLevelType w:val="singleLevel"/>
    <w:tmpl w:val="93C98BFA"/>
    <w:lvl w:ilvl="0" w:tentative="0">
      <w:start w:val="1"/>
      <w:numFmt w:val="chineseCounting"/>
      <w:suff w:val="nothing"/>
      <w:lvlText w:val="（%1）"/>
      <w:lvlJc w:val="left"/>
      <w:rPr>
        <w:rFonts w:hint="eastAsia"/>
      </w:rPr>
    </w:lvl>
  </w:abstractNum>
  <w:abstractNum w:abstractNumId="1">
    <w:nsid w:val="956970F0"/>
    <w:multiLevelType w:val="singleLevel"/>
    <w:tmpl w:val="956970F0"/>
    <w:lvl w:ilvl="0" w:tentative="0">
      <w:start w:val="1"/>
      <w:numFmt w:val="decimal"/>
      <w:suff w:val="space"/>
      <w:lvlText w:val="[%1]"/>
      <w:lvlJc w:val="left"/>
    </w:lvl>
  </w:abstractNum>
  <w:abstractNum w:abstractNumId="2">
    <w:nsid w:val="96ADEDF5"/>
    <w:multiLevelType w:val="singleLevel"/>
    <w:tmpl w:val="96ADEDF5"/>
    <w:lvl w:ilvl="0" w:tentative="0">
      <w:start w:val="1"/>
      <w:numFmt w:val="decimal"/>
      <w:lvlText w:val="%1."/>
      <w:lvlJc w:val="left"/>
      <w:pPr>
        <w:ind w:left="425" w:hanging="425"/>
      </w:pPr>
      <w:rPr>
        <w:rFonts w:hint="default"/>
      </w:rPr>
    </w:lvl>
  </w:abstractNum>
  <w:abstractNum w:abstractNumId="3">
    <w:nsid w:val="9790DE25"/>
    <w:multiLevelType w:val="singleLevel"/>
    <w:tmpl w:val="9790DE25"/>
    <w:lvl w:ilvl="0" w:tentative="0">
      <w:start w:val="1"/>
      <w:numFmt w:val="decimal"/>
      <w:lvlText w:val="[%1]"/>
      <w:lvlJc w:val="left"/>
      <w:pPr>
        <w:tabs>
          <w:tab w:val="left" w:pos="312"/>
        </w:tabs>
      </w:pPr>
    </w:lvl>
  </w:abstractNum>
  <w:abstractNum w:abstractNumId="4">
    <w:nsid w:val="9C145B9E"/>
    <w:multiLevelType w:val="singleLevel"/>
    <w:tmpl w:val="9C145B9E"/>
    <w:lvl w:ilvl="0" w:tentative="0">
      <w:start w:val="1"/>
      <w:numFmt w:val="decimal"/>
      <w:suff w:val="nothing"/>
      <w:lvlText w:val="%1、"/>
      <w:lvlJc w:val="left"/>
    </w:lvl>
  </w:abstractNum>
  <w:abstractNum w:abstractNumId="5">
    <w:nsid w:val="A08A3462"/>
    <w:multiLevelType w:val="singleLevel"/>
    <w:tmpl w:val="A08A3462"/>
    <w:lvl w:ilvl="0" w:tentative="0">
      <w:start w:val="1"/>
      <w:numFmt w:val="chineseCounting"/>
      <w:suff w:val="nothing"/>
      <w:lvlText w:val="%1、"/>
      <w:lvlJc w:val="left"/>
      <w:rPr>
        <w:rFonts w:hint="eastAsia"/>
      </w:rPr>
    </w:lvl>
  </w:abstractNum>
  <w:abstractNum w:abstractNumId="6">
    <w:nsid w:val="A4D43A57"/>
    <w:multiLevelType w:val="singleLevel"/>
    <w:tmpl w:val="A4D43A57"/>
    <w:lvl w:ilvl="0" w:tentative="0">
      <w:start w:val="1"/>
      <w:numFmt w:val="decimal"/>
      <w:suff w:val="space"/>
      <w:lvlText w:val="[%1]"/>
      <w:lvlJc w:val="left"/>
    </w:lvl>
  </w:abstractNum>
  <w:abstractNum w:abstractNumId="7">
    <w:nsid w:val="A5734588"/>
    <w:multiLevelType w:val="singleLevel"/>
    <w:tmpl w:val="A5734588"/>
    <w:lvl w:ilvl="0" w:tentative="0">
      <w:start w:val="1"/>
      <w:numFmt w:val="decimal"/>
      <w:suff w:val="nothing"/>
      <w:lvlText w:val="%1．"/>
      <w:lvlJc w:val="left"/>
    </w:lvl>
  </w:abstractNum>
  <w:abstractNum w:abstractNumId="8">
    <w:nsid w:val="AF76C787"/>
    <w:multiLevelType w:val="singleLevel"/>
    <w:tmpl w:val="AF76C787"/>
    <w:lvl w:ilvl="0" w:tentative="0">
      <w:start w:val="1"/>
      <w:numFmt w:val="decimal"/>
      <w:suff w:val="nothing"/>
      <w:lvlText w:val="（%1）"/>
      <w:lvlJc w:val="left"/>
    </w:lvl>
  </w:abstractNum>
  <w:abstractNum w:abstractNumId="9">
    <w:nsid w:val="AFC6947E"/>
    <w:multiLevelType w:val="singleLevel"/>
    <w:tmpl w:val="AFC6947E"/>
    <w:lvl w:ilvl="0" w:tentative="0">
      <w:start w:val="1"/>
      <w:numFmt w:val="decimal"/>
      <w:lvlText w:val="%1."/>
      <w:lvlJc w:val="left"/>
      <w:pPr>
        <w:ind w:left="425" w:hanging="425"/>
      </w:pPr>
      <w:rPr>
        <w:rFonts w:hint="default"/>
      </w:rPr>
    </w:lvl>
  </w:abstractNum>
  <w:abstractNum w:abstractNumId="10">
    <w:nsid w:val="B2343A93"/>
    <w:multiLevelType w:val="singleLevel"/>
    <w:tmpl w:val="B2343A93"/>
    <w:lvl w:ilvl="0" w:tentative="0">
      <w:start w:val="1"/>
      <w:numFmt w:val="chineseCounting"/>
      <w:suff w:val="nothing"/>
      <w:lvlText w:val="%1、"/>
      <w:lvlJc w:val="left"/>
      <w:rPr>
        <w:rFonts w:hint="eastAsia"/>
      </w:rPr>
    </w:lvl>
  </w:abstractNum>
  <w:abstractNum w:abstractNumId="11">
    <w:nsid w:val="B820035D"/>
    <w:multiLevelType w:val="singleLevel"/>
    <w:tmpl w:val="B820035D"/>
    <w:lvl w:ilvl="0" w:tentative="0">
      <w:start w:val="1"/>
      <w:numFmt w:val="decimal"/>
      <w:suff w:val="space"/>
      <w:lvlText w:val="[%1]"/>
      <w:lvlJc w:val="left"/>
    </w:lvl>
  </w:abstractNum>
  <w:abstractNum w:abstractNumId="12">
    <w:nsid w:val="C62C6787"/>
    <w:multiLevelType w:val="singleLevel"/>
    <w:tmpl w:val="C62C6787"/>
    <w:lvl w:ilvl="0" w:tentative="0">
      <w:start w:val="1"/>
      <w:numFmt w:val="decimal"/>
      <w:suff w:val="nothing"/>
      <w:lvlText w:val="（%1）"/>
      <w:lvlJc w:val="left"/>
    </w:lvl>
  </w:abstractNum>
  <w:abstractNum w:abstractNumId="13">
    <w:nsid w:val="C77A03E2"/>
    <w:multiLevelType w:val="singleLevel"/>
    <w:tmpl w:val="C77A03E2"/>
    <w:lvl w:ilvl="0" w:tentative="0">
      <w:start w:val="1"/>
      <w:numFmt w:val="decimal"/>
      <w:suff w:val="nothing"/>
      <w:lvlText w:val="（%1）"/>
      <w:lvlJc w:val="left"/>
    </w:lvl>
  </w:abstractNum>
  <w:abstractNum w:abstractNumId="14">
    <w:nsid w:val="C7EF86FF"/>
    <w:multiLevelType w:val="singleLevel"/>
    <w:tmpl w:val="C7EF86FF"/>
    <w:lvl w:ilvl="0" w:tentative="0">
      <w:start w:val="1"/>
      <w:numFmt w:val="chineseCounting"/>
      <w:suff w:val="nothing"/>
      <w:lvlText w:val="%1、"/>
      <w:lvlJc w:val="left"/>
      <w:rPr>
        <w:rFonts w:hint="eastAsia"/>
      </w:rPr>
    </w:lvl>
  </w:abstractNum>
  <w:abstractNum w:abstractNumId="15">
    <w:nsid w:val="C8D6FE63"/>
    <w:multiLevelType w:val="singleLevel"/>
    <w:tmpl w:val="C8D6FE63"/>
    <w:lvl w:ilvl="0" w:tentative="0">
      <w:start w:val="1"/>
      <w:numFmt w:val="decimal"/>
      <w:suff w:val="nothing"/>
      <w:lvlText w:val="（%1）"/>
      <w:lvlJc w:val="left"/>
    </w:lvl>
  </w:abstractNum>
  <w:abstractNum w:abstractNumId="16">
    <w:nsid w:val="C93175AE"/>
    <w:multiLevelType w:val="singleLevel"/>
    <w:tmpl w:val="C93175AE"/>
    <w:lvl w:ilvl="0" w:tentative="0">
      <w:start w:val="1"/>
      <w:numFmt w:val="chineseCounting"/>
      <w:suff w:val="nothing"/>
      <w:lvlText w:val="（%1）"/>
      <w:lvlJc w:val="left"/>
      <w:pPr>
        <w:ind w:left="0" w:firstLine="420"/>
      </w:pPr>
      <w:rPr>
        <w:rFonts w:hint="eastAsia"/>
      </w:rPr>
    </w:lvl>
  </w:abstractNum>
  <w:abstractNum w:abstractNumId="17">
    <w:nsid w:val="CF936134"/>
    <w:multiLevelType w:val="singleLevel"/>
    <w:tmpl w:val="CF936134"/>
    <w:lvl w:ilvl="0" w:tentative="0">
      <w:start w:val="1"/>
      <w:numFmt w:val="decimal"/>
      <w:suff w:val="space"/>
      <w:lvlText w:val="[%1]"/>
      <w:lvlJc w:val="left"/>
    </w:lvl>
  </w:abstractNum>
  <w:abstractNum w:abstractNumId="18">
    <w:nsid w:val="D13191AD"/>
    <w:multiLevelType w:val="singleLevel"/>
    <w:tmpl w:val="D13191AD"/>
    <w:lvl w:ilvl="0" w:tentative="0">
      <w:start w:val="1"/>
      <w:numFmt w:val="decimal"/>
      <w:suff w:val="space"/>
      <w:lvlText w:val="[%1]"/>
      <w:lvlJc w:val="left"/>
    </w:lvl>
  </w:abstractNum>
  <w:abstractNum w:abstractNumId="19">
    <w:nsid w:val="D98FD21B"/>
    <w:multiLevelType w:val="singleLevel"/>
    <w:tmpl w:val="D98FD21B"/>
    <w:lvl w:ilvl="0" w:tentative="0">
      <w:start w:val="1"/>
      <w:numFmt w:val="decimal"/>
      <w:suff w:val="space"/>
      <w:lvlText w:val="[%1]"/>
      <w:lvlJc w:val="left"/>
    </w:lvl>
  </w:abstractNum>
  <w:abstractNum w:abstractNumId="20">
    <w:nsid w:val="DD632889"/>
    <w:multiLevelType w:val="singleLevel"/>
    <w:tmpl w:val="DD632889"/>
    <w:lvl w:ilvl="0" w:tentative="0">
      <w:start w:val="1"/>
      <w:numFmt w:val="decimal"/>
      <w:suff w:val="space"/>
      <w:lvlText w:val="[%1]"/>
      <w:lvlJc w:val="left"/>
    </w:lvl>
  </w:abstractNum>
  <w:abstractNum w:abstractNumId="21">
    <w:nsid w:val="E0794BEC"/>
    <w:multiLevelType w:val="singleLevel"/>
    <w:tmpl w:val="E0794BEC"/>
    <w:lvl w:ilvl="0" w:tentative="0">
      <w:start w:val="1"/>
      <w:numFmt w:val="chineseCounting"/>
      <w:suff w:val="nothing"/>
      <w:lvlText w:val="%1、"/>
      <w:lvlJc w:val="left"/>
      <w:pPr>
        <w:ind w:left="0" w:firstLine="420"/>
      </w:pPr>
      <w:rPr>
        <w:rFonts w:hint="eastAsia"/>
      </w:rPr>
    </w:lvl>
  </w:abstractNum>
  <w:abstractNum w:abstractNumId="22">
    <w:nsid w:val="E235DF0C"/>
    <w:multiLevelType w:val="singleLevel"/>
    <w:tmpl w:val="E235DF0C"/>
    <w:lvl w:ilvl="0" w:tentative="0">
      <w:start w:val="1"/>
      <w:numFmt w:val="decimal"/>
      <w:suff w:val="space"/>
      <w:lvlText w:val="[%1]"/>
      <w:lvlJc w:val="left"/>
    </w:lvl>
  </w:abstractNum>
  <w:abstractNum w:abstractNumId="23">
    <w:nsid w:val="E8CEC028"/>
    <w:multiLevelType w:val="singleLevel"/>
    <w:tmpl w:val="E8CEC028"/>
    <w:lvl w:ilvl="0" w:tentative="0">
      <w:start w:val="1"/>
      <w:numFmt w:val="decimal"/>
      <w:suff w:val="space"/>
      <w:lvlText w:val="[%1]"/>
      <w:lvlJc w:val="left"/>
    </w:lvl>
  </w:abstractNum>
  <w:abstractNum w:abstractNumId="24">
    <w:nsid w:val="F177F353"/>
    <w:multiLevelType w:val="singleLevel"/>
    <w:tmpl w:val="F177F353"/>
    <w:lvl w:ilvl="0" w:tentative="0">
      <w:start w:val="1"/>
      <w:numFmt w:val="decimal"/>
      <w:suff w:val="space"/>
      <w:lvlText w:val="%1."/>
      <w:lvlJc w:val="left"/>
    </w:lvl>
  </w:abstractNum>
  <w:abstractNum w:abstractNumId="25">
    <w:nsid w:val="F38C0A33"/>
    <w:multiLevelType w:val="singleLevel"/>
    <w:tmpl w:val="F38C0A33"/>
    <w:lvl w:ilvl="0" w:tentative="0">
      <w:start w:val="1"/>
      <w:numFmt w:val="decimal"/>
      <w:lvlText w:val="%1."/>
      <w:lvlJc w:val="left"/>
      <w:pPr>
        <w:tabs>
          <w:tab w:val="left" w:pos="312"/>
        </w:tabs>
      </w:pPr>
    </w:lvl>
  </w:abstractNum>
  <w:abstractNum w:abstractNumId="26">
    <w:nsid w:val="FA655129"/>
    <w:multiLevelType w:val="singleLevel"/>
    <w:tmpl w:val="FA655129"/>
    <w:lvl w:ilvl="0" w:tentative="0">
      <w:start w:val="1"/>
      <w:numFmt w:val="decimal"/>
      <w:suff w:val="space"/>
      <w:lvlText w:val="[%1]"/>
      <w:lvlJc w:val="left"/>
    </w:lvl>
  </w:abstractNum>
  <w:abstractNum w:abstractNumId="27">
    <w:nsid w:val="02B9C029"/>
    <w:multiLevelType w:val="singleLevel"/>
    <w:tmpl w:val="02B9C029"/>
    <w:lvl w:ilvl="0" w:tentative="0">
      <w:start w:val="1"/>
      <w:numFmt w:val="decimal"/>
      <w:lvlText w:val="%1."/>
      <w:lvlJc w:val="left"/>
      <w:pPr>
        <w:tabs>
          <w:tab w:val="left" w:pos="312"/>
        </w:tabs>
      </w:pPr>
    </w:lvl>
  </w:abstractNum>
  <w:abstractNum w:abstractNumId="28">
    <w:nsid w:val="05FC209E"/>
    <w:multiLevelType w:val="singleLevel"/>
    <w:tmpl w:val="05FC209E"/>
    <w:lvl w:ilvl="0" w:tentative="0">
      <w:start w:val="1"/>
      <w:numFmt w:val="decimal"/>
      <w:suff w:val="space"/>
      <w:lvlText w:val="[%1]"/>
      <w:lvlJc w:val="left"/>
    </w:lvl>
  </w:abstractNum>
  <w:abstractNum w:abstractNumId="29">
    <w:nsid w:val="0D685AEE"/>
    <w:multiLevelType w:val="singleLevel"/>
    <w:tmpl w:val="0D685AEE"/>
    <w:lvl w:ilvl="0" w:tentative="0">
      <w:start w:val="1"/>
      <w:numFmt w:val="decimal"/>
      <w:suff w:val="space"/>
      <w:lvlText w:val="[%1]"/>
      <w:lvlJc w:val="left"/>
    </w:lvl>
  </w:abstractNum>
  <w:abstractNum w:abstractNumId="30">
    <w:nsid w:val="19B0D9F9"/>
    <w:multiLevelType w:val="singleLevel"/>
    <w:tmpl w:val="19B0D9F9"/>
    <w:lvl w:ilvl="0" w:tentative="0">
      <w:start w:val="1"/>
      <w:numFmt w:val="decimal"/>
      <w:suff w:val="space"/>
      <w:lvlText w:val="[%1]"/>
      <w:lvlJc w:val="left"/>
    </w:lvl>
  </w:abstractNum>
  <w:abstractNum w:abstractNumId="31">
    <w:nsid w:val="1EBC3904"/>
    <w:multiLevelType w:val="multilevel"/>
    <w:tmpl w:val="1EBC3904"/>
    <w:lvl w:ilvl="0" w:tentative="0">
      <w:start w:val="1"/>
      <w:numFmt w:val="decimal"/>
      <w:lvlText w:val="%1."/>
      <w:lvlJc w:val="left"/>
      <w:pPr>
        <w:tabs>
          <w:tab w:val="left" w:pos="624"/>
        </w:tabs>
        <w:ind w:left="624" w:hanging="624"/>
      </w:pPr>
      <w:rPr>
        <w:rFonts w:hint="eastAsia"/>
      </w:rPr>
    </w:lvl>
    <w:lvl w:ilvl="1" w:tentative="0">
      <w:start w:val="1"/>
      <w:numFmt w:val="decimal"/>
      <w:lvlText w:val="%2)"/>
      <w:lvlJc w:val="left"/>
      <w:pPr>
        <w:tabs>
          <w:tab w:val="left" w:pos="624"/>
        </w:tabs>
        <w:ind w:left="624" w:hanging="624"/>
      </w:pPr>
      <w:rPr>
        <w:rFonts w:hint="eastAsia"/>
      </w:rPr>
    </w:lvl>
    <w:lvl w:ilvl="2" w:tentative="0">
      <w:start w:val="1"/>
      <w:numFmt w:val="bullet"/>
      <w:lvlText w:val=""/>
      <w:lvlJc w:val="left"/>
      <w:pPr>
        <w:tabs>
          <w:tab w:val="left" w:pos="624"/>
        </w:tabs>
        <w:ind w:left="624" w:hanging="624"/>
      </w:pPr>
      <w:rPr>
        <w:rFonts w:hint="default" w:ascii="Wingdings" w:hAnsi="Wingdings"/>
        <w:sz w:val="16"/>
      </w:rPr>
    </w:lvl>
    <w:lvl w:ilvl="3" w:tentative="0">
      <w:start w:val="3"/>
      <w:numFmt w:val="bullet"/>
      <w:lvlText w:val="□"/>
      <w:lvlJc w:val="left"/>
      <w:pPr>
        <w:tabs>
          <w:tab w:val="left" w:pos="1620"/>
        </w:tabs>
        <w:ind w:left="1620" w:hanging="360"/>
      </w:pPr>
      <w:rPr>
        <w:rFonts w:hint="eastAsia" w:ascii="楷体_GB2312" w:hAnsi="宋体" w:eastAsia="楷体_GB2312" w:cs="Times New Roman"/>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21D8103F"/>
    <w:multiLevelType w:val="singleLevel"/>
    <w:tmpl w:val="21D8103F"/>
    <w:lvl w:ilvl="0" w:tentative="0">
      <w:start w:val="1"/>
      <w:numFmt w:val="decimal"/>
      <w:suff w:val="nothing"/>
      <w:lvlText w:val="%1、"/>
      <w:lvlJc w:val="left"/>
    </w:lvl>
  </w:abstractNum>
  <w:abstractNum w:abstractNumId="33">
    <w:nsid w:val="2ADAFDF8"/>
    <w:multiLevelType w:val="singleLevel"/>
    <w:tmpl w:val="2ADAFDF8"/>
    <w:lvl w:ilvl="0" w:tentative="0">
      <w:start w:val="1"/>
      <w:numFmt w:val="chineseCounting"/>
      <w:suff w:val="nothing"/>
      <w:lvlText w:val="%1、"/>
      <w:lvlJc w:val="left"/>
      <w:rPr>
        <w:rFonts w:hint="eastAsia"/>
      </w:rPr>
    </w:lvl>
  </w:abstractNum>
  <w:abstractNum w:abstractNumId="34">
    <w:nsid w:val="2D04CD83"/>
    <w:multiLevelType w:val="singleLevel"/>
    <w:tmpl w:val="2D04CD83"/>
    <w:lvl w:ilvl="0" w:tentative="0">
      <w:start w:val="1"/>
      <w:numFmt w:val="decimal"/>
      <w:suff w:val="space"/>
      <w:lvlText w:val="[%1]"/>
      <w:lvlJc w:val="left"/>
    </w:lvl>
  </w:abstractNum>
  <w:abstractNum w:abstractNumId="35">
    <w:nsid w:val="2DB2A71B"/>
    <w:multiLevelType w:val="singleLevel"/>
    <w:tmpl w:val="2DB2A71B"/>
    <w:lvl w:ilvl="0" w:tentative="0">
      <w:start w:val="1"/>
      <w:numFmt w:val="decimal"/>
      <w:suff w:val="space"/>
      <w:lvlText w:val="[%1]"/>
      <w:lvlJc w:val="left"/>
    </w:lvl>
  </w:abstractNum>
  <w:abstractNum w:abstractNumId="36">
    <w:nsid w:val="2E6B89CE"/>
    <w:multiLevelType w:val="singleLevel"/>
    <w:tmpl w:val="2E6B89CE"/>
    <w:lvl w:ilvl="0" w:tentative="0">
      <w:start w:val="1"/>
      <w:numFmt w:val="decimal"/>
      <w:suff w:val="space"/>
      <w:lvlText w:val="[%1]"/>
      <w:lvlJc w:val="left"/>
    </w:lvl>
  </w:abstractNum>
  <w:abstractNum w:abstractNumId="37">
    <w:nsid w:val="31DC75F8"/>
    <w:multiLevelType w:val="singleLevel"/>
    <w:tmpl w:val="31DC75F8"/>
    <w:lvl w:ilvl="0" w:tentative="0">
      <w:start w:val="1"/>
      <w:numFmt w:val="decimal"/>
      <w:lvlText w:val="%1."/>
      <w:lvlJc w:val="left"/>
      <w:pPr>
        <w:tabs>
          <w:tab w:val="left" w:pos="312"/>
        </w:tabs>
      </w:pPr>
    </w:lvl>
  </w:abstractNum>
  <w:abstractNum w:abstractNumId="38">
    <w:nsid w:val="357B3F70"/>
    <w:multiLevelType w:val="singleLevel"/>
    <w:tmpl w:val="357B3F70"/>
    <w:lvl w:ilvl="0" w:tentative="0">
      <w:start w:val="1"/>
      <w:numFmt w:val="decimal"/>
      <w:lvlText w:val="[%1]"/>
      <w:lvlJc w:val="left"/>
      <w:pPr>
        <w:tabs>
          <w:tab w:val="left" w:pos="312"/>
        </w:tabs>
      </w:pPr>
    </w:lvl>
  </w:abstractNum>
  <w:abstractNum w:abstractNumId="39">
    <w:nsid w:val="35D26C1C"/>
    <w:multiLevelType w:val="singleLevel"/>
    <w:tmpl w:val="35D26C1C"/>
    <w:lvl w:ilvl="0" w:tentative="0">
      <w:start w:val="1"/>
      <w:numFmt w:val="decimal"/>
      <w:suff w:val="nothing"/>
      <w:lvlText w:val="（%1）"/>
      <w:lvlJc w:val="left"/>
    </w:lvl>
  </w:abstractNum>
  <w:abstractNum w:abstractNumId="40">
    <w:nsid w:val="36B7D5CB"/>
    <w:multiLevelType w:val="singleLevel"/>
    <w:tmpl w:val="36B7D5CB"/>
    <w:lvl w:ilvl="0" w:tentative="0">
      <w:start w:val="1"/>
      <w:numFmt w:val="decimal"/>
      <w:suff w:val="nothing"/>
      <w:lvlText w:val="%1、"/>
      <w:lvlJc w:val="left"/>
    </w:lvl>
  </w:abstractNum>
  <w:abstractNum w:abstractNumId="41">
    <w:nsid w:val="3958BE70"/>
    <w:multiLevelType w:val="singleLevel"/>
    <w:tmpl w:val="3958BE70"/>
    <w:lvl w:ilvl="0" w:tentative="0">
      <w:start w:val="1"/>
      <w:numFmt w:val="decimal"/>
      <w:suff w:val="nothing"/>
      <w:lvlText w:val="%1、"/>
      <w:lvlJc w:val="left"/>
    </w:lvl>
  </w:abstractNum>
  <w:abstractNum w:abstractNumId="42">
    <w:nsid w:val="3C8A7BA8"/>
    <w:multiLevelType w:val="singleLevel"/>
    <w:tmpl w:val="3C8A7BA8"/>
    <w:lvl w:ilvl="0" w:tentative="0">
      <w:start w:val="1"/>
      <w:numFmt w:val="chineseCounting"/>
      <w:suff w:val="nothing"/>
      <w:lvlText w:val="%1、"/>
      <w:lvlJc w:val="left"/>
      <w:rPr>
        <w:rFonts w:hint="eastAsia"/>
      </w:rPr>
    </w:lvl>
  </w:abstractNum>
  <w:abstractNum w:abstractNumId="43">
    <w:nsid w:val="3C96708A"/>
    <w:multiLevelType w:val="singleLevel"/>
    <w:tmpl w:val="3C96708A"/>
    <w:lvl w:ilvl="0" w:tentative="0">
      <w:start w:val="1"/>
      <w:numFmt w:val="decimal"/>
      <w:suff w:val="nothing"/>
      <w:lvlText w:val="（%1）"/>
      <w:lvlJc w:val="left"/>
    </w:lvl>
  </w:abstractNum>
  <w:abstractNum w:abstractNumId="44">
    <w:nsid w:val="40123E21"/>
    <w:multiLevelType w:val="singleLevel"/>
    <w:tmpl w:val="40123E21"/>
    <w:lvl w:ilvl="0" w:tentative="0">
      <w:start w:val="1"/>
      <w:numFmt w:val="chineseCounting"/>
      <w:suff w:val="nothing"/>
      <w:lvlText w:val="%1、"/>
      <w:lvlJc w:val="left"/>
      <w:rPr>
        <w:rFonts w:hint="eastAsia"/>
      </w:rPr>
    </w:lvl>
  </w:abstractNum>
  <w:abstractNum w:abstractNumId="45">
    <w:nsid w:val="40AD273D"/>
    <w:multiLevelType w:val="singleLevel"/>
    <w:tmpl w:val="40AD273D"/>
    <w:lvl w:ilvl="0" w:tentative="0">
      <w:start w:val="1"/>
      <w:numFmt w:val="chineseCounting"/>
      <w:suff w:val="nothing"/>
      <w:lvlText w:val="%1、"/>
      <w:lvlJc w:val="left"/>
      <w:rPr>
        <w:rFonts w:hint="eastAsia"/>
      </w:rPr>
    </w:lvl>
  </w:abstractNum>
  <w:abstractNum w:abstractNumId="46">
    <w:nsid w:val="499A89AF"/>
    <w:multiLevelType w:val="singleLevel"/>
    <w:tmpl w:val="499A89AF"/>
    <w:lvl w:ilvl="0" w:tentative="0">
      <w:start w:val="4"/>
      <w:numFmt w:val="decimal"/>
      <w:suff w:val="nothing"/>
      <w:lvlText w:val="（%1）"/>
      <w:lvlJc w:val="left"/>
    </w:lvl>
  </w:abstractNum>
  <w:abstractNum w:abstractNumId="47">
    <w:nsid w:val="4CFFAB2F"/>
    <w:multiLevelType w:val="singleLevel"/>
    <w:tmpl w:val="4CFFAB2F"/>
    <w:lvl w:ilvl="0" w:tentative="0">
      <w:start w:val="1"/>
      <w:numFmt w:val="chineseCounting"/>
      <w:suff w:val="nothing"/>
      <w:lvlText w:val="%1、"/>
      <w:lvlJc w:val="left"/>
      <w:rPr>
        <w:rFonts w:hint="eastAsia"/>
      </w:rPr>
    </w:lvl>
  </w:abstractNum>
  <w:abstractNum w:abstractNumId="48">
    <w:nsid w:val="4E30CD33"/>
    <w:multiLevelType w:val="singleLevel"/>
    <w:tmpl w:val="4E30CD33"/>
    <w:lvl w:ilvl="0" w:tentative="0">
      <w:start w:val="1"/>
      <w:numFmt w:val="decimal"/>
      <w:suff w:val="space"/>
      <w:lvlText w:val="[%1]"/>
      <w:lvlJc w:val="left"/>
    </w:lvl>
  </w:abstractNum>
  <w:abstractNum w:abstractNumId="49">
    <w:nsid w:val="4F08B941"/>
    <w:multiLevelType w:val="singleLevel"/>
    <w:tmpl w:val="4F08B941"/>
    <w:lvl w:ilvl="0" w:tentative="0">
      <w:start w:val="1"/>
      <w:numFmt w:val="decimal"/>
      <w:suff w:val="space"/>
      <w:lvlText w:val="[%1]"/>
      <w:lvlJc w:val="left"/>
    </w:lvl>
  </w:abstractNum>
  <w:abstractNum w:abstractNumId="50">
    <w:nsid w:val="52A22607"/>
    <w:multiLevelType w:val="singleLevel"/>
    <w:tmpl w:val="52A22607"/>
    <w:lvl w:ilvl="0" w:tentative="0">
      <w:start w:val="1"/>
      <w:numFmt w:val="decimal"/>
      <w:lvlText w:val="%1."/>
      <w:lvlJc w:val="left"/>
      <w:pPr>
        <w:tabs>
          <w:tab w:val="left" w:pos="312"/>
        </w:tabs>
      </w:pPr>
    </w:lvl>
  </w:abstractNum>
  <w:abstractNum w:abstractNumId="51">
    <w:nsid w:val="53337780"/>
    <w:multiLevelType w:val="singleLevel"/>
    <w:tmpl w:val="53337780"/>
    <w:lvl w:ilvl="0" w:tentative="0">
      <w:start w:val="1"/>
      <w:numFmt w:val="decimal"/>
      <w:lvlText w:val="[%1]"/>
      <w:lvlJc w:val="left"/>
      <w:pPr>
        <w:tabs>
          <w:tab w:val="left" w:pos="312"/>
        </w:tabs>
      </w:pPr>
    </w:lvl>
  </w:abstractNum>
  <w:abstractNum w:abstractNumId="52">
    <w:nsid w:val="5866DF26"/>
    <w:multiLevelType w:val="singleLevel"/>
    <w:tmpl w:val="5866DF26"/>
    <w:lvl w:ilvl="0" w:tentative="0">
      <w:start w:val="1"/>
      <w:numFmt w:val="decimal"/>
      <w:suff w:val="space"/>
      <w:lvlText w:val="%1."/>
      <w:lvlJc w:val="left"/>
    </w:lvl>
  </w:abstractNum>
  <w:abstractNum w:abstractNumId="53">
    <w:nsid w:val="59E1E3A5"/>
    <w:multiLevelType w:val="singleLevel"/>
    <w:tmpl w:val="59E1E3A5"/>
    <w:lvl w:ilvl="0" w:tentative="0">
      <w:start w:val="1"/>
      <w:numFmt w:val="decimal"/>
      <w:lvlText w:val="%1."/>
      <w:lvlJc w:val="left"/>
      <w:pPr>
        <w:tabs>
          <w:tab w:val="left" w:pos="312"/>
        </w:tabs>
      </w:pPr>
    </w:lvl>
  </w:abstractNum>
  <w:abstractNum w:abstractNumId="54">
    <w:nsid w:val="5AF3B451"/>
    <w:multiLevelType w:val="singleLevel"/>
    <w:tmpl w:val="5AF3B451"/>
    <w:lvl w:ilvl="0" w:tentative="0">
      <w:start w:val="2"/>
      <w:numFmt w:val="chineseCounting"/>
      <w:suff w:val="nothing"/>
      <w:lvlText w:val="%1、"/>
      <w:lvlJc w:val="left"/>
    </w:lvl>
  </w:abstractNum>
  <w:abstractNum w:abstractNumId="55">
    <w:nsid w:val="5AF55D39"/>
    <w:multiLevelType w:val="singleLevel"/>
    <w:tmpl w:val="5AF55D39"/>
    <w:lvl w:ilvl="0" w:tentative="0">
      <w:start w:val="1"/>
      <w:numFmt w:val="chineseCounting"/>
      <w:suff w:val="nothing"/>
      <w:lvlText w:val="%1、"/>
      <w:lvlJc w:val="left"/>
    </w:lvl>
  </w:abstractNum>
  <w:abstractNum w:abstractNumId="56">
    <w:nsid w:val="5AF56253"/>
    <w:multiLevelType w:val="singleLevel"/>
    <w:tmpl w:val="5AF56253"/>
    <w:lvl w:ilvl="0" w:tentative="0">
      <w:start w:val="4"/>
      <w:numFmt w:val="chineseCounting"/>
      <w:suff w:val="nothing"/>
      <w:lvlText w:val="%1、"/>
      <w:lvlJc w:val="left"/>
    </w:lvl>
  </w:abstractNum>
  <w:abstractNum w:abstractNumId="57">
    <w:nsid w:val="5AF5666A"/>
    <w:multiLevelType w:val="singleLevel"/>
    <w:tmpl w:val="5AF5666A"/>
    <w:lvl w:ilvl="0" w:tentative="0">
      <w:start w:val="5"/>
      <w:numFmt w:val="decimal"/>
      <w:suff w:val="nothing"/>
      <w:lvlText w:val="%1、"/>
      <w:lvlJc w:val="left"/>
    </w:lvl>
  </w:abstractNum>
  <w:abstractNum w:abstractNumId="58">
    <w:nsid w:val="5B00BE9C"/>
    <w:multiLevelType w:val="singleLevel"/>
    <w:tmpl w:val="5B00BE9C"/>
    <w:lvl w:ilvl="0" w:tentative="0">
      <w:start w:val="3"/>
      <w:numFmt w:val="chineseCounting"/>
      <w:suff w:val="nothing"/>
      <w:lvlText w:val="%1、"/>
      <w:lvlJc w:val="left"/>
    </w:lvl>
  </w:abstractNum>
  <w:abstractNum w:abstractNumId="59">
    <w:nsid w:val="5B056BC5"/>
    <w:multiLevelType w:val="singleLevel"/>
    <w:tmpl w:val="5B056BC5"/>
    <w:lvl w:ilvl="0" w:tentative="0">
      <w:start w:val="1"/>
      <w:numFmt w:val="chineseCounting"/>
      <w:suff w:val="nothing"/>
      <w:lvlText w:val="%1、"/>
      <w:lvlJc w:val="left"/>
    </w:lvl>
  </w:abstractNum>
  <w:abstractNum w:abstractNumId="60">
    <w:nsid w:val="5B0CFF7D"/>
    <w:multiLevelType w:val="singleLevel"/>
    <w:tmpl w:val="5B0CFF7D"/>
    <w:lvl w:ilvl="0" w:tentative="0">
      <w:start w:val="1"/>
      <w:numFmt w:val="chineseCounting"/>
      <w:suff w:val="nothing"/>
      <w:lvlText w:val="%1、"/>
      <w:lvlJc w:val="left"/>
    </w:lvl>
  </w:abstractNum>
  <w:abstractNum w:abstractNumId="61">
    <w:nsid w:val="5B1A2193"/>
    <w:multiLevelType w:val="singleLevel"/>
    <w:tmpl w:val="5B1A2193"/>
    <w:lvl w:ilvl="0" w:tentative="0">
      <w:start w:val="1"/>
      <w:numFmt w:val="decimal"/>
      <w:lvlText w:val="%1."/>
      <w:lvlJc w:val="left"/>
      <w:pPr>
        <w:tabs>
          <w:tab w:val="left" w:pos="312"/>
        </w:tabs>
      </w:pPr>
    </w:lvl>
  </w:abstractNum>
  <w:abstractNum w:abstractNumId="62">
    <w:nsid w:val="5B1A22F4"/>
    <w:multiLevelType w:val="singleLevel"/>
    <w:tmpl w:val="5B1A22F4"/>
    <w:lvl w:ilvl="0" w:tentative="0">
      <w:start w:val="1"/>
      <w:numFmt w:val="decimal"/>
      <w:lvlText w:val="%1."/>
      <w:lvlJc w:val="left"/>
      <w:pPr>
        <w:tabs>
          <w:tab w:val="left" w:pos="312"/>
        </w:tabs>
      </w:pPr>
    </w:lvl>
  </w:abstractNum>
  <w:abstractNum w:abstractNumId="63">
    <w:nsid w:val="5B1A288A"/>
    <w:multiLevelType w:val="singleLevel"/>
    <w:tmpl w:val="5B1A288A"/>
    <w:lvl w:ilvl="0" w:tentative="0">
      <w:start w:val="1"/>
      <w:numFmt w:val="chineseCounting"/>
      <w:suff w:val="nothing"/>
      <w:lvlText w:val="%1、"/>
      <w:lvlJc w:val="left"/>
    </w:lvl>
  </w:abstractNum>
  <w:abstractNum w:abstractNumId="64">
    <w:nsid w:val="5B1A29BC"/>
    <w:multiLevelType w:val="singleLevel"/>
    <w:tmpl w:val="5B1A29BC"/>
    <w:lvl w:ilvl="0" w:tentative="0">
      <w:start w:val="1"/>
      <w:numFmt w:val="decimal"/>
      <w:lvlText w:val="%1."/>
      <w:lvlJc w:val="left"/>
      <w:pPr>
        <w:tabs>
          <w:tab w:val="left" w:pos="312"/>
        </w:tabs>
      </w:pPr>
    </w:lvl>
  </w:abstractNum>
  <w:abstractNum w:abstractNumId="65">
    <w:nsid w:val="5B1A377D"/>
    <w:multiLevelType w:val="singleLevel"/>
    <w:tmpl w:val="5B1A377D"/>
    <w:lvl w:ilvl="0" w:tentative="0">
      <w:start w:val="1"/>
      <w:numFmt w:val="chineseCounting"/>
      <w:suff w:val="nothing"/>
      <w:lvlText w:val="%1、"/>
      <w:lvlJc w:val="left"/>
    </w:lvl>
  </w:abstractNum>
  <w:abstractNum w:abstractNumId="66">
    <w:nsid w:val="5B1A3840"/>
    <w:multiLevelType w:val="singleLevel"/>
    <w:tmpl w:val="5B1A3840"/>
    <w:lvl w:ilvl="0" w:tentative="0">
      <w:start w:val="1"/>
      <w:numFmt w:val="decimal"/>
      <w:lvlText w:val="%1."/>
      <w:lvlJc w:val="left"/>
      <w:pPr>
        <w:tabs>
          <w:tab w:val="left" w:pos="312"/>
        </w:tabs>
      </w:pPr>
    </w:lvl>
  </w:abstractNum>
  <w:abstractNum w:abstractNumId="67">
    <w:nsid w:val="5B1A388E"/>
    <w:multiLevelType w:val="singleLevel"/>
    <w:tmpl w:val="5B1A388E"/>
    <w:lvl w:ilvl="0" w:tentative="0">
      <w:start w:val="2"/>
      <w:numFmt w:val="chineseCounting"/>
      <w:suff w:val="nothing"/>
      <w:lvlText w:val="（%1）"/>
      <w:lvlJc w:val="left"/>
    </w:lvl>
  </w:abstractNum>
  <w:abstractNum w:abstractNumId="68">
    <w:nsid w:val="5B1A391E"/>
    <w:multiLevelType w:val="singleLevel"/>
    <w:tmpl w:val="5B1A391E"/>
    <w:lvl w:ilvl="0" w:tentative="0">
      <w:start w:val="1"/>
      <w:numFmt w:val="decimal"/>
      <w:lvlText w:val="%1."/>
      <w:lvlJc w:val="left"/>
      <w:pPr>
        <w:tabs>
          <w:tab w:val="left" w:pos="312"/>
        </w:tabs>
      </w:pPr>
    </w:lvl>
  </w:abstractNum>
  <w:abstractNum w:abstractNumId="69">
    <w:nsid w:val="5B1A3A80"/>
    <w:multiLevelType w:val="singleLevel"/>
    <w:tmpl w:val="5B1A3A80"/>
    <w:lvl w:ilvl="0" w:tentative="0">
      <w:start w:val="3"/>
      <w:numFmt w:val="chineseCounting"/>
      <w:suff w:val="nothing"/>
      <w:lvlText w:val="（%1）"/>
      <w:lvlJc w:val="left"/>
    </w:lvl>
  </w:abstractNum>
  <w:abstractNum w:abstractNumId="70">
    <w:nsid w:val="5B1A3B05"/>
    <w:multiLevelType w:val="singleLevel"/>
    <w:tmpl w:val="5B1A3B05"/>
    <w:lvl w:ilvl="0" w:tentative="0">
      <w:start w:val="4"/>
      <w:numFmt w:val="chineseCounting"/>
      <w:suff w:val="nothing"/>
      <w:lvlText w:val="（%1）"/>
      <w:lvlJc w:val="left"/>
    </w:lvl>
  </w:abstractNum>
  <w:abstractNum w:abstractNumId="71">
    <w:nsid w:val="5B1A3C46"/>
    <w:multiLevelType w:val="singleLevel"/>
    <w:tmpl w:val="5B1A3C46"/>
    <w:lvl w:ilvl="0" w:tentative="0">
      <w:start w:val="1"/>
      <w:numFmt w:val="decimal"/>
      <w:suff w:val="nothing"/>
      <w:lvlText w:val="%1、"/>
      <w:lvlJc w:val="left"/>
    </w:lvl>
  </w:abstractNum>
  <w:abstractNum w:abstractNumId="72">
    <w:nsid w:val="5B1A4397"/>
    <w:multiLevelType w:val="singleLevel"/>
    <w:tmpl w:val="5B1A4397"/>
    <w:lvl w:ilvl="0" w:tentative="0">
      <w:start w:val="1"/>
      <w:numFmt w:val="decimal"/>
      <w:suff w:val="nothing"/>
      <w:lvlText w:val="%1、"/>
      <w:lvlJc w:val="left"/>
    </w:lvl>
  </w:abstractNum>
  <w:abstractNum w:abstractNumId="73">
    <w:nsid w:val="5B1B29AB"/>
    <w:multiLevelType w:val="singleLevel"/>
    <w:tmpl w:val="5B1B29AB"/>
    <w:lvl w:ilvl="0" w:tentative="0">
      <w:start w:val="1"/>
      <w:numFmt w:val="decimal"/>
      <w:suff w:val="nothing"/>
      <w:lvlText w:val="%1、"/>
      <w:lvlJc w:val="left"/>
    </w:lvl>
  </w:abstractNum>
  <w:abstractNum w:abstractNumId="74">
    <w:nsid w:val="5B1B2B22"/>
    <w:multiLevelType w:val="singleLevel"/>
    <w:tmpl w:val="5B1B2B22"/>
    <w:lvl w:ilvl="0" w:tentative="0">
      <w:start w:val="1"/>
      <w:numFmt w:val="decimal"/>
      <w:suff w:val="nothing"/>
      <w:lvlText w:val="%1、"/>
      <w:lvlJc w:val="left"/>
    </w:lvl>
  </w:abstractNum>
  <w:abstractNum w:abstractNumId="75">
    <w:nsid w:val="5B1B2C89"/>
    <w:multiLevelType w:val="multilevel"/>
    <w:tmpl w:val="5B1B2C89"/>
    <w:lvl w:ilvl="0" w:tentative="0">
      <w:start w:val="1"/>
      <w:numFmt w:val="chineseCounting"/>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6">
    <w:nsid w:val="5B1B44B0"/>
    <w:multiLevelType w:val="singleLevel"/>
    <w:tmpl w:val="5B1B44B0"/>
    <w:lvl w:ilvl="0" w:tentative="0">
      <w:start w:val="3"/>
      <w:numFmt w:val="chineseCounting"/>
      <w:suff w:val="nothing"/>
      <w:lvlText w:val="%1、"/>
      <w:lvlJc w:val="left"/>
    </w:lvl>
  </w:abstractNum>
  <w:abstractNum w:abstractNumId="77">
    <w:nsid w:val="5B1C75AD"/>
    <w:multiLevelType w:val="singleLevel"/>
    <w:tmpl w:val="5B1C75AD"/>
    <w:lvl w:ilvl="0" w:tentative="0">
      <w:start w:val="1"/>
      <w:numFmt w:val="chineseCounting"/>
      <w:suff w:val="nothing"/>
      <w:lvlText w:val="%1、"/>
      <w:lvlJc w:val="left"/>
    </w:lvl>
  </w:abstractNum>
  <w:abstractNum w:abstractNumId="78">
    <w:nsid w:val="5B1C76D3"/>
    <w:multiLevelType w:val="singleLevel"/>
    <w:tmpl w:val="5B1C76D3"/>
    <w:lvl w:ilvl="0" w:tentative="0">
      <w:start w:val="1"/>
      <w:numFmt w:val="chineseCounting"/>
      <w:suff w:val="nothing"/>
      <w:lvlText w:val="（%1）"/>
      <w:lvlJc w:val="left"/>
    </w:lvl>
  </w:abstractNum>
  <w:abstractNum w:abstractNumId="79">
    <w:nsid w:val="5B1C7779"/>
    <w:multiLevelType w:val="singleLevel"/>
    <w:tmpl w:val="5B1C7779"/>
    <w:lvl w:ilvl="0" w:tentative="0">
      <w:start w:val="1"/>
      <w:numFmt w:val="decimal"/>
      <w:suff w:val="nothing"/>
      <w:lvlText w:val="%1、"/>
      <w:lvlJc w:val="left"/>
    </w:lvl>
  </w:abstractNum>
  <w:abstractNum w:abstractNumId="80">
    <w:nsid w:val="5B1C783F"/>
    <w:multiLevelType w:val="singleLevel"/>
    <w:tmpl w:val="5B1C783F"/>
    <w:lvl w:ilvl="0" w:tentative="0">
      <w:start w:val="1"/>
      <w:numFmt w:val="decimal"/>
      <w:suff w:val="nothing"/>
      <w:lvlText w:val="（%1）"/>
      <w:lvlJc w:val="left"/>
    </w:lvl>
  </w:abstractNum>
  <w:abstractNum w:abstractNumId="81">
    <w:nsid w:val="5B1C7A32"/>
    <w:multiLevelType w:val="singleLevel"/>
    <w:tmpl w:val="5B1C7A32"/>
    <w:lvl w:ilvl="0" w:tentative="0">
      <w:start w:val="2"/>
      <w:numFmt w:val="chineseCounting"/>
      <w:suff w:val="nothing"/>
      <w:lvlText w:val="（%1）"/>
      <w:lvlJc w:val="left"/>
    </w:lvl>
  </w:abstractNum>
  <w:abstractNum w:abstractNumId="82">
    <w:nsid w:val="5B1C7A9B"/>
    <w:multiLevelType w:val="singleLevel"/>
    <w:tmpl w:val="5B1C7A9B"/>
    <w:lvl w:ilvl="0" w:tentative="0">
      <w:start w:val="1"/>
      <w:numFmt w:val="decimal"/>
      <w:suff w:val="nothing"/>
      <w:lvlText w:val="%1、"/>
      <w:lvlJc w:val="left"/>
    </w:lvl>
  </w:abstractNum>
  <w:abstractNum w:abstractNumId="83">
    <w:nsid w:val="5B1C7F1D"/>
    <w:multiLevelType w:val="singleLevel"/>
    <w:tmpl w:val="5B1C7F1D"/>
    <w:lvl w:ilvl="0" w:tentative="0">
      <w:start w:val="3"/>
      <w:numFmt w:val="chineseCounting"/>
      <w:suff w:val="nothing"/>
      <w:lvlText w:val="（%1）"/>
      <w:lvlJc w:val="left"/>
    </w:lvl>
  </w:abstractNum>
  <w:abstractNum w:abstractNumId="84">
    <w:nsid w:val="5B1C7F7D"/>
    <w:multiLevelType w:val="singleLevel"/>
    <w:tmpl w:val="5B1C7F7D"/>
    <w:lvl w:ilvl="0" w:tentative="0">
      <w:start w:val="1"/>
      <w:numFmt w:val="decimal"/>
      <w:suff w:val="nothing"/>
      <w:lvlText w:val="%1、"/>
      <w:lvlJc w:val="left"/>
    </w:lvl>
  </w:abstractNum>
  <w:abstractNum w:abstractNumId="85">
    <w:nsid w:val="5C9EFEB1"/>
    <w:multiLevelType w:val="singleLevel"/>
    <w:tmpl w:val="5C9EFEB1"/>
    <w:lvl w:ilvl="0" w:tentative="0">
      <w:start w:val="1"/>
      <w:numFmt w:val="decimal"/>
      <w:lvlText w:val="%1."/>
      <w:lvlJc w:val="left"/>
      <w:pPr>
        <w:ind w:left="425" w:hanging="425"/>
      </w:pPr>
      <w:rPr>
        <w:rFonts w:hint="default"/>
      </w:rPr>
    </w:lvl>
  </w:abstractNum>
  <w:abstractNum w:abstractNumId="86">
    <w:nsid w:val="5EA87AA3"/>
    <w:multiLevelType w:val="singleLevel"/>
    <w:tmpl w:val="5EA87AA3"/>
    <w:lvl w:ilvl="0" w:tentative="0">
      <w:start w:val="1"/>
      <w:numFmt w:val="chineseCounting"/>
      <w:suff w:val="nothing"/>
      <w:lvlText w:val="%1、"/>
      <w:lvlJc w:val="left"/>
      <w:rPr>
        <w:rFonts w:hint="eastAsia"/>
      </w:rPr>
    </w:lvl>
  </w:abstractNum>
  <w:abstractNum w:abstractNumId="87">
    <w:nsid w:val="6C7B7779"/>
    <w:multiLevelType w:val="singleLevel"/>
    <w:tmpl w:val="6C7B7779"/>
    <w:lvl w:ilvl="0" w:tentative="0">
      <w:start w:val="1"/>
      <w:numFmt w:val="chineseCounting"/>
      <w:suff w:val="nothing"/>
      <w:lvlText w:val="（%1）"/>
      <w:lvlJc w:val="left"/>
      <w:rPr>
        <w:rFonts w:hint="eastAsia"/>
      </w:rPr>
    </w:lvl>
  </w:abstractNum>
  <w:abstractNum w:abstractNumId="88">
    <w:nsid w:val="6E4D1CCE"/>
    <w:multiLevelType w:val="singleLevel"/>
    <w:tmpl w:val="6E4D1CCE"/>
    <w:lvl w:ilvl="0" w:tentative="0">
      <w:start w:val="2"/>
      <w:numFmt w:val="decimal"/>
      <w:suff w:val="nothing"/>
      <w:lvlText w:val="（%1）"/>
      <w:lvlJc w:val="left"/>
    </w:lvl>
  </w:abstractNum>
  <w:abstractNum w:abstractNumId="89">
    <w:nsid w:val="72E335CC"/>
    <w:multiLevelType w:val="multilevel"/>
    <w:tmpl w:val="72E335CC"/>
    <w:lvl w:ilvl="0" w:tentative="0">
      <w:start w:val="1"/>
      <w:numFmt w:val="decimal"/>
      <w:lvlText w:val="%1."/>
      <w:lvlJc w:val="left"/>
      <w:pPr>
        <w:ind w:left="644" w:hanging="360"/>
      </w:pPr>
      <w:rPr>
        <w:rFonts w:hint="default"/>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90">
    <w:nsid w:val="738416FE"/>
    <w:multiLevelType w:val="singleLevel"/>
    <w:tmpl w:val="738416FE"/>
    <w:lvl w:ilvl="0" w:tentative="0">
      <w:start w:val="1"/>
      <w:numFmt w:val="decimal"/>
      <w:suff w:val="nothing"/>
      <w:lvlText w:val="%1、"/>
      <w:lvlJc w:val="left"/>
    </w:lvl>
  </w:abstractNum>
  <w:num w:numId="1">
    <w:abstractNumId w:val="44"/>
  </w:num>
  <w:num w:numId="2">
    <w:abstractNumId w:val="63"/>
  </w:num>
  <w:num w:numId="3">
    <w:abstractNumId w:val="10"/>
  </w:num>
  <w:num w:numId="4">
    <w:abstractNumId w:val="3"/>
  </w:num>
  <w:num w:numId="5">
    <w:abstractNumId w:val="14"/>
  </w:num>
  <w:num w:numId="6">
    <w:abstractNumId w:val="4"/>
  </w:num>
  <w:num w:numId="7">
    <w:abstractNumId w:val="77"/>
  </w:num>
  <w:num w:numId="8">
    <w:abstractNumId w:val="78"/>
  </w:num>
  <w:num w:numId="9">
    <w:abstractNumId w:val="79"/>
  </w:num>
  <w:num w:numId="10">
    <w:abstractNumId w:val="80"/>
  </w:num>
  <w:num w:numId="11">
    <w:abstractNumId w:val="81"/>
  </w:num>
  <w:num w:numId="12">
    <w:abstractNumId w:val="82"/>
  </w:num>
  <w:num w:numId="13">
    <w:abstractNumId w:val="83"/>
  </w:num>
  <w:num w:numId="14">
    <w:abstractNumId w:val="84"/>
  </w:num>
  <w:num w:numId="15">
    <w:abstractNumId w:val="71"/>
  </w:num>
  <w:num w:numId="16">
    <w:abstractNumId w:val="72"/>
  </w:num>
  <w:num w:numId="17">
    <w:abstractNumId w:val="73"/>
  </w:num>
  <w:num w:numId="18">
    <w:abstractNumId w:val="74"/>
  </w:num>
  <w:num w:numId="19">
    <w:abstractNumId w:val="33"/>
  </w:num>
  <w:num w:numId="20">
    <w:abstractNumId w:val="7"/>
  </w:num>
  <w:num w:numId="21">
    <w:abstractNumId w:val="89"/>
  </w:num>
  <w:num w:numId="22">
    <w:abstractNumId w:val="20"/>
  </w:num>
  <w:num w:numId="23">
    <w:abstractNumId w:val="19"/>
  </w:num>
  <w:num w:numId="24">
    <w:abstractNumId w:val="37"/>
  </w:num>
  <w:num w:numId="25">
    <w:abstractNumId w:val="61"/>
  </w:num>
  <w:num w:numId="26">
    <w:abstractNumId w:val="62"/>
  </w:num>
  <w:num w:numId="27">
    <w:abstractNumId w:val="64"/>
  </w:num>
  <w:num w:numId="28">
    <w:abstractNumId w:val="86"/>
  </w:num>
  <w:num w:numId="29">
    <w:abstractNumId w:val="76"/>
  </w:num>
  <w:num w:numId="30">
    <w:abstractNumId w:val="87"/>
  </w:num>
  <w:num w:numId="31">
    <w:abstractNumId w:val="32"/>
  </w:num>
  <w:num w:numId="32">
    <w:abstractNumId w:val="90"/>
  </w:num>
  <w:num w:numId="33">
    <w:abstractNumId w:val="41"/>
  </w:num>
  <w:num w:numId="34">
    <w:abstractNumId w:val="42"/>
  </w:num>
  <w:num w:numId="35">
    <w:abstractNumId w:val="52"/>
  </w:num>
  <w:num w:numId="36">
    <w:abstractNumId w:val="88"/>
  </w:num>
  <w:num w:numId="37">
    <w:abstractNumId w:val="11"/>
  </w:num>
  <w:num w:numId="38">
    <w:abstractNumId w:val="6"/>
  </w:num>
  <w:num w:numId="39">
    <w:abstractNumId w:val="35"/>
  </w:num>
  <w:num w:numId="40">
    <w:abstractNumId w:val="5"/>
  </w:num>
  <w:num w:numId="41">
    <w:abstractNumId w:val="16"/>
  </w:num>
  <w:num w:numId="42">
    <w:abstractNumId w:val="49"/>
  </w:num>
  <w:num w:numId="43">
    <w:abstractNumId w:val="24"/>
  </w:num>
  <w:num w:numId="44">
    <w:abstractNumId w:val="2"/>
  </w:num>
  <w:num w:numId="45">
    <w:abstractNumId w:val="53"/>
  </w:num>
  <w:num w:numId="46">
    <w:abstractNumId w:val="55"/>
  </w:num>
  <w:num w:numId="47">
    <w:abstractNumId w:val="56"/>
  </w:num>
  <w:num w:numId="48">
    <w:abstractNumId w:val="57"/>
  </w:num>
  <w:num w:numId="49">
    <w:abstractNumId w:val="21"/>
  </w:num>
  <w:num w:numId="50">
    <w:abstractNumId w:val="0"/>
  </w:num>
  <w:num w:numId="51">
    <w:abstractNumId w:val="15"/>
  </w:num>
  <w:num w:numId="52">
    <w:abstractNumId w:val="34"/>
  </w:num>
  <w:num w:numId="53">
    <w:abstractNumId w:val="30"/>
  </w:num>
  <w:num w:numId="54">
    <w:abstractNumId w:val="26"/>
  </w:num>
  <w:num w:numId="55">
    <w:abstractNumId w:val="48"/>
  </w:num>
  <w:num w:numId="56">
    <w:abstractNumId w:val="65"/>
  </w:num>
  <w:num w:numId="57">
    <w:abstractNumId w:val="66"/>
  </w:num>
  <w:num w:numId="58">
    <w:abstractNumId w:val="67"/>
  </w:num>
  <w:num w:numId="59">
    <w:abstractNumId w:val="68"/>
  </w:num>
  <w:num w:numId="60">
    <w:abstractNumId w:val="69"/>
  </w:num>
  <w:num w:numId="61">
    <w:abstractNumId w:val="70"/>
  </w:num>
  <w:num w:numId="62">
    <w:abstractNumId w:val="75"/>
  </w:num>
  <w:num w:numId="63">
    <w:abstractNumId w:val="23"/>
  </w:num>
  <w:num w:numId="64">
    <w:abstractNumId w:val="22"/>
  </w:num>
  <w:num w:numId="65">
    <w:abstractNumId w:val="46"/>
  </w:num>
  <w:num w:numId="66">
    <w:abstractNumId w:val="28"/>
  </w:num>
  <w:num w:numId="67">
    <w:abstractNumId w:val="58"/>
  </w:num>
  <w:num w:numId="68">
    <w:abstractNumId w:val="60"/>
  </w:num>
  <w:num w:numId="69">
    <w:abstractNumId w:val="85"/>
  </w:num>
  <w:num w:numId="70">
    <w:abstractNumId w:val="59"/>
  </w:num>
  <w:num w:numId="71">
    <w:abstractNumId w:val="31"/>
  </w:num>
  <w:num w:numId="72">
    <w:abstractNumId w:val="36"/>
  </w:num>
  <w:num w:numId="73">
    <w:abstractNumId w:val="38"/>
  </w:num>
  <w:num w:numId="74">
    <w:abstractNumId w:val="40"/>
  </w:num>
  <w:num w:numId="75">
    <w:abstractNumId w:val="9"/>
  </w:num>
  <w:num w:numId="76">
    <w:abstractNumId w:val="1"/>
  </w:num>
  <w:num w:numId="77">
    <w:abstractNumId w:val="17"/>
  </w:num>
  <w:num w:numId="78">
    <w:abstractNumId w:val="29"/>
  </w:num>
  <w:num w:numId="79">
    <w:abstractNumId w:val="18"/>
  </w:num>
  <w:num w:numId="80">
    <w:abstractNumId w:val="45"/>
  </w:num>
  <w:num w:numId="81">
    <w:abstractNumId w:val="27"/>
  </w:num>
  <w:num w:numId="82">
    <w:abstractNumId w:val="54"/>
  </w:num>
  <w:num w:numId="83">
    <w:abstractNumId w:val="25"/>
  </w:num>
  <w:num w:numId="84">
    <w:abstractNumId w:val="43"/>
  </w:num>
  <w:num w:numId="85">
    <w:abstractNumId w:val="12"/>
  </w:num>
  <w:num w:numId="86">
    <w:abstractNumId w:val="13"/>
  </w:num>
  <w:num w:numId="87">
    <w:abstractNumId w:val="39"/>
  </w:num>
  <w:num w:numId="88">
    <w:abstractNumId w:val="50"/>
  </w:num>
  <w:num w:numId="89">
    <w:abstractNumId w:val="8"/>
  </w:num>
  <w:num w:numId="90">
    <w:abstractNumId w:val="47"/>
  </w:num>
  <w:num w:numId="9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4YzVmYTYwZjRmOGQ0NjAyNjkwMzVkODIwNDZkNGEifQ=="/>
    <w:docVar w:name="KSO_WPS_MARK_KEY" w:val="1ad9166f-7c4e-40ef-9830-3401182df6f0"/>
  </w:docVars>
  <w:rsids>
    <w:rsidRoot w:val="00C534D5"/>
    <w:rsid w:val="000013C3"/>
    <w:rsid w:val="00004ACC"/>
    <w:rsid w:val="00010827"/>
    <w:rsid w:val="00011FFA"/>
    <w:rsid w:val="0001595E"/>
    <w:rsid w:val="000162A8"/>
    <w:rsid w:val="000163E2"/>
    <w:rsid w:val="00020A9C"/>
    <w:rsid w:val="00021187"/>
    <w:rsid w:val="000219E3"/>
    <w:rsid w:val="00022D46"/>
    <w:rsid w:val="0002316A"/>
    <w:rsid w:val="0002761D"/>
    <w:rsid w:val="00027BAD"/>
    <w:rsid w:val="000313F7"/>
    <w:rsid w:val="0003400E"/>
    <w:rsid w:val="00034C29"/>
    <w:rsid w:val="0003507C"/>
    <w:rsid w:val="0003670D"/>
    <w:rsid w:val="00037704"/>
    <w:rsid w:val="00040D4D"/>
    <w:rsid w:val="00041C9F"/>
    <w:rsid w:val="00042EB0"/>
    <w:rsid w:val="00044FD3"/>
    <w:rsid w:val="000457CE"/>
    <w:rsid w:val="000472F5"/>
    <w:rsid w:val="00047955"/>
    <w:rsid w:val="00047A37"/>
    <w:rsid w:val="00050562"/>
    <w:rsid w:val="00050721"/>
    <w:rsid w:val="00052528"/>
    <w:rsid w:val="0005363A"/>
    <w:rsid w:val="00053CDF"/>
    <w:rsid w:val="00053FF0"/>
    <w:rsid w:val="0005421E"/>
    <w:rsid w:val="00054C7B"/>
    <w:rsid w:val="00055743"/>
    <w:rsid w:val="00055893"/>
    <w:rsid w:val="00055977"/>
    <w:rsid w:val="00056386"/>
    <w:rsid w:val="00056EC8"/>
    <w:rsid w:val="00060832"/>
    <w:rsid w:val="00060E29"/>
    <w:rsid w:val="000619CD"/>
    <w:rsid w:val="000627EB"/>
    <w:rsid w:val="00063C54"/>
    <w:rsid w:val="000707B8"/>
    <w:rsid w:val="00070C40"/>
    <w:rsid w:val="00070F94"/>
    <w:rsid w:val="00071433"/>
    <w:rsid w:val="00071866"/>
    <w:rsid w:val="00074F00"/>
    <w:rsid w:val="0007577B"/>
    <w:rsid w:val="00077A08"/>
    <w:rsid w:val="00077B71"/>
    <w:rsid w:val="0008275C"/>
    <w:rsid w:val="0008400B"/>
    <w:rsid w:val="0008603F"/>
    <w:rsid w:val="00086084"/>
    <w:rsid w:val="00086535"/>
    <w:rsid w:val="0009340F"/>
    <w:rsid w:val="000A482D"/>
    <w:rsid w:val="000A5837"/>
    <w:rsid w:val="000A657F"/>
    <w:rsid w:val="000A65EE"/>
    <w:rsid w:val="000A6CB7"/>
    <w:rsid w:val="000B0442"/>
    <w:rsid w:val="000B0D43"/>
    <w:rsid w:val="000B0F57"/>
    <w:rsid w:val="000B14CB"/>
    <w:rsid w:val="000B3E5C"/>
    <w:rsid w:val="000B423A"/>
    <w:rsid w:val="000B5BBC"/>
    <w:rsid w:val="000B631D"/>
    <w:rsid w:val="000B7F84"/>
    <w:rsid w:val="000C2EAC"/>
    <w:rsid w:val="000C3DD0"/>
    <w:rsid w:val="000C4DA9"/>
    <w:rsid w:val="000C7B01"/>
    <w:rsid w:val="000D19BF"/>
    <w:rsid w:val="000D4178"/>
    <w:rsid w:val="000D7063"/>
    <w:rsid w:val="000E5CD7"/>
    <w:rsid w:val="000E64EB"/>
    <w:rsid w:val="000E68A1"/>
    <w:rsid w:val="000E7B1E"/>
    <w:rsid w:val="000F0FDA"/>
    <w:rsid w:val="000F380E"/>
    <w:rsid w:val="000F3A37"/>
    <w:rsid w:val="000F3A3E"/>
    <w:rsid w:val="000F525E"/>
    <w:rsid w:val="000F69D5"/>
    <w:rsid w:val="000F6E21"/>
    <w:rsid w:val="000F702F"/>
    <w:rsid w:val="00100517"/>
    <w:rsid w:val="001011BC"/>
    <w:rsid w:val="00102185"/>
    <w:rsid w:val="0010653D"/>
    <w:rsid w:val="0011020E"/>
    <w:rsid w:val="001108A8"/>
    <w:rsid w:val="001134AA"/>
    <w:rsid w:val="0011458A"/>
    <w:rsid w:val="00115C4C"/>
    <w:rsid w:val="0012113F"/>
    <w:rsid w:val="0012345F"/>
    <w:rsid w:val="00124887"/>
    <w:rsid w:val="001259E7"/>
    <w:rsid w:val="00125F0F"/>
    <w:rsid w:val="0013079A"/>
    <w:rsid w:val="00133827"/>
    <w:rsid w:val="0013670F"/>
    <w:rsid w:val="001373F7"/>
    <w:rsid w:val="00140356"/>
    <w:rsid w:val="0014192A"/>
    <w:rsid w:val="0014249C"/>
    <w:rsid w:val="00143CC1"/>
    <w:rsid w:val="001446E6"/>
    <w:rsid w:val="0015064C"/>
    <w:rsid w:val="00153C73"/>
    <w:rsid w:val="001555E1"/>
    <w:rsid w:val="00157A2D"/>
    <w:rsid w:val="00160187"/>
    <w:rsid w:val="00163492"/>
    <w:rsid w:val="00163733"/>
    <w:rsid w:val="001639CA"/>
    <w:rsid w:val="00164E36"/>
    <w:rsid w:val="00165240"/>
    <w:rsid w:val="0016657B"/>
    <w:rsid w:val="00167F05"/>
    <w:rsid w:val="00171FF4"/>
    <w:rsid w:val="00172682"/>
    <w:rsid w:val="00172B62"/>
    <w:rsid w:val="00174C57"/>
    <w:rsid w:val="00174C69"/>
    <w:rsid w:val="001750F5"/>
    <w:rsid w:val="00176272"/>
    <w:rsid w:val="00176510"/>
    <w:rsid w:val="00176578"/>
    <w:rsid w:val="001816D7"/>
    <w:rsid w:val="0018180F"/>
    <w:rsid w:val="00182A47"/>
    <w:rsid w:val="00185581"/>
    <w:rsid w:val="00187214"/>
    <w:rsid w:val="001938E5"/>
    <w:rsid w:val="00195C2E"/>
    <w:rsid w:val="00196D6B"/>
    <w:rsid w:val="00196F87"/>
    <w:rsid w:val="00197E52"/>
    <w:rsid w:val="001A23A0"/>
    <w:rsid w:val="001A4297"/>
    <w:rsid w:val="001B7191"/>
    <w:rsid w:val="001C0F4C"/>
    <w:rsid w:val="001C2738"/>
    <w:rsid w:val="001C6290"/>
    <w:rsid w:val="001D249E"/>
    <w:rsid w:val="001D55E6"/>
    <w:rsid w:val="001D7000"/>
    <w:rsid w:val="001D78F4"/>
    <w:rsid w:val="001D7D29"/>
    <w:rsid w:val="001E010D"/>
    <w:rsid w:val="001E0226"/>
    <w:rsid w:val="001E0BF1"/>
    <w:rsid w:val="001F06F5"/>
    <w:rsid w:val="001F121F"/>
    <w:rsid w:val="001F29E1"/>
    <w:rsid w:val="001F331E"/>
    <w:rsid w:val="001F4AB3"/>
    <w:rsid w:val="001F63EE"/>
    <w:rsid w:val="001F7FCF"/>
    <w:rsid w:val="002018D1"/>
    <w:rsid w:val="002033D8"/>
    <w:rsid w:val="00203690"/>
    <w:rsid w:val="00203B08"/>
    <w:rsid w:val="00204743"/>
    <w:rsid w:val="00205B83"/>
    <w:rsid w:val="00206769"/>
    <w:rsid w:val="002075FD"/>
    <w:rsid w:val="002101E5"/>
    <w:rsid w:val="002135BB"/>
    <w:rsid w:val="00215245"/>
    <w:rsid w:val="00215D50"/>
    <w:rsid w:val="0022111F"/>
    <w:rsid w:val="002219C4"/>
    <w:rsid w:val="00222E1B"/>
    <w:rsid w:val="00223638"/>
    <w:rsid w:val="00223C90"/>
    <w:rsid w:val="00224DDB"/>
    <w:rsid w:val="00225A86"/>
    <w:rsid w:val="00225EDA"/>
    <w:rsid w:val="00226518"/>
    <w:rsid w:val="00226B8F"/>
    <w:rsid w:val="00227772"/>
    <w:rsid w:val="00231967"/>
    <w:rsid w:val="00234DED"/>
    <w:rsid w:val="00241372"/>
    <w:rsid w:val="0024308C"/>
    <w:rsid w:val="00243E4F"/>
    <w:rsid w:val="0024441D"/>
    <w:rsid w:val="00246019"/>
    <w:rsid w:val="00246595"/>
    <w:rsid w:val="0025080C"/>
    <w:rsid w:val="0025181A"/>
    <w:rsid w:val="00254374"/>
    <w:rsid w:val="0025570F"/>
    <w:rsid w:val="00256925"/>
    <w:rsid w:val="00256FB1"/>
    <w:rsid w:val="002576E2"/>
    <w:rsid w:val="0026098F"/>
    <w:rsid w:val="00263180"/>
    <w:rsid w:val="002639AB"/>
    <w:rsid w:val="00263F6C"/>
    <w:rsid w:val="00265B46"/>
    <w:rsid w:val="00265EEC"/>
    <w:rsid w:val="00266AE6"/>
    <w:rsid w:val="0026787E"/>
    <w:rsid w:val="002707E0"/>
    <w:rsid w:val="002708E6"/>
    <w:rsid w:val="00275DF3"/>
    <w:rsid w:val="002812E7"/>
    <w:rsid w:val="0028170C"/>
    <w:rsid w:val="00282A08"/>
    <w:rsid w:val="0028493E"/>
    <w:rsid w:val="00285330"/>
    <w:rsid w:val="002859D8"/>
    <w:rsid w:val="00286191"/>
    <w:rsid w:val="00286557"/>
    <w:rsid w:val="00286D23"/>
    <w:rsid w:val="0028728B"/>
    <w:rsid w:val="002872EE"/>
    <w:rsid w:val="00293781"/>
    <w:rsid w:val="00293CBA"/>
    <w:rsid w:val="00294196"/>
    <w:rsid w:val="002949D6"/>
    <w:rsid w:val="00295068"/>
    <w:rsid w:val="00296AC3"/>
    <w:rsid w:val="00296CBE"/>
    <w:rsid w:val="00296DB6"/>
    <w:rsid w:val="00296E7F"/>
    <w:rsid w:val="00297A9C"/>
    <w:rsid w:val="002A0E62"/>
    <w:rsid w:val="002A1350"/>
    <w:rsid w:val="002A2BF3"/>
    <w:rsid w:val="002A3E27"/>
    <w:rsid w:val="002A5176"/>
    <w:rsid w:val="002A536C"/>
    <w:rsid w:val="002A749E"/>
    <w:rsid w:val="002B0118"/>
    <w:rsid w:val="002B35F6"/>
    <w:rsid w:val="002B65D3"/>
    <w:rsid w:val="002C0372"/>
    <w:rsid w:val="002C07A7"/>
    <w:rsid w:val="002C1674"/>
    <w:rsid w:val="002D1AEB"/>
    <w:rsid w:val="002D23E2"/>
    <w:rsid w:val="002D3438"/>
    <w:rsid w:val="002D4264"/>
    <w:rsid w:val="002D46CF"/>
    <w:rsid w:val="002D55CF"/>
    <w:rsid w:val="002D570F"/>
    <w:rsid w:val="002D69D6"/>
    <w:rsid w:val="002D7DEA"/>
    <w:rsid w:val="002E3DE9"/>
    <w:rsid w:val="002E447F"/>
    <w:rsid w:val="002F077F"/>
    <w:rsid w:val="002F10E8"/>
    <w:rsid w:val="002F1267"/>
    <w:rsid w:val="002F33A4"/>
    <w:rsid w:val="002F3736"/>
    <w:rsid w:val="002F48EC"/>
    <w:rsid w:val="002F5527"/>
    <w:rsid w:val="002F696A"/>
    <w:rsid w:val="00300685"/>
    <w:rsid w:val="003006CE"/>
    <w:rsid w:val="00304063"/>
    <w:rsid w:val="00304393"/>
    <w:rsid w:val="00304F51"/>
    <w:rsid w:val="00305FF9"/>
    <w:rsid w:val="00306921"/>
    <w:rsid w:val="00307FA4"/>
    <w:rsid w:val="003123A3"/>
    <w:rsid w:val="00313785"/>
    <w:rsid w:val="003143ED"/>
    <w:rsid w:val="003152C2"/>
    <w:rsid w:val="00315340"/>
    <w:rsid w:val="003157DE"/>
    <w:rsid w:val="00320928"/>
    <w:rsid w:val="00321401"/>
    <w:rsid w:val="00323772"/>
    <w:rsid w:val="003239D5"/>
    <w:rsid w:val="00323DF8"/>
    <w:rsid w:val="003242DF"/>
    <w:rsid w:val="00324F5C"/>
    <w:rsid w:val="003267AE"/>
    <w:rsid w:val="003268F4"/>
    <w:rsid w:val="00326D33"/>
    <w:rsid w:val="003273E7"/>
    <w:rsid w:val="0033186E"/>
    <w:rsid w:val="003345BB"/>
    <w:rsid w:val="003346A9"/>
    <w:rsid w:val="003347DF"/>
    <w:rsid w:val="003352D7"/>
    <w:rsid w:val="00336A6E"/>
    <w:rsid w:val="0034034F"/>
    <w:rsid w:val="00341325"/>
    <w:rsid w:val="00342EB5"/>
    <w:rsid w:val="00343AE8"/>
    <w:rsid w:val="00344D3F"/>
    <w:rsid w:val="00346692"/>
    <w:rsid w:val="00353646"/>
    <w:rsid w:val="00353DD7"/>
    <w:rsid w:val="00354910"/>
    <w:rsid w:val="00354FF5"/>
    <w:rsid w:val="0035557B"/>
    <w:rsid w:val="003561BA"/>
    <w:rsid w:val="00356FE0"/>
    <w:rsid w:val="00357268"/>
    <w:rsid w:val="00357AC5"/>
    <w:rsid w:val="00361733"/>
    <w:rsid w:val="00361A8E"/>
    <w:rsid w:val="00362E7E"/>
    <w:rsid w:val="00363584"/>
    <w:rsid w:val="00363763"/>
    <w:rsid w:val="00364D99"/>
    <w:rsid w:val="003650C3"/>
    <w:rsid w:val="00366248"/>
    <w:rsid w:val="00366546"/>
    <w:rsid w:val="003700B5"/>
    <w:rsid w:val="0037293E"/>
    <w:rsid w:val="00372B83"/>
    <w:rsid w:val="00372E34"/>
    <w:rsid w:val="00374010"/>
    <w:rsid w:val="00374B8C"/>
    <w:rsid w:val="0037780C"/>
    <w:rsid w:val="00377F33"/>
    <w:rsid w:val="003802B4"/>
    <w:rsid w:val="0038139F"/>
    <w:rsid w:val="003814D1"/>
    <w:rsid w:val="003847E6"/>
    <w:rsid w:val="003874EA"/>
    <w:rsid w:val="00387633"/>
    <w:rsid w:val="00387C30"/>
    <w:rsid w:val="003913CB"/>
    <w:rsid w:val="00391E4F"/>
    <w:rsid w:val="0039365C"/>
    <w:rsid w:val="00393F80"/>
    <w:rsid w:val="003966E6"/>
    <w:rsid w:val="003A0A79"/>
    <w:rsid w:val="003A1099"/>
    <w:rsid w:val="003A1256"/>
    <w:rsid w:val="003A15DC"/>
    <w:rsid w:val="003A3093"/>
    <w:rsid w:val="003A7E5E"/>
    <w:rsid w:val="003B2A4C"/>
    <w:rsid w:val="003B40FD"/>
    <w:rsid w:val="003B56DB"/>
    <w:rsid w:val="003B5B98"/>
    <w:rsid w:val="003B752C"/>
    <w:rsid w:val="003C163E"/>
    <w:rsid w:val="003C3379"/>
    <w:rsid w:val="003C3635"/>
    <w:rsid w:val="003C567F"/>
    <w:rsid w:val="003C7581"/>
    <w:rsid w:val="003D0E8B"/>
    <w:rsid w:val="003D24F9"/>
    <w:rsid w:val="003D5604"/>
    <w:rsid w:val="003D57F8"/>
    <w:rsid w:val="003D5981"/>
    <w:rsid w:val="003D7130"/>
    <w:rsid w:val="003D7D5F"/>
    <w:rsid w:val="003E328D"/>
    <w:rsid w:val="003E3ED0"/>
    <w:rsid w:val="003E434F"/>
    <w:rsid w:val="003E608C"/>
    <w:rsid w:val="003E6B62"/>
    <w:rsid w:val="003F1A65"/>
    <w:rsid w:val="003F42F7"/>
    <w:rsid w:val="003F4716"/>
    <w:rsid w:val="003F6CAE"/>
    <w:rsid w:val="003F745E"/>
    <w:rsid w:val="00400802"/>
    <w:rsid w:val="004013CF"/>
    <w:rsid w:val="00412368"/>
    <w:rsid w:val="00413423"/>
    <w:rsid w:val="0041386C"/>
    <w:rsid w:val="00413A3C"/>
    <w:rsid w:val="004143F4"/>
    <w:rsid w:val="0041787D"/>
    <w:rsid w:val="00423D7A"/>
    <w:rsid w:val="00430DE9"/>
    <w:rsid w:val="0043363F"/>
    <w:rsid w:val="00433E18"/>
    <w:rsid w:val="004351FD"/>
    <w:rsid w:val="004369DE"/>
    <w:rsid w:val="00440547"/>
    <w:rsid w:val="00440DAB"/>
    <w:rsid w:val="00442609"/>
    <w:rsid w:val="00442B2E"/>
    <w:rsid w:val="00443F9F"/>
    <w:rsid w:val="00445322"/>
    <w:rsid w:val="004469E9"/>
    <w:rsid w:val="004470EC"/>
    <w:rsid w:val="00447A83"/>
    <w:rsid w:val="0045061D"/>
    <w:rsid w:val="00453A21"/>
    <w:rsid w:val="00454931"/>
    <w:rsid w:val="004555B0"/>
    <w:rsid w:val="00457994"/>
    <w:rsid w:val="00461FFA"/>
    <w:rsid w:val="004627AE"/>
    <w:rsid w:val="0046408B"/>
    <w:rsid w:val="0047286E"/>
    <w:rsid w:val="00474E3A"/>
    <w:rsid w:val="00476763"/>
    <w:rsid w:val="004768F4"/>
    <w:rsid w:val="00476CC6"/>
    <w:rsid w:val="00480A7E"/>
    <w:rsid w:val="0048185C"/>
    <w:rsid w:val="0048192D"/>
    <w:rsid w:val="00481FF3"/>
    <w:rsid w:val="0048503F"/>
    <w:rsid w:val="004869CB"/>
    <w:rsid w:val="004875CC"/>
    <w:rsid w:val="004902F6"/>
    <w:rsid w:val="00490AE1"/>
    <w:rsid w:val="0049499C"/>
    <w:rsid w:val="00494B12"/>
    <w:rsid w:val="00494EE2"/>
    <w:rsid w:val="004A01D0"/>
    <w:rsid w:val="004A0A50"/>
    <w:rsid w:val="004A1018"/>
    <w:rsid w:val="004A202B"/>
    <w:rsid w:val="004A4665"/>
    <w:rsid w:val="004A476E"/>
    <w:rsid w:val="004A4E10"/>
    <w:rsid w:val="004A64B3"/>
    <w:rsid w:val="004A7D97"/>
    <w:rsid w:val="004B2543"/>
    <w:rsid w:val="004B5AAC"/>
    <w:rsid w:val="004B5BF3"/>
    <w:rsid w:val="004B7864"/>
    <w:rsid w:val="004C152E"/>
    <w:rsid w:val="004C18F0"/>
    <w:rsid w:val="004C2DFD"/>
    <w:rsid w:val="004C36FE"/>
    <w:rsid w:val="004C57F2"/>
    <w:rsid w:val="004C7E14"/>
    <w:rsid w:val="004D1C70"/>
    <w:rsid w:val="004D6A6C"/>
    <w:rsid w:val="004E0DC3"/>
    <w:rsid w:val="004E5E5E"/>
    <w:rsid w:val="004E659C"/>
    <w:rsid w:val="004E6696"/>
    <w:rsid w:val="004E7BF0"/>
    <w:rsid w:val="004F13D5"/>
    <w:rsid w:val="004F30A5"/>
    <w:rsid w:val="004F4DFD"/>
    <w:rsid w:val="004F5768"/>
    <w:rsid w:val="004F6993"/>
    <w:rsid w:val="004F784C"/>
    <w:rsid w:val="004F7BA1"/>
    <w:rsid w:val="00501065"/>
    <w:rsid w:val="00502989"/>
    <w:rsid w:val="00502D01"/>
    <w:rsid w:val="00503539"/>
    <w:rsid w:val="005045AE"/>
    <w:rsid w:val="00505968"/>
    <w:rsid w:val="00505D23"/>
    <w:rsid w:val="00510FD7"/>
    <w:rsid w:val="005111B3"/>
    <w:rsid w:val="00514009"/>
    <w:rsid w:val="00517EAD"/>
    <w:rsid w:val="005209C6"/>
    <w:rsid w:val="00521181"/>
    <w:rsid w:val="00521C3B"/>
    <w:rsid w:val="00522813"/>
    <w:rsid w:val="0052355D"/>
    <w:rsid w:val="00523DE0"/>
    <w:rsid w:val="00523DFA"/>
    <w:rsid w:val="0052420E"/>
    <w:rsid w:val="0052688E"/>
    <w:rsid w:val="005278AB"/>
    <w:rsid w:val="005315D5"/>
    <w:rsid w:val="005317D1"/>
    <w:rsid w:val="005333C7"/>
    <w:rsid w:val="0054042C"/>
    <w:rsid w:val="005410B7"/>
    <w:rsid w:val="005454BD"/>
    <w:rsid w:val="005459FA"/>
    <w:rsid w:val="005462B0"/>
    <w:rsid w:val="005524E7"/>
    <w:rsid w:val="0055358F"/>
    <w:rsid w:val="005571E8"/>
    <w:rsid w:val="005616E6"/>
    <w:rsid w:val="00561C26"/>
    <w:rsid w:val="005636E6"/>
    <w:rsid w:val="00563C78"/>
    <w:rsid w:val="005645A8"/>
    <w:rsid w:val="00564CA9"/>
    <w:rsid w:val="00565571"/>
    <w:rsid w:val="00566B3F"/>
    <w:rsid w:val="00566D5E"/>
    <w:rsid w:val="00570B02"/>
    <w:rsid w:val="00570BAC"/>
    <w:rsid w:val="00573438"/>
    <w:rsid w:val="0057360D"/>
    <w:rsid w:val="00575426"/>
    <w:rsid w:val="00576E68"/>
    <w:rsid w:val="00581C78"/>
    <w:rsid w:val="005822E5"/>
    <w:rsid w:val="00593F00"/>
    <w:rsid w:val="00595C5F"/>
    <w:rsid w:val="00597CD6"/>
    <w:rsid w:val="005A13FF"/>
    <w:rsid w:val="005A2EC5"/>
    <w:rsid w:val="005A6DFA"/>
    <w:rsid w:val="005A7382"/>
    <w:rsid w:val="005B3993"/>
    <w:rsid w:val="005B7205"/>
    <w:rsid w:val="005C0E19"/>
    <w:rsid w:val="005C2243"/>
    <w:rsid w:val="005C4370"/>
    <w:rsid w:val="005C53CD"/>
    <w:rsid w:val="005C5F0A"/>
    <w:rsid w:val="005C71CC"/>
    <w:rsid w:val="005C75DA"/>
    <w:rsid w:val="005C7844"/>
    <w:rsid w:val="005C7D19"/>
    <w:rsid w:val="005D009F"/>
    <w:rsid w:val="005D203E"/>
    <w:rsid w:val="005D272C"/>
    <w:rsid w:val="005D306E"/>
    <w:rsid w:val="005D5E61"/>
    <w:rsid w:val="005D63DD"/>
    <w:rsid w:val="005E0371"/>
    <w:rsid w:val="005E0433"/>
    <w:rsid w:val="005E0DDF"/>
    <w:rsid w:val="005E15F8"/>
    <w:rsid w:val="005E27DA"/>
    <w:rsid w:val="005E37A9"/>
    <w:rsid w:val="005E4FC3"/>
    <w:rsid w:val="005E5EB7"/>
    <w:rsid w:val="005E666C"/>
    <w:rsid w:val="005E7D65"/>
    <w:rsid w:val="005F0054"/>
    <w:rsid w:val="005F0D0B"/>
    <w:rsid w:val="005F446B"/>
    <w:rsid w:val="005F46ED"/>
    <w:rsid w:val="005F587C"/>
    <w:rsid w:val="005F5AB4"/>
    <w:rsid w:val="005F6BF3"/>
    <w:rsid w:val="00600B65"/>
    <w:rsid w:val="006030E7"/>
    <w:rsid w:val="00604EBE"/>
    <w:rsid w:val="00613BE2"/>
    <w:rsid w:val="00614223"/>
    <w:rsid w:val="00614980"/>
    <w:rsid w:val="00616561"/>
    <w:rsid w:val="00621C68"/>
    <w:rsid w:val="00622D11"/>
    <w:rsid w:val="00622E74"/>
    <w:rsid w:val="00625DA4"/>
    <w:rsid w:val="00630B62"/>
    <w:rsid w:val="0063408A"/>
    <w:rsid w:val="00636C15"/>
    <w:rsid w:val="006370D9"/>
    <w:rsid w:val="00637105"/>
    <w:rsid w:val="00642C81"/>
    <w:rsid w:val="00645129"/>
    <w:rsid w:val="006473C7"/>
    <w:rsid w:val="00651B0A"/>
    <w:rsid w:val="00651EE8"/>
    <w:rsid w:val="0065282E"/>
    <w:rsid w:val="00653B8C"/>
    <w:rsid w:val="00654472"/>
    <w:rsid w:val="006546C3"/>
    <w:rsid w:val="006552DB"/>
    <w:rsid w:val="00657FAE"/>
    <w:rsid w:val="006641D1"/>
    <w:rsid w:val="006654CC"/>
    <w:rsid w:val="00665DC0"/>
    <w:rsid w:val="00665EBB"/>
    <w:rsid w:val="0066683C"/>
    <w:rsid w:val="00670AD9"/>
    <w:rsid w:val="0067194F"/>
    <w:rsid w:val="00671C69"/>
    <w:rsid w:val="00672662"/>
    <w:rsid w:val="00674778"/>
    <w:rsid w:val="006763B6"/>
    <w:rsid w:val="0067724E"/>
    <w:rsid w:val="0068074C"/>
    <w:rsid w:val="006830CF"/>
    <w:rsid w:val="006868D0"/>
    <w:rsid w:val="00690A3F"/>
    <w:rsid w:val="006937C4"/>
    <w:rsid w:val="00694DAA"/>
    <w:rsid w:val="0069528D"/>
    <w:rsid w:val="006971BB"/>
    <w:rsid w:val="006A0110"/>
    <w:rsid w:val="006A0700"/>
    <w:rsid w:val="006A20C6"/>
    <w:rsid w:val="006A5BB1"/>
    <w:rsid w:val="006A5C77"/>
    <w:rsid w:val="006A6AB3"/>
    <w:rsid w:val="006B084C"/>
    <w:rsid w:val="006B2AAB"/>
    <w:rsid w:val="006B4342"/>
    <w:rsid w:val="006C0CDF"/>
    <w:rsid w:val="006C1410"/>
    <w:rsid w:val="006C302B"/>
    <w:rsid w:val="006C3CED"/>
    <w:rsid w:val="006C58E7"/>
    <w:rsid w:val="006C6888"/>
    <w:rsid w:val="006C6A42"/>
    <w:rsid w:val="006D0027"/>
    <w:rsid w:val="006D0CE9"/>
    <w:rsid w:val="006D1A10"/>
    <w:rsid w:val="006D51F4"/>
    <w:rsid w:val="006D5341"/>
    <w:rsid w:val="006E345E"/>
    <w:rsid w:val="006E3B88"/>
    <w:rsid w:val="006E4FFB"/>
    <w:rsid w:val="006E6059"/>
    <w:rsid w:val="006E7FF2"/>
    <w:rsid w:val="006F04D4"/>
    <w:rsid w:val="006F23EE"/>
    <w:rsid w:val="006F25DE"/>
    <w:rsid w:val="006F3F61"/>
    <w:rsid w:val="006F4B56"/>
    <w:rsid w:val="006F67DA"/>
    <w:rsid w:val="006F76FE"/>
    <w:rsid w:val="00701AD0"/>
    <w:rsid w:val="00703711"/>
    <w:rsid w:val="00704C4E"/>
    <w:rsid w:val="0070569E"/>
    <w:rsid w:val="0070780D"/>
    <w:rsid w:val="00713258"/>
    <w:rsid w:val="007146D6"/>
    <w:rsid w:val="00714D1C"/>
    <w:rsid w:val="00723544"/>
    <w:rsid w:val="007241C4"/>
    <w:rsid w:val="007245CC"/>
    <w:rsid w:val="00725651"/>
    <w:rsid w:val="00732A5F"/>
    <w:rsid w:val="0073343A"/>
    <w:rsid w:val="00733ACF"/>
    <w:rsid w:val="00736BC1"/>
    <w:rsid w:val="00737813"/>
    <w:rsid w:val="00740928"/>
    <w:rsid w:val="00740F6D"/>
    <w:rsid w:val="007434AB"/>
    <w:rsid w:val="007476D8"/>
    <w:rsid w:val="00750BBB"/>
    <w:rsid w:val="00751061"/>
    <w:rsid w:val="007519C2"/>
    <w:rsid w:val="00751D5A"/>
    <w:rsid w:val="00752D1F"/>
    <w:rsid w:val="00753CA2"/>
    <w:rsid w:val="00755E7B"/>
    <w:rsid w:val="00756F3C"/>
    <w:rsid w:val="00760336"/>
    <w:rsid w:val="00762253"/>
    <w:rsid w:val="0076230E"/>
    <w:rsid w:val="00764DB7"/>
    <w:rsid w:val="00765485"/>
    <w:rsid w:val="00765B47"/>
    <w:rsid w:val="00767141"/>
    <w:rsid w:val="0076779C"/>
    <w:rsid w:val="00772D7C"/>
    <w:rsid w:val="007734EC"/>
    <w:rsid w:val="007744BB"/>
    <w:rsid w:val="0078254F"/>
    <w:rsid w:val="00783BBB"/>
    <w:rsid w:val="00784A5B"/>
    <w:rsid w:val="00787605"/>
    <w:rsid w:val="007876EC"/>
    <w:rsid w:val="00791ACE"/>
    <w:rsid w:val="00791F54"/>
    <w:rsid w:val="007930DD"/>
    <w:rsid w:val="00793DCF"/>
    <w:rsid w:val="007968D7"/>
    <w:rsid w:val="00796E28"/>
    <w:rsid w:val="007A016C"/>
    <w:rsid w:val="007A66F6"/>
    <w:rsid w:val="007A698D"/>
    <w:rsid w:val="007A7342"/>
    <w:rsid w:val="007A7729"/>
    <w:rsid w:val="007B08A1"/>
    <w:rsid w:val="007B16CA"/>
    <w:rsid w:val="007B5C51"/>
    <w:rsid w:val="007C245F"/>
    <w:rsid w:val="007C531A"/>
    <w:rsid w:val="007C5F85"/>
    <w:rsid w:val="007D3E2A"/>
    <w:rsid w:val="007D5540"/>
    <w:rsid w:val="007D64DA"/>
    <w:rsid w:val="007D6EC8"/>
    <w:rsid w:val="007E1E6B"/>
    <w:rsid w:val="007E5721"/>
    <w:rsid w:val="007F017E"/>
    <w:rsid w:val="007F0E9C"/>
    <w:rsid w:val="007F15D1"/>
    <w:rsid w:val="007F24B5"/>
    <w:rsid w:val="007F37B6"/>
    <w:rsid w:val="007F3887"/>
    <w:rsid w:val="007F46AA"/>
    <w:rsid w:val="007F472A"/>
    <w:rsid w:val="007F50D5"/>
    <w:rsid w:val="007F7FAB"/>
    <w:rsid w:val="00800A79"/>
    <w:rsid w:val="00803A8B"/>
    <w:rsid w:val="00806B4A"/>
    <w:rsid w:val="008076EC"/>
    <w:rsid w:val="00810BFF"/>
    <w:rsid w:val="00811B20"/>
    <w:rsid w:val="0081223D"/>
    <w:rsid w:val="00812BD8"/>
    <w:rsid w:val="008136C2"/>
    <w:rsid w:val="00813980"/>
    <w:rsid w:val="008141BF"/>
    <w:rsid w:val="008144F0"/>
    <w:rsid w:val="00814BA0"/>
    <w:rsid w:val="00816F24"/>
    <w:rsid w:val="0081785F"/>
    <w:rsid w:val="00820576"/>
    <w:rsid w:val="0082085F"/>
    <w:rsid w:val="008220D8"/>
    <w:rsid w:val="008228C7"/>
    <w:rsid w:val="0082505C"/>
    <w:rsid w:val="0083233D"/>
    <w:rsid w:val="00834907"/>
    <w:rsid w:val="00835166"/>
    <w:rsid w:val="00836CFD"/>
    <w:rsid w:val="00837160"/>
    <w:rsid w:val="00837A32"/>
    <w:rsid w:val="00841876"/>
    <w:rsid w:val="00843704"/>
    <w:rsid w:val="00843D7A"/>
    <w:rsid w:val="00843ED9"/>
    <w:rsid w:val="00844606"/>
    <w:rsid w:val="00846F4E"/>
    <w:rsid w:val="008515D7"/>
    <w:rsid w:val="00851F28"/>
    <w:rsid w:val="00852AFF"/>
    <w:rsid w:val="00853EFF"/>
    <w:rsid w:val="00854545"/>
    <w:rsid w:val="00854809"/>
    <w:rsid w:val="00860C75"/>
    <w:rsid w:val="00861EBE"/>
    <w:rsid w:val="00862DAD"/>
    <w:rsid w:val="008664DC"/>
    <w:rsid w:val="00866DDD"/>
    <w:rsid w:val="00867C15"/>
    <w:rsid w:val="00870363"/>
    <w:rsid w:val="008714C7"/>
    <w:rsid w:val="00871657"/>
    <w:rsid w:val="00871BF4"/>
    <w:rsid w:val="00871C8E"/>
    <w:rsid w:val="00872DF7"/>
    <w:rsid w:val="008734B2"/>
    <w:rsid w:val="00877690"/>
    <w:rsid w:val="00877E82"/>
    <w:rsid w:val="00881AF3"/>
    <w:rsid w:val="00881BF3"/>
    <w:rsid w:val="00884414"/>
    <w:rsid w:val="00884AC4"/>
    <w:rsid w:val="00886457"/>
    <w:rsid w:val="00891E3E"/>
    <w:rsid w:val="00894589"/>
    <w:rsid w:val="00894E55"/>
    <w:rsid w:val="00894F85"/>
    <w:rsid w:val="0089743B"/>
    <w:rsid w:val="008A21A6"/>
    <w:rsid w:val="008A5D56"/>
    <w:rsid w:val="008A744A"/>
    <w:rsid w:val="008A78AE"/>
    <w:rsid w:val="008A7945"/>
    <w:rsid w:val="008A7CDD"/>
    <w:rsid w:val="008B111A"/>
    <w:rsid w:val="008B16A6"/>
    <w:rsid w:val="008B2096"/>
    <w:rsid w:val="008B4951"/>
    <w:rsid w:val="008B4FB7"/>
    <w:rsid w:val="008B5BB7"/>
    <w:rsid w:val="008C158A"/>
    <w:rsid w:val="008C1DBB"/>
    <w:rsid w:val="008C367D"/>
    <w:rsid w:val="008C398E"/>
    <w:rsid w:val="008C3AE7"/>
    <w:rsid w:val="008C3FE1"/>
    <w:rsid w:val="008C7B34"/>
    <w:rsid w:val="008C7E72"/>
    <w:rsid w:val="008D1EE2"/>
    <w:rsid w:val="008D271A"/>
    <w:rsid w:val="008D319F"/>
    <w:rsid w:val="008D6C02"/>
    <w:rsid w:val="008E058C"/>
    <w:rsid w:val="008E0B89"/>
    <w:rsid w:val="008E1350"/>
    <w:rsid w:val="008E271A"/>
    <w:rsid w:val="008E3F03"/>
    <w:rsid w:val="008E6718"/>
    <w:rsid w:val="008F0808"/>
    <w:rsid w:val="008F537C"/>
    <w:rsid w:val="008F5E20"/>
    <w:rsid w:val="008F6374"/>
    <w:rsid w:val="008F699F"/>
    <w:rsid w:val="008F705B"/>
    <w:rsid w:val="00901164"/>
    <w:rsid w:val="00906269"/>
    <w:rsid w:val="009067D9"/>
    <w:rsid w:val="0090692F"/>
    <w:rsid w:val="009129C1"/>
    <w:rsid w:val="00915087"/>
    <w:rsid w:val="00915757"/>
    <w:rsid w:val="009200F4"/>
    <w:rsid w:val="00922EE9"/>
    <w:rsid w:val="00925392"/>
    <w:rsid w:val="009301C8"/>
    <w:rsid w:val="00936274"/>
    <w:rsid w:val="00940554"/>
    <w:rsid w:val="009417F2"/>
    <w:rsid w:val="00944BE3"/>
    <w:rsid w:val="00945931"/>
    <w:rsid w:val="00946612"/>
    <w:rsid w:val="009519E2"/>
    <w:rsid w:val="00953EE6"/>
    <w:rsid w:val="00954092"/>
    <w:rsid w:val="00954B28"/>
    <w:rsid w:val="009600BE"/>
    <w:rsid w:val="0096211C"/>
    <w:rsid w:val="0096289E"/>
    <w:rsid w:val="009632B5"/>
    <w:rsid w:val="009665A0"/>
    <w:rsid w:val="00966C0E"/>
    <w:rsid w:val="00966F22"/>
    <w:rsid w:val="00970037"/>
    <w:rsid w:val="00970228"/>
    <w:rsid w:val="00970CE4"/>
    <w:rsid w:val="00972C9C"/>
    <w:rsid w:val="00973824"/>
    <w:rsid w:val="00974E0A"/>
    <w:rsid w:val="00976AE1"/>
    <w:rsid w:val="00980461"/>
    <w:rsid w:val="00980C2D"/>
    <w:rsid w:val="00983719"/>
    <w:rsid w:val="00983C7C"/>
    <w:rsid w:val="009843D2"/>
    <w:rsid w:val="00990F23"/>
    <w:rsid w:val="00991AB2"/>
    <w:rsid w:val="0099294D"/>
    <w:rsid w:val="00995194"/>
    <w:rsid w:val="0099655A"/>
    <w:rsid w:val="00996BCB"/>
    <w:rsid w:val="00997C4E"/>
    <w:rsid w:val="009A0570"/>
    <w:rsid w:val="009A1CC9"/>
    <w:rsid w:val="009A1F8E"/>
    <w:rsid w:val="009A321D"/>
    <w:rsid w:val="009A559A"/>
    <w:rsid w:val="009A5F92"/>
    <w:rsid w:val="009B00A9"/>
    <w:rsid w:val="009B0E9F"/>
    <w:rsid w:val="009B463F"/>
    <w:rsid w:val="009B5B1D"/>
    <w:rsid w:val="009C04B2"/>
    <w:rsid w:val="009C0B7E"/>
    <w:rsid w:val="009C530C"/>
    <w:rsid w:val="009C5B59"/>
    <w:rsid w:val="009C6353"/>
    <w:rsid w:val="009C6418"/>
    <w:rsid w:val="009C7819"/>
    <w:rsid w:val="009C7898"/>
    <w:rsid w:val="009C7CEA"/>
    <w:rsid w:val="009D25FD"/>
    <w:rsid w:val="009D3AEB"/>
    <w:rsid w:val="009D3F68"/>
    <w:rsid w:val="009D6738"/>
    <w:rsid w:val="009D78DC"/>
    <w:rsid w:val="009E0487"/>
    <w:rsid w:val="009E331D"/>
    <w:rsid w:val="009E5743"/>
    <w:rsid w:val="009E5E80"/>
    <w:rsid w:val="009E62ED"/>
    <w:rsid w:val="009E7CE0"/>
    <w:rsid w:val="009F0CB4"/>
    <w:rsid w:val="009F0DF2"/>
    <w:rsid w:val="009F2D11"/>
    <w:rsid w:val="009F2FF1"/>
    <w:rsid w:val="009F3543"/>
    <w:rsid w:val="009F581B"/>
    <w:rsid w:val="009F6BC7"/>
    <w:rsid w:val="009F7779"/>
    <w:rsid w:val="009F789F"/>
    <w:rsid w:val="00A00B39"/>
    <w:rsid w:val="00A00C4C"/>
    <w:rsid w:val="00A04360"/>
    <w:rsid w:val="00A0627F"/>
    <w:rsid w:val="00A1332E"/>
    <w:rsid w:val="00A1659B"/>
    <w:rsid w:val="00A16DAA"/>
    <w:rsid w:val="00A20C50"/>
    <w:rsid w:val="00A21CB9"/>
    <w:rsid w:val="00A22CC7"/>
    <w:rsid w:val="00A260E4"/>
    <w:rsid w:val="00A27022"/>
    <w:rsid w:val="00A3641F"/>
    <w:rsid w:val="00A37B2D"/>
    <w:rsid w:val="00A37FFE"/>
    <w:rsid w:val="00A4151F"/>
    <w:rsid w:val="00A41A83"/>
    <w:rsid w:val="00A420EC"/>
    <w:rsid w:val="00A43404"/>
    <w:rsid w:val="00A547CE"/>
    <w:rsid w:val="00A54E7A"/>
    <w:rsid w:val="00A54F73"/>
    <w:rsid w:val="00A552FE"/>
    <w:rsid w:val="00A578A1"/>
    <w:rsid w:val="00A57AE0"/>
    <w:rsid w:val="00A6071C"/>
    <w:rsid w:val="00A6304C"/>
    <w:rsid w:val="00A65BF9"/>
    <w:rsid w:val="00A65D8B"/>
    <w:rsid w:val="00A66045"/>
    <w:rsid w:val="00A67334"/>
    <w:rsid w:val="00A67562"/>
    <w:rsid w:val="00A67A1A"/>
    <w:rsid w:val="00A7057A"/>
    <w:rsid w:val="00A736B9"/>
    <w:rsid w:val="00A74384"/>
    <w:rsid w:val="00A777BD"/>
    <w:rsid w:val="00A77898"/>
    <w:rsid w:val="00A800E5"/>
    <w:rsid w:val="00A83C2E"/>
    <w:rsid w:val="00A85DD7"/>
    <w:rsid w:val="00A870A4"/>
    <w:rsid w:val="00A87389"/>
    <w:rsid w:val="00A90CEA"/>
    <w:rsid w:val="00A91E2A"/>
    <w:rsid w:val="00A951CC"/>
    <w:rsid w:val="00A96E15"/>
    <w:rsid w:val="00AA04C3"/>
    <w:rsid w:val="00AA1703"/>
    <w:rsid w:val="00AA24B9"/>
    <w:rsid w:val="00AA2C75"/>
    <w:rsid w:val="00AA401A"/>
    <w:rsid w:val="00AA4E40"/>
    <w:rsid w:val="00AA58BE"/>
    <w:rsid w:val="00AA743D"/>
    <w:rsid w:val="00AA774E"/>
    <w:rsid w:val="00AB0346"/>
    <w:rsid w:val="00AB052E"/>
    <w:rsid w:val="00AB09ED"/>
    <w:rsid w:val="00AB14B6"/>
    <w:rsid w:val="00AB2B3F"/>
    <w:rsid w:val="00AB2CEA"/>
    <w:rsid w:val="00AB3F81"/>
    <w:rsid w:val="00AB6EC4"/>
    <w:rsid w:val="00AB7F18"/>
    <w:rsid w:val="00AC0E1D"/>
    <w:rsid w:val="00AC1543"/>
    <w:rsid w:val="00AC2852"/>
    <w:rsid w:val="00AC644F"/>
    <w:rsid w:val="00AD1A18"/>
    <w:rsid w:val="00AD218B"/>
    <w:rsid w:val="00AD5431"/>
    <w:rsid w:val="00AD5D58"/>
    <w:rsid w:val="00AD6033"/>
    <w:rsid w:val="00AD6205"/>
    <w:rsid w:val="00AD6A81"/>
    <w:rsid w:val="00AD6D91"/>
    <w:rsid w:val="00AE0CB7"/>
    <w:rsid w:val="00AE53C9"/>
    <w:rsid w:val="00AE718D"/>
    <w:rsid w:val="00AF0C45"/>
    <w:rsid w:val="00AF2AF1"/>
    <w:rsid w:val="00AF4DF5"/>
    <w:rsid w:val="00AF6512"/>
    <w:rsid w:val="00AF65D9"/>
    <w:rsid w:val="00AF6F0B"/>
    <w:rsid w:val="00AF7015"/>
    <w:rsid w:val="00AF77FF"/>
    <w:rsid w:val="00B00550"/>
    <w:rsid w:val="00B018D4"/>
    <w:rsid w:val="00B01B1B"/>
    <w:rsid w:val="00B01EB4"/>
    <w:rsid w:val="00B02A79"/>
    <w:rsid w:val="00B13734"/>
    <w:rsid w:val="00B145F4"/>
    <w:rsid w:val="00B15D33"/>
    <w:rsid w:val="00B15F43"/>
    <w:rsid w:val="00B20851"/>
    <w:rsid w:val="00B20AC0"/>
    <w:rsid w:val="00B21536"/>
    <w:rsid w:val="00B22638"/>
    <w:rsid w:val="00B22EB8"/>
    <w:rsid w:val="00B24D62"/>
    <w:rsid w:val="00B2506C"/>
    <w:rsid w:val="00B2543C"/>
    <w:rsid w:val="00B313F4"/>
    <w:rsid w:val="00B33B65"/>
    <w:rsid w:val="00B34C0F"/>
    <w:rsid w:val="00B35800"/>
    <w:rsid w:val="00B40FC1"/>
    <w:rsid w:val="00B41025"/>
    <w:rsid w:val="00B46C05"/>
    <w:rsid w:val="00B50BD3"/>
    <w:rsid w:val="00B51611"/>
    <w:rsid w:val="00B57259"/>
    <w:rsid w:val="00B57B70"/>
    <w:rsid w:val="00B617DE"/>
    <w:rsid w:val="00B6458A"/>
    <w:rsid w:val="00B709FF"/>
    <w:rsid w:val="00B712C8"/>
    <w:rsid w:val="00B71D90"/>
    <w:rsid w:val="00B74D31"/>
    <w:rsid w:val="00B76119"/>
    <w:rsid w:val="00B82315"/>
    <w:rsid w:val="00B82387"/>
    <w:rsid w:val="00B8430F"/>
    <w:rsid w:val="00B854A6"/>
    <w:rsid w:val="00B918C2"/>
    <w:rsid w:val="00B9221C"/>
    <w:rsid w:val="00B9545E"/>
    <w:rsid w:val="00B95AB8"/>
    <w:rsid w:val="00B96C71"/>
    <w:rsid w:val="00B97D06"/>
    <w:rsid w:val="00BA335C"/>
    <w:rsid w:val="00BA413D"/>
    <w:rsid w:val="00BA42CC"/>
    <w:rsid w:val="00BA7A7A"/>
    <w:rsid w:val="00BB10E2"/>
    <w:rsid w:val="00BB283C"/>
    <w:rsid w:val="00BB3E44"/>
    <w:rsid w:val="00BB4981"/>
    <w:rsid w:val="00BB54EC"/>
    <w:rsid w:val="00BB6FBC"/>
    <w:rsid w:val="00BB7BC5"/>
    <w:rsid w:val="00BC23D9"/>
    <w:rsid w:val="00BC250F"/>
    <w:rsid w:val="00BC41D8"/>
    <w:rsid w:val="00BC47CA"/>
    <w:rsid w:val="00BC4DFF"/>
    <w:rsid w:val="00BC6E80"/>
    <w:rsid w:val="00BC793C"/>
    <w:rsid w:val="00BD001A"/>
    <w:rsid w:val="00BD1C61"/>
    <w:rsid w:val="00BD3BCD"/>
    <w:rsid w:val="00BD3E46"/>
    <w:rsid w:val="00BD5BFF"/>
    <w:rsid w:val="00BD5FFA"/>
    <w:rsid w:val="00BD7110"/>
    <w:rsid w:val="00BE0315"/>
    <w:rsid w:val="00BE55B3"/>
    <w:rsid w:val="00BE68CD"/>
    <w:rsid w:val="00BF247A"/>
    <w:rsid w:val="00BF5B53"/>
    <w:rsid w:val="00C00704"/>
    <w:rsid w:val="00C017F1"/>
    <w:rsid w:val="00C02083"/>
    <w:rsid w:val="00C046A9"/>
    <w:rsid w:val="00C04893"/>
    <w:rsid w:val="00C07207"/>
    <w:rsid w:val="00C07288"/>
    <w:rsid w:val="00C07A80"/>
    <w:rsid w:val="00C1036B"/>
    <w:rsid w:val="00C12245"/>
    <w:rsid w:val="00C20212"/>
    <w:rsid w:val="00C21678"/>
    <w:rsid w:val="00C21D79"/>
    <w:rsid w:val="00C236A8"/>
    <w:rsid w:val="00C23AF2"/>
    <w:rsid w:val="00C25CD0"/>
    <w:rsid w:val="00C27253"/>
    <w:rsid w:val="00C2782B"/>
    <w:rsid w:val="00C278E2"/>
    <w:rsid w:val="00C27C48"/>
    <w:rsid w:val="00C27CD2"/>
    <w:rsid w:val="00C32699"/>
    <w:rsid w:val="00C34EE5"/>
    <w:rsid w:val="00C35457"/>
    <w:rsid w:val="00C41C19"/>
    <w:rsid w:val="00C41D94"/>
    <w:rsid w:val="00C4251E"/>
    <w:rsid w:val="00C438BD"/>
    <w:rsid w:val="00C50201"/>
    <w:rsid w:val="00C5056E"/>
    <w:rsid w:val="00C534D5"/>
    <w:rsid w:val="00C53A21"/>
    <w:rsid w:val="00C54ABF"/>
    <w:rsid w:val="00C60451"/>
    <w:rsid w:val="00C6219A"/>
    <w:rsid w:val="00C64069"/>
    <w:rsid w:val="00C6516E"/>
    <w:rsid w:val="00C655D7"/>
    <w:rsid w:val="00C659E8"/>
    <w:rsid w:val="00C669B3"/>
    <w:rsid w:val="00C67A8F"/>
    <w:rsid w:val="00C71268"/>
    <w:rsid w:val="00C72E04"/>
    <w:rsid w:val="00C733F1"/>
    <w:rsid w:val="00C734C3"/>
    <w:rsid w:val="00C75AFF"/>
    <w:rsid w:val="00C773B7"/>
    <w:rsid w:val="00C77426"/>
    <w:rsid w:val="00C77771"/>
    <w:rsid w:val="00C7790C"/>
    <w:rsid w:val="00C800DA"/>
    <w:rsid w:val="00C80799"/>
    <w:rsid w:val="00C80D54"/>
    <w:rsid w:val="00C815E6"/>
    <w:rsid w:val="00C834D4"/>
    <w:rsid w:val="00C83C78"/>
    <w:rsid w:val="00C85376"/>
    <w:rsid w:val="00C85C5F"/>
    <w:rsid w:val="00C87302"/>
    <w:rsid w:val="00C87524"/>
    <w:rsid w:val="00C907CA"/>
    <w:rsid w:val="00C9401F"/>
    <w:rsid w:val="00C94DEC"/>
    <w:rsid w:val="00CA2739"/>
    <w:rsid w:val="00CA412B"/>
    <w:rsid w:val="00CA4BCD"/>
    <w:rsid w:val="00CA51BD"/>
    <w:rsid w:val="00CB0440"/>
    <w:rsid w:val="00CB0D28"/>
    <w:rsid w:val="00CB2C1B"/>
    <w:rsid w:val="00CB6D66"/>
    <w:rsid w:val="00CB7E4D"/>
    <w:rsid w:val="00CC1528"/>
    <w:rsid w:val="00CC154A"/>
    <w:rsid w:val="00CC28B0"/>
    <w:rsid w:val="00CC4BBC"/>
    <w:rsid w:val="00CC58AC"/>
    <w:rsid w:val="00CC6500"/>
    <w:rsid w:val="00CD03EF"/>
    <w:rsid w:val="00CD1183"/>
    <w:rsid w:val="00CD54EA"/>
    <w:rsid w:val="00CD64E2"/>
    <w:rsid w:val="00CD7041"/>
    <w:rsid w:val="00CD79DA"/>
    <w:rsid w:val="00CE2D1D"/>
    <w:rsid w:val="00CE2E64"/>
    <w:rsid w:val="00CE56F1"/>
    <w:rsid w:val="00CF0C8E"/>
    <w:rsid w:val="00CF1DDB"/>
    <w:rsid w:val="00CF30B7"/>
    <w:rsid w:val="00CF4478"/>
    <w:rsid w:val="00CF4C7D"/>
    <w:rsid w:val="00CF4DC6"/>
    <w:rsid w:val="00CF6817"/>
    <w:rsid w:val="00CF6914"/>
    <w:rsid w:val="00CF7699"/>
    <w:rsid w:val="00CF7BF4"/>
    <w:rsid w:val="00D05A42"/>
    <w:rsid w:val="00D12757"/>
    <w:rsid w:val="00D128B8"/>
    <w:rsid w:val="00D13A07"/>
    <w:rsid w:val="00D141B4"/>
    <w:rsid w:val="00D14E70"/>
    <w:rsid w:val="00D1668B"/>
    <w:rsid w:val="00D22F1E"/>
    <w:rsid w:val="00D236C2"/>
    <w:rsid w:val="00D24C6B"/>
    <w:rsid w:val="00D25640"/>
    <w:rsid w:val="00D27E10"/>
    <w:rsid w:val="00D3161A"/>
    <w:rsid w:val="00D32E92"/>
    <w:rsid w:val="00D33560"/>
    <w:rsid w:val="00D34CCC"/>
    <w:rsid w:val="00D37C62"/>
    <w:rsid w:val="00D40E02"/>
    <w:rsid w:val="00D40E49"/>
    <w:rsid w:val="00D4226F"/>
    <w:rsid w:val="00D42389"/>
    <w:rsid w:val="00D43CC1"/>
    <w:rsid w:val="00D500A0"/>
    <w:rsid w:val="00D51ED0"/>
    <w:rsid w:val="00D54230"/>
    <w:rsid w:val="00D54F4A"/>
    <w:rsid w:val="00D56E27"/>
    <w:rsid w:val="00D56F5E"/>
    <w:rsid w:val="00D57687"/>
    <w:rsid w:val="00D6004E"/>
    <w:rsid w:val="00D61602"/>
    <w:rsid w:val="00D61790"/>
    <w:rsid w:val="00D62207"/>
    <w:rsid w:val="00D624A7"/>
    <w:rsid w:val="00D62F94"/>
    <w:rsid w:val="00D649DC"/>
    <w:rsid w:val="00D650A1"/>
    <w:rsid w:val="00D67D1E"/>
    <w:rsid w:val="00D71B42"/>
    <w:rsid w:val="00D71C68"/>
    <w:rsid w:val="00D728FD"/>
    <w:rsid w:val="00D73526"/>
    <w:rsid w:val="00D755F2"/>
    <w:rsid w:val="00D7593E"/>
    <w:rsid w:val="00D77F56"/>
    <w:rsid w:val="00D8029F"/>
    <w:rsid w:val="00D8160C"/>
    <w:rsid w:val="00D82908"/>
    <w:rsid w:val="00D82C8A"/>
    <w:rsid w:val="00D83204"/>
    <w:rsid w:val="00D83A45"/>
    <w:rsid w:val="00D83B66"/>
    <w:rsid w:val="00D90981"/>
    <w:rsid w:val="00D92825"/>
    <w:rsid w:val="00D955DB"/>
    <w:rsid w:val="00D958F3"/>
    <w:rsid w:val="00D95CF4"/>
    <w:rsid w:val="00DA0C58"/>
    <w:rsid w:val="00DA2754"/>
    <w:rsid w:val="00DA310C"/>
    <w:rsid w:val="00DA375A"/>
    <w:rsid w:val="00DA4580"/>
    <w:rsid w:val="00DA6539"/>
    <w:rsid w:val="00DA752F"/>
    <w:rsid w:val="00DA7575"/>
    <w:rsid w:val="00DB193E"/>
    <w:rsid w:val="00DB32AD"/>
    <w:rsid w:val="00DB4584"/>
    <w:rsid w:val="00DB45DF"/>
    <w:rsid w:val="00DB481D"/>
    <w:rsid w:val="00DB4CA0"/>
    <w:rsid w:val="00DB4E9F"/>
    <w:rsid w:val="00DB7C1B"/>
    <w:rsid w:val="00DC1C3F"/>
    <w:rsid w:val="00DC3187"/>
    <w:rsid w:val="00DC3790"/>
    <w:rsid w:val="00DC3F07"/>
    <w:rsid w:val="00DC4300"/>
    <w:rsid w:val="00DC5E92"/>
    <w:rsid w:val="00DC6AD9"/>
    <w:rsid w:val="00DC776E"/>
    <w:rsid w:val="00DD06C4"/>
    <w:rsid w:val="00DD0BE3"/>
    <w:rsid w:val="00DD11E0"/>
    <w:rsid w:val="00DD16EB"/>
    <w:rsid w:val="00DD4484"/>
    <w:rsid w:val="00DD4AAC"/>
    <w:rsid w:val="00DD4D6D"/>
    <w:rsid w:val="00DD5391"/>
    <w:rsid w:val="00DE0325"/>
    <w:rsid w:val="00DE27DF"/>
    <w:rsid w:val="00DE2D17"/>
    <w:rsid w:val="00DE3B8A"/>
    <w:rsid w:val="00DE3C89"/>
    <w:rsid w:val="00DE43F6"/>
    <w:rsid w:val="00DE6B5A"/>
    <w:rsid w:val="00DF1A56"/>
    <w:rsid w:val="00DF2AEB"/>
    <w:rsid w:val="00DF3794"/>
    <w:rsid w:val="00DF52FB"/>
    <w:rsid w:val="00DF7165"/>
    <w:rsid w:val="00DF7A79"/>
    <w:rsid w:val="00DF7C1A"/>
    <w:rsid w:val="00E0211B"/>
    <w:rsid w:val="00E02122"/>
    <w:rsid w:val="00E02B4A"/>
    <w:rsid w:val="00E03967"/>
    <w:rsid w:val="00E05326"/>
    <w:rsid w:val="00E067B2"/>
    <w:rsid w:val="00E10386"/>
    <w:rsid w:val="00E10491"/>
    <w:rsid w:val="00E13CE5"/>
    <w:rsid w:val="00E14AC0"/>
    <w:rsid w:val="00E17A56"/>
    <w:rsid w:val="00E21909"/>
    <w:rsid w:val="00E21A72"/>
    <w:rsid w:val="00E22AC5"/>
    <w:rsid w:val="00E2599B"/>
    <w:rsid w:val="00E26118"/>
    <w:rsid w:val="00E30347"/>
    <w:rsid w:val="00E311A9"/>
    <w:rsid w:val="00E3164A"/>
    <w:rsid w:val="00E33DF8"/>
    <w:rsid w:val="00E34113"/>
    <w:rsid w:val="00E37B77"/>
    <w:rsid w:val="00E416DF"/>
    <w:rsid w:val="00E42722"/>
    <w:rsid w:val="00E4387C"/>
    <w:rsid w:val="00E441D3"/>
    <w:rsid w:val="00E4501C"/>
    <w:rsid w:val="00E46315"/>
    <w:rsid w:val="00E505CC"/>
    <w:rsid w:val="00E50773"/>
    <w:rsid w:val="00E52054"/>
    <w:rsid w:val="00E52B2C"/>
    <w:rsid w:val="00E564EA"/>
    <w:rsid w:val="00E56C5B"/>
    <w:rsid w:val="00E5790E"/>
    <w:rsid w:val="00E60116"/>
    <w:rsid w:val="00E60743"/>
    <w:rsid w:val="00E61452"/>
    <w:rsid w:val="00E614F1"/>
    <w:rsid w:val="00E6287E"/>
    <w:rsid w:val="00E65AEA"/>
    <w:rsid w:val="00E66206"/>
    <w:rsid w:val="00E6789E"/>
    <w:rsid w:val="00E71C27"/>
    <w:rsid w:val="00E759FC"/>
    <w:rsid w:val="00E7763A"/>
    <w:rsid w:val="00E77C18"/>
    <w:rsid w:val="00E80089"/>
    <w:rsid w:val="00E80DE4"/>
    <w:rsid w:val="00E8102C"/>
    <w:rsid w:val="00E81384"/>
    <w:rsid w:val="00E82D5A"/>
    <w:rsid w:val="00E84D1F"/>
    <w:rsid w:val="00E851A7"/>
    <w:rsid w:val="00E8527D"/>
    <w:rsid w:val="00E85DF8"/>
    <w:rsid w:val="00E86414"/>
    <w:rsid w:val="00E903D1"/>
    <w:rsid w:val="00E91730"/>
    <w:rsid w:val="00E9343A"/>
    <w:rsid w:val="00E9444F"/>
    <w:rsid w:val="00E965B1"/>
    <w:rsid w:val="00E96913"/>
    <w:rsid w:val="00E97DF1"/>
    <w:rsid w:val="00EA2987"/>
    <w:rsid w:val="00EA4A7B"/>
    <w:rsid w:val="00EA4F06"/>
    <w:rsid w:val="00EB08EC"/>
    <w:rsid w:val="00EB25E5"/>
    <w:rsid w:val="00EB34B0"/>
    <w:rsid w:val="00EB5B09"/>
    <w:rsid w:val="00EB5DEC"/>
    <w:rsid w:val="00EB77B6"/>
    <w:rsid w:val="00EB7E66"/>
    <w:rsid w:val="00EC1ED7"/>
    <w:rsid w:val="00EC2F54"/>
    <w:rsid w:val="00EC399C"/>
    <w:rsid w:val="00EC3AFA"/>
    <w:rsid w:val="00EC4ADD"/>
    <w:rsid w:val="00EC5937"/>
    <w:rsid w:val="00EC5C02"/>
    <w:rsid w:val="00EC5CD4"/>
    <w:rsid w:val="00EC6607"/>
    <w:rsid w:val="00EC74C9"/>
    <w:rsid w:val="00ED171E"/>
    <w:rsid w:val="00ED2FDA"/>
    <w:rsid w:val="00ED4C43"/>
    <w:rsid w:val="00ED539F"/>
    <w:rsid w:val="00ED5D6D"/>
    <w:rsid w:val="00EE1FEE"/>
    <w:rsid w:val="00EE3C0A"/>
    <w:rsid w:val="00EE5634"/>
    <w:rsid w:val="00EE67EE"/>
    <w:rsid w:val="00EE6B14"/>
    <w:rsid w:val="00EE73A6"/>
    <w:rsid w:val="00EE7471"/>
    <w:rsid w:val="00EF29AD"/>
    <w:rsid w:val="00EF3843"/>
    <w:rsid w:val="00EF3ADE"/>
    <w:rsid w:val="00EF4795"/>
    <w:rsid w:val="00EF6EE1"/>
    <w:rsid w:val="00EF6F8F"/>
    <w:rsid w:val="00F00E0F"/>
    <w:rsid w:val="00F01AD2"/>
    <w:rsid w:val="00F03E9C"/>
    <w:rsid w:val="00F049EB"/>
    <w:rsid w:val="00F0588A"/>
    <w:rsid w:val="00F07911"/>
    <w:rsid w:val="00F10093"/>
    <w:rsid w:val="00F10416"/>
    <w:rsid w:val="00F1124C"/>
    <w:rsid w:val="00F133E9"/>
    <w:rsid w:val="00F15CD6"/>
    <w:rsid w:val="00F162A1"/>
    <w:rsid w:val="00F17CEE"/>
    <w:rsid w:val="00F2199D"/>
    <w:rsid w:val="00F21DEA"/>
    <w:rsid w:val="00F22A11"/>
    <w:rsid w:val="00F27880"/>
    <w:rsid w:val="00F3338E"/>
    <w:rsid w:val="00F34008"/>
    <w:rsid w:val="00F3472F"/>
    <w:rsid w:val="00F34E44"/>
    <w:rsid w:val="00F36C6B"/>
    <w:rsid w:val="00F37568"/>
    <w:rsid w:val="00F401AA"/>
    <w:rsid w:val="00F4346B"/>
    <w:rsid w:val="00F439B8"/>
    <w:rsid w:val="00F453F8"/>
    <w:rsid w:val="00F46D15"/>
    <w:rsid w:val="00F47271"/>
    <w:rsid w:val="00F47924"/>
    <w:rsid w:val="00F50852"/>
    <w:rsid w:val="00F520E2"/>
    <w:rsid w:val="00F52BB3"/>
    <w:rsid w:val="00F52C37"/>
    <w:rsid w:val="00F53135"/>
    <w:rsid w:val="00F54C16"/>
    <w:rsid w:val="00F56F85"/>
    <w:rsid w:val="00F577FE"/>
    <w:rsid w:val="00F57EA4"/>
    <w:rsid w:val="00F6038F"/>
    <w:rsid w:val="00F6146C"/>
    <w:rsid w:val="00F64169"/>
    <w:rsid w:val="00F65787"/>
    <w:rsid w:val="00F72ED0"/>
    <w:rsid w:val="00F748EB"/>
    <w:rsid w:val="00F75CBF"/>
    <w:rsid w:val="00F75E96"/>
    <w:rsid w:val="00F76688"/>
    <w:rsid w:val="00F8004E"/>
    <w:rsid w:val="00F836FC"/>
    <w:rsid w:val="00F83F1E"/>
    <w:rsid w:val="00F87CBB"/>
    <w:rsid w:val="00F91D48"/>
    <w:rsid w:val="00FA2934"/>
    <w:rsid w:val="00FA4A45"/>
    <w:rsid w:val="00FA5C91"/>
    <w:rsid w:val="00FA626C"/>
    <w:rsid w:val="00FB09A3"/>
    <w:rsid w:val="00FB1960"/>
    <w:rsid w:val="00FB2E28"/>
    <w:rsid w:val="00FB4362"/>
    <w:rsid w:val="00FB4478"/>
    <w:rsid w:val="00FB6D14"/>
    <w:rsid w:val="00FB7EEE"/>
    <w:rsid w:val="00FC0B86"/>
    <w:rsid w:val="00FC21C7"/>
    <w:rsid w:val="00FC477F"/>
    <w:rsid w:val="00FC4ED9"/>
    <w:rsid w:val="00FD0962"/>
    <w:rsid w:val="00FD18C2"/>
    <w:rsid w:val="00FD2B72"/>
    <w:rsid w:val="00FD4760"/>
    <w:rsid w:val="00FD4A33"/>
    <w:rsid w:val="00FD5776"/>
    <w:rsid w:val="00FD6226"/>
    <w:rsid w:val="00FD69D4"/>
    <w:rsid w:val="00FD7336"/>
    <w:rsid w:val="00FE063B"/>
    <w:rsid w:val="00FE0D98"/>
    <w:rsid w:val="00FE12A0"/>
    <w:rsid w:val="00FE3CBE"/>
    <w:rsid w:val="00FE3DA7"/>
    <w:rsid w:val="00FE4EB7"/>
    <w:rsid w:val="00FE5347"/>
    <w:rsid w:val="00FE552A"/>
    <w:rsid w:val="00FE57FF"/>
    <w:rsid w:val="00FE709E"/>
    <w:rsid w:val="00FE734D"/>
    <w:rsid w:val="00FF0FC7"/>
    <w:rsid w:val="00FF122A"/>
    <w:rsid w:val="00FF3D64"/>
    <w:rsid w:val="00FF515D"/>
    <w:rsid w:val="00FF774C"/>
    <w:rsid w:val="010007F4"/>
    <w:rsid w:val="01004DDC"/>
    <w:rsid w:val="01092A38"/>
    <w:rsid w:val="010A53BA"/>
    <w:rsid w:val="010E1F7E"/>
    <w:rsid w:val="01186AC2"/>
    <w:rsid w:val="011977C2"/>
    <w:rsid w:val="01197DDD"/>
    <w:rsid w:val="011C1D1D"/>
    <w:rsid w:val="011D493A"/>
    <w:rsid w:val="01215C63"/>
    <w:rsid w:val="01221A57"/>
    <w:rsid w:val="0125460F"/>
    <w:rsid w:val="0127533C"/>
    <w:rsid w:val="01276915"/>
    <w:rsid w:val="012E02AF"/>
    <w:rsid w:val="01332F93"/>
    <w:rsid w:val="01341075"/>
    <w:rsid w:val="0135293B"/>
    <w:rsid w:val="01361A05"/>
    <w:rsid w:val="013744FB"/>
    <w:rsid w:val="013B2C80"/>
    <w:rsid w:val="013B7F1E"/>
    <w:rsid w:val="013E344F"/>
    <w:rsid w:val="014029EC"/>
    <w:rsid w:val="01412963"/>
    <w:rsid w:val="01426AF6"/>
    <w:rsid w:val="0144634A"/>
    <w:rsid w:val="0147506C"/>
    <w:rsid w:val="014C6B51"/>
    <w:rsid w:val="014D10B6"/>
    <w:rsid w:val="014D538D"/>
    <w:rsid w:val="014F613D"/>
    <w:rsid w:val="015208CF"/>
    <w:rsid w:val="01531A04"/>
    <w:rsid w:val="01550919"/>
    <w:rsid w:val="015679E9"/>
    <w:rsid w:val="01572BA1"/>
    <w:rsid w:val="015851F4"/>
    <w:rsid w:val="015A7332"/>
    <w:rsid w:val="015B77A3"/>
    <w:rsid w:val="015C138C"/>
    <w:rsid w:val="015C21FD"/>
    <w:rsid w:val="015F49E4"/>
    <w:rsid w:val="016718A1"/>
    <w:rsid w:val="01675CA2"/>
    <w:rsid w:val="0168002A"/>
    <w:rsid w:val="01692480"/>
    <w:rsid w:val="016D3147"/>
    <w:rsid w:val="016D734B"/>
    <w:rsid w:val="016E05FD"/>
    <w:rsid w:val="016F3EDC"/>
    <w:rsid w:val="01705A93"/>
    <w:rsid w:val="01714497"/>
    <w:rsid w:val="01752608"/>
    <w:rsid w:val="017866A3"/>
    <w:rsid w:val="0179206A"/>
    <w:rsid w:val="017A601F"/>
    <w:rsid w:val="017B7D2B"/>
    <w:rsid w:val="017D4427"/>
    <w:rsid w:val="017E0540"/>
    <w:rsid w:val="017F200A"/>
    <w:rsid w:val="018035CE"/>
    <w:rsid w:val="01814B8E"/>
    <w:rsid w:val="018229F8"/>
    <w:rsid w:val="01830099"/>
    <w:rsid w:val="018630BE"/>
    <w:rsid w:val="0188764F"/>
    <w:rsid w:val="0189703E"/>
    <w:rsid w:val="018B2B82"/>
    <w:rsid w:val="018F54D8"/>
    <w:rsid w:val="019000D2"/>
    <w:rsid w:val="01933303"/>
    <w:rsid w:val="0195787B"/>
    <w:rsid w:val="019674B7"/>
    <w:rsid w:val="01973E71"/>
    <w:rsid w:val="01994246"/>
    <w:rsid w:val="019B6554"/>
    <w:rsid w:val="019C411C"/>
    <w:rsid w:val="019D13C6"/>
    <w:rsid w:val="019F4C26"/>
    <w:rsid w:val="01A00577"/>
    <w:rsid w:val="01A249C3"/>
    <w:rsid w:val="01A30B85"/>
    <w:rsid w:val="01A3738F"/>
    <w:rsid w:val="01A378FB"/>
    <w:rsid w:val="01A80B27"/>
    <w:rsid w:val="01A81F62"/>
    <w:rsid w:val="01AA773B"/>
    <w:rsid w:val="01AC2F8E"/>
    <w:rsid w:val="01AD7F2B"/>
    <w:rsid w:val="01B11599"/>
    <w:rsid w:val="01B600CE"/>
    <w:rsid w:val="01BA6AFB"/>
    <w:rsid w:val="01C00213"/>
    <w:rsid w:val="01C0102A"/>
    <w:rsid w:val="01C03D61"/>
    <w:rsid w:val="01C26973"/>
    <w:rsid w:val="01C70DEC"/>
    <w:rsid w:val="01C8738F"/>
    <w:rsid w:val="01C9586D"/>
    <w:rsid w:val="01CA4760"/>
    <w:rsid w:val="01CD33BB"/>
    <w:rsid w:val="01D101FE"/>
    <w:rsid w:val="01D17B79"/>
    <w:rsid w:val="01D641CD"/>
    <w:rsid w:val="01D95862"/>
    <w:rsid w:val="01DB0F35"/>
    <w:rsid w:val="01E07238"/>
    <w:rsid w:val="01E10896"/>
    <w:rsid w:val="01E42920"/>
    <w:rsid w:val="01E84AF1"/>
    <w:rsid w:val="01F01105"/>
    <w:rsid w:val="01F20D71"/>
    <w:rsid w:val="01F35F82"/>
    <w:rsid w:val="01F53A6D"/>
    <w:rsid w:val="01F76207"/>
    <w:rsid w:val="01F80CA7"/>
    <w:rsid w:val="01FC52CA"/>
    <w:rsid w:val="01FD266B"/>
    <w:rsid w:val="01FE55C9"/>
    <w:rsid w:val="01FF3298"/>
    <w:rsid w:val="020016E9"/>
    <w:rsid w:val="02003A98"/>
    <w:rsid w:val="02005378"/>
    <w:rsid w:val="020169D3"/>
    <w:rsid w:val="02016E9B"/>
    <w:rsid w:val="02030851"/>
    <w:rsid w:val="0203480F"/>
    <w:rsid w:val="02050E32"/>
    <w:rsid w:val="0205372A"/>
    <w:rsid w:val="02054732"/>
    <w:rsid w:val="02096345"/>
    <w:rsid w:val="02097F30"/>
    <w:rsid w:val="020A2A16"/>
    <w:rsid w:val="020B1179"/>
    <w:rsid w:val="020B7439"/>
    <w:rsid w:val="020B7D38"/>
    <w:rsid w:val="020E1A2F"/>
    <w:rsid w:val="02103373"/>
    <w:rsid w:val="02122F4D"/>
    <w:rsid w:val="02134C8C"/>
    <w:rsid w:val="021524F6"/>
    <w:rsid w:val="02176B6C"/>
    <w:rsid w:val="02182D17"/>
    <w:rsid w:val="02185BE3"/>
    <w:rsid w:val="02191184"/>
    <w:rsid w:val="02197673"/>
    <w:rsid w:val="021A46D6"/>
    <w:rsid w:val="021E39EB"/>
    <w:rsid w:val="021F0DD2"/>
    <w:rsid w:val="02205DB0"/>
    <w:rsid w:val="02206A6E"/>
    <w:rsid w:val="02223992"/>
    <w:rsid w:val="0224233F"/>
    <w:rsid w:val="02243DAA"/>
    <w:rsid w:val="0224577E"/>
    <w:rsid w:val="02264606"/>
    <w:rsid w:val="02282E7B"/>
    <w:rsid w:val="0228410A"/>
    <w:rsid w:val="02297532"/>
    <w:rsid w:val="02332E00"/>
    <w:rsid w:val="02343183"/>
    <w:rsid w:val="02371242"/>
    <w:rsid w:val="02374743"/>
    <w:rsid w:val="0237532F"/>
    <w:rsid w:val="02381D81"/>
    <w:rsid w:val="02391BF0"/>
    <w:rsid w:val="023A2E78"/>
    <w:rsid w:val="023B0DB8"/>
    <w:rsid w:val="023B0F73"/>
    <w:rsid w:val="023B58AE"/>
    <w:rsid w:val="023C1860"/>
    <w:rsid w:val="023C1B42"/>
    <w:rsid w:val="023E7CE1"/>
    <w:rsid w:val="024261D8"/>
    <w:rsid w:val="02445537"/>
    <w:rsid w:val="02467823"/>
    <w:rsid w:val="024A5F92"/>
    <w:rsid w:val="024B5316"/>
    <w:rsid w:val="024C475D"/>
    <w:rsid w:val="024E7AAB"/>
    <w:rsid w:val="02515AC8"/>
    <w:rsid w:val="02535478"/>
    <w:rsid w:val="02552658"/>
    <w:rsid w:val="02573AEE"/>
    <w:rsid w:val="0258082F"/>
    <w:rsid w:val="025B6EF8"/>
    <w:rsid w:val="025E4BE3"/>
    <w:rsid w:val="025E6F3A"/>
    <w:rsid w:val="0260553D"/>
    <w:rsid w:val="0261369B"/>
    <w:rsid w:val="026145B0"/>
    <w:rsid w:val="02665DCA"/>
    <w:rsid w:val="02673450"/>
    <w:rsid w:val="02686048"/>
    <w:rsid w:val="02695F76"/>
    <w:rsid w:val="026A7AB5"/>
    <w:rsid w:val="026C6D7F"/>
    <w:rsid w:val="026E4813"/>
    <w:rsid w:val="026F03C8"/>
    <w:rsid w:val="02713EBE"/>
    <w:rsid w:val="02742B70"/>
    <w:rsid w:val="02774B91"/>
    <w:rsid w:val="027A5D82"/>
    <w:rsid w:val="027C074E"/>
    <w:rsid w:val="027C0863"/>
    <w:rsid w:val="027F4125"/>
    <w:rsid w:val="02806FA2"/>
    <w:rsid w:val="02814C4D"/>
    <w:rsid w:val="02817E6A"/>
    <w:rsid w:val="028278BD"/>
    <w:rsid w:val="0283342C"/>
    <w:rsid w:val="0284416D"/>
    <w:rsid w:val="028571A2"/>
    <w:rsid w:val="02873BB9"/>
    <w:rsid w:val="0289489B"/>
    <w:rsid w:val="028B28BE"/>
    <w:rsid w:val="028B34F1"/>
    <w:rsid w:val="028C11CF"/>
    <w:rsid w:val="028C3EFD"/>
    <w:rsid w:val="028E6A5B"/>
    <w:rsid w:val="028F0036"/>
    <w:rsid w:val="028F7145"/>
    <w:rsid w:val="028F76D8"/>
    <w:rsid w:val="029117A8"/>
    <w:rsid w:val="029417DE"/>
    <w:rsid w:val="02961F13"/>
    <w:rsid w:val="029718F6"/>
    <w:rsid w:val="029964D8"/>
    <w:rsid w:val="029A0E57"/>
    <w:rsid w:val="029A4B78"/>
    <w:rsid w:val="029C45A8"/>
    <w:rsid w:val="02A61895"/>
    <w:rsid w:val="02A64351"/>
    <w:rsid w:val="02AB1E22"/>
    <w:rsid w:val="02AB2474"/>
    <w:rsid w:val="02B1338A"/>
    <w:rsid w:val="02B16CF1"/>
    <w:rsid w:val="02B56878"/>
    <w:rsid w:val="02B8335F"/>
    <w:rsid w:val="02BE20D8"/>
    <w:rsid w:val="02C344FD"/>
    <w:rsid w:val="02C61DCC"/>
    <w:rsid w:val="02C65352"/>
    <w:rsid w:val="02C770BD"/>
    <w:rsid w:val="02CA507D"/>
    <w:rsid w:val="02CF2666"/>
    <w:rsid w:val="02D1128D"/>
    <w:rsid w:val="02D2104C"/>
    <w:rsid w:val="02D521CE"/>
    <w:rsid w:val="02D664A6"/>
    <w:rsid w:val="02D80DEE"/>
    <w:rsid w:val="02DB594D"/>
    <w:rsid w:val="02DE45D2"/>
    <w:rsid w:val="02DF68FE"/>
    <w:rsid w:val="02E0624F"/>
    <w:rsid w:val="02E217E2"/>
    <w:rsid w:val="02E457C2"/>
    <w:rsid w:val="02E832BC"/>
    <w:rsid w:val="02EB2924"/>
    <w:rsid w:val="02ED7701"/>
    <w:rsid w:val="02F079B0"/>
    <w:rsid w:val="02F26225"/>
    <w:rsid w:val="02F461F3"/>
    <w:rsid w:val="02F72767"/>
    <w:rsid w:val="02FD0F0F"/>
    <w:rsid w:val="02FF3F22"/>
    <w:rsid w:val="02FF77DA"/>
    <w:rsid w:val="0308221B"/>
    <w:rsid w:val="03093DF6"/>
    <w:rsid w:val="031105F3"/>
    <w:rsid w:val="03112982"/>
    <w:rsid w:val="03122C65"/>
    <w:rsid w:val="031333A7"/>
    <w:rsid w:val="031333F7"/>
    <w:rsid w:val="03143E6C"/>
    <w:rsid w:val="031535B9"/>
    <w:rsid w:val="0317460B"/>
    <w:rsid w:val="031762C6"/>
    <w:rsid w:val="03195C97"/>
    <w:rsid w:val="031B4856"/>
    <w:rsid w:val="031B7551"/>
    <w:rsid w:val="031D3E63"/>
    <w:rsid w:val="031D71E4"/>
    <w:rsid w:val="032844C5"/>
    <w:rsid w:val="03296AD2"/>
    <w:rsid w:val="032D066F"/>
    <w:rsid w:val="032F099C"/>
    <w:rsid w:val="032F2705"/>
    <w:rsid w:val="0330019F"/>
    <w:rsid w:val="03305258"/>
    <w:rsid w:val="03306146"/>
    <w:rsid w:val="033343AE"/>
    <w:rsid w:val="03340E47"/>
    <w:rsid w:val="03385EE6"/>
    <w:rsid w:val="0339611B"/>
    <w:rsid w:val="033A4CF6"/>
    <w:rsid w:val="033F4983"/>
    <w:rsid w:val="03416C34"/>
    <w:rsid w:val="03423D32"/>
    <w:rsid w:val="03442AF9"/>
    <w:rsid w:val="03467C0E"/>
    <w:rsid w:val="03476AA9"/>
    <w:rsid w:val="034A32FD"/>
    <w:rsid w:val="034A70C0"/>
    <w:rsid w:val="034B1AAA"/>
    <w:rsid w:val="034D054E"/>
    <w:rsid w:val="034D4A7D"/>
    <w:rsid w:val="034F0C98"/>
    <w:rsid w:val="034F0E77"/>
    <w:rsid w:val="03503C7D"/>
    <w:rsid w:val="0352509A"/>
    <w:rsid w:val="03543D51"/>
    <w:rsid w:val="03546D12"/>
    <w:rsid w:val="03561ECD"/>
    <w:rsid w:val="03577A2F"/>
    <w:rsid w:val="03597303"/>
    <w:rsid w:val="035E0357"/>
    <w:rsid w:val="035F6344"/>
    <w:rsid w:val="03605228"/>
    <w:rsid w:val="03646CC9"/>
    <w:rsid w:val="036642F0"/>
    <w:rsid w:val="03685E66"/>
    <w:rsid w:val="036929A3"/>
    <w:rsid w:val="037004F3"/>
    <w:rsid w:val="03704131"/>
    <w:rsid w:val="037236AA"/>
    <w:rsid w:val="037751B1"/>
    <w:rsid w:val="037763AC"/>
    <w:rsid w:val="037A67A0"/>
    <w:rsid w:val="037B5542"/>
    <w:rsid w:val="037F0DC8"/>
    <w:rsid w:val="03812CE6"/>
    <w:rsid w:val="0382278C"/>
    <w:rsid w:val="038259B4"/>
    <w:rsid w:val="0388408C"/>
    <w:rsid w:val="038B204C"/>
    <w:rsid w:val="038C6FFE"/>
    <w:rsid w:val="038E2B47"/>
    <w:rsid w:val="03917161"/>
    <w:rsid w:val="039735EC"/>
    <w:rsid w:val="03977A96"/>
    <w:rsid w:val="03977E2B"/>
    <w:rsid w:val="03A00489"/>
    <w:rsid w:val="03A0060B"/>
    <w:rsid w:val="03A301B6"/>
    <w:rsid w:val="03A35CD0"/>
    <w:rsid w:val="03A460D2"/>
    <w:rsid w:val="03A94FE6"/>
    <w:rsid w:val="03AA13C9"/>
    <w:rsid w:val="03AB70DD"/>
    <w:rsid w:val="03AC0EFE"/>
    <w:rsid w:val="03AF6D65"/>
    <w:rsid w:val="03B25B3D"/>
    <w:rsid w:val="03B45EFF"/>
    <w:rsid w:val="03B55B83"/>
    <w:rsid w:val="03B704C3"/>
    <w:rsid w:val="03B74732"/>
    <w:rsid w:val="03B75515"/>
    <w:rsid w:val="03BA6803"/>
    <w:rsid w:val="03BA7FD0"/>
    <w:rsid w:val="03BB6E49"/>
    <w:rsid w:val="03BD074D"/>
    <w:rsid w:val="03C11F0D"/>
    <w:rsid w:val="03C2599C"/>
    <w:rsid w:val="03C35B0B"/>
    <w:rsid w:val="03C46EAD"/>
    <w:rsid w:val="03C763C5"/>
    <w:rsid w:val="03C9092D"/>
    <w:rsid w:val="03CA0C21"/>
    <w:rsid w:val="03CF6D23"/>
    <w:rsid w:val="03D01D6E"/>
    <w:rsid w:val="03D021D6"/>
    <w:rsid w:val="03D31FAB"/>
    <w:rsid w:val="03D42D4E"/>
    <w:rsid w:val="03D46A07"/>
    <w:rsid w:val="03D60954"/>
    <w:rsid w:val="03D6202F"/>
    <w:rsid w:val="03D66D35"/>
    <w:rsid w:val="03D74F5F"/>
    <w:rsid w:val="03D7630A"/>
    <w:rsid w:val="03D87A71"/>
    <w:rsid w:val="03DB2BD0"/>
    <w:rsid w:val="03DE52E5"/>
    <w:rsid w:val="03DF6104"/>
    <w:rsid w:val="03EA2B79"/>
    <w:rsid w:val="03EA3FD0"/>
    <w:rsid w:val="03EE0969"/>
    <w:rsid w:val="03F31F19"/>
    <w:rsid w:val="03F35FA6"/>
    <w:rsid w:val="03F5536B"/>
    <w:rsid w:val="03F63E05"/>
    <w:rsid w:val="03F91D57"/>
    <w:rsid w:val="03FA4E4D"/>
    <w:rsid w:val="03FD477F"/>
    <w:rsid w:val="03FE1D3B"/>
    <w:rsid w:val="04011ECC"/>
    <w:rsid w:val="04044319"/>
    <w:rsid w:val="04077265"/>
    <w:rsid w:val="040877A1"/>
    <w:rsid w:val="040C25C7"/>
    <w:rsid w:val="040F2BA3"/>
    <w:rsid w:val="04122DBB"/>
    <w:rsid w:val="04133F67"/>
    <w:rsid w:val="04173400"/>
    <w:rsid w:val="041D665C"/>
    <w:rsid w:val="0420622D"/>
    <w:rsid w:val="04206618"/>
    <w:rsid w:val="04237DF7"/>
    <w:rsid w:val="042645A6"/>
    <w:rsid w:val="04280A12"/>
    <w:rsid w:val="04281490"/>
    <w:rsid w:val="04294FA2"/>
    <w:rsid w:val="042A510F"/>
    <w:rsid w:val="042C0631"/>
    <w:rsid w:val="042F7A3D"/>
    <w:rsid w:val="043102B8"/>
    <w:rsid w:val="04330755"/>
    <w:rsid w:val="0435426A"/>
    <w:rsid w:val="043774F0"/>
    <w:rsid w:val="043A20B4"/>
    <w:rsid w:val="043B1259"/>
    <w:rsid w:val="043D2742"/>
    <w:rsid w:val="043D6C25"/>
    <w:rsid w:val="043E21D1"/>
    <w:rsid w:val="04413CCB"/>
    <w:rsid w:val="044467B8"/>
    <w:rsid w:val="04455AD9"/>
    <w:rsid w:val="044607AD"/>
    <w:rsid w:val="04471685"/>
    <w:rsid w:val="04474B66"/>
    <w:rsid w:val="04480E50"/>
    <w:rsid w:val="044A4A5B"/>
    <w:rsid w:val="044B68F5"/>
    <w:rsid w:val="044C7F53"/>
    <w:rsid w:val="044D04C9"/>
    <w:rsid w:val="044E21C6"/>
    <w:rsid w:val="04530C48"/>
    <w:rsid w:val="04547BEF"/>
    <w:rsid w:val="04600C4A"/>
    <w:rsid w:val="04627C45"/>
    <w:rsid w:val="04640655"/>
    <w:rsid w:val="04697950"/>
    <w:rsid w:val="046D6BD6"/>
    <w:rsid w:val="046F254C"/>
    <w:rsid w:val="0475419C"/>
    <w:rsid w:val="04767AF9"/>
    <w:rsid w:val="047A01A8"/>
    <w:rsid w:val="047A58F3"/>
    <w:rsid w:val="047E76C4"/>
    <w:rsid w:val="047F54C6"/>
    <w:rsid w:val="048559C4"/>
    <w:rsid w:val="04857D30"/>
    <w:rsid w:val="048B5BE2"/>
    <w:rsid w:val="048B6D8C"/>
    <w:rsid w:val="048F3455"/>
    <w:rsid w:val="04912363"/>
    <w:rsid w:val="04924240"/>
    <w:rsid w:val="04933633"/>
    <w:rsid w:val="04954433"/>
    <w:rsid w:val="049857B2"/>
    <w:rsid w:val="049B209D"/>
    <w:rsid w:val="049B5586"/>
    <w:rsid w:val="049F0DC5"/>
    <w:rsid w:val="04A042DA"/>
    <w:rsid w:val="04A20617"/>
    <w:rsid w:val="04A44F46"/>
    <w:rsid w:val="04AC1950"/>
    <w:rsid w:val="04B47FCA"/>
    <w:rsid w:val="04B74132"/>
    <w:rsid w:val="04C0453B"/>
    <w:rsid w:val="04C1419F"/>
    <w:rsid w:val="04C30135"/>
    <w:rsid w:val="04C331CC"/>
    <w:rsid w:val="04C64E6C"/>
    <w:rsid w:val="04C84279"/>
    <w:rsid w:val="04C95580"/>
    <w:rsid w:val="04CA22C4"/>
    <w:rsid w:val="04CA2E22"/>
    <w:rsid w:val="04CE75CA"/>
    <w:rsid w:val="04CF37A9"/>
    <w:rsid w:val="04D00DF0"/>
    <w:rsid w:val="04D07E83"/>
    <w:rsid w:val="04D1050D"/>
    <w:rsid w:val="04D43F92"/>
    <w:rsid w:val="04D5771D"/>
    <w:rsid w:val="04D6408E"/>
    <w:rsid w:val="04DA7BAD"/>
    <w:rsid w:val="04DB2D48"/>
    <w:rsid w:val="04DD628B"/>
    <w:rsid w:val="04E04DD5"/>
    <w:rsid w:val="04E14C15"/>
    <w:rsid w:val="04E177F5"/>
    <w:rsid w:val="04E56E74"/>
    <w:rsid w:val="04E94B50"/>
    <w:rsid w:val="04EC7BB4"/>
    <w:rsid w:val="04F02DB2"/>
    <w:rsid w:val="04F11056"/>
    <w:rsid w:val="04F23B84"/>
    <w:rsid w:val="04F54490"/>
    <w:rsid w:val="04F64555"/>
    <w:rsid w:val="04F86692"/>
    <w:rsid w:val="04F8768C"/>
    <w:rsid w:val="04FE08F7"/>
    <w:rsid w:val="04FF5384"/>
    <w:rsid w:val="04FF7ABF"/>
    <w:rsid w:val="0502089A"/>
    <w:rsid w:val="0502265B"/>
    <w:rsid w:val="05043109"/>
    <w:rsid w:val="05082C63"/>
    <w:rsid w:val="050A2E4E"/>
    <w:rsid w:val="050A6E6E"/>
    <w:rsid w:val="050E692C"/>
    <w:rsid w:val="050F0867"/>
    <w:rsid w:val="050F3D23"/>
    <w:rsid w:val="051225DC"/>
    <w:rsid w:val="0513405F"/>
    <w:rsid w:val="05157831"/>
    <w:rsid w:val="05170055"/>
    <w:rsid w:val="0518425F"/>
    <w:rsid w:val="05193E71"/>
    <w:rsid w:val="0519597F"/>
    <w:rsid w:val="05233BB1"/>
    <w:rsid w:val="05250053"/>
    <w:rsid w:val="052526FC"/>
    <w:rsid w:val="0526590B"/>
    <w:rsid w:val="05291032"/>
    <w:rsid w:val="052E0738"/>
    <w:rsid w:val="052E6B61"/>
    <w:rsid w:val="05303FB7"/>
    <w:rsid w:val="05313BFB"/>
    <w:rsid w:val="05320C5A"/>
    <w:rsid w:val="05322502"/>
    <w:rsid w:val="05330A8E"/>
    <w:rsid w:val="053315C3"/>
    <w:rsid w:val="05332C0C"/>
    <w:rsid w:val="053367C0"/>
    <w:rsid w:val="05337BB0"/>
    <w:rsid w:val="05341315"/>
    <w:rsid w:val="05360814"/>
    <w:rsid w:val="0538486A"/>
    <w:rsid w:val="053A32FB"/>
    <w:rsid w:val="053A3C8B"/>
    <w:rsid w:val="053A4494"/>
    <w:rsid w:val="05445DAF"/>
    <w:rsid w:val="054738E1"/>
    <w:rsid w:val="05482390"/>
    <w:rsid w:val="054C1237"/>
    <w:rsid w:val="054E00E0"/>
    <w:rsid w:val="054E665C"/>
    <w:rsid w:val="05507FB4"/>
    <w:rsid w:val="05533D26"/>
    <w:rsid w:val="05536A50"/>
    <w:rsid w:val="055A7A0F"/>
    <w:rsid w:val="055C10B8"/>
    <w:rsid w:val="055E08E0"/>
    <w:rsid w:val="05606307"/>
    <w:rsid w:val="05627B2A"/>
    <w:rsid w:val="056768E6"/>
    <w:rsid w:val="05686329"/>
    <w:rsid w:val="056D178C"/>
    <w:rsid w:val="056F7806"/>
    <w:rsid w:val="05715AD0"/>
    <w:rsid w:val="057215A8"/>
    <w:rsid w:val="0575766F"/>
    <w:rsid w:val="05770C22"/>
    <w:rsid w:val="05772266"/>
    <w:rsid w:val="05812B41"/>
    <w:rsid w:val="05856600"/>
    <w:rsid w:val="058829AE"/>
    <w:rsid w:val="058A3E46"/>
    <w:rsid w:val="058D3566"/>
    <w:rsid w:val="05913982"/>
    <w:rsid w:val="05934F26"/>
    <w:rsid w:val="0594658E"/>
    <w:rsid w:val="05977F5C"/>
    <w:rsid w:val="05987112"/>
    <w:rsid w:val="05987241"/>
    <w:rsid w:val="059940B7"/>
    <w:rsid w:val="059C5421"/>
    <w:rsid w:val="05A04343"/>
    <w:rsid w:val="05A158A0"/>
    <w:rsid w:val="05A47B05"/>
    <w:rsid w:val="05A53EC8"/>
    <w:rsid w:val="05A85817"/>
    <w:rsid w:val="05AC1161"/>
    <w:rsid w:val="05AD1606"/>
    <w:rsid w:val="05AE35B1"/>
    <w:rsid w:val="05AF76AE"/>
    <w:rsid w:val="05B25AF6"/>
    <w:rsid w:val="05B60DC8"/>
    <w:rsid w:val="05B919B0"/>
    <w:rsid w:val="05BB4161"/>
    <w:rsid w:val="05BB4CBA"/>
    <w:rsid w:val="05BB70B9"/>
    <w:rsid w:val="05BE584F"/>
    <w:rsid w:val="05BF2866"/>
    <w:rsid w:val="05C05DB5"/>
    <w:rsid w:val="05C516B6"/>
    <w:rsid w:val="05C51D92"/>
    <w:rsid w:val="05C65CE0"/>
    <w:rsid w:val="05CD67A3"/>
    <w:rsid w:val="05CE605F"/>
    <w:rsid w:val="05D01C66"/>
    <w:rsid w:val="05D0550C"/>
    <w:rsid w:val="05D30001"/>
    <w:rsid w:val="05D661F8"/>
    <w:rsid w:val="05D91B55"/>
    <w:rsid w:val="05D95A9D"/>
    <w:rsid w:val="05DA0EF5"/>
    <w:rsid w:val="05DA6F10"/>
    <w:rsid w:val="05DD0685"/>
    <w:rsid w:val="05DD6380"/>
    <w:rsid w:val="05DF20D6"/>
    <w:rsid w:val="05E52BE0"/>
    <w:rsid w:val="05E71B14"/>
    <w:rsid w:val="05E7418D"/>
    <w:rsid w:val="05E7509A"/>
    <w:rsid w:val="05E912CD"/>
    <w:rsid w:val="05EB1A9D"/>
    <w:rsid w:val="05EC47DE"/>
    <w:rsid w:val="05F0154D"/>
    <w:rsid w:val="05F25424"/>
    <w:rsid w:val="05F37963"/>
    <w:rsid w:val="05F40F1D"/>
    <w:rsid w:val="05F57F1E"/>
    <w:rsid w:val="05F632E1"/>
    <w:rsid w:val="05F679C4"/>
    <w:rsid w:val="05FA2855"/>
    <w:rsid w:val="05FF053B"/>
    <w:rsid w:val="05FF5B49"/>
    <w:rsid w:val="06015E1E"/>
    <w:rsid w:val="0602270D"/>
    <w:rsid w:val="06042061"/>
    <w:rsid w:val="06042115"/>
    <w:rsid w:val="060602D8"/>
    <w:rsid w:val="06065CA4"/>
    <w:rsid w:val="060A032B"/>
    <w:rsid w:val="060C6386"/>
    <w:rsid w:val="061808E7"/>
    <w:rsid w:val="0618108D"/>
    <w:rsid w:val="061B08F5"/>
    <w:rsid w:val="061B309A"/>
    <w:rsid w:val="061E5510"/>
    <w:rsid w:val="06203375"/>
    <w:rsid w:val="06224614"/>
    <w:rsid w:val="06234761"/>
    <w:rsid w:val="06235954"/>
    <w:rsid w:val="0624668A"/>
    <w:rsid w:val="06255080"/>
    <w:rsid w:val="062675C1"/>
    <w:rsid w:val="06280C69"/>
    <w:rsid w:val="06293014"/>
    <w:rsid w:val="06294170"/>
    <w:rsid w:val="06296F4F"/>
    <w:rsid w:val="062A7B48"/>
    <w:rsid w:val="062D3957"/>
    <w:rsid w:val="062F0027"/>
    <w:rsid w:val="062F7E59"/>
    <w:rsid w:val="063100DA"/>
    <w:rsid w:val="06356657"/>
    <w:rsid w:val="06380CB0"/>
    <w:rsid w:val="0639032A"/>
    <w:rsid w:val="063B1F85"/>
    <w:rsid w:val="063E4AC1"/>
    <w:rsid w:val="06437DD0"/>
    <w:rsid w:val="0644188E"/>
    <w:rsid w:val="0644355E"/>
    <w:rsid w:val="06444BA6"/>
    <w:rsid w:val="06497C5B"/>
    <w:rsid w:val="064B3D8A"/>
    <w:rsid w:val="064E4AB5"/>
    <w:rsid w:val="06553D57"/>
    <w:rsid w:val="06564FBC"/>
    <w:rsid w:val="06566068"/>
    <w:rsid w:val="065A1B5A"/>
    <w:rsid w:val="065A731A"/>
    <w:rsid w:val="065B3198"/>
    <w:rsid w:val="065D239E"/>
    <w:rsid w:val="06627ED9"/>
    <w:rsid w:val="066542FA"/>
    <w:rsid w:val="06675341"/>
    <w:rsid w:val="06685BD8"/>
    <w:rsid w:val="066B0C84"/>
    <w:rsid w:val="066E49A8"/>
    <w:rsid w:val="06724923"/>
    <w:rsid w:val="06741D14"/>
    <w:rsid w:val="067527E3"/>
    <w:rsid w:val="0675342B"/>
    <w:rsid w:val="067861CB"/>
    <w:rsid w:val="067B2F2B"/>
    <w:rsid w:val="067F02B2"/>
    <w:rsid w:val="068340D0"/>
    <w:rsid w:val="0689695E"/>
    <w:rsid w:val="068A4F58"/>
    <w:rsid w:val="068C35DD"/>
    <w:rsid w:val="068F13EE"/>
    <w:rsid w:val="068F19B2"/>
    <w:rsid w:val="0692152F"/>
    <w:rsid w:val="06921B52"/>
    <w:rsid w:val="06940366"/>
    <w:rsid w:val="06940FCD"/>
    <w:rsid w:val="06964047"/>
    <w:rsid w:val="069A0834"/>
    <w:rsid w:val="069F71FA"/>
    <w:rsid w:val="06A34DD7"/>
    <w:rsid w:val="06A763F9"/>
    <w:rsid w:val="06AB59B5"/>
    <w:rsid w:val="06AB7E1C"/>
    <w:rsid w:val="06AE2B1C"/>
    <w:rsid w:val="06AE7BDF"/>
    <w:rsid w:val="06B075A6"/>
    <w:rsid w:val="06B2144B"/>
    <w:rsid w:val="06B260C0"/>
    <w:rsid w:val="06B56077"/>
    <w:rsid w:val="06B930A5"/>
    <w:rsid w:val="06BA1784"/>
    <w:rsid w:val="06BB1BB1"/>
    <w:rsid w:val="06BC55F4"/>
    <w:rsid w:val="06BD23DF"/>
    <w:rsid w:val="06BD6A04"/>
    <w:rsid w:val="06BF50C9"/>
    <w:rsid w:val="06C07DFD"/>
    <w:rsid w:val="06C114F2"/>
    <w:rsid w:val="06C141ED"/>
    <w:rsid w:val="06C33F9A"/>
    <w:rsid w:val="06C42C0B"/>
    <w:rsid w:val="06C55E1E"/>
    <w:rsid w:val="06CB1185"/>
    <w:rsid w:val="06D1433A"/>
    <w:rsid w:val="06D342E5"/>
    <w:rsid w:val="06E22A82"/>
    <w:rsid w:val="06E43AFE"/>
    <w:rsid w:val="06E50BCC"/>
    <w:rsid w:val="06E63B04"/>
    <w:rsid w:val="06E90AB7"/>
    <w:rsid w:val="06E92016"/>
    <w:rsid w:val="06EB6275"/>
    <w:rsid w:val="06EF385B"/>
    <w:rsid w:val="06F03A24"/>
    <w:rsid w:val="06F05766"/>
    <w:rsid w:val="06F65ECB"/>
    <w:rsid w:val="06F660BA"/>
    <w:rsid w:val="06F7246B"/>
    <w:rsid w:val="06FC2358"/>
    <w:rsid w:val="06FD61C2"/>
    <w:rsid w:val="07007D91"/>
    <w:rsid w:val="07012141"/>
    <w:rsid w:val="07035B9E"/>
    <w:rsid w:val="07041C7C"/>
    <w:rsid w:val="0705680C"/>
    <w:rsid w:val="07060434"/>
    <w:rsid w:val="070B0935"/>
    <w:rsid w:val="070B6D23"/>
    <w:rsid w:val="070C4A5D"/>
    <w:rsid w:val="070F1E2E"/>
    <w:rsid w:val="07100552"/>
    <w:rsid w:val="07112BD0"/>
    <w:rsid w:val="07121AF1"/>
    <w:rsid w:val="0715326D"/>
    <w:rsid w:val="07191957"/>
    <w:rsid w:val="071A541C"/>
    <w:rsid w:val="071C229E"/>
    <w:rsid w:val="071C6DF4"/>
    <w:rsid w:val="071D6BB8"/>
    <w:rsid w:val="071E62F6"/>
    <w:rsid w:val="07217BE4"/>
    <w:rsid w:val="072268B5"/>
    <w:rsid w:val="07256077"/>
    <w:rsid w:val="07264D34"/>
    <w:rsid w:val="072A5560"/>
    <w:rsid w:val="072A6145"/>
    <w:rsid w:val="072B2615"/>
    <w:rsid w:val="072C009B"/>
    <w:rsid w:val="072D3A76"/>
    <w:rsid w:val="0731104C"/>
    <w:rsid w:val="07324914"/>
    <w:rsid w:val="07351A85"/>
    <w:rsid w:val="073A1F3E"/>
    <w:rsid w:val="073B54D6"/>
    <w:rsid w:val="073D33E6"/>
    <w:rsid w:val="073E518E"/>
    <w:rsid w:val="074410DF"/>
    <w:rsid w:val="074679F7"/>
    <w:rsid w:val="074B02AC"/>
    <w:rsid w:val="074F0812"/>
    <w:rsid w:val="074F6576"/>
    <w:rsid w:val="07502BD8"/>
    <w:rsid w:val="0756126F"/>
    <w:rsid w:val="075C3FE3"/>
    <w:rsid w:val="075D56A0"/>
    <w:rsid w:val="075F2C11"/>
    <w:rsid w:val="076203A3"/>
    <w:rsid w:val="076204F3"/>
    <w:rsid w:val="076227B6"/>
    <w:rsid w:val="076E510B"/>
    <w:rsid w:val="07741C19"/>
    <w:rsid w:val="077433ED"/>
    <w:rsid w:val="0776331D"/>
    <w:rsid w:val="077A460E"/>
    <w:rsid w:val="077B187F"/>
    <w:rsid w:val="077E70F2"/>
    <w:rsid w:val="077F7680"/>
    <w:rsid w:val="07806814"/>
    <w:rsid w:val="07823261"/>
    <w:rsid w:val="0784515B"/>
    <w:rsid w:val="078771C7"/>
    <w:rsid w:val="07885005"/>
    <w:rsid w:val="078A7DEB"/>
    <w:rsid w:val="078E1545"/>
    <w:rsid w:val="078F2427"/>
    <w:rsid w:val="079600EF"/>
    <w:rsid w:val="07966244"/>
    <w:rsid w:val="07994081"/>
    <w:rsid w:val="079A1E0A"/>
    <w:rsid w:val="079A29A9"/>
    <w:rsid w:val="079B3FE8"/>
    <w:rsid w:val="079C1C39"/>
    <w:rsid w:val="079C43B1"/>
    <w:rsid w:val="079D2EBE"/>
    <w:rsid w:val="07A32673"/>
    <w:rsid w:val="07A704D2"/>
    <w:rsid w:val="07A838E6"/>
    <w:rsid w:val="07AB2088"/>
    <w:rsid w:val="07AB20F7"/>
    <w:rsid w:val="07AC14D7"/>
    <w:rsid w:val="07AD26B8"/>
    <w:rsid w:val="07AD5162"/>
    <w:rsid w:val="07AF4608"/>
    <w:rsid w:val="07B24757"/>
    <w:rsid w:val="07B37BE5"/>
    <w:rsid w:val="07B7737E"/>
    <w:rsid w:val="07BD16BB"/>
    <w:rsid w:val="07C02E5A"/>
    <w:rsid w:val="07C338E5"/>
    <w:rsid w:val="07C4690A"/>
    <w:rsid w:val="07C70A3F"/>
    <w:rsid w:val="07CB5DA2"/>
    <w:rsid w:val="07CC1782"/>
    <w:rsid w:val="07D16819"/>
    <w:rsid w:val="07D305DC"/>
    <w:rsid w:val="07D70DAD"/>
    <w:rsid w:val="07D74DB3"/>
    <w:rsid w:val="07D826C8"/>
    <w:rsid w:val="07DA6F95"/>
    <w:rsid w:val="07DE0B6F"/>
    <w:rsid w:val="07E00508"/>
    <w:rsid w:val="07E01C54"/>
    <w:rsid w:val="07E15E3E"/>
    <w:rsid w:val="07E25908"/>
    <w:rsid w:val="07EB39F4"/>
    <w:rsid w:val="07EB544D"/>
    <w:rsid w:val="07ED6ABD"/>
    <w:rsid w:val="07EE27E8"/>
    <w:rsid w:val="07EF20FF"/>
    <w:rsid w:val="07F30EB7"/>
    <w:rsid w:val="07F50333"/>
    <w:rsid w:val="07F566C8"/>
    <w:rsid w:val="07F77D33"/>
    <w:rsid w:val="07FB3873"/>
    <w:rsid w:val="07FD0A59"/>
    <w:rsid w:val="07FD608F"/>
    <w:rsid w:val="07FF7D06"/>
    <w:rsid w:val="08010B8B"/>
    <w:rsid w:val="08021E26"/>
    <w:rsid w:val="08076317"/>
    <w:rsid w:val="080B044A"/>
    <w:rsid w:val="080C636D"/>
    <w:rsid w:val="080D7FAA"/>
    <w:rsid w:val="080F07C0"/>
    <w:rsid w:val="08140F60"/>
    <w:rsid w:val="0817199E"/>
    <w:rsid w:val="08177834"/>
    <w:rsid w:val="081B145D"/>
    <w:rsid w:val="081B3BDB"/>
    <w:rsid w:val="081C0A05"/>
    <w:rsid w:val="081E4D96"/>
    <w:rsid w:val="081E7BF2"/>
    <w:rsid w:val="08202726"/>
    <w:rsid w:val="082072D5"/>
    <w:rsid w:val="08231147"/>
    <w:rsid w:val="08234384"/>
    <w:rsid w:val="08287901"/>
    <w:rsid w:val="082C38A3"/>
    <w:rsid w:val="082C4CDF"/>
    <w:rsid w:val="08312B74"/>
    <w:rsid w:val="083306AF"/>
    <w:rsid w:val="08335DF1"/>
    <w:rsid w:val="08343174"/>
    <w:rsid w:val="08386EC5"/>
    <w:rsid w:val="0839361C"/>
    <w:rsid w:val="083B5F30"/>
    <w:rsid w:val="083C6178"/>
    <w:rsid w:val="083F3E1E"/>
    <w:rsid w:val="083F64BD"/>
    <w:rsid w:val="084150AB"/>
    <w:rsid w:val="08423412"/>
    <w:rsid w:val="084344BD"/>
    <w:rsid w:val="08463A03"/>
    <w:rsid w:val="08466B95"/>
    <w:rsid w:val="08471E20"/>
    <w:rsid w:val="08490D36"/>
    <w:rsid w:val="084922AA"/>
    <w:rsid w:val="084C0E3A"/>
    <w:rsid w:val="084C25AC"/>
    <w:rsid w:val="084C6D62"/>
    <w:rsid w:val="084D3E9D"/>
    <w:rsid w:val="084F5B93"/>
    <w:rsid w:val="08531195"/>
    <w:rsid w:val="085469FC"/>
    <w:rsid w:val="085622AB"/>
    <w:rsid w:val="085A0BB9"/>
    <w:rsid w:val="085A16B9"/>
    <w:rsid w:val="085B77D5"/>
    <w:rsid w:val="08601D8A"/>
    <w:rsid w:val="08601F75"/>
    <w:rsid w:val="08611264"/>
    <w:rsid w:val="0861442A"/>
    <w:rsid w:val="086245CC"/>
    <w:rsid w:val="08677F1B"/>
    <w:rsid w:val="086B51F1"/>
    <w:rsid w:val="086B63E3"/>
    <w:rsid w:val="086B7D01"/>
    <w:rsid w:val="086E4F19"/>
    <w:rsid w:val="086F0A0C"/>
    <w:rsid w:val="086F28E2"/>
    <w:rsid w:val="086F55B1"/>
    <w:rsid w:val="08704502"/>
    <w:rsid w:val="0871115E"/>
    <w:rsid w:val="087479A7"/>
    <w:rsid w:val="08750CCC"/>
    <w:rsid w:val="08784C69"/>
    <w:rsid w:val="08790ED0"/>
    <w:rsid w:val="08791171"/>
    <w:rsid w:val="087A3658"/>
    <w:rsid w:val="087C1D35"/>
    <w:rsid w:val="087C7C0E"/>
    <w:rsid w:val="087D6C20"/>
    <w:rsid w:val="087E0C8A"/>
    <w:rsid w:val="087E2022"/>
    <w:rsid w:val="087E7898"/>
    <w:rsid w:val="08812AA4"/>
    <w:rsid w:val="08824AEA"/>
    <w:rsid w:val="08830801"/>
    <w:rsid w:val="088436A5"/>
    <w:rsid w:val="08865360"/>
    <w:rsid w:val="08881135"/>
    <w:rsid w:val="088A4403"/>
    <w:rsid w:val="088B7187"/>
    <w:rsid w:val="088D392C"/>
    <w:rsid w:val="089177D5"/>
    <w:rsid w:val="08946C61"/>
    <w:rsid w:val="08997D28"/>
    <w:rsid w:val="089D5E7E"/>
    <w:rsid w:val="089F15DB"/>
    <w:rsid w:val="089F4C01"/>
    <w:rsid w:val="08A044A9"/>
    <w:rsid w:val="08A26F9F"/>
    <w:rsid w:val="08A43138"/>
    <w:rsid w:val="08A44BF2"/>
    <w:rsid w:val="08A52C5E"/>
    <w:rsid w:val="08A5692F"/>
    <w:rsid w:val="08A9267F"/>
    <w:rsid w:val="08A96637"/>
    <w:rsid w:val="08AA2331"/>
    <w:rsid w:val="08AE1151"/>
    <w:rsid w:val="08AE2C7C"/>
    <w:rsid w:val="08AE6C8B"/>
    <w:rsid w:val="08AF6C12"/>
    <w:rsid w:val="08B22D7B"/>
    <w:rsid w:val="08B27645"/>
    <w:rsid w:val="08B53D1A"/>
    <w:rsid w:val="08B7009D"/>
    <w:rsid w:val="08BD39E2"/>
    <w:rsid w:val="08C05EAD"/>
    <w:rsid w:val="08C40A62"/>
    <w:rsid w:val="08C64B62"/>
    <w:rsid w:val="08C6717A"/>
    <w:rsid w:val="08C90DB7"/>
    <w:rsid w:val="08CA5AE9"/>
    <w:rsid w:val="08CE4897"/>
    <w:rsid w:val="08D0036E"/>
    <w:rsid w:val="08D25FC9"/>
    <w:rsid w:val="08D739A9"/>
    <w:rsid w:val="08DA59A1"/>
    <w:rsid w:val="08DE2BA0"/>
    <w:rsid w:val="08DF3FF0"/>
    <w:rsid w:val="08E05092"/>
    <w:rsid w:val="08E4559B"/>
    <w:rsid w:val="08E45DB3"/>
    <w:rsid w:val="08E738CF"/>
    <w:rsid w:val="08E739A0"/>
    <w:rsid w:val="08EB4EA1"/>
    <w:rsid w:val="08EC4B50"/>
    <w:rsid w:val="08F03F9D"/>
    <w:rsid w:val="08F27DF1"/>
    <w:rsid w:val="08F312FF"/>
    <w:rsid w:val="08F513AC"/>
    <w:rsid w:val="08FE445F"/>
    <w:rsid w:val="09000ABF"/>
    <w:rsid w:val="09015055"/>
    <w:rsid w:val="090166AC"/>
    <w:rsid w:val="09042585"/>
    <w:rsid w:val="090608D0"/>
    <w:rsid w:val="09093D4D"/>
    <w:rsid w:val="090A5C7D"/>
    <w:rsid w:val="090C3F5E"/>
    <w:rsid w:val="090D2B4B"/>
    <w:rsid w:val="090E5920"/>
    <w:rsid w:val="090F16E7"/>
    <w:rsid w:val="0912255B"/>
    <w:rsid w:val="09126596"/>
    <w:rsid w:val="09127394"/>
    <w:rsid w:val="09131FE0"/>
    <w:rsid w:val="09136E47"/>
    <w:rsid w:val="09141A18"/>
    <w:rsid w:val="091474CF"/>
    <w:rsid w:val="09157F7C"/>
    <w:rsid w:val="09174768"/>
    <w:rsid w:val="09185DEC"/>
    <w:rsid w:val="091C741B"/>
    <w:rsid w:val="091F2476"/>
    <w:rsid w:val="091F7833"/>
    <w:rsid w:val="092327C7"/>
    <w:rsid w:val="0924781D"/>
    <w:rsid w:val="09265725"/>
    <w:rsid w:val="09273A00"/>
    <w:rsid w:val="092857AD"/>
    <w:rsid w:val="092E17E0"/>
    <w:rsid w:val="092E443F"/>
    <w:rsid w:val="09311B51"/>
    <w:rsid w:val="0932730E"/>
    <w:rsid w:val="093672BD"/>
    <w:rsid w:val="093A1F7C"/>
    <w:rsid w:val="093A44AD"/>
    <w:rsid w:val="093C3C30"/>
    <w:rsid w:val="09425783"/>
    <w:rsid w:val="09471628"/>
    <w:rsid w:val="09486413"/>
    <w:rsid w:val="094A5AA2"/>
    <w:rsid w:val="094B5940"/>
    <w:rsid w:val="094D52ED"/>
    <w:rsid w:val="094E42CD"/>
    <w:rsid w:val="09504D01"/>
    <w:rsid w:val="09507073"/>
    <w:rsid w:val="09532B93"/>
    <w:rsid w:val="095353A7"/>
    <w:rsid w:val="09562993"/>
    <w:rsid w:val="095B6CA7"/>
    <w:rsid w:val="09601C11"/>
    <w:rsid w:val="09634FF5"/>
    <w:rsid w:val="09647FBC"/>
    <w:rsid w:val="0965233C"/>
    <w:rsid w:val="096B0DC1"/>
    <w:rsid w:val="096E2768"/>
    <w:rsid w:val="09735598"/>
    <w:rsid w:val="097621EC"/>
    <w:rsid w:val="097B1E93"/>
    <w:rsid w:val="097B3E36"/>
    <w:rsid w:val="097C6B32"/>
    <w:rsid w:val="0982573E"/>
    <w:rsid w:val="09846368"/>
    <w:rsid w:val="09867761"/>
    <w:rsid w:val="098937B0"/>
    <w:rsid w:val="098D56D3"/>
    <w:rsid w:val="09914C31"/>
    <w:rsid w:val="099563F9"/>
    <w:rsid w:val="09995343"/>
    <w:rsid w:val="099A5383"/>
    <w:rsid w:val="099A6E92"/>
    <w:rsid w:val="099C39A1"/>
    <w:rsid w:val="099D192F"/>
    <w:rsid w:val="099D6569"/>
    <w:rsid w:val="09A0312F"/>
    <w:rsid w:val="09A14AB3"/>
    <w:rsid w:val="09A57851"/>
    <w:rsid w:val="09A75421"/>
    <w:rsid w:val="09AC1E2D"/>
    <w:rsid w:val="09B14FE1"/>
    <w:rsid w:val="09B332D6"/>
    <w:rsid w:val="09B4676C"/>
    <w:rsid w:val="09B94F9F"/>
    <w:rsid w:val="09B959DC"/>
    <w:rsid w:val="09BE0ECE"/>
    <w:rsid w:val="09BE6A71"/>
    <w:rsid w:val="09C32D45"/>
    <w:rsid w:val="09C337AD"/>
    <w:rsid w:val="09C3473C"/>
    <w:rsid w:val="09C410D7"/>
    <w:rsid w:val="09C417D7"/>
    <w:rsid w:val="09C74142"/>
    <w:rsid w:val="09C748BE"/>
    <w:rsid w:val="09C75238"/>
    <w:rsid w:val="09C7612D"/>
    <w:rsid w:val="09C7639A"/>
    <w:rsid w:val="09C8703D"/>
    <w:rsid w:val="09CB3640"/>
    <w:rsid w:val="09D24562"/>
    <w:rsid w:val="09D25002"/>
    <w:rsid w:val="09D254FE"/>
    <w:rsid w:val="09D33BFF"/>
    <w:rsid w:val="09D50C49"/>
    <w:rsid w:val="09D67656"/>
    <w:rsid w:val="09DF3409"/>
    <w:rsid w:val="09E34A6C"/>
    <w:rsid w:val="09E3590D"/>
    <w:rsid w:val="09E55FE6"/>
    <w:rsid w:val="09E6556D"/>
    <w:rsid w:val="09EA3517"/>
    <w:rsid w:val="09EA4C74"/>
    <w:rsid w:val="09EB5A58"/>
    <w:rsid w:val="09F34F48"/>
    <w:rsid w:val="09F6780E"/>
    <w:rsid w:val="09FD373E"/>
    <w:rsid w:val="09FF563E"/>
    <w:rsid w:val="0A016806"/>
    <w:rsid w:val="0A0501E5"/>
    <w:rsid w:val="0A0667D4"/>
    <w:rsid w:val="0A0762F1"/>
    <w:rsid w:val="0A076690"/>
    <w:rsid w:val="0A081925"/>
    <w:rsid w:val="0A091737"/>
    <w:rsid w:val="0A09454B"/>
    <w:rsid w:val="0A0955CB"/>
    <w:rsid w:val="0A097396"/>
    <w:rsid w:val="0A0A682D"/>
    <w:rsid w:val="0A0D7E2B"/>
    <w:rsid w:val="0A0F5023"/>
    <w:rsid w:val="0A1042DF"/>
    <w:rsid w:val="0A1725C1"/>
    <w:rsid w:val="0A182228"/>
    <w:rsid w:val="0A196EB1"/>
    <w:rsid w:val="0A1D1FE4"/>
    <w:rsid w:val="0A1F3826"/>
    <w:rsid w:val="0A2073A6"/>
    <w:rsid w:val="0A211EA0"/>
    <w:rsid w:val="0A281E5D"/>
    <w:rsid w:val="0A295C03"/>
    <w:rsid w:val="0A2A1226"/>
    <w:rsid w:val="0A2A6CDE"/>
    <w:rsid w:val="0A2F5262"/>
    <w:rsid w:val="0A323F6C"/>
    <w:rsid w:val="0A331B9E"/>
    <w:rsid w:val="0A36214C"/>
    <w:rsid w:val="0A381095"/>
    <w:rsid w:val="0A3A34DE"/>
    <w:rsid w:val="0A3A623D"/>
    <w:rsid w:val="0A3B6E67"/>
    <w:rsid w:val="0A3F40EB"/>
    <w:rsid w:val="0A3F71FB"/>
    <w:rsid w:val="0A4201E4"/>
    <w:rsid w:val="0A421D0F"/>
    <w:rsid w:val="0A42686A"/>
    <w:rsid w:val="0A465D81"/>
    <w:rsid w:val="0A4737E9"/>
    <w:rsid w:val="0A483D5D"/>
    <w:rsid w:val="0A4943F2"/>
    <w:rsid w:val="0A512F35"/>
    <w:rsid w:val="0A525697"/>
    <w:rsid w:val="0A526100"/>
    <w:rsid w:val="0A5516BE"/>
    <w:rsid w:val="0A581735"/>
    <w:rsid w:val="0A5B120F"/>
    <w:rsid w:val="0A5B2DBA"/>
    <w:rsid w:val="0A5B5917"/>
    <w:rsid w:val="0A5D4697"/>
    <w:rsid w:val="0A5D60EE"/>
    <w:rsid w:val="0A5E12A3"/>
    <w:rsid w:val="0A6433B3"/>
    <w:rsid w:val="0A656B4D"/>
    <w:rsid w:val="0A663540"/>
    <w:rsid w:val="0A667A8B"/>
    <w:rsid w:val="0A68750C"/>
    <w:rsid w:val="0A6A4BA5"/>
    <w:rsid w:val="0A6A629A"/>
    <w:rsid w:val="0A6A76D6"/>
    <w:rsid w:val="0A6C28CB"/>
    <w:rsid w:val="0A6D70BB"/>
    <w:rsid w:val="0A7646A5"/>
    <w:rsid w:val="0A7659B5"/>
    <w:rsid w:val="0A785749"/>
    <w:rsid w:val="0A7A3DC6"/>
    <w:rsid w:val="0A7C4399"/>
    <w:rsid w:val="0A7D03A1"/>
    <w:rsid w:val="0A850580"/>
    <w:rsid w:val="0A88577D"/>
    <w:rsid w:val="0A8E1F88"/>
    <w:rsid w:val="0A8E7DBB"/>
    <w:rsid w:val="0A8F0C26"/>
    <w:rsid w:val="0A9403DE"/>
    <w:rsid w:val="0A95655F"/>
    <w:rsid w:val="0A975D9D"/>
    <w:rsid w:val="0A976944"/>
    <w:rsid w:val="0A9834D4"/>
    <w:rsid w:val="0A9878E2"/>
    <w:rsid w:val="0A9B2B49"/>
    <w:rsid w:val="0A9C41D7"/>
    <w:rsid w:val="0A9D2A25"/>
    <w:rsid w:val="0A9E60BB"/>
    <w:rsid w:val="0A9F23E7"/>
    <w:rsid w:val="0AA17496"/>
    <w:rsid w:val="0AA234AE"/>
    <w:rsid w:val="0AA45061"/>
    <w:rsid w:val="0AA820D8"/>
    <w:rsid w:val="0AA93D1A"/>
    <w:rsid w:val="0AA951C0"/>
    <w:rsid w:val="0AAA60E0"/>
    <w:rsid w:val="0AAD7A23"/>
    <w:rsid w:val="0AB14CE3"/>
    <w:rsid w:val="0AB7725D"/>
    <w:rsid w:val="0ABC11B9"/>
    <w:rsid w:val="0ABD4A23"/>
    <w:rsid w:val="0AC00AC2"/>
    <w:rsid w:val="0AC01CE4"/>
    <w:rsid w:val="0AC20AD3"/>
    <w:rsid w:val="0AC67B2D"/>
    <w:rsid w:val="0AC81743"/>
    <w:rsid w:val="0AC868E4"/>
    <w:rsid w:val="0ACC5EA2"/>
    <w:rsid w:val="0ACC69C6"/>
    <w:rsid w:val="0ACE3532"/>
    <w:rsid w:val="0ACF7295"/>
    <w:rsid w:val="0AD316B4"/>
    <w:rsid w:val="0AD56F2C"/>
    <w:rsid w:val="0AD717F0"/>
    <w:rsid w:val="0ADB019F"/>
    <w:rsid w:val="0ADE3857"/>
    <w:rsid w:val="0AE30661"/>
    <w:rsid w:val="0AE5264F"/>
    <w:rsid w:val="0AE56E3C"/>
    <w:rsid w:val="0AE97192"/>
    <w:rsid w:val="0AEC233D"/>
    <w:rsid w:val="0AEE2B18"/>
    <w:rsid w:val="0AF248B0"/>
    <w:rsid w:val="0AF42B17"/>
    <w:rsid w:val="0AF83B1B"/>
    <w:rsid w:val="0AFA72AB"/>
    <w:rsid w:val="0AFD27F1"/>
    <w:rsid w:val="0AFF6C2F"/>
    <w:rsid w:val="0B00275A"/>
    <w:rsid w:val="0B0064A0"/>
    <w:rsid w:val="0B0407E3"/>
    <w:rsid w:val="0B0578AD"/>
    <w:rsid w:val="0B0839C9"/>
    <w:rsid w:val="0B0A7CEA"/>
    <w:rsid w:val="0B0B494D"/>
    <w:rsid w:val="0B0E18FF"/>
    <w:rsid w:val="0B122AC8"/>
    <w:rsid w:val="0B1449BA"/>
    <w:rsid w:val="0B150C72"/>
    <w:rsid w:val="0B1511B0"/>
    <w:rsid w:val="0B17761C"/>
    <w:rsid w:val="0B186104"/>
    <w:rsid w:val="0B187BCB"/>
    <w:rsid w:val="0B1A226B"/>
    <w:rsid w:val="0B1C29DC"/>
    <w:rsid w:val="0B1D1FD8"/>
    <w:rsid w:val="0B2110FC"/>
    <w:rsid w:val="0B214DE2"/>
    <w:rsid w:val="0B2236E8"/>
    <w:rsid w:val="0B240CA3"/>
    <w:rsid w:val="0B2659DC"/>
    <w:rsid w:val="0B275FA5"/>
    <w:rsid w:val="0B27681B"/>
    <w:rsid w:val="0B276BDB"/>
    <w:rsid w:val="0B295753"/>
    <w:rsid w:val="0B2A0562"/>
    <w:rsid w:val="0B2C64EF"/>
    <w:rsid w:val="0B2D5D21"/>
    <w:rsid w:val="0B2F1786"/>
    <w:rsid w:val="0B2F5BD0"/>
    <w:rsid w:val="0B3110E8"/>
    <w:rsid w:val="0B321816"/>
    <w:rsid w:val="0B361306"/>
    <w:rsid w:val="0B380E9F"/>
    <w:rsid w:val="0B381BEE"/>
    <w:rsid w:val="0B3A0921"/>
    <w:rsid w:val="0B3A4B69"/>
    <w:rsid w:val="0B3A5DB9"/>
    <w:rsid w:val="0B401428"/>
    <w:rsid w:val="0B425DB9"/>
    <w:rsid w:val="0B431ECC"/>
    <w:rsid w:val="0B4408CC"/>
    <w:rsid w:val="0B441670"/>
    <w:rsid w:val="0B482056"/>
    <w:rsid w:val="0B495EAF"/>
    <w:rsid w:val="0B496081"/>
    <w:rsid w:val="0B541D8C"/>
    <w:rsid w:val="0B5450DE"/>
    <w:rsid w:val="0B550B5A"/>
    <w:rsid w:val="0B563282"/>
    <w:rsid w:val="0B57632D"/>
    <w:rsid w:val="0B582A96"/>
    <w:rsid w:val="0B591295"/>
    <w:rsid w:val="0B5B58E4"/>
    <w:rsid w:val="0B5D7FA4"/>
    <w:rsid w:val="0B5E272E"/>
    <w:rsid w:val="0B6015CB"/>
    <w:rsid w:val="0B6366FD"/>
    <w:rsid w:val="0B6455E0"/>
    <w:rsid w:val="0B653483"/>
    <w:rsid w:val="0B6C3F75"/>
    <w:rsid w:val="0B6E26D1"/>
    <w:rsid w:val="0B706BCD"/>
    <w:rsid w:val="0B7247D6"/>
    <w:rsid w:val="0B751AC3"/>
    <w:rsid w:val="0B755371"/>
    <w:rsid w:val="0B757856"/>
    <w:rsid w:val="0B767409"/>
    <w:rsid w:val="0B774D5B"/>
    <w:rsid w:val="0B77771F"/>
    <w:rsid w:val="0B7C3913"/>
    <w:rsid w:val="0B807FF1"/>
    <w:rsid w:val="0B8121E3"/>
    <w:rsid w:val="0B812DE7"/>
    <w:rsid w:val="0B8461F9"/>
    <w:rsid w:val="0B846BFD"/>
    <w:rsid w:val="0B851F2A"/>
    <w:rsid w:val="0B857752"/>
    <w:rsid w:val="0B8634B5"/>
    <w:rsid w:val="0B877E24"/>
    <w:rsid w:val="0B886E68"/>
    <w:rsid w:val="0B887F66"/>
    <w:rsid w:val="0B893C5D"/>
    <w:rsid w:val="0B8A187E"/>
    <w:rsid w:val="0B8D6EA3"/>
    <w:rsid w:val="0B8F3A2E"/>
    <w:rsid w:val="0B9148FD"/>
    <w:rsid w:val="0B926FDB"/>
    <w:rsid w:val="0B9340E8"/>
    <w:rsid w:val="0B936B61"/>
    <w:rsid w:val="0B9376A9"/>
    <w:rsid w:val="0B945133"/>
    <w:rsid w:val="0B967206"/>
    <w:rsid w:val="0B97635F"/>
    <w:rsid w:val="0B9871A6"/>
    <w:rsid w:val="0B9B16B5"/>
    <w:rsid w:val="0B9C3A0A"/>
    <w:rsid w:val="0BA46954"/>
    <w:rsid w:val="0BA564A4"/>
    <w:rsid w:val="0BA710A6"/>
    <w:rsid w:val="0BA852CC"/>
    <w:rsid w:val="0BA9217F"/>
    <w:rsid w:val="0BAB693B"/>
    <w:rsid w:val="0BAC178E"/>
    <w:rsid w:val="0BAE0408"/>
    <w:rsid w:val="0BB23522"/>
    <w:rsid w:val="0BB65C35"/>
    <w:rsid w:val="0BB70B00"/>
    <w:rsid w:val="0BB7436A"/>
    <w:rsid w:val="0BBB1380"/>
    <w:rsid w:val="0BBD1508"/>
    <w:rsid w:val="0BBE3B54"/>
    <w:rsid w:val="0BC07BBC"/>
    <w:rsid w:val="0BC34B1C"/>
    <w:rsid w:val="0BC72270"/>
    <w:rsid w:val="0BC72788"/>
    <w:rsid w:val="0BC7308E"/>
    <w:rsid w:val="0BC75A8F"/>
    <w:rsid w:val="0BC91418"/>
    <w:rsid w:val="0BCA10A8"/>
    <w:rsid w:val="0BCB7961"/>
    <w:rsid w:val="0BCC40AC"/>
    <w:rsid w:val="0BD17A77"/>
    <w:rsid w:val="0BD17CE2"/>
    <w:rsid w:val="0BD443D7"/>
    <w:rsid w:val="0BD51C20"/>
    <w:rsid w:val="0BD674EF"/>
    <w:rsid w:val="0BD93475"/>
    <w:rsid w:val="0BD969B2"/>
    <w:rsid w:val="0BDC19EF"/>
    <w:rsid w:val="0BE2032B"/>
    <w:rsid w:val="0BE311FB"/>
    <w:rsid w:val="0BE43611"/>
    <w:rsid w:val="0BE50B30"/>
    <w:rsid w:val="0BEA41D9"/>
    <w:rsid w:val="0BEA4BC4"/>
    <w:rsid w:val="0BED2687"/>
    <w:rsid w:val="0BEE400B"/>
    <w:rsid w:val="0BF006E8"/>
    <w:rsid w:val="0BF051C1"/>
    <w:rsid w:val="0BF57DE5"/>
    <w:rsid w:val="0BF91743"/>
    <w:rsid w:val="0BFA26C8"/>
    <w:rsid w:val="0BFA5A7D"/>
    <w:rsid w:val="0C005885"/>
    <w:rsid w:val="0C01431C"/>
    <w:rsid w:val="0C0346F4"/>
    <w:rsid w:val="0C063753"/>
    <w:rsid w:val="0C0712EE"/>
    <w:rsid w:val="0C082D4A"/>
    <w:rsid w:val="0C094100"/>
    <w:rsid w:val="0C0B4368"/>
    <w:rsid w:val="0C1313A8"/>
    <w:rsid w:val="0C13564B"/>
    <w:rsid w:val="0C142A7D"/>
    <w:rsid w:val="0C1460A9"/>
    <w:rsid w:val="0C152382"/>
    <w:rsid w:val="0C161DC2"/>
    <w:rsid w:val="0C17336E"/>
    <w:rsid w:val="0C1839E7"/>
    <w:rsid w:val="0C1A7EC8"/>
    <w:rsid w:val="0C1E2552"/>
    <w:rsid w:val="0C202590"/>
    <w:rsid w:val="0C2343C4"/>
    <w:rsid w:val="0C251E6B"/>
    <w:rsid w:val="0C262E48"/>
    <w:rsid w:val="0C27184E"/>
    <w:rsid w:val="0C295993"/>
    <w:rsid w:val="0C2B480D"/>
    <w:rsid w:val="0C2C728E"/>
    <w:rsid w:val="0C2D252D"/>
    <w:rsid w:val="0C2E36E7"/>
    <w:rsid w:val="0C314FD0"/>
    <w:rsid w:val="0C3265D8"/>
    <w:rsid w:val="0C342607"/>
    <w:rsid w:val="0C3705BA"/>
    <w:rsid w:val="0C432E0C"/>
    <w:rsid w:val="0C45461A"/>
    <w:rsid w:val="0C4677E5"/>
    <w:rsid w:val="0C4D051B"/>
    <w:rsid w:val="0C4D760F"/>
    <w:rsid w:val="0C4F7B45"/>
    <w:rsid w:val="0C502B93"/>
    <w:rsid w:val="0C546440"/>
    <w:rsid w:val="0C580D35"/>
    <w:rsid w:val="0C5C1BA2"/>
    <w:rsid w:val="0C5C32D4"/>
    <w:rsid w:val="0C5D4FBB"/>
    <w:rsid w:val="0C614250"/>
    <w:rsid w:val="0C6428B6"/>
    <w:rsid w:val="0C6453E4"/>
    <w:rsid w:val="0C646B5B"/>
    <w:rsid w:val="0C64704C"/>
    <w:rsid w:val="0C650508"/>
    <w:rsid w:val="0C681B81"/>
    <w:rsid w:val="0C681F94"/>
    <w:rsid w:val="0C691C10"/>
    <w:rsid w:val="0C6C454B"/>
    <w:rsid w:val="0C6E0DA7"/>
    <w:rsid w:val="0C711E6D"/>
    <w:rsid w:val="0C7518BE"/>
    <w:rsid w:val="0C7668CE"/>
    <w:rsid w:val="0C7760E1"/>
    <w:rsid w:val="0C7954CC"/>
    <w:rsid w:val="0C7A71C6"/>
    <w:rsid w:val="0C7C3A1D"/>
    <w:rsid w:val="0C7E0ABD"/>
    <w:rsid w:val="0C7E4CB2"/>
    <w:rsid w:val="0C812F6E"/>
    <w:rsid w:val="0C81689B"/>
    <w:rsid w:val="0C832407"/>
    <w:rsid w:val="0C8467A4"/>
    <w:rsid w:val="0C863CFB"/>
    <w:rsid w:val="0C903BA0"/>
    <w:rsid w:val="0C914B9B"/>
    <w:rsid w:val="0C915F3A"/>
    <w:rsid w:val="0C930F05"/>
    <w:rsid w:val="0C947881"/>
    <w:rsid w:val="0C964C07"/>
    <w:rsid w:val="0C97169A"/>
    <w:rsid w:val="0C991124"/>
    <w:rsid w:val="0C992F27"/>
    <w:rsid w:val="0C9A7B72"/>
    <w:rsid w:val="0C9A7E20"/>
    <w:rsid w:val="0C9E1ABB"/>
    <w:rsid w:val="0C9F7699"/>
    <w:rsid w:val="0CA41974"/>
    <w:rsid w:val="0CA921E0"/>
    <w:rsid w:val="0CAA0F26"/>
    <w:rsid w:val="0CAC4948"/>
    <w:rsid w:val="0CAD6D60"/>
    <w:rsid w:val="0CB01058"/>
    <w:rsid w:val="0CB437FC"/>
    <w:rsid w:val="0CB84942"/>
    <w:rsid w:val="0CB979A1"/>
    <w:rsid w:val="0CBA3E30"/>
    <w:rsid w:val="0CBB6111"/>
    <w:rsid w:val="0CC06645"/>
    <w:rsid w:val="0CC107B6"/>
    <w:rsid w:val="0CC72327"/>
    <w:rsid w:val="0CC86E62"/>
    <w:rsid w:val="0CCC4C4B"/>
    <w:rsid w:val="0CCD7D15"/>
    <w:rsid w:val="0CCF12E4"/>
    <w:rsid w:val="0CD01279"/>
    <w:rsid w:val="0CD36631"/>
    <w:rsid w:val="0CD47BBB"/>
    <w:rsid w:val="0CD55582"/>
    <w:rsid w:val="0CD841CD"/>
    <w:rsid w:val="0CDA1844"/>
    <w:rsid w:val="0CDA5D84"/>
    <w:rsid w:val="0CDB12AF"/>
    <w:rsid w:val="0CDC30BB"/>
    <w:rsid w:val="0CDD43F7"/>
    <w:rsid w:val="0CDD7814"/>
    <w:rsid w:val="0CDE1587"/>
    <w:rsid w:val="0CDE776D"/>
    <w:rsid w:val="0CDF6BBF"/>
    <w:rsid w:val="0CE11603"/>
    <w:rsid w:val="0CE507F6"/>
    <w:rsid w:val="0CE95B98"/>
    <w:rsid w:val="0CEB1719"/>
    <w:rsid w:val="0CEF3555"/>
    <w:rsid w:val="0CF60609"/>
    <w:rsid w:val="0CF84188"/>
    <w:rsid w:val="0CFA0566"/>
    <w:rsid w:val="0CFA3503"/>
    <w:rsid w:val="0CFA3905"/>
    <w:rsid w:val="0CFC648D"/>
    <w:rsid w:val="0CFC7736"/>
    <w:rsid w:val="0CFD4ACB"/>
    <w:rsid w:val="0D036713"/>
    <w:rsid w:val="0D040694"/>
    <w:rsid w:val="0D056D07"/>
    <w:rsid w:val="0D07310F"/>
    <w:rsid w:val="0D0737D9"/>
    <w:rsid w:val="0D074A97"/>
    <w:rsid w:val="0D075D7E"/>
    <w:rsid w:val="0D0868CD"/>
    <w:rsid w:val="0D0A6EEB"/>
    <w:rsid w:val="0D0C1244"/>
    <w:rsid w:val="0D0E44BD"/>
    <w:rsid w:val="0D165A42"/>
    <w:rsid w:val="0D1851E1"/>
    <w:rsid w:val="0D195F06"/>
    <w:rsid w:val="0D1A2866"/>
    <w:rsid w:val="0D1A3ACE"/>
    <w:rsid w:val="0D1C0161"/>
    <w:rsid w:val="0D1C3924"/>
    <w:rsid w:val="0D1D6AA7"/>
    <w:rsid w:val="0D1E70D1"/>
    <w:rsid w:val="0D1F433E"/>
    <w:rsid w:val="0D204B17"/>
    <w:rsid w:val="0D217FCD"/>
    <w:rsid w:val="0D2247DC"/>
    <w:rsid w:val="0D234E22"/>
    <w:rsid w:val="0D251EFD"/>
    <w:rsid w:val="0D255569"/>
    <w:rsid w:val="0D2608E9"/>
    <w:rsid w:val="0D273D46"/>
    <w:rsid w:val="0D276E1F"/>
    <w:rsid w:val="0D280490"/>
    <w:rsid w:val="0D2A4988"/>
    <w:rsid w:val="0D2B2407"/>
    <w:rsid w:val="0D2E14D5"/>
    <w:rsid w:val="0D2E4029"/>
    <w:rsid w:val="0D3375D4"/>
    <w:rsid w:val="0D354819"/>
    <w:rsid w:val="0D372C95"/>
    <w:rsid w:val="0D3C110C"/>
    <w:rsid w:val="0D3F4DE4"/>
    <w:rsid w:val="0D415EFE"/>
    <w:rsid w:val="0D421983"/>
    <w:rsid w:val="0D44264B"/>
    <w:rsid w:val="0D451435"/>
    <w:rsid w:val="0D47551C"/>
    <w:rsid w:val="0D4A1571"/>
    <w:rsid w:val="0D4B1A14"/>
    <w:rsid w:val="0D515A5C"/>
    <w:rsid w:val="0D5520E8"/>
    <w:rsid w:val="0D581A3B"/>
    <w:rsid w:val="0D584B80"/>
    <w:rsid w:val="0D584C45"/>
    <w:rsid w:val="0D5B6E1B"/>
    <w:rsid w:val="0D5C36B9"/>
    <w:rsid w:val="0D5E63EE"/>
    <w:rsid w:val="0D5E6F92"/>
    <w:rsid w:val="0D5F37E4"/>
    <w:rsid w:val="0D647DB5"/>
    <w:rsid w:val="0D692A28"/>
    <w:rsid w:val="0D6945D2"/>
    <w:rsid w:val="0D77370A"/>
    <w:rsid w:val="0D7841EF"/>
    <w:rsid w:val="0D7D26E2"/>
    <w:rsid w:val="0D7D2ECC"/>
    <w:rsid w:val="0D801307"/>
    <w:rsid w:val="0D813330"/>
    <w:rsid w:val="0D831A02"/>
    <w:rsid w:val="0D850054"/>
    <w:rsid w:val="0D8527E0"/>
    <w:rsid w:val="0D871FC1"/>
    <w:rsid w:val="0D872668"/>
    <w:rsid w:val="0D8C204E"/>
    <w:rsid w:val="0D8F5E83"/>
    <w:rsid w:val="0D903A52"/>
    <w:rsid w:val="0D917C40"/>
    <w:rsid w:val="0D933C4A"/>
    <w:rsid w:val="0D940A42"/>
    <w:rsid w:val="0D947D59"/>
    <w:rsid w:val="0D9A5DB3"/>
    <w:rsid w:val="0D9F26FE"/>
    <w:rsid w:val="0D9F2CBE"/>
    <w:rsid w:val="0DA25ACF"/>
    <w:rsid w:val="0DA30E44"/>
    <w:rsid w:val="0DA36B2F"/>
    <w:rsid w:val="0DA37B59"/>
    <w:rsid w:val="0DA7363A"/>
    <w:rsid w:val="0DA9227D"/>
    <w:rsid w:val="0DAB7BE9"/>
    <w:rsid w:val="0DAD3A5D"/>
    <w:rsid w:val="0DB02332"/>
    <w:rsid w:val="0DB023F5"/>
    <w:rsid w:val="0DB03D7F"/>
    <w:rsid w:val="0DBC6133"/>
    <w:rsid w:val="0DBD1430"/>
    <w:rsid w:val="0DBF1439"/>
    <w:rsid w:val="0DC1585E"/>
    <w:rsid w:val="0DC3369C"/>
    <w:rsid w:val="0DC5331B"/>
    <w:rsid w:val="0DC61482"/>
    <w:rsid w:val="0DC624D4"/>
    <w:rsid w:val="0DC63F0B"/>
    <w:rsid w:val="0DC67E62"/>
    <w:rsid w:val="0DC93AD4"/>
    <w:rsid w:val="0DC976D5"/>
    <w:rsid w:val="0DCE24D5"/>
    <w:rsid w:val="0DCE4714"/>
    <w:rsid w:val="0DD067A7"/>
    <w:rsid w:val="0DD11916"/>
    <w:rsid w:val="0DD2470B"/>
    <w:rsid w:val="0DD606FC"/>
    <w:rsid w:val="0DDB22EB"/>
    <w:rsid w:val="0DDC03D4"/>
    <w:rsid w:val="0DDE15F4"/>
    <w:rsid w:val="0DE82C30"/>
    <w:rsid w:val="0DE93979"/>
    <w:rsid w:val="0DEA3D19"/>
    <w:rsid w:val="0DEA550B"/>
    <w:rsid w:val="0DF40E96"/>
    <w:rsid w:val="0DF67ABE"/>
    <w:rsid w:val="0DF872AA"/>
    <w:rsid w:val="0DF901D2"/>
    <w:rsid w:val="0DFD4BA0"/>
    <w:rsid w:val="0DFE0B63"/>
    <w:rsid w:val="0DFF14C6"/>
    <w:rsid w:val="0E036145"/>
    <w:rsid w:val="0E0A4B36"/>
    <w:rsid w:val="0E0B4DD5"/>
    <w:rsid w:val="0E0C0A96"/>
    <w:rsid w:val="0E0D6363"/>
    <w:rsid w:val="0E0E0D61"/>
    <w:rsid w:val="0E122110"/>
    <w:rsid w:val="0E1F00C2"/>
    <w:rsid w:val="0E1F00FE"/>
    <w:rsid w:val="0E2251D4"/>
    <w:rsid w:val="0E233019"/>
    <w:rsid w:val="0E250E55"/>
    <w:rsid w:val="0E251C3E"/>
    <w:rsid w:val="0E262D1A"/>
    <w:rsid w:val="0E272B87"/>
    <w:rsid w:val="0E2A2E55"/>
    <w:rsid w:val="0E2B7ED7"/>
    <w:rsid w:val="0E2C50B4"/>
    <w:rsid w:val="0E2C5ACD"/>
    <w:rsid w:val="0E2C7CD7"/>
    <w:rsid w:val="0E2E11F7"/>
    <w:rsid w:val="0E2E1C06"/>
    <w:rsid w:val="0E2F7930"/>
    <w:rsid w:val="0E30404E"/>
    <w:rsid w:val="0E3534C6"/>
    <w:rsid w:val="0E363494"/>
    <w:rsid w:val="0E365BA3"/>
    <w:rsid w:val="0E3C210E"/>
    <w:rsid w:val="0E3D4F8D"/>
    <w:rsid w:val="0E3F2011"/>
    <w:rsid w:val="0E4045F8"/>
    <w:rsid w:val="0E4063E6"/>
    <w:rsid w:val="0E4335F4"/>
    <w:rsid w:val="0E441A94"/>
    <w:rsid w:val="0E477801"/>
    <w:rsid w:val="0E4831A4"/>
    <w:rsid w:val="0E483FCC"/>
    <w:rsid w:val="0E4E7FC2"/>
    <w:rsid w:val="0E5072A6"/>
    <w:rsid w:val="0E527991"/>
    <w:rsid w:val="0E583926"/>
    <w:rsid w:val="0E591AE7"/>
    <w:rsid w:val="0E59440D"/>
    <w:rsid w:val="0E5A03D3"/>
    <w:rsid w:val="0E5D4FE6"/>
    <w:rsid w:val="0E600DF9"/>
    <w:rsid w:val="0E614062"/>
    <w:rsid w:val="0E620A4B"/>
    <w:rsid w:val="0E633A97"/>
    <w:rsid w:val="0E634D3B"/>
    <w:rsid w:val="0E6A3A15"/>
    <w:rsid w:val="0E6F3913"/>
    <w:rsid w:val="0E705AB1"/>
    <w:rsid w:val="0E710A0A"/>
    <w:rsid w:val="0E7307D1"/>
    <w:rsid w:val="0E7525F3"/>
    <w:rsid w:val="0E764240"/>
    <w:rsid w:val="0E777BDF"/>
    <w:rsid w:val="0E783A76"/>
    <w:rsid w:val="0E7A000F"/>
    <w:rsid w:val="0E7A33CF"/>
    <w:rsid w:val="0E7B65EA"/>
    <w:rsid w:val="0E7F5BF5"/>
    <w:rsid w:val="0E817434"/>
    <w:rsid w:val="0E8A4262"/>
    <w:rsid w:val="0E8F11A2"/>
    <w:rsid w:val="0E8F3C82"/>
    <w:rsid w:val="0E921133"/>
    <w:rsid w:val="0E933C7F"/>
    <w:rsid w:val="0E935DFC"/>
    <w:rsid w:val="0E952570"/>
    <w:rsid w:val="0E966BD2"/>
    <w:rsid w:val="0E9A2813"/>
    <w:rsid w:val="0E9A5BAF"/>
    <w:rsid w:val="0E9C0022"/>
    <w:rsid w:val="0E9E27B1"/>
    <w:rsid w:val="0EA00175"/>
    <w:rsid w:val="0EA46D28"/>
    <w:rsid w:val="0EA7404B"/>
    <w:rsid w:val="0EA97B7B"/>
    <w:rsid w:val="0EAC5C2F"/>
    <w:rsid w:val="0EB268D6"/>
    <w:rsid w:val="0EB45029"/>
    <w:rsid w:val="0EBA4751"/>
    <w:rsid w:val="0EBC78C3"/>
    <w:rsid w:val="0EC046DA"/>
    <w:rsid w:val="0EC42951"/>
    <w:rsid w:val="0EC87A81"/>
    <w:rsid w:val="0EC95C12"/>
    <w:rsid w:val="0ECA0AAA"/>
    <w:rsid w:val="0ECA5193"/>
    <w:rsid w:val="0ECB02E6"/>
    <w:rsid w:val="0ECB5BA6"/>
    <w:rsid w:val="0ECD5742"/>
    <w:rsid w:val="0ECE33F0"/>
    <w:rsid w:val="0ECE7EFC"/>
    <w:rsid w:val="0ED24FDB"/>
    <w:rsid w:val="0ED54C78"/>
    <w:rsid w:val="0ED67528"/>
    <w:rsid w:val="0EDB36F3"/>
    <w:rsid w:val="0EDB52D2"/>
    <w:rsid w:val="0EDD2832"/>
    <w:rsid w:val="0EDF6888"/>
    <w:rsid w:val="0EE30F4B"/>
    <w:rsid w:val="0EE41BCC"/>
    <w:rsid w:val="0EE42889"/>
    <w:rsid w:val="0EE44555"/>
    <w:rsid w:val="0EE51AD2"/>
    <w:rsid w:val="0EE91E55"/>
    <w:rsid w:val="0EEE03CC"/>
    <w:rsid w:val="0EEE0BA9"/>
    <w:rsid w:val="0EEE0E14"/>
    <w:rsid w:val="0EF0089D"/>
    <w:rsid w:val="0EF16F8A"/>
    <w:rsid w:val="0EF40828"/>
    <w:rsid w:val="0EF42BC0"/>
    <w:rsid w:val="0EF970D6"/>
    <w:rsid w:val="0EFA72E2"/>
    <w:rsid w:val="0EFE0261"/>
    <w:rsid w:val="0EFE5203"/>
    <w:rsid w:val="0F015379"/>
    <w:rsid w:val="0F02324D"/>
    <w:rsid w:val="0F06057A"/>
    <w:rsid w:val="0F06397E"/>
    <w:rsid w:val="0F084912"/>
    <w:rsid w:val="0F0A781A"/>
    <w:rsid w:val="0F0B418B"/>
    <w:rsid w:val="0F0F3D09"/>
    <w:rsid w:val="0F107D64"/>
    <w:rsid w:val="0F1134A3"/>
    <w:rsid w:val="0F126E81"/>
    <w:rsid w:val="0F147319"/>
    <w:rsid w:val="0F15494A"/>
    <w:rsid w:val="0F16079E"/>
    <w:rsid w:val="0F1672F0"/>
    <w:rsid w:val="0F1B4DC4"/>
    <w:rsid w:val="0F1C6F3D"/>
    <w:rsid w:val="0F1D6633"/>
    <w:rsid w:val="0F1E2CB0"/>
    <w:rsid w:val="0F1E3FBD"/>
    <w:rsid w:val="0F224C69"/>
    <w:rsid w:val="0F28405E"/>
    <w:rsid w:val="0F2A424A"/>
    <w:rsid w:val="0F2D7A4F"/>
    <w:rsid w:val="0F2E5F23"/>
    <w:rsid w:val="0F3147A9"/>
    <w:rsid w:val="0F353770"/>
    <w:rsid w:val="0F3603FF"/>
    <w:rsid w:val="0F37662C"/>
    <w:rsid w:val="0F3879D7"/>
    <w:rsid w:val="0F3A1708"/>
    <w:rsid w:val="0F3C5CE5"/>
    <w:rsid w:val="0F3E6DDC"/>
    <w:rsid w:val="0F3E770E"/>
    <w:rsid w:val="0F40709B"/>
    <w:rsid w:val="0F43797A"/>
    <w:rsid w:val="0F471778"/>
    <w:rsid w:val="0F493A2B"/>
    <w:rsid w:val="0F49656B"/>
    <w:rsid w:val="0F4A3CAB"/>
    <w:rsid w:val="0F4D0108"/>
    <w:rsid w:val="0F4E236F"/>
    <w:rsid w:val="0F527A68"/>
    <w:rsid w:val="0F533AE4"/>
    <w:rsid w:val="0F551586"/>
    <w:rsid w:val="0F59061B"/>
    <w:rsid w:val="0F5C255C"/>
    <w:rsid w:val="0F5C44D0"/>
    <w:rsid w:val="0F5F4E02"/>
    <w:rsid w:val="0F5F5B87"/>
    <w:rsid w:val="0F695B2C"/>
    <w:rsid w:val="0F6B7F53"/>
    <w:rsid w:val="0F6C1E4A"/>
    <w:rsid w:val="0F71504A"/>
    <w:rsid w:val="0F71693D"/>
    <w:rsid w:val="0F724357"/>
    <w:rsid w:val="0F742853"/>
    <w:rsid w:val="0F74305E"/>
    <w:rsid w:val="0F764C9C"/>
    <w:rsid w:val="0F787118"/>
    <w:rsid w:val="0F7915C2"/>
    <w:rsid w:val="0F795C14"/>
    <w:rsid w:val="0F7C0F89"/>
    <w:rsid w:val="0F7C2F13"/>
    <w:rsid w:val="0F8008AA"/>
    <w:rsid w:val="0F812A03"/>
    <w:rsid w:val="0F844401"/>
    <w:rsid w:val="0F852F95"/>
    <w:rsid w:val="0F895DAB"/>
    <w:rsid w:val="0F8A0ED0"/>
    <w:rsid w:val="0F8A71CD"/>
    <w:rsid w:val="0F8B212D"/>
    <w:rsid w:val="0F8F1CDD"/>
    <w:rsid w:val="0F906F6F"/>
    <w:rsid w:val="0F922918"/>
    <w:rsid w:val="0F9612AC"/>
    <w:rsid w:val="0F9A0670"/>
    <w:rsid w:val="0F9C0C2A"/>
    <w:rsid w:val="0F9E2E3C"/>
    <w:rsid w:val="0FA1067D"/>
    <w:rsid w:val="0FA16E96"/>
    <w:rsid w:val="0FA44ACE"/>
    <w:rsid w:val="0FA4548C"/>
    <w:rsid w:val="0FA7681F"/>
    <w:rsid w:val="0FA87EA8"/>
    <w:rsid w:val="0FAA20DE"/>
    <w:rsid w:val="0FB017DF"/>
    <w:rsid w:val="0FB104C7"/>
    <w:rsid w:val="0FB64A8A"/>
    <w:rsid w:val="0FB769F1"/>
    <w:rsid w:val="0FB81A14"/>
    <w:rsid w:val="0FB85201"/>
    <w:rsid w:val="0FBC405F"/>
    <w:rsid w:val="0FBC4267"/>
    <w:rsid w:val="0FC11A93"/>
    <w:rsid w:val="0FC1246D"/>
    <w:rsid w:val="0FC515D2"/>
    <w:rsid w:val="0FC51855"/>
    <w:rsid w:val="0FC53C17"/>
    <w:rsid w:val="0FC81DF2"/>
    <w:rsid w:val="0FC864A8"/>
    <w:rsid w:val="0FC957A5"/>
    <w:rsid w:val="0FCE3A1B"/>
    <w:rsid w:val="0FCF57E7"/>
    <w:rsid w:val="0FCF7871"/>
    <w:rsid w:val="0FD01E25"/>
    <w:rsid w:val="0FD07F2B"/>
    <w:rsid w:val="0FD50C08"/>
    <w:rsid w:val="0FD64C44"/>
    <w:rsid w:val="0FD707DD"/>
    <w:rsid w:val="0FD81EDD"/>
    <w:rsid w:val="0FDA5091"/>
    <w:rsid w:val="0FDB555C"/>
    <w:rsid w:val="0FDC5544"/>
    <w:rsid w:val="0FDD28C2"/>
    <w:rsid w:val="0FDD57D5"/>
    <w:rsid w:val="0FDE7154"/>
    <w:rsid w:val="0FDE72B3"/>
    <w:rsid w:val="0FDF7AF1"/>
    <w:rsid w:val="0FE072DB"/>
    <w:rsid w:val="0FE26213"/>
    <w:rsid w:val="0FE27027"/>
    <w:rsid w:val="0FE27732"/>
    <w:rsid w:val="0FE35268"/>
    <w:rsid w:val="0FE558A1"/>
    <w:rsid w:val="0FE71092"/>
    <w:rsid w:val="0FE8311C"/>
    <w:rsid w:val="0FEA61C6"/>
    <w:rsid w:val="0FEB1380"/>
    <w:rsid w:val="0FEB68E5"/>
    <w:rsid w:val="0FEC14BB"/>
    <w:rsid w:val="0FEC1D9E"/>
    <w:rsid w:val="0FED1114"/>
    <w:rsid w:val="0FED1FE0"/>
    <w:rsid w:val="0FED4E9E"/>
    <w:rsid w:val="0FF14ECF"/>
    <w:rsid w:val="0FF174DB"/>
    <w:rsid w:val="0FF31537"/>
    <w:rsid w:val="0FF3523B"/>
    <w:rsid w:val="0FF35E9B"/>
    <w:rsid w:val="0FF62C51"/>
    <w:rsid w:val="0FF86EAD"/>
    <w:rsid w:val="0FFA288D"/>
    <w:rsid w:val="0FFA4026"/>
    <w:rsid w:val="0FFA6E3B"/>
    <w:rsid w:val="0FFB7F0A"/>
    <w:rsid w:val="0FFD7845"/>
    <w:rsid w:val="0FFF2388"/>
    <w:rsid w:val="10011140"/>
    <w:rsid w:val="10016274"/>
    <w:rsid w:val="1004611E"/>
    <w:rsid w:val="10053712"/>
    <w:rsid w:val="100705B7"/>
    <w:rsid w:val="10070DED"/>
    <w:rsid w:val="100B6DAC"/>
    <w:rsid w:val="100E6EA8"/>
    <w:rsid w:val="10125468"/>
    <w:rsid w:val="10125816"/>
    <w:rsid w:val="101436AC"/>
    <w:rsid w:val="101536F3"/>
    <w:rsid w:val="10171D74"/>
    <w:rsid w:val="101909D1"/>
    <w:rsid w:val="10191440"/>
    <w:rsid w:val="101A11CA"/>
    <w:rsid w:val="101A726B"/>
    <w:rsid w:val="101E4842"/>
    <w:rsid w:val="10232F29"/>
    <w:rsid w:val="10245290"/>
    <w:rsid w:val="102559B5"/>
    <w:rsid w:val="102749A8"/>
    <w:rsid w:val="102749F3"/>
    <w:rsid w:val="10277EB6"/>
    <w:rsid w:val="1028365D"/>
    <w:rsid w:val="1028760D"/>
    <w:rsid w:val="102B2FCD"/>
    <w:rsid w:val="102B42F2"/>
    <w:rsid w:val="103062B1"/>
    <w:rsid w:val="103116BD"/>
    <w:rsid w:val="10316B6D"/>
    <w:rsid w:val="103460BC"/>
    <w:rsid w:val="103707C7"/>
    <w:rsid w:val="10371CA8"/>
    <w:rsid w:val="10386665"/>
    <w:rsid w:val="103A02E9"/>
    <w:rsid w:val="103A1318"/>
    <w:rsid w:val="104538B7"/>
    <w:rsid w:val="1047176F"/>
    <w:rsid w:val="10474EE2"/>
    <w:rsid w:val="104840E0"/>
    <w:rsid w:val="104A3AE1"/>
    <w:rsid w:val="104C5564"/>
    <w:rsid w:val="104D55C2"/>
    <w:rsid w:val="104D792F"/>
    <w:rsid w:val="105101F0"/>
    <w:rsid w:val="10535FD4"/>
    <w:rsid w:val="10553468"/>
    <w:rsid w:val="105B6BED"/>
    <w:rsid w:val="105F3D7B"/>
    <w:rsid w:val="106043C7"/>
    <w:rsid w:val="106747B5"/>
    <w:rsid w:val="106A48C5"/>
    <w:rsid w:val="106D03B0"/>
    <w:rsid w:val="106D6A52"/>
    <w:rsid w:val="10726575"/>
    <w:rsid w:val="10740D00"/>
    <w:rsid w:val="10791A62"/>
    <w:rsid w:val="107B1702"/>
    <w:rsid w:val="107B666C"/>
    <w:rsid w:val="107C7471"/>
    <w:rsid w:val="10813116"/>
    <w:rsid w:val="10827BB0"/>
    <w:rsid w:val="10833F5C"/>
    <w:rsid w:val="1084692F"/>
    <w:rsid w:val="10857FDA"/>
    <w:rsid w:val="10861C65"/>
    <w:rsid w:val="108629A3"/>
    <w:rsid w:val="108768A1"/>
    <w:rsid w:val="1087755A"/>
    <w:rsid w:val="10880C39"/>
    <w:rsid w:val="108B0616"/>
    <w:rsid w:val="108C73B9"/>
    <w:rsid w:val="108D101A"/>
    <w:rsid w:val="108D376E"/>
    <w:rsid w:val="10922610"/>
    <w:rsid w:val="109444DE"/>
    <w:rsid w:val="10961E93"/>
    <w:rsid w:val="109643BE"/>
    <w:rsid w:val="10972DDE"/>
    <w:rsid w:val="109B5AFE"/>
    <w:rsid w:val="109C523D"/>
    <w:rsid w:val="109C6E08"/>
    <w:rsid w:val="10A1278C"/>
    <w:rsid w:val="10A264F9"/>
    <w:rsid w:val="10A34A61"/>
    <w:rsid w:val="10A546BD"/>
    <w:rsid w:val="10A66B9A"/>
    <w:rsid w:val="10A82B2A"/>
    <w:rsid w:val="10A91D7E"/>
    <w:rsid w:val="10AB5BF5"/>
    <w:rsid w:val="10B22BFB"/>
    <w:rsid w:val="10B4668D"/>
    <w:rsid w:val="10B837BC"/>
    <w:rsid w:val="10BA35A4"/>
    <w:rsid w:val="10BD6210"/>
    <w:rsid w:val="10C30E22"/>
    <w:rsid w:val="10C55907"/>
    <w:rsid w:val="10C64BB6"/>
    <w:rsid w:val="10CB3529"/>
    <w:rsid w:val="10CC7A40"/>
    <w:rsid w:val="10CE19B1"/>
    <w:rsid w:val="10D15981"/>
    <w:rsid w:val="10D1666E"/>
    <w:rsid w:val="10D31441"/>
    <w:rsid w:val="10D52F8D"/>
    <w:rsid w:val="10D53FCC"/>
    <w:rsid w:val="10D62887"/>
    <w:rsid w:val="10D70136"/>
    <w:rsid w:val="10DA441A"/>
    <w:rsid w:val="10DB76A9"/>
    <w:rsid w:val="10DC0805"/>
    <w:rsid w:val="10DC7A3B"/>
    <w:rsid w:val="10DE368D"/>
    <w:rsid w:val="10DF302A"/>
    <w:rsid w:val="10E14D85"/>
    <w:rsid w:val="10E17863"/>
    <w:rsid w:val="10E220F6"/>
    <w:rsid w:val="10E54E51"/>
    <w:rsid w:val="10EA4422"/>
    <w:rsid w:val="10EA4A06"/>
    <w:rsid w:val="10F00037"/>
    <w:rsid w:val="10F022A6"/>
    <w:rsid w:val="10F12F13"/>
    <w:rsid w:val="10F16152"/>
    <w:rsid w:val="10F16D6D"/>
    <w:rsid w:val="10F22777"/>
    <w:rsid w:val="10FA0102"/>
    <w:rsid w:val="10FD48C3"/>
    <w:rsid w:val="10FE773C"/>
    <w:rsid w:val="10FF1B48"/>
    <w:rsid w:val="110018ED"/>
    <w:rsid w:val="1101123A"/>
    <w:rsid w:val="11043DFB"/>
    <w:rsid w:val="11062ABA"/>
    <w:rsid w:val="110B3B07"/>
    <w:rsid w:val="110E2789"/>
    <w:rsid w:val="111216A5"/>
    <w:rsid w:val="1113717B"/>
    <w:rsid w:val="1116680F"/>
    <w:rsid w:val="111766D7"/>
    <w:rsid w:val="11180CCA"/>
    <w:rsid w:val="111C63C9"/>
    <w:rsid w:val="111E7A5F"/>
    <w:rsid w:val="111F1FDB"/>
    <w:rsid w:val="112332EC"/>
    <w:rsid w:val="11251DA8"/>
    <w:rsid w:val="112B4C49"/>
    <w:rsid w:val="112B6BBE"/>
    <w:rsid w:val="112D6F7E"/>
    <w:rsid w:val="112E3B34"/>
    <w:rsid w:val="11307A1E"/>
    <w:rsid w:val="1133544C"/>
    <w:rsid w:val="11366B4B"/>
    <w:rsid w:val="113821B8"/>
    <w:rsid w:val="113B5A0D"/>
    <w:rsid w:val="113C546B"/>
    <w:rsid w:val="113D115D"/>
    <w:rsid w:val="113D64B6"/>
    <w:rsid w:val="113F26C1"/>
    <w:rsid w:val="113F5ED1"/>
    <w:rsid w:val="1145090C"/>
    <w:rsid w:val="11465589"/>
    <w:rsid w:val="114B7BFC"/>
    <w:rsid w:val="114C50DE"/>
    <w:rsid w:val="114D2366"/>
    <w:rsid w:val="114E7DCA"/>
    <w:rsid w:val="114F0DB1"/>
    <w:rsid w:val="114F1538"/>
    <w:rsid w:val="114F7831"/>
    <w:rsid w:val="115068B2"/>
    <w:rsid w:val="11511F61"/>
    <w:rsid w:val="1157379E"/>
    <w:rsid w:val="11583FD3"/>
    <w:rsid w:val="115C5829"/>
    <w:rsid w:val="115D205A"/>
    <w:rsid w:val="115F4468"/>
    <w:rsid w:val="116115FE"/>
    <w:rsid w:val="11616A8A"/>
    <w:rsid w:val="116454E0"/>
    <w:rsid w:val="1166031B"/>
    <w:rsid w:val="1168720C"/>
    <w:rsid w:val="116A1866"/>
    <w:rsid w:val="116C6347"/>
    <w:rsid w:val="116D15FC"/>
    <w:rsid w:val="116E0688"/>
    <w:rsid w:val="117112E6"/>
    <w:rsid w:val="1173267F"/>
    <w:rsid w:val="11762382"/>
    <w:rsid w:val="117702DA"/>
    <w:rsid w:val="11791A9E"/>
    <w:rsid w:val="117D1C0D"/>
    <w:rsid w:val="117E4638"/>
    <w:rsid w:val="117F6157"/>
    <w:rsid w:val="11805965"/>
    <w:rsid w:val="118172E1"/>
    <w:rsid w:val="1189082A"/>
    <w:rsid w:val="118A2837"/>
    <w:rsid w:val="118B601D"/>
    <w:rsid w:val="118D3968"/>
    <w:rsid w:val="11902C62"/>
    <w:rsid w:val="119061AF"/>
    <w:rsid w:val="11954E1A"/>
    <w:rsid w:val="11956F03"/>
    <w:rsid w:val="11980A18"/>
    <w:rsid w:val="119C60B5"/>
    <w:rsid w:val="119F69A7"/>
    <w:rsid w:val="11A047A5"/>
    <w:rsid w:val="11A07887"/>
    <w:rsid w:val="11A52A95"/>
    <w:rsid w:val="11A605EA"/>
    <w:rsid w:val="11A77E8C"/>
    <w:rsid w:val="11AB0940"/>
    <w:rsid w:val="11AC2530"/>
    <w:rsid w:val="11AE1162"/>
    <w:rsid w:val="11B46196"/>
    <w:rsid w:val="11B521F4"/>
    <w:rsid w:val="11B60016"/>
    <w:rsid w:val="11B82090"/>
    <w:rsid w:val="11B85386"/>
    <w:rsid w:val="11BA3663"/>
    <w:rsid w:val="11BB3E47"/>
    <w:rsid w:val="11BC1D07"/>
    <w:rsid w:val="11BC78CC"/>
    <w:rsid w:val="11BE35FC"/>
    <w:rsid w:val="11C0467E"/>
    <w:rsid w:val="11C15A7C"/>
    <w:rsid w:val="11C31238"/>
    <w:rsid w:val="11C43827"/>
    <w:rsid w:val="11C63AEA"/>
    <w:rsid w:val="11C75D80"/>
    <w:rsid w:val="11CA38A4"/>
    <w:rsid w:val="11CA78BC"/>
    <w:rsid w:val="11CD2C2F"/>
    <w:rsid w:val="11CD7837"/>
    <w:rsid w:val="11D0490D"/>
    <w:rsid w:val="11D7091E"/>
    <w:rsid w:val="11D71D02"/>
    <w:rsid w:val="11DF2DED"/>
    <w:rsid w:val="11E04EED"/>
    <w:rsid w:val="11E626AA"/>
    <w:rsid w:val="11E85274"/>
    <w:rsid w:val="11E865D6"/>
    <w:rsid w:val="11EC363F"/>
    <w:rsid w:val="11F420F0"/>
    <w:rsid w:val="11F4407B"/>
    <w:rsid w:val="11F44E90"/>
    <w:rsid w:val="11F96F28"/>
    <w:rsid w:val="11FB08A3"/>
    <w:rsid w:val="11FC5736"/>
    <w:rsid w:val="11FE2DC1"/>
    <w:rsid w:val="11FF2ED2"/>
    <w:rsid w:val="11FF44D0"/>
    <w:rsid w:val="12027EBE"/>
    <w:rsid w:val="12032D7E"/>
    <w:rsid w:val="120358F3"/>
    <w:rsid w:val="12036189"/>
    <w:rsid w:val="12042B30"/>
    <w:rsid w:val="12046951"/>
    <w:rsid w:val="12053645"/>
    <w:rsid w:val="120716CB"/>
    <w:rsid w:val="120A598D"/>
    <w:rsid w:val="120C66B1"/>
    <w:rsid w:val="120C7FD0"/>
    <w:rsid w:val="120D4A64"/>
    <w:rsid w:val="120D5C02"/>
    <w:rsid w:val="120F5087"/>
    <w:rsid w:val="12102817"/>
    <w:rsid w:val="121119A1"/>
    <w:rsid w:val="1212355C"/>
    <w:rsid w:val="121430B9"/>
    <w:rsid w:val="121806E0"/>
    <w:rsid w:val="121E6934"/>
    <w:rsid w:val="12234EC9"/>
    <w:rsid w:val="12237979"/>
    <w:rsid w:val="1224009F"/>
    <w:rsid w:val="12257726"/>
    <w:rsid w:val="12283138"/>
    <w:rsid w:val="12294106"/>
    <w:rsid w:val="122C4D6B"/>
    <w:rsid w:val="122E0222"/>
    <w:rsid w:val="122E4609"/>
    <w:rsid w:val="122F20EB"/>
    <w:rsid w:val="122F7CDB"/>
    <w:rsid w:val="1230352A"/>
    <w:rsid w:val="123048E1"/>
    <w:rsid w:val="12304EED"/>
    <w:rsid w:val="12306B87"/>
    <w:rsid w:val="12344483"/>
    <w:rsid w:val="12344BF1"/>
    <w:rsid w:val="123553B9"/>
    <w:rsid w:val="12371A27"/>
    <w:rsid w:val="123E03BA"/>
    <w:rsid w:val="123E0623"/>
    <w:rsid w:val="123E14F8"/>
    <w:rsid w:val="1243611D"/>
    <w:rsid w:val="12493C6C"/>
    <w:rsid w:val="12495243"/>
    <w:rsid w:val="124A4578"/>
    <w:rsid w:val="124E1930"/>
    <w:rsid w:val="124F3D9C"/>
    <w:rsid w:val="12517EF0"/>
    <w:rsid w:val="12556DC8"/>
    <w:rsid w:val="12565444"/>
    <w:rsid w:val="125C2177"/>
    <w:rsid w:val="125C71D5"/>
    <w:rsid w:val="125C72D3"/>
    <w:rsid w:val="125D453A"/>
    <w:rsid w:val="125F76FB"/>
    <w:rsid w:val="12610346"/>
    <w:rsid w:val="12614FDC"/>
    <w:rsid w:val="1262179D"/>
    <w:rsid w:val="12625FD6"/>
    <w:rsid w:val="12653851"/>
    <w:rsid w:val="126B08F7"/>
    <w:rsid w:val="126B7A21"/>
    <w:rsid w:val="126D1433"/>
    <w:rsid w:val="126D4A74"/>
    <w:rsid w:val="126D5DA3"/>
    <w:rsid w:val="126F5C91"/>
    <w:rsid w:val="1274217D"/>
    <w:rsid w:val="1274690A"/>
    <w:rsid w:val="12754405"/>
    <w:rsid w:val="12773E57"/>
    <w:rsid w:val="127873CE"/>
    <w:rsid w:val="12796572"/>
    <w:rsid w:val="12797575"/>
    <w:rsid w:val="127A42FD"/>
    <w:rsid w:val="127E27F8"/>
    <w:rsid w:val="127E42B7"/>
    <w:rsid w:val="127E58F4"/>
    <w:rsid w:val="12827047"/>
    <w:rsid w:val="12895E65"/>
    <w:rsid w:val="128C12FD"/>
    <w:rsid w:val="128D2922"/>
    <w:rsid w:val="128E30CD"/>
    <w:rsid w:val="12935ACF"/>
    <w:rsid w:val="12960CAA"/>
    <w:rsid w:val="129965B7"/>
    <w:rsid w:val="1299737B"/>
    <w:rsid w:val="129A40B6"/>
    <w:rsid w:val="129A4DD7"/>
    <w:rsid w:val="129E4F75"/>
    <w:rsid w:val="12A66354"/>
    <w:rsid w:val="12A77B2A"/>
    <w:rsid w:val="12AA19B0"/>
    <w:rsid w:val="12AC3B4F"/>
    <w:rsid w:val="12AC660A"/>
    <w:rsid w:val="12B15ECF"/>
    <w:rsid w:val="12B307F4"/>
    <w:rsid w:val="12B3099C"/>
    <w:rsid w:val="12B8243E"/>
    <w:rsid w:val="12B952CB"/>
    <w:rsid w:val="12B970CB"/>
    <w:rsid w:val="12BB2A59"/>
    <w:rsid w:val="12BD50B5"/>
    <w:rsid w:val="12C37E0C"/>
    <w:rsid w:val="12C65E5F"/>
    <w:rsid w:val="12CD5993"/>
    <w:rsid w:val="12CE4FE6"/>
    <w:rsid w:val="12D006EB"/>
    <w:rsid w:val="12D14D45"/>
    <w:rsid w:val="12D157F3"/>
    <w:rsid w:val="12D26CB7"/>
    <w:rsid w:val="12D54E7A"/>
    <w:rsid w:val="12D91718"/>
    <w:rsid w:val="12DA1717"/>
    <w:rsid w:val="12DA5077"/>
    <w:rsid w:val="12DC7B62"/>
    <w:rsid w:val="12DE4F48"/>
    <w:rsid w:val="12DE6206"/>
    <w:rsid w:val="12DE7906"/>
    <w:rsid w:val="12E8754D"/>
    <w:rsid w:val="12E920D7"/>
    <w:rsid w:val="12E922C9"/>
    <w:rsid w:val="12EB7D22"/>
    <w:rsid w:val="12ED7A68"/>
    <w:rsid w:val="12F064C0"/>
    <w:rsid w:val="12F21081"/>
    <w:rsid w:val="12F51CDA"/>
    <w:rsid w:val="12F60C2E"/>
    <w:rsid w:val="12F6691D"/>
    <w:rsid w:val="12FB30A1"/>
    <w:rsid w:val="12FE6398"/>
    <w:rsid w:val="13041C43"/>
    <w:rsid w:val="13045DA1"/>
    <w:rsid w:val="130518B0"/>
    <w:rsid w:val="13074CA6"/>
    <w:rsid w:val="13093EBD"/>
    <w:rsid w:val="13095FEC"/>
    <w:rsid w:val="130A3515"/>
    <w:rsid w:val="130A5746"/>
    <w:rsid w:val="130A7BD9"/>
    <w:rsid w:val="130B6B9D"/>
    <w:rsid w:val="130D6260"/>
    <w:rsid w:val="130D7C58"/>
    <w:rsid w:val="13111E52"/>
    <w:rsid w:val="13141119"/>
    <w:rsid w:val="13157D4A"/>
    <w:rsid w:val="1316069B"/>
    <w:rsid w:val="131637C7"/>
    <w:rsid w:val="131B3BDA"/>
    <w:rsid w:val="131C1ED0"/>
    <w:rsid w:val="131E692C"/>
    <w:rsid w:val="13217712"/>
    <w:rsid w:val="13223128"/>
    <w:rsid w:val="132438C8"/>
    <w:rsid w:val="13274882"/>
    <w:rsid w:val="13293ABF"/>
    <w:rsid w:val="132B12A8"/>
    <w:rsid w:val="132D10EA"/>
    <w:rsid w:val="132E4005"/>
    <w:rsid w:val="13304B28"/>
    <w:rsid w:val="133343BF"/>
    <w:rsid w:val="13356262"/>
    <w:rsid w:val="13363510"/>
    <w:rsid w:val="13364EFF"/>
    <w:rsid w:val="13370BCC"/>
    <w:rsid w:val="133B723A"/>
    <w:rsid w:val="133D23CB"/>
    <w:rsid w:val="13417ADD"/>
    <w:rsid w:val="13434D03"/>
    <w:rsid w:val="13471275"/>
    <w:rsid w:val="13482D36"/>
    <w:rsid w:val="1349274C"/>
    <w:rsid w:val="134947B1"/>
    <w:rsid w:val="134A6C68"/>
    <w:rsid w:val="134B0527"/>
    <w:rsid w:val="134D5D72"/>
    <w:rsid w:val="13521CB9"/>
    <w:rsid w:val="13522F30"/>
    <w:rsid w:val="135459F0"/>
    <w:rsid w:val="13572CDF"/>
    <w:rsid w:val="13577BB4"/>
    <w:rsid w:val="136730EA"/>
    <w:rsid w:val="136A69FC"/>
    <w:rsid w:val="136A730B"/>
    <w:rsid w:val="136C26A5"/>
    <w:rsid w:val="136C5B53"/>
    <w:rsid w:val="136C5D9E"/>
    <w:rsid w:val="136E213E"/>
    <w:rsid w:val="136F5991"/>
    <w:rsid w:val="137039CF"/>
    <w:rsid w:val="13723885"/>
    <w:rsid w:val="137B5233"/>
    <w:rsid w:val="137C6237"/>
    <w:rsid w:val="13822C22"/>
    <w:rsid w:val="1385304C"/>
    <w:rsid w:val="13854144"/>
    <w:rsid w:val="13861126"/>
    <w:rsid w:val="1389022D"/>
    <w:rsid w:val="138B1034"/>
    <w:rsid w:val="1393402B"/>
    <w:rsid w:val="13940A23"/>
    <w:rsid w:val="13943BBA"/>
    <w:rsid w:val="13951699"/>
    <w:rsid w:val="139644FE"/>
    <w:rsid w:val="13982048"/>
    <w:rsid w:val="139913DE"/>
    <w:rsid w:val="13996234"/>
    <w:rsid w:val="139A205D"/>
    <w:rsid w:val="139E238B"/>
    <w:rsid w:val="13A01993"/>
    <w:rsid w:val="13A12C6A"/>
    <w:rsid w:val="13A172FD"/>
    <w:rsid w:val="13A3747B"/>
    <w:rsid w:val="13A54E63"/>
    <w:rsid w:val="13A6693B"/>
    <w:rsid w:val="13AB43EF"/>
    <w:rsid w:val="13AB7067"/>
    <w:rsid w:val="13AF1E66"/>
    <w:rsid w:val="13AF208E"/>
    <w:rsid w:val="13B10A75"/>
    <w:rsid w:val="13B36FBD"/>
    <w:rsid w:val="13B8517C"/>
    <w:rsid w:val="13BA1228"/>
    <w:rsid w:val="13BA4589"/>
    <w:rsid w:val="13BB181F"/>
    <w:rsid w:val="13BC2FD6"/>
    <w:rsid w:val="13BE1FA3"/>
    <w:rsid w:val="13C009EC"/>
    <w:rsid w:val="13C224AA"/>
    <w:rsid w:val="13C224BD"/>
    <w:rsid w:val="13C26875"/>
    <w:rsid w:val="13C86501"/>
    <w:rsid w:val="13C86B94"/>
    <w:rsid w:val="13C92B6E"/>
    <w:rsid w:val="13C9555F"/>
    <w:rsid w:val="13CD37EE"/>
    <w:rsid w:val="13D11165"/>
    <w:rsid w:val="13D50A04"/>
    <w:rsid w:val="13DB5B12"/>
    <w:rsid w:val="13DC3B01"/>
    <w:rsid w:val="13DD5AC5"/>
    <w:rsid w:val="13DF1586"/>
    <w:rsid w:val="13E17879"/>
    <w:rsid w:val="13E70814"/>
    <w:rsid w:val="13E74557"/>
    <w:rsid w:val="13EC03EF"/>
    <w:rsid w:val="13F42669"/>
    <w:rsid w:val="13FB0859"/>
    <w:rsid w:val="14002419"/>
    <w:rsid w:val="140275B4"/>
    <w:rsid w:val="140570D4"/>
    <w:rsid w:val="14091462"/>
    <w:rsid w:val="14091D99"/>
    <w:rsid w:val="140C1375"/>
    <w:rsid w:val="140C66D6"/>
    <w:rsid w:val="14105317"/>
    <w:rsid w:val="141116F9"/>
    <w:rsid w:val="1413232B"/>
    <w:rsid w:val="141379A2"/>
    <w:rsid w:val="141A606F"/>
    <w:rsid w:val="141E1062"/>
    <w:rsid w:val="142710B3"/>
    <w:rsid w:val="142919FC"/>
    <w:rsid w:val="142A7163"/>
    <w:rsid w:val="142B5FC2"/>
    <w:rsid w:val="142D09D6"/>
    <w:rsid w:val="142E19FB"/>
    <w:rsid w:val="142E2BBC"/>
    <w:rsid w:val="142E50E2"/>
    <w:rsid w:val="14331654"/>
    <w:rsid w:val="14373725"/>
    <w:rsid w:val="14397FF9"/>
    <w:rsid w:val="143A4C0E"/>
    <w:rsid w:val="143B670B"/>
    <w:rsid w:val="143C4803"/>
    <w:rsid w:val="143D057B"/>
    <w:rsid w:val="143D2A31"/>
    <w:rsid w:val="144149E1"/>
    <w:rsid w:val="14456D83"/>
    <w:rsid w:val="144C682E"/>
    <w:rsid w:val="144C7CC0"/>
    <w:rsid w:val="144D6A10"/>
    <w:rsid w:val="14521EAA"/>
    <w:rsid w:val="145253E3"/>
    <w:rsid w:val="14530E99"/>
    <w:rsid w:val="14544C41"/>
    <w:rsid w:val="14556B76"/>
    <w:rsid w:val="14561B97"/>
    <w:rsid w:val="14575A00"/>
    <w:rsid w:val="145A6881"/>
    <w:rsid w:val="145A7118"/>
    <w:rsid w:val="145C4EA5"/>
    <w:rsid w:val="145E7DDE"/>
    <w:rsid w:val="1461086B"/>
    <w:rsid w:val="14663DD2"/>
    <w:rsid w:val="14665D24"/>
    <w:rsid w:val="146740E8"/>
    <w:rsid w:val="146A562D"/>
    <w:rsid w:val="146B333A"/>
    <w:rsid w:val="146D2293"/>
    <w:rsid w:val="146F1D3D"/>
    <w:rsid w:val="147030C5"/>
    <w:rsid w:val="147416E4"/>
    <w:rsid w:val="147A48CC"/>
    <w:rsid w:val="147A67C6"/>
    <w:rsid w:val="147B57DF"/>
    <w:rsid w:val="147E0309"/>
    <w:rsid w:val="148255D2"/>
    <w:rsid w:val="1487565B"/>
    <w:rsid w:val="148A54D0"/>
    <w:rsid w:val="14901492"/>
    <w:rsid w:val="1490180B"/>
    <w:rsid w:val="14930F8C"/>
    <w:rsid w:val="1496126E"/>
    <w:rsid w:val="14967D16"/>
    <w:rsid w:val="14994C2F"/>
    <w:rsid w:val="149975D2"/>
    <w:rsid w:val="149A1686"/>
    <w:rsid w:val="149F54A2"/>
    <w:rsid w:val="14A01236"/>
    <w:rsid w:val="14A26111"/>
    <w:rsid w:val="14A41677"/>
    <w:rsid w:val="14A81D98"/>
    <w:rsid w:val="14AB7FC9"/>
    <w:rsid w:val="14AF7E46"/>
    <w:rsid w:val="14B22DB2"/>
    <w:rsid w:val="14B25268"/>
    <w:rsid w:val="14B270E7"/>
    <w:rsid w:val="14B275DB"/>
    <w:rsid w:val="14B3420D"/>
    <w:rsid w:val="14B44F7D"/>
    <w:rsid w:val="14B81174"/>
    <w:rsid w:val="14B87D85"/>
    <w:rsid w:val="14BA2619"/>
    <w:rsid w:val="14BC466D"/>
    <w:rsid w:val="14BD721E"/>
    <w:rsid w:val="14C07BB7"/>
    <w:rsid w:val="14C14BCC"/>
    <w:rsid w:val="14C14ECC"/>
    <w:rsid w:val="14C40000"/>
    <w:rsid w:val="14C8260B"/>
    <w:rsid w:val="14C94F85"/>
    <w:rsid w:val="14CB4A47"/>
    <w:rsid w:val="14D03BD7"/>
    <w:rsid w:val="14D100C3"/>
    <w:rsid w:val="14D26BC3"/>
    <w:rsid w:val="14D50FD3"/>
    <w:rsid w:val="14D55BF1"/>
    <w:rsid w:val="14DA035B"/>
    <w:rsid w:val="14E04095"/>
    <w:rsid w:val="14E23C06"/>
    <w:rsid w:val="14E6764F"/>
    <w:rsid w:val="14E81ACA"/>
    <w:rsid w:val="14EC1720"/>
    <w:rsid w:val="14EC5954"/>
    <w:rsid w:val="14ED2FA2"/>
    <w:rsid w:val="14ED5055"/>
    <w:rsid w:val="14EE2290"/>
    <w:rsid w:val="14F07C81"/>
    <w:rsid w:val="14F27CC9"/>
    <w:rsid w:val="14F8347C"/>
    <w:rsid w:val="14F953A6"/>
    <w:rsid w:val="14FA33F3"/>
    <w:rsid w:val="14FB46BE"/>
    <w:rsid w:val="14FD4D11"/>
    <w:rsid w:val="15002AAF"/>
    <w:rsid w:val="150070B9"/>
    <w:rsid w:val="15007927"/>
    <w:rsid w:val="15015F80"/>
    <w:rsid w:val="15016DCD"/>
    <w:rsid w:val="150243A3"/>
    <w:rsid w:val="15036C9E"/>
    <w:rsid w:val="150418AA"/>
    <w:rsid w:val="150421F3"/>
    <w:rsid w:val="1504410D"/>
    <w:rsid w:val="150641DA"/>
    <w:rsid w:val="1507666D"/>
    <w:rsid w:val="150A66AF"/>
    <w:rsid w:val="150B18A5"/>
    <w:rsid w:val="150B33D5"/>
    <w:rsid w:val="150C1AA4"/>
    <w:rsid w:val="150D46BF"/>
    <w:rsid w:val="150F3CC6"/>
    <w:rsid w:val="15111694"/>
    <w:rsid w:val="151245AF"/>
    <w:rsid w:val="15142501"/>
    <w:rsid w:val="15146D81"/>
    <w:rsid w:val="15183FE6"/>
    <w:rsid w:val="151945F7"/>
    <w:rsid w:val="151A717A"/>
    <w:rsid w:val="151B382B"/>
    <w:rsid w:val="151F3B9D"/>
    <w:rsid w:val="15211EF5"/>
    <w:rsid w:val="152572F9"/>
    <w:rsid w:val="152A184E"/>
    <w:rsid w:val="152B71E9"/>
    <w:rsid w:val="152E2A4C"/>
    <w:rsid w:val="152E335A"/>
    <w:rsid w:val="1530385F"/>
    <w:rsid w:val="153361C2"/>
    <w:rsid w:val="15363948"/>
    <w:rsid w:val="15382B62"/>
    <w:rsid w:val="15391FF3"/>
    <w:rsid w:val="153A5C1B"/>
    <w:rsid w:val="153A6F90"/>
    <w:rsid w:val="153B42D7"/>
    <w:rsid w:val="153B4ABB"/>
    <w:rsid w:val="153C12D7"/>
    <w:rsid w:val="153D0C1D"/>
    <w:rsid w:val="153F70F5"/>
    <w:rsid w:val="1540519A"/>
    <w:rsid w:val="154418C4"/>
    <w:rsid w:val="15455AEB"/>
    <w:rsid w:val="154754AB"/>
    <w:rsid w:val="154867A4"/>
    <w:rsid w:val="154E7F46"/>
    <w:rsid w:val="154F4A0A"/>
    <w:rsid w:val="15543B39"/>
    <w:rsid w:val="155476A9"/>
    <w:rsid w:val="15563B4C"/>
    <w:rsid w:val="1556558F"/>
    <w:rsid w:val="155C0BB4"/>
    <w:rsid w:val="155F703C"/>
    <w:rsid w:val="15625E31"/>
    <w:rsid w:val="15644E8C"/>
    <w:rsid w:val="15661EA7"/>
    <w:rsid w:val="156A0C20"/>
    <w:rsid w:val="156A786A"/>
    <w:rsid w:val="156B3948"/>
    <w:rsid w:val="156E2D71"/>
    <w:rsid w:val="1570422C"/>
    <w:rsid w:val="15855AF6"/>
    <w:rsid w:val="15856136"/>
    <w:rsid w:val="15864458"/>
    <w:rsid w:val="158760C7"/>
    <w:rsid w:val="15877E28"/>
    <w:rsid w:val="15896A7B"/>
    <w:rsid w:val="158A03E6"/>
    <w:rsid w:val="158A78F7"/>
    <w:rsid w:val="158B1AE7"/>
    <w:rsid w:val="158D7A35"/>
    <w:rsid w:val="158F0D3E"/>
    <w:rsid w:val="15920820"/>
    <w:rsid w:val="159777F6"/>
    <w:rsid w:val="159C0705"/>
    <w:rsid w:val="159C7F7D"/>
    <w:rsid w:val="159F7B01"/>
    <w:rsid w:val="15A15B94"/>
    <w:rsid w:val="15A422E9"/>
    <w:rsid w:val="15A56981"/>
    <w:rsid w:val="15A62DCB"/>
    <w:rsid w:val="15A720FC"/>
    <w:rsid w:val="15A72144"/>
    <w:rsid w:val="15A90FEC"/>
    <w:rsid w:val="15AD059C"/>
    <w:rsid w:val="15AF7839"/>
    <w:rsid w:val="15B237D2"/>
    <w:rsid w:val="15B76AC0"/>
    <w:rsid w:val="15BA1125"/>
    <w:rsid w:val="15BC4030"/>
    <w:rsid w:val="15BE190C"/>
    <w:rsid w:val="15BE4825"/>
    <w:rsid w:val="15BF4051"/>
    <w:rsid w:val="15C661FB"/>
    <w:rsid w:val="15C702E7"/>
    <w:rsid w:val="15C7292E"/>
    <w:rsid w:val="15C742B5"/>
    <w:rsid w:val="15CB7802"/>
    <w:rsid w:val="15CC70C4"/>
    <w:rsid w:val="15CF3DC3"/>
    <w:rsid w:val="15D243D7"/>
    <w:rsid w:val="15D373E9"/>
    <w:rsid w:val="15D46077"/>
    <w:rsid w:val="15DA0ED9"/>
    <w:rsid w:val="15DB11A8"/>
    <w:rsid w:val="15E02069"/>
    <w:rsid w:val="15E04360"/>
    <w:rsid w:val="15E20E0E"/>
    <w:rsid w:val="15E459F9"/>
    <w:rsid w:val="15E65A66"/>
    <w:rsid w:val="15E70D18"/>
    <w:rsid w:val="15E77EA4"/>
    <w:rsid w:val="15E82C67"/>
    <w:rsid w:val="15EA6383"/>
    <w:rsid w:val="15EB516C"/>
    <w:rsid w:val="15ED3BC6"/>
    <w:rsid w:val="15EE32BA"/>
    <w:rsid w:val="15EF4118"/>
    <w:rsid w:val="15F362B7"/>
    <w:rsid w:val="15F556AA"/>
    <w:rsid w:val="15F827AB"/>
    <w:rsid w:val="15F93C72"/>
    <w:rsid w:val="15FA3587"/>
    <w:rsid w:val="15FB1B30"/>
    <w:rsid w:val="15FB68F5"/>
    <w:rsid w:val="15FF2EEE"/>
    <w:rsid w:val="160022AD"/>
    <w:rsid w:val="16006A14"/>
    <w:rsid w:val="1602382A"/>
    <w:rsid w:val="160247A7"/>
    <w:rsid w:val="16036A5A"/>
    <w:rsid w:val="16074487"/>
    <w:rsid w:val="16086A09"/>
    <w:rsid w:val="160C70D6"/>
    <w:rsid w:val="160D186C"/>
    <w:rsid w:val="160F1FF5"/>
    <w:rsid w:val="16100A7F"/>
    <w:rsid w:val="16107A94"/>
    <w:rsid w:val="16131C69"/>
    <w:rsid w:val="16195231"/>
    <w:rsid w:val="16196CBC"/>
    <w:rsid w:val="161A6194"/>
    <w:rsid w:val="161A6DC6"/>
    <w:rsid w:val="161B31FC"/>
    <w:rsid w:val="161C69FC"/>
    <w:rsid w:val="161F561E"/>
    <w:rsid w:val="16241853"/>
    <w:rsid w:val="16243542"/>
    <w:rsid w:val="16251146"/>
    <w:rsid w:val="162A6A26"/>
    <w:rsid w:val="162D05BA"/>
    <w:rsid w:val="162E3F23"/>
    <w:rsid w:val="16300397"/>
    <w:rsid w:val="16310466"/>
    <w:rsid w:val="16345DCA"/>
    <w:rsid w:val="16382546"/>
    <w:rsid w:val="163A7451"/>
    <w:rsid w:val="163B2879"/>
    <w:rsid w:val="163C65D9"/>
    <w:rsid w:val="163E391F"/>
    <w:rsid w:val="164022ED"/>
    <w:rsid w:val="1643507F"/>
    <w:rsid w:val="164615E1"/>
    <w:rsid w:val="16497040"/>
    <w:rsid w:val="164F1F95"/>
    <w:rsid w:val="165236C3"/>
    <w:rsid w:val="16546870"/>
    <w:rsid w:val="16582583"/>
    <w:rsid w:val="165B0B6E"/>
    <w:rsid w:val="165E62CD"/>
    <w:rsid w:val="165F3BB6"/>
    <w:rsid w:val="166103E8"/>
    <w:rsid w:val="16640B37"/>
    <w:rsid w:val="166549FA"/>
    <w:rsid w:val="16656D0A"/>
    <w:rsid w:val="16666231"/>
    <w:rsid w:val="166665DD"/>
    <w:rsid w:val="16675B9E"/>
    <w:rsid w:val="166A4DED"/>
    <w:rsid w:val="166F3FAB"/>
    <w:rsid w:val="1671198A"/>
    <w:rsid w:val="16713C64"/>
    <w:rsid w:val="1678176A"/>
    <w:rsid w:val="16790EB6"/>
    <w:rsid w:val="167B7C09"/>
    <w:rsid w:val="167C2992"/>
    <w:rsid w:val="167C3B26"/>
    <w:rsid w:val="167D7500"/>
    <w:rsid w:val="167E699A"/>
    <w:rsid w:val="168066AA"/>
    <w:rsid w:val="16883764"/>
    <w:rsid w:val="16887715"/>
    <w:rsid w:val="168F5922"/>
    <w:rsid w:val="16913440"/>
    <w:rsid w:val="16986759"/>
    <w:rsid w:val="16A07C42"/>
    <w:rsid w:val="16A2668F"/>
    <w:rsid w:val="16A815B2"/>
    <w:rsid w:val="16A954FA"/>
    <w:rsid w:val="16AB2263"/>
    <w:rsid w:val="16AD0AF8"/>
    <w:rsid w:val="16B04DAA"/>
    <w:rsid w:val="16B27418"/>
    <w:rsid w:val="16B34279"/>
    <w:rsid w:val="16B513EA"/>
    <w:rsid w:val="16B56AEF"/>
    <w:rsid w:val="16BC2FBC"/>
    <w:rsid w:val="16BC3EE5"/>
    <w:rsid w:val="16C021F0"/>
    <w:rsid w:val="16C27017"/>
    <w:rsid w:val="16CB0D24"/>
    <w:rsid w:val="16CF3A28"/>
    <w:rsid w:val="16D16FAE"/>
    <w:rsid w:val="16D608CB"/>
    <w:rsid w:val="16D613A0"/>
    <w:rsid w:val="16D803DE"/>
    <w:rsid w:val="16D843E6"/>
    <w:rsid w:val="16D90A2F"/>
    <w:rsid w:val="16D95001"/>
    <w:rsid w:val="16DB54C4"/>
    <w:rsid w:val="16DE2A89"/>
    <w:rsid w:val="16E0507F"/>
    <w:rsid w:val="16E174E4"/>
    <w:rsid w:val="16E37961"/>
    <w:rsid w:val="16E703CB"/>
    <w:rsid w:val="16E8501C"/>
    <w:rsid w:val="16E913A1"/>
    <w:rsid w:val="16E96FB2"/>
    <w:rsid w:val="16EC4984"/>
    <w:rsid w:val="16EF7CD9"/>
    <w:rsid w:val="16F25FF6"/>
    <w:rsid w:val="16F5293D"/>
    <w:rsid w:val="16F6175A"/>
    <w:rsid w:val="16F62DB7"/>
    <w:rsid w:val="16F84032"/>
    <w:rsid w:val="16F96069"/>
    <w:rsid w:val="16FC64CC"/>
    <w:rsid w:val="16FE5E62"/>
    <w:rsid w:val="16FE6590"/>
    <w:rsid w:val="170206B7"/>
    <w:rsid w:val="170572AF"/>
    <w:rsid w:val="17072054"/>
    <w:rsid w:val="17080535"/>
    <w:rsid w:val="170B201B"/>
    <w:rsid w:val="170B722E"/>
    <w:rsid w:val="170E5E34"/>
    <w:rsid w:val="170F6F88"/>
    <w:rsid w:val="171056B1"/>
    <w:rsid w:val="17107741"/>
    <w:rsid w:val="171175A3"/>
    <w:rsid w:val="17161871"/>
    <w:rsid w:val="171A0FCE"/>
    <w:rsid w:val="171A64E5"/>
    <w:rsid w:val="171B2B7E"/>
    <w:rsid w:val="17215F32"/>
    <w:rsid w:val="172806EC"/>
    <w:rsid w:val="17287E20"/>
    <w:rsid w:val="172911FE"/>
    <w:rsid w:val="172C0C21"/>
    <w:rsid w:val="17324397"/>
    <w:rsid w:val="17377F3B"/>
    <w:rsid w:val="173B1091"/>
    <w:rsid w:val="173B216E"/>
    <w:rsid w:val="173E25B0"/>
    <w:rsid w:val="173E4984"/>
    <w:rsid w:val="17432BA2"/>
    <w:rsid w:val="17451993"/>
    <w:rsid w:val="174529E5"/>
    <w:rsid w:val="17457EC2"/>
    <w:rsid w:val="17465FD7"/>
    <w:rsid w:val="174706A8"/>
    <w:rsid w:val="1748262E"/>
    <w:rsid w:val="174D1267"/>
    <w:rsid w:val="174D2CD0"/>
    <w:rsid w:val="174D5900"/>
    <w:rsid w:val="174E5926"/>
    <w:rsid w:val="174F0A13"/>
    <w:rsid w:val="175011B4"/>
    <w:rsid w:val="175011EB"/>
    <w:rsid w:val="17501B68"/>
    <w:rsid w:val="17502BE3"/>
    <w:rsid w:val="175154C4"/>
    <w:rsid w:val="175636B5"/>
    <w:rsid w:val="17590704"/>
    <w:rsid w:val="17591B70"/>
    <w:rsid w:val="175C2D56"/>
    <w:rsid w:val="175D2E5C"/>
    <w:rsid w:val="17624A66"/>
    <w:rsid w:val="17645B5A"/>
    <w:rsid w:val="17656BB8"/>
    <w:rsid w:val="176A2AFC"/>
    <w:rsid w:val="176C6592"/>
    <w:rsid w:val="176D4DF2"/>
    <w:rsid w:val="177260DF"/>
    <w:rsid w:val="17750F7C"/>
    <w:rsid w:val="17773DA4"/>
    <w:rsid w:val="177760D7"/>
    <w:rsid w:val="177A077E"/>
    <w:rsid w:val="177A274D"/>
    <w:rsid w:val="177B4F10"/>
    <w:rsid w:val="17817B23"/>
    <w:rsid w:val="17840008"/>
    <w:rsid w:val="178722D2"/>
    <w:rsid w:val="178742A5"/>
    <w:rsid w:val="17887E2F"/>
    <w:rsid w:val="178904C7"/>
    <w:rsid w:val="178F17A0"/>
    <w:rsid w:val="17923EDC"/>
    <w:rsid w:val="17942DFF"/>
    <w:rsid w:val="17982E70"/>
    <w:rsid w:val="179872E1"/>
    <w:rsid w:val="179D5ACC"/>
    <w:rsid w:val="179F5EFA"/>
    <w:rsid w:val="179F785B"/>
    <w:rsid w:val="17A42CD8"/>
    <w:rsid w:val="17A47A0F"/>
    <w:rsid w:val="17A50911"/>
    <w:rsid w:val="17A76FCB"/>
    <w:rsid w:val="17A9374C"/>
    <w:rsid w:val="17A9703F"/>
    <w:rsid w:val="17AD4997"/>
    <w:rsid w:val="17AF6042"/>
    <w:rsid w:val="17B61DFC"/>
    <w:rsid w:val="17B70D9E"/>
    <w:rsid w:val="17BA5235"/>
    <w:rsid w:val="17BB44E5"/>
    <w:rsid w:val="17BD54E0"/>
    <w:rsid w:val="17BD56FE"/>
    <w:rsid w:val="17BE063A"/>
    <w:rsid w:val="17C272AB"/>
    <w:rsid w:val="17C46DD6"/>
    <w:rsid w:val="17C86490"/>
    <w:rsid w:val="17C9071E"/>
    <w:rsid w:val="17CA0CD0"/>
    <w:rsid w:val="17CA7A78"/>
    <w:rsid w:val="17CF51BA"/>
    <w:rsid w:val="17CF7409"/>
    <w:rsid w:val="17CF79B2"/>
    <w:rsid w:val="17D14ECE"/>
    <w:rsid w:val="17D2711E"/>
    <w:rsid w:val="17D2739D"/>
    <w:rsid w:val="17D90A06"/>
    <w:rsid w:val="17E10869"/>
    <w:rsid w:val="17E3324E"/>
    <w:rsid w:val="17E33E94"/>
    <w:rsid w:val="17E373E7"/>
    <w:rsid w:val="17E476F1"/>
    <w:rsid w:val="17E81E24"/>
    <w:rsid w:val="17E961E7"/>
    <w:rsid w:val="17F36F6B"/>
    <w:rsid w:val="17FC0581"/>
    <w:rsid w:val="17FD7FDC"/>
    <w:rsid w:val="18013AE9"/>
    <w:rsid w:val="18043EF7"/>
    <w:rsid w:val="180720E6"/>
    <w:rsid w:val="18072633"/>
    <w:rsid w:val="180C7FA6"/>
    <w:rsid w:val="181647D2"/>
    <w:rsid w:val="181649D2"/>
    <w:rsid w:val="18166FE6"/>
    <w:rsid w:val="181806D5"/>
    <w:rsid w:val="181A4971"/>
    <w:rsid w:val="181C54CE"/>
    <w:rsid w:val="181D0E89"/>
    <w:rsid w:val="181D2B9D"/>
    <w:rsid w:val="182061EA"/>
    <w:rsid w:val="18214288"/>
    <w:rsid w:val="182539B5"/>
    <w:rsid w:val="182865E3"/>
    <w:rsid w:val="182B43CF"/>
    <w:rsid w:val="182E4356"/>
    <w:rsid w:val="18310442"/>
    <w:rsid w:val="18332FFC"/>
    <w:rsid w:val="18333D09"/>
    <w:rsid w:val="183802AD"/>
    <w:rsid w:val="183A4F6D"/>
    <w:rsid w:val="183A6007"/>
    <w:rsid w:val="183C3313"/>
    <w:rsid w:val="184265FF"/>
    <w:rsid w:val="18445F2D"/>
    <w:rsid w:val="18490011"/>
    <w:rsid w:val="184C53F0"/>
    <w:rsid w:val="184F2876"/>
    <w:rsid w:val="184F77CD"/>
    <w:rsid w:val="1851225F"/>
    <w:rsid w:val="185572F7"/>
    <w:rsid w:val="185929D5"/>
    <w:rsid w:val="185C1431"/>
    <w:rsid w:val="185C444A"/>
    <w:rsid w:val="185D1F7C"/>
    <w:rsid w:val="185E5C09"/>
    <w:rsid w:val="185F6282"/>
    <w:rsid w:val="18605E8D"/>
    <w:rsid w:val="186357AB"/>
    <w:rsid w:val="18657AD1"/>
    <w:rsid w:val="18686264"/>
    <w:rsid w:val="186A3A7F"/>
    <w:rsid w:val="186B3937"/>
    <w:rsid w:val="186B46FD"/>
    <w:rsid w:val="186E15BB"/>
    <w:rsid w:val="1872135C"/>
    <w:rsid w:val="18725758"/>
    <w:rsid w:val="18766230"/>
    <w:rsid w:val="18777A9A"/>
    <w:rsid w:val="18796061"/>
    <w:rsid w:val="187D6F72"/>
    <w:rsid w:val="187F17F0"/>
    <w:rsid w:val="1881648B"/>
    <w:rsid w:val="1883416B"/>
    <w:rsid w:val="18837B26"/>
    <w:rsid w:val="1885105D"/>
    <w:rsid w:val="188713C8"/>
    <w:rsid w:val="188823DD"/>
    <w:rsid w:val="188A1769"/>
    <w:rsid w:val="188E6872"/>
    <w:rsid w:val="18970212"/>
    <w:rsid w:val="18982256"/>
    <w:rsid w:val="189A66B6"/>
    <w:rsid w:val="189C25A9"/>
    <w:rsid w:val="189C75AC"/>
    <w:rsid w:val="189D45D2"/>
    <w:rsid w:val="189D4AAA"/>
    <w:rsid w:val="189F6EEB"/>
    <w:rsid w:val="18A13C3E"/>
    <w:rsid w:val="18A17C36"/>
    <w:rsid w:val="18A30974"/>
    <w:rsid w:val="18A96B2D"/>
    <w:rsid w:val="18AB0684"/>
    <w:rsid w:val="18AC2B9A"/>
    <w:rsid w:val="18AC4429"/>
    <w:rsid w:val="18AE7398"/>
    <w:rsid w:val="18BB4520"/>
    <w:rsid w:val="18BC2AC4"/>
    <w:rsid w:val="18BE55F5"/>
    <w:rsid w:val="18C179CD"/>
    <w:rsid w:val="18C302C8"/>
    <w:rsid w:val="18C46C2A"/>
    <w:rsid w:val="18C77A9E"/>
    <w:rsid w:val="18CD7F55"/>
    <w:rsid w:val="18D11AA7"/>
    <w:rsid w:val="18D203B1"/>
    <w:rsid w:val="18D43A40"/>
    <w:rsid w:val="18D63A5E"/>
    <w:rsid w:val="18DB0A14"/>
    <w:rsid w:val="18DC4661"/>
    <w:rsid w:val="18DD542D"/>
    <w:rsid w:val="18DE6153"/>
    <w:rsid w:val="18DF2AD3"/>
    <w:rsid w:val="18E66BA7"/>
    <w:rsid w:val="18E93D6C"/>
    <w:rsid w:val="18EB3E72"/>
    <w:rsid w:val="18EE2364"/>
    <w:rsid w:val="18F25DD8"/>
    <w:rsid w:val="18F27274"/>
    <w:rsid w:val="18F33D9C"/>
    <w:rsid w:val="18F62C04"/>
    <w:rsid w:val="18F71B14"/>
    <w:rsid w:val="18F751EF"/>
    <w:rsid w:val="18FA2EDF"/>
    <w:rsid w:val="18FA6177"/>
    <w:rsid w:val="18FA7D52"/>
    <w:rsid w:val="18FB425E"/>
    <w:rsid w:val="18FE07FD"/>
    <w:rsid w:val="18FE1D49"/>
    <w:rsid w:val="18FE52F8"/>
    <w:rsid w:val="18FF7C92"/>
    <w:rsid w:val="19020B6E"/>
    <w:rsid w:val="19021B6D"/>
    <w:rsid w:val="1906138C"/>
    <w:rsid w:val="190848E3"/>
    <w:rsid w:val="190F18F7"/>
    <w:rsid w:val="191034B4"/>
    <w:rsid w:val="191069B6"/>
    <w:rsid w:val="19111522"/>
    <w:rsid w:val="191336BD"/>
    <w:rsid w:val="19133DCD"/>
    <w:rsid w:val="19145B32"/>
    <w:rsid w:val="19167E4A"/>
    <w:rsid w:val="191910CC"/>
    <w:rsid w:val="191C1D26"/>
    <w:rsid w:val="191D0815"/>
    <w:rsid w:val="191D11BC"/>
    <w:rsid w:val="191E7B78"/>
    <w:rsid w:val="19257F41"/>
    <w:rsid w:val="192835A8"/>
    <w:rsid w:val="19294FD4"/>
    <w:rsid w:val="192B1FB0"/>
    <w:rsid w:val="192F6950"/>
    <w:rsid w:val="19360669"/>
    <w:rsid w:val="19364A4A"/>
    <w:rsid w:val="1937173A"/>
    <w:rsid w:val="19386A0B"/>
    <w:rsid w:val="193B4EFC"/>
    <w:rsid w:val="193C07F2"/>
    <w:rsid w:val="193F19B8"/>
    <w:rsid w:val="194018F8"/>
    <w:rsid w:val="1942096A"/>
    <w:rsid w:val="194303E2"/>
    <w:rsid w:val="194505FE"/>
    <w:rsid w:val="194600A7"/>
    <w:rsid w:val="194A56E9"/>
    <w:rsid w:val="194B60BC"/>
    <w:rsid w:val="194C1DB0"/>
    <w:rsid w:val="194E6B73"/>
    <w:rsid w:val="19523C94"/>
    <w:rsid w:val="19527F35"/>
    <w:rsid w:val="195333A3"/>
    <w:rsid w:val="195833CD"/>
    <w:rsid w:val="1959660A"/>
    <w:rsid w:val="195B0746"/>
    <w:rsid w:val="195D5700"/>
    <w:rsid w:val="195D595A"/>
    <w:rsid w:val="19642312"/>
    <w:rsid w:val="19656A1E"/>
    <w:rsid w:val="196A793C"/>
    <w:rsid w:val="196D067C"/>
    <w:rsid w:val="196F7881"/>
    <w:rsid w:val="19706A92"/>
    <w:rsid w:val="19732DDD"/>
    <w:rsid w:val="19765381"/>
    <w:rsid w:val="19770197"/>
    <w:rsid w:val="197902A7"/>
    <w:rsid w:val="1979220B"/>
    <w:rsid w:val="197B0D9F"/>
    <w:rsid w:val="197E0075"/>
    <w:rsid w:val="197E6D5B"/>
    <w:rsid w:val="19856BF9"/>
    <w:rsid w:val="198B0086"/>
    <w:rsid w:val="198D56BB"/>
    <w:rsid w:val="19905DE2"/>
    <w:rsid w:val="19925A55"/>
    <w:rsid w:val="199726FF"/>
    <w:rsid w:val="19985DA9"/>
    <w:rsid w:val="1998735F"/>
    <w:rsid w:val="199B0B4F"/>
    <w:rsid w:val="199D5666"/>
    <w:rsid w:val="199D6271"/>
    <w:rsid w:val="19A40044"/>
    <w:rsid w:val="19A415AA"/>
    <w:rsid w:val="19A526E2"/>
    <w:rsid w:val="19A55F77"/>
    <w:rsid w:val="19A846E9"/>
    <w:rsid w:val="19AA47D4"/>
    <w:rsid w:val="19AC4FA5"/>
    <w:rsid w:val="19B16035"/>
    <w:rsid w:val="19B16168"/>
    <w:rsid w:val="19B25567"/>
    <w:rsid w:val="19B424AF"/>
    <w:rsid w:val="19B64184"/>
    <w:rsid w:val="19B931A0"/>
    <w:rsid w:val="19BC4C7F"/>
    <w:rsid w:val="19C03DD7"/>
    <w:rsid w:val="19C216EA"/>
    <w:rsid w:val="19C23D82"/>
    <w:rsid w:val="19C36DE1"/>
    <w:rsid w:val="19CC177F"/>
    <w:rsid w:val="19CD635A"/>
    <w:rsid w:val="19CE4573"/>
    <w:rsid w:val="19D228B5"/>
    <w:rsid w:val="19D67F78"/>
    <w:rsid w:val="19DA5C00"/>
    <w:rsid w:val="19DD2822"/>
    <w:rsid w:val="19DF45AE"/>
    <w:rsid w:val="19E609D7"/>
    <w:rsid w:val="19E62224"/>
    <w:rsid w:val="19E64BB8"/>
    <w:rsid w:val="19E74DD2"/>
    <w:rsid w:val="19E93AF0"/>
    <w:rsid w:val="19EB34A8"/>
    <w:rsid w:val="19EE6EE4"/>
    <w:rsid w:val="1A053239"/>
    <w:rsid w:val="1A09162B"/>
    <w:rsid w:val="1A110EB6"/>
    <w:rsid w:val="1A15599F"/>
    <w:rsid w:val="1A162156"/>
    <w:rsid w:val="1A192375"/>
    <w:rsid w:val="1A192D6D"/>
    <w:rsid w:val="1A1A1F6B"/>
    <w:rsid w:val="1A1B3543"/>
    <w:rsid w:val="1A1C14E1"/>
    <w:rsid w:val="1A1C2C0B"/>
    <w:rsid w:val="1A1D3212"/>
    <w:rsid w:val="1A200723"/>
    <w:rsid w:val="1A20103E"/>
    <w:rsid w:val="1A2428B3"/>
    <w:rsid w:val="1A250654"/>
    <w:rsid w:val="1A273505"/>
    <w:rsid w:val="1A281318"/>
    <w:rsid w:val="1A282BD2"/>
    <w:rsid w:val="1A2C022E"/>
    <w:rsid w:val="1A2C1992"/>
    <w:rsid w:val="1A2D3BBB"/>
    <w:rsid w:val="1A2E43C4"/>
    <w:rsid w:val="1A2F55FE"/>
    <w:rsid w:val="1A313D17"/>
    <w:rsid w:val="1A334DAB"/>
    <w:rsid w:val="1A363EF2"/>
    <w:rsid w:val="1A3D2097"/>
    <w:rsid w:val="1A3F510B"/>
    <w:rsid w:val="1A4040B9"/>
    <w:rsid w:val="1A406FE5"/>
    <w:rsid w:val="1A4A693F"/>
    <w:rsid w:val="1A4C050E"/>
    <w:rsid w:val="1A4C1518"/>
    <w:rsid w:val="1A4F55C2"/>
    <w:rsid w:val="1A5A5BE6"/>
    <w:rsid w:val="1A5B2403"/>
    <w:rsid w:val="1A5B47A8"/>
    <w:rsid w:val="1A606E89"/>
    <w:rsid w:val="1A611EBB"/>
    <w:rsid w:val="1A623A04"/>
    <w:rsid w:val="1A64467E"/>
    <w:rsid w:val="1A677F81"/>
    <w:rsid w:val="1A681764"/>
    <w:rsid w:val="1A695DAC"/>
    <w:rsid w:val="1A6A6FB5"/>
    <w:rsid w:val="1A6A76F7"/>
    <w:rsid w:val="1A6B0273"/>
    <w:rsid w:val="1A6B764D"/>
    <w:rsid w:val="1A6C08A7"/>
    <w:rsid w:val="1A6C1FBB"/>
    <w:rsid w:val="1A6C7B32"/>
    <w:rsid w:val="1A6D1668"/>
    <w:rsid w:val="1A732D92"/>
    <w:rsid w:val="1A736AA5"/>
    <w:rsid w:val="1A740844"/>
    <w:rsid w:val="1A79061C"/>
    <w:rsid w:val="1A7A1143"/>
    <w:rsid w:val="1A7E7A83"/>
    <w:rsid w:val="1A806D84"/>
    <w:rsid w:val="1A807209"/>
    <w:rsid w:val="1A814B88"/>
    <w:rsid w:val="1A834684"/>
    <w:rsid w:val="1A847556"/>
    <w:rsid w:val="1A8543D7"/>
    <w:rsid w:val="1A860BF6"/>
    <w:rsid w:val="1A86101E"/>
    <w:rsid w:val="1A86138F"/>
    <w:rsid w:val="1A861D81"/>
    <w:rsid w:val="1A8C29CA"/>
    <w:rsid w:val="1A910048"/>
    <w:rsid w:val="1A9106CA"/>
    <w:rsid w:val="1A910F70"/>
    <w:rsid w:val="1A917457"/>
    <w:rsid w:val="1A92376E"/>
    <w:rsid w:val="1A936D5C"/>
    <w:rsid w:val="1A9551B1"/>
    <w:rsid w:val="1A961BD5"/>
    <w:rsid w:val="1A987616"/>
    <w:rsid w:val="1AA54D37"/>
    <w:rsid w:val="1AA606DD"/>
    <w:rsid w:val="1AA746C8"/>
    <w:rsid w:val="1AAE29D4"/>
    <w:rsid w:val="1AAE6EA6"/>
    <w:rsid w:val="1AAF61CA"/>
    <w:rsid w:val="1AB25946"/>
    <w:rsid w:val="1AB25AD7"/>
    <w:rsid w:val="1AB674BB"/>
    <w:rsid w:val="1AB72018"/>
    <w:rsid w:val="1AB83D5F"/>
    <w:rsid w:val="1AB94AF2"/>
    <w:rsid w:val="1AB97349"/>
    <w:rsid w:val="1ABC669E"/>
    <w:rsid w:val="1ABE390B"/>
    <w:rsid w:val="1ABE4406"/>
    <w:rsid w:val="1ABE538B"/>
    <w:rsid w:val="1AC05410"/>
    <w:rsid w:val="1AC248B7"/>
    <w:rsid w:val="1AC8549C"/>
    <w:rsid w:val="1ACA1EB7"/>
    <w:rsid w:val="1ACA330D"/>
    <w:rsid w:val="1ACF7A20"/>
    <w:rsid w:val="1AD06493"/>
    <w:rsid w:val="1AD27A43"/>
    <w:rsid w:val="1AD46181"/>
    <w:rsid w:val="1AD5299D"/>
    <w:rsid w:val="1AD52AA4"/>
    <w:rsid w:val="1AD54603"/>
    <w:rsid w:val="1ADC6467"/>
    <w:rsid w:val="1ADC6662"/>
    <w:rsid w:val="1ADD0F6A"/>
    <w:rsid w:val="1AE20E39"/>
    <w:rsid w:val="1AE22B3E"/>
    <w:rsid w:val="1AE254D5"/>
    <w:rsid w:val="1AE44633"/>
    <w:rsid w:val="1AE6371B"/>
    <w:rsid w:val="1AEA3145"/>
    <w:rsid w:val="1AEC25E5"/>
    <w:rsid w:val="1AEC366E"/>
    <w:rsid w:val="1AEE0586"/>
    <w:rsid w:val="1AEF0900"/>
    <w:rsid w:val="1AF65217"/>
    <w:rsid w:val="1AF92CBB"/>
    <w:rsid w:val="1AF95413"/>
    <w:rsid w:val="1AF97006"/>
    <w:rsid w:val="1AFA32EC"/>
    <w:rsid w:val="1AFC2988"/>
    <w:rsid w:val="1AFD6BD5"/>
    <w:rsid w:val="1B001290"/>
    <w:rsid w:val="1B065D2A"/>
    <w:rsid w:val="1B076CA7"/>
    <w:rsid w:val="1B13224A"/>
    <w:rsid w:val="1B186B6B"/>
    <w:rsid w:val="1B187285"/>
    <w:rsid w:val="1B216A61"/>
    <w:rsid w:val="1B232F4D"/>
    <w:rsid w:val="1B24606C"/>
    <w:rsid w:val="1B24750B"/>
    <w:rsid w:val="1B2515AC"/>
    <w:rsid w:val="1B270980"/>
    <w:rsid w:val="1B2B7C75"/>
    <w:rsid w:val="1B2D4F36"/>
    <w:rsid w:val="1B2F1CDC"/>
    <w:rsid w:val="1B32779B"/>
    <w:rsid w:val="1B3726E0"/>
    <w:rsid w:val="1B390889"/>
    <w:rsid w:val="1B3F511D"/>
    <w:rsid w:val="1B456DF6"/>
    <w:rsid w:val="1B4A7993"/>
    <w:rsid w:val="1B4D28C0"/>
    <w:rsid w:val="1B4E6605"/>
    <w:rsid w:val="1B4E7680"/>
    <w:rsid w:val="1B504FA4"/>
    <w:rsid w:val="1B50583B"/>
    <w:rsid w:val="1B530684"/>
    <w:rsid w:val="1B532FC2"/>
    <w:rsid w:val="1B581F38"/>
    <w:rsid w:val="1B595902"/>
    <w:rsid w:val="1B5C7B05"/>
    <w:rsid w:val="1B5E6982"/>
    <w:rsid w:val="1B627169"/>
    <w:rsid w:val="1B6378B9"/>
    <w:rsid w:val="1B642496"/>
    <w:rsid w:val="1B653A32"/>
    <w:rsid w:val="1B6B4017"/>
    <w:rsid w:val="1B6D5D44"/>
    <w:rsid w:val="1B6E279F"/>
    <w:rsid w:val="1B6E76E9"/>
    <w:rsid w:val="1B704B07"/>
    <w:rsid w:val="1B720145"/>
    <w:rsid w:val="1B725A64"/>
    <w:rsid w:val="1B741E25"/>
    <w:rsid w:val="1B742103"/>
    <w:rsid w:val="1B7436EF"/>
    <w:rsid w:val="1B746ACE"/>
    <w:rsid w:val="1B752376"/>
    <w:rsid w:val="1B77143E"/>
    <w:rsid w:val="1B791396"/>
    <w:rsid w:val="1B7B478B"/>
    <w:rsid w:val="1B7B546F"/>
    <w:rsid w:val="1B7E6CD0"/>
    <w:rsid w:val="1B7F5B81"/>
    <w:rsid w:val="1B86134F"/>
    <w:rsid w:val="1B876F1D"/>
    <w:rsid w:val="1B894552"/>
    <w:rsid w:val="1B8A70A8"/>
    <w:rsid w:val="1B8B77A4"/>
    <w:rsid w:val="1B8F23DF"/>
    <w:rsid w:val="1B924440"/>
    <w:rsid w:val="1B961D80"/>
    <w:rsid w:val="1B9705C3"/>
    <w:rsid w:val="1B9727B3"/>
    <w:rsid w:val="1B982ED9"/>
    <w:rsid w:val="1B995B55"/>
    <w:rsid w:val="1B9C202B"/>
    <w:rsid w:val="1B9D1BD6"/>
    <w:rsid w:val="1B9F31FE"/>
    <w:rsid w:val="1BA42733"/>
    <w:rsid w:val="1BA655E6"/>
    <w:rsid w:val="1BA66E58"/>
    <w:rsid w:val="1BA861E8"/>
    <w:rsid w:val="1BAA2E8C"/>
    <w:rsid w:val="1BAC0C01"/>
    <w:rsid w:val="1BAD612D"/>
    <w:rsid w:val="1BAF6EA7"/>
    <w:rsid w:val="1BB03FD7"/>
    <w:rsid w:val="1BB06692"/>
    <w:rsid w:val="1BB5181A"/>
    <w:rsid w:val="1BB73950"/>
    <w:rsid w:val="1BB861E6"/>
    <w:rsid w:val="1BB9498B"/>
    <w:rsid w:val="1BB97B7F"/>
    <w:rsid w:val="1BBA48B8"/>
    <w:rsid w:val="1BBA6C26"/>
    <w:rsid w:val="1BBC7025"/>
    <w:rsid w:val="1BBE7B4E"/>
    <w:rsid w:val="1BC062F9"/>
    <w:rsid w:val="1BC16679"/>
    <w:rsid w:val="1BC173CE"/>
    <w:rsid w:val="1BC844A7"/>
    <w:rsid w:val="1BC97014"/>
    <w:rsid w:val="1BCC58C0"/>
    <w:rsid w:val="1BCF166D"/>
    <w:rsid w:val="1BD369FB"/>
    <w:rsid w:val="1BD51A26"/>
    <w:rsid w:val="1BD644F1"/>
    <w:rsid w:val="1BD716EA"/>
    <w:rsid w:val="1BDB1EEF"/>
    <w:rsid w:val="1BE12540"/>
    <w:rsid w:val="1BE15FA2"/>
    <w:rsid w:val="1BE2234F"/>
    <w:rsid w:val="1BE31156"/>
    <w:rsid w:val="1BE331D1"/>
    <w:rsid w:val="1BE333A2"/>
    <w:rsid w:val="1BE80BF5"/>
    <w:rsid w:val="1BE922F9"/>
    <w:rsid w:val="1BF436AB"/>
    <w:rsid w:val="1BF646F9"/>
    <w:rsid w:val="1BFB71A2"/>
    <w:rsid w:val="1BFD0D1C"/>
    <w:rsid w:val="1BFF3EC9"/>
    <w:rsid w:val="1C002E1D"/>
    <w:rsid w:val="1C040CF7"/>
    <w:rsid w:val="1C080D2C"/>
    <w:rsid w:val="1C092EF1"/>
    <w:rsid w:val="1C0A6632"/>
    <w:rsid w:val="1C161434"/>
    <w:rsid w:val="1C174366"/>
    <w:rsid w:val="1C1906AA"/>
    <w:rsid w:val="1C1D040F"/>
    <w:rsid w:val="1C1D3399"/>
    <w:rsid w:val="1C1D35ED"/>
    <w:rsid w:val="1C217C8C"/>
    <w:rsid w:val="1C2636BE"/>
    <w:rsid w:val="1C283FA5"/>
    <w:rsid w:val="1C295682"/>
    <w:rsid w:val="1C2C4779"/>
    <w:rsid w:val="1C2E6A56"/>
    <w:rsid w:val="1C2E7B01"/>
    <w:rsid w:val="1C3277B4"/>
    <w:rsid w:val="1C360DEC"/>
    <w:rsid w:val="1C367917"/>
    <w:rsid w:val="1C381D54"/>
    <w:rsid w:val="1C385BCD"/>
    <w:rsid w:val="1C3A2942"/>
    <w:rsid w:val="1C3D2C30"/>
    <w:rsid w:val="1C3E03B1"/>
    <w:rsid w:val="1C433A6E"/>
    <w:rsid w:val="1C4439C0"/>
    <w:rsid w:val="1C45671F"/>
    <w:rsid w:val="1C457BCB"/>
    <w:rsid w:val="1C46292F"/>
    <w:rsid w:val="1C4A3186"/>
    <w:rsid w:val="1C4D552D"/>
    <w:rsid w:val="1C4D7308"/>
    <w:rsid w:val="1C4E2BD6"/>
    <w:rsid w:val="1C4E4907"/>
    <w:rsid w:val="1C5274C6"/>
    <w:rsid w:val="1C543D00"/>
    <w:rsid w:val="1C561C96"/>
    <w:rsid w:val="1C563138"/>
    <w:rsid w:val="1C5B6047"/>
    <w:rsid w:val="1C5C73B0"/>
    <w:rsid w:val="1C606295"/>
    <w:rsid w:val="1C623FC1"/>
    <w:rsid w:val="1C625E33"/>
    <w:rsid w:val="1C62749C"/>
    <w:rsid w:val="1C637301"/>
    <w:rsid w:val="1C650221"/>
    <w:rsid w:val="1C663350"/>
    <w:rsid w:val="1C66394E"/>
    <w:rsid w:val="1C6A160C"/>
    <w:rsid w:val="1C6B42BF"/>
    <w:rsid w:val="1C6C0A57"/>
    <w:rsid w:val="1C6D5251"/>
    <w:rsid w:val="1C6E31FA"/>
    <w:rsid w:val="1C724A95"/>
    <w:rsid w:val="1C73204A"/>
    <w:rsid w:val="1C737796"/>
    <w:rsid w:val="1C762902"/>
    <w:rsid w:val="1C7641DF"/>
    <w:rsid w:val="1C767BA2"/>
    <w:rsid w:val="1C77052E"/>
    <w:rsid w:val="1C7A1EA6"/>
    <w:rsid w:val="1C7A4119"/>
    <w:rsid w:val="1C7E0230"/>
    <w:rsid w:val="1C800211"/>
    <w:rsid w:val="1C874F42"/>
    <w:rsid w:val="1C8A6614"/>
    <w:rsid w:val="1C8E65C9"/>
    <w:rsid w:val="1C905F8D"/>
    <w:rsid w:val="1C915701"/>
    <w:rsid w:val="1C925D63"/>
    <w:rsid w:val="1C930349"/>
    <w:rsid w:val="1C961B48"/>
    <w:rsid w:val="1C980858"/>
    <w:rsid w:val="1C981A6C"/>
    <w:rsid w:val="1C9A62AF"/>
    <w:rsid w:val="1C9C5423"/>
    <w:rsid w:val="1C9C7AA5"/>
    <w:rsid w:val="1C9D0EE2"/>
    <w:rsid w:val="1CA17B90"/>
    <w:rsid w:val="1CA26564"/>
    <w:rsid w:val="1CA42106"/>
    <w:rsid w:val="1CA44F32"/>
    <w:rsid w:val="1CA57476"/>
    <w:rsid w:val="1CA57F93"/>
    <w:rsid w:val="1CA70CB2"/>
    <w:rsid w:val="1CAA3F2B"/>
    <w:rsid w:val="1CAA64F9"/>
    <w:rsid w:val="1CB51A12"/>
    <w:rsid w:val="1CB70866"/>
    <w:rsid w:val="1CBA1941"/>
    <w:rsid w:val="1CBC1F72"/>
    <w:rsid w:val="1CBF5A46"/>
    <w:rsid w:val="1CCB0CD5"/>
    <w:rsid w:val="1CCB3BFC"/>
    <w:rsid w:val="1CCC0536"/>
    <w:rsid w:val="1CCC4B92"/>
    <w:rsid w:val="1CCC4EF4"/>
    <w:rsid w:val="1CCD058F"/>
    <w:rsid w:val="1CD2213C"/>
    <w:rsid w:val="1CD25301"/>
    <w:rsid w:val="1CD473D1"/>
    <w:rsid w:val="1CD76F20"/>
    <w:rsid w:val="1CDF17ED"/>
    <w:rsid w:val="1CE148A0"/>
    <w:rsid w:val="1CE26159"/>
    <w:rsid w:val="1CE7111C"/>
    <w:rsid w:val="1CEB6482"/>
    <w:rsid w:val="1CEE6F87"/>
    <w:rsid w:val="1CEF2569"/>
    <w:rsid w:val="1CF03ADB"/>
    <w:rsid w:val="1CF122D6"/>
    <w:rsid w:val="1CF2147E"/>
    <w:rsid w:val="1CF40411"/>
    <w:rsid w:val="1CF52EBF"/>
    <w:rsid w:val="1CF76B90"/>
    <w:rsid w:val="1CF818EA"/>
    <w:rsid w:val="1CFD7770"/>
    <w:rsid w:val="1D014A3E"/>
    <w:rsid w:val="1D030E6A"/>
    <w:rsid w:val="1D0314FF"/>
    <w:rsid w:val="1D032730"/>
    <w:rsid w:val="1D0431C1"/>
    <w:rsid w:val="1D1164FD"/>
    <w:rsid w:val="1D176E09"/>
    <w:rsid w:val="1D18039B"/>
    <w:rsid w:val="1D210DD2"/>
    <w:rsid w:val="1D215839"/>
    <w:rsid w:val="1D24703B"/>
    <w:rsid w:val="1D25208E"/>
    <w:rsid w:val="1D2C22FC"/>
    <w:rsid w:val="1D2D0AB3"/>
    <w:rsid w:val="1D331D51"/>
    <w:rsid w:val="1D352737"/>
    <w:rsid w:val="1D3719D7"/>
    <w:rsid w:val="1D376AEC"/>
    <w:rsid w:val="1D397A00"/>
    <w:rsid w:val="1D397C73"/>
    <w:rsid w:val="1D3A1AFC"/>
    <w:rsid w:val="1D3A304C"/>
    <w:rsid w:val="1D3A7D4E"/>
    <w:rsid w:val="1D3F60EE"/>
    <w:rsid w:val="1D4008E1"/>
    <w:rsid w:val="1D43310C"/>
    <w:rsid w:val="1D452A99"/>
    <w:rsid w:val="1D4A480F"/>
    <w:rsid w:val="1D4C2747"/>
    <w:rsid w:val="1D4D2EB2"/>
    <w:rsid w:val="1D4E1B3F"/>
    <w:rsid w:val="1D4F45D2"/>
    <w:rsid w:val="1D5026EE"/>
    <w:rsid w:val="1D540C6B"/>
    <w:rsid w:val="1D544E24"/>
    <w:rsid w:val="1D5B01AE"/>
    <w:rsid w:val="1D5F3E68"/>
    <w:rsid w:val="1D603214"/>
    <w:rsid w:val="1D605D37"/>
    <w:rsid w:val="1D631FA9"/>
    <w:rsid w:val="1D661726"/>
    <w:rsid w:val="1D682B0D"/>
    <w:rsid w:val="1D6E2DD5"/>
    <w:rsid w:val="1D6E6AB7"/>
    <w:rsid w:val="1D6F45CF"/>
    <w:rsid w:val="1D723006"/>
    <w:rsid w:val="1D7249F5"/>
    <w:rsid w:val="1D743DA9"/>
    <w:rsid w:val="1D7817B0"/>
    <w:rsid w:val="1D782BEF"/>
    <w:rsid w:val="1D7B31DF"/>
    <w:rsid w:val="1D7B783B"/>
    <w:rsid w:val="1D7C01AE"/>
    <w:rsid w:val="1D7E203C"/>
    <w:rsid w:val="1D7E2128"/>
    <w:rsid w:val="1D7E442A"/>
    <w:rsid w:val="1D7E606B"/>
    <w:rsid w:val="1D7E7F87"/>
    <w:rsid w:val="1D831166"/>
    <w:rsid w:val="1D8A2918"/>
    <w:rsid w:val="1D8C186A"/>
    <w:rsid w:val="1D8C3D30"/>
    <w:rsid w:val="1D8D4746"/>
    <w:rsid w:val="1D8F121A"/>
    <w:rsid w:val="1D916B26"/>
    <w:rsid w:val="1D923C0C"/>
    <w:rsid w:val="1D945F1E"/>
    <w:rsid w:val="1D965B7D"/>
    <w:rsid w:val="1D9B1565"/>
    <w:rsid w:val="1D9B25B1"/>
    <w:rsid w:val="1D9E52A6"/>
    <w:rsid w:val="1D9E7030"/>
    <w:rsid w:val="1D9E759F"/>
    <w:rsid w:val="1DA033FF"/>
    <w:rsid w:val="1DA13697"/>
    <w:rsid w:val="1DA345D6"/>
    <w:rsid w:val="1DA8530D"/>
    <w:rsid w:val="1DAC2839"/>
    <w:rsid w:val="1DAD0520"/>
    <w:rsid w:val="1DAE0CA4"/>
    <w:rsid w:val="1DB27BB9"/>
    <w:rsid w:val="1DB4560F"/>
    <w:rsid w:val="1DB7744A"/>
    <w:rsid w:val="1DBA20D4"/>
    <w:rsid w:val="1DBC4CA5"/>
    <w:rsid w:val="1DBE3F93"/>
    <w:rsid w:val="1DC2169B"/>
    <w:rsid w:val="1DC273F3"/>
    <w:rsid w:val="1DC27590"/>
    <w:rsid w:val="1DC505F6"/>
    <w:rsid w:val="1DD47FA1"/>
    <w:rsid w:val="1DD56B5E"/>
    <w:rsid w:val="1DD97567"/>
    <w:rsid w:val="1DDE0973"/>
    <w:rsid w:val="1DDE305B"/>
    <w:rsid w:val="1DE06CC7"/>
    <w:rsid w:val="1DE61310"/>
    <w:rsid w:val="1DE66F71"/>
    <w:rsid w:val="1DE820E9"/>
    <w:rsid w:val="1DE87497"/>
    <w:rsid w:val="1DE95A69"/>
    <w:rsid w:val="1DEA143B"/>
    <w:rsid w:val="1DEA26D0"/>
    <w:rsid w:val="1DEA5A49"/>
    <w:rsid w:val="1DEB0517"/>
    <w:rsid w:val="1DF01CC7"/>
    <w:rsid w:val="1DF54276"/>
    <w:rsid w:val="1DF57459"/>
    <w:rsid w:val="1DF6068C"/>
    <w:rsid w:val="1DF72725"/>
    <w:rsid w:val="1E0740D4"/>
    <w:rsid w:val="1E075E82"/>
    <w:rsid w:val="1E0D6495"/>
    <w:rsid w:val="1E0E153D"/>
    <w:rsid w:val="1E0F1819"/>
    <w:rsid w:val="1E1079BA"/>
    <w:rsid w:val="1E112A5A"/>
    <w:rsid w:val="1E114C23"/>
    <w:rsid w:val="1E1265D5"/>
    <w:rsid w:val="1E137679"/>
    <w:rsid w:val="1E182C52"/>
    <w:rsid w:val="1E183DE6"/>
    <w:rsid w:val="1E1953C7"/>
    <w:rsid w:val="1E1A702F"/>
    <w:rsid w:val="1E1B4F5D"/>
    <w:rsid w:val="1E1C26AE"/>
    <w:rsid w:val="1E1D56A5"/>
    <w:rsid w:val="1E1F4A9A"/>
    <w:rsid w:val="1E1F4AFD"/>
    <w:rsid w:val="1E23264A"/>
    <w:rsid w:val="1E247A69"/>
    <w:rsid w:val="1E257092"/>
    <w:rsid w:val="1E2A16D4"/>
    <w:rsid w:val="1E2B757B"/>
    <w:rsid w:val="1E3125F5"/>
    <w:rsid w:val="1E3543A7"/>
    <w:rsid w:val="1E3704EF"/>
    <w:rsid w:val="1E377F5A"/>
    <w:rsid w:val="1E380DF6"/>
    <w:rsid w:val="1E3D54EA"/>
    <w:rsid w:val="1E3E1E8E"/>
    <w:rsid w:val="1E423E08"/>
    <w:rsid w:val="1E427C19"/>
    <w:rsid w:val="1E427D05"/>
    <w:rsid w:val="1E462D9F"/>
    <w:rsid w:val="1E4808D0"/>
    <w:rsid w:val="1E496ECC"/>
    <w:rsid w:val="1E4C3188"/>
    <w:rsid w:val="1E541711"/>
    <w:rsid w:val="1E5A7F0E"/>
    <w:rsid w:val="1E5B45B8"/>
    <w:rsid w:val="1E5F73B0"/>
    <w:rsid w:val="1E6257AE"/>
    <w:rsid w:val="1E635A4A"/>
    <w:rsid w:val="1E635ADA"/>
    <w:rsid w:val="1E637E82"/>
    <w:rsid w:val="1E672894"/>
    <w:rsid w:val="1E6C0104"/>
    <w:rsid w:val="1E6C6D74"/>
    <w:rsid w:val="1E6C78C1"/>
    <w:rsid w:val="1E6D3813"/>
    <w:rsid w:val="1E6E7B85"/>
    <w:rsid w:val="1E734880"/>
    <w:rsid w:val="1E7412AB"/>
    <w:rsid w:val="1E750D87"/>
    <w:rsid w:val="1E753012"/>
    <w:rsid w:val="1E765248"/>
    <w:rsid w:val="1E7939A1"/>
    <w:rsid w:val="1E795173"/>
    <w:rsid w:val="1E7A247B"/>
    <w:rsid w:val="1E7E1073"/>
    <w:rsid w:val="1E805C34"/>
    <w:rsid w:val="1E810349"/>
    <w:rsid w:val="1E82761E"/>
    <w:rsid w:val="1E8348EB"/>
    <w:rsid w:val="1E846914"/>
    <w:rsid w:val="1E8618BB"/>
    <w:rsid w:val="1E862FC3"/>
    <w:rsid w:val="1E866A0A"/>
    <w:rsid w:val="1E874E9A"/>
    <w:rsid w:val="1E87736E"/>
    <w:rsid w:val="1E8904FB"/>
    <w:rsid w:val="1E8B106B"/>
    <w:rsid w:val="1E8B3120"/>
    <w:rsid w:val="1E8C3F38"/>
    <w:rsid w:val="1E8C4B15"/>
    <w:rsid w:val="1E8D47F2"/>
    <w:rsid w:val="1E8F5441"/>
    <w:rsid w:val="1E914109"/>
    <w:rsid w:val="1E9149D5"/>
    <w:rsid w:val="1E931D0C"/>
    <w:rsid w:val="1E94670B"/>
    <w:rsid w:val="1E951EC5"/>
    <w:rsid w:val="1E97116C"/>
    <w:rsid w:val="1E9B1FFD"/>
    <w:rsid w:val="1E9B24F8"/>
    <w:rsid w:val="1E9B51BD"/>
    <w:rsid w:val="1E9D6AC5"/>
    <w:rsid w:val="1E9E2DB1"/>
    <w:rsid w:val="1E9E50E7"/>
    <w:rsid w:val="1E9F05E0"/>
    <w:rsid w:val="1EA01E85"/>
    <w:rsid w:val="1EA062D6"/>
    <w:rsid w:val="1EA20EC7"/>
    <w:rsid w:val="1EA35312"/>
    <w:rsid w:val="1EA522C7"/>
    <w:rsid w:val="1EA6208E"/>
    <w:rsid w:val="1EA77E0E"/>
    <w:rsid w:val="1EA90BE0"/>
    <w:rsid w:val="1EAA6FF1"/>
    <w:rsid w:val="1EAE49E6"/>
    <w:rsid w:val="1EAE67A5"/>
    <w:rsid w:val="1EB174BD"/>
    <w:rsid w:val="1EB30044"/>
    <w:rsid w:val="1EB33D30"/>
    <w:rsid w:val="1EB43518"/>
    <w:rsid w:val="1EB61A58"/>
    <w:rsid w:val="1EB661F5"/>
    <w:rsid w:val="1EB703E7"/>
    <w:rsid w:val="1EB90AB8"/>
    <w:rsid w:val="1EB92AE1"/>
    <w:rsid w:val="1EB9523E"/>
    <w:rsid w:val="1EBB654F"/>
    <w:rsid w:val="1EBB70F9"/>
    <w:rsid w:val="1EBC65C6"/>
    <w:rsid w:val="1EBE05CF"/>
    <w:rsid w:val="1EC06981"/>
    <w:rsid w:val="1EC213B9"/>
    <w:rsid w:val="1EC24A3A"/>
    <w:rsid w:val="1EC522FB"/>
    <w:rsid w:val="1EC55B07"/>
    <w:rsid w:val="1EC5769B"/>
    <w:rsid w:val="1EC6237A"/>
    <w:rsid w:val="1ECE0FB0"/>
    <w:rsid w:val="1ECF3ED1"/>
    <w:rsid w:val="1ED33FB6"/>
    <w:rsid w:val="1ED5712D"/>
    <w:rsid w:val="1ED77475"/>
    <w:rsid w:val="1ED91CE3"/>
    <w:rsid w:val="1EDB0E9D"/>
    <w:rsid w:val="1EDE6E73"/>
    <w:rsid w:val="1EE04F65"/>
    <w:rsid w:val="1EE22023"/>
    <w:rsid w:val="1EE25556"/>
    <w:rsid w:val="1EE361C6"/>
    <w:rsid w:val="1EEC5303"/>
    <w:rsid w:val="1EEC6165"/>
    <w:rsid w:val="1EED0909"/>
    <w:rsid w:val="1EF07F6D"/>
    <w:rsid w:val="1EFC441E"/>
    <w:rsid w:val="1F041FB4"/>
    <w:rsid w:val="1F0469F0"/>
    <w:rsid w:val="1F050E1D"/>
    <w:rsid w:val="1F06519F"/>
    <w:rsid w:val="1F06599F"/>
    <w:rsid w:val="1F0C5A28"/>
    <w:rsid w:val="1F0D037C"/>
    <w:rsid w:val="1F0D4F5E"/>
    <w:rsid w:val="1F0F28A7"/>
    <w:rsid w:val="1F112952"/>
    <w:rsid w:val="1F1206AB"/>
    <w:rsid w:val="1F120E9B"/>
    <w:rsid w:val="1F1765CB"/>
    <w:rsid w:val="1F1912FE"/>
    <w:rsid w:val="1F1A6831"/>
    <w:rsid w:val="1F1B6081"/>
    <w:rsid w:val="1F1D7883"/>
    <w:rsid w:val="1F220AAA"/>
    <w:rsid w:val="1F245111"/>
    <w:rsid w:val="1F2A0384"/>
    <w:rsid w:val="1F2B5E60"/>
    <w:rsid w:val="1F2C769A"/>
    <w:rsid w:val="1F31034B"/>
    <w:rsid w:val="1F336533"/>
    <w:rsid w:val="1F3372DA"/>
    <w:rsid w:val="1F355D81"/>
    <w:rsid w:val="1F3A3CAF"/>
    <w:rsid w:val="1F3C5743"/>
    <w:rsid w:val="1F3E0C7F"/>
    <w:rsid w:val="1F3F5758"/>
    <w:rsid w:val="1F3F6757"/>
    <w:rsid w:val="1F404461"/>
    <w:rsid w:val="1F4312C4"/>
    <w:rsid w:val="1F457A27"/>
    <w:rsid w:val="1F460B6F"/>
    <w:rsid w:val="1F460E06"/>
    <w:rsid w:val="1F46253D"/>
    <w:rsid w:val="1F481358"/>
    <w:rsid w:val="1F4A45B0"/>
    <w:rsid w:val="1F4B0B6E"/>
    <w:rsid w:val="1F4B7FF0"/>
    <w:rsid w:val="1F4C0334"/>
    <w:rsid w:val="1F522E2F"/>
    <w:rsid w:val="1F552C1D"/>
    <w:rsid w:val="1F565A05"/>
    <w:rsid w:val="1F5E6900"/>
    <w:rsid w:val="1F6039C6"/>
    <w:rsid w:val="1F6147CE"/>
    <w:rsid w:val="1F646FA5"/>
    <w:rsid w:val="1F67162C"/>
    <w:rsid w:val="1F672A3C"/>
    <w:rsid w:val="1F672B0C"/>
    <w:rsid w:val="1F6D24CF"/>
    <w:rsid w:val="1F70389E"/>
    <w:rsid w:val="1F7176E5"/>
    <w:rsid w:val="1F732B76"/>
    <w:rsid w:val="1F7700B3"/>
    <w:rsid w:val="1F7B04A3"/>
    <w:rsid w:val="1F7B7F32"/>
    <w:rsid w:val="1F814FF0"/>
    <w:rsid w:val="1F815A41"/>
    <w:rsid w:val="1F82485D"/>
    <w:rsid w:val="1F827BFC"/>
    <w:rsid w:val="1F843502"/>
    <w:rsid w:val="1F845D00"/>
    <w:rsid w:val="1F8511DE"/>
    <w:rsid w:val="1F86493F"/>
    <w:rsid w:val="1F870090"/>
    <w:rsid w:val="1F892FF5"/>
    <w:rsid w:val="1F8A67B2"/>
    <w:rsid w:val="1F8C058C"/>
    <w:rsid w:val="1F8C3679"/>
    <w:rsid w:val="1F8D48D5"/>
    <w:rsid w:val="1F8D523D"/>
    <w:rsid w:val="1F947FF7"/>
    <w:rsid w:val="1F963ED9"/>
    <w:rsid w:val="1F970695"/>
    <w:rsid w:val="1F987420"/>
    <w:rsid w:val="1F996889"/>
    <w:rsid w:val="1F9A5F12"/>
    <w:rsid w:val="1F9B5DD3"/>
    <w:rsid w:val="1F9C1D8C"/>
    <w:rsid w:val="1F9C5C4E"/>
    <w:rsid w:val="1F9D2E3E"/>
    <w:rsid w:val="1F9D4466"/>
    <w:rsid w:val="1F9F4FD8"/>
    <w:rsid w:val="1FA47D4C"/>
    <w:rsid w:val="1FA62551"/>
    <w:rsid w:val="1FAB554D"/>
    <w:rsid w:val="1FB02FCD"/>
    <w:rsid w:val="1FB16129"/>
    <w:rsid w:val="1FB414C2"/>
    <w:rsid w:val="1FB630C3"/>
    <w:rsid w:val="1FB73A1D"/>
    <w:rsid w:val="1FB742A8"/>
    <w:rsid w:val="1FB77943"/>
    <w:rsid w:val="1FB8158D"/>
    <w:rsid w:val="1FB91CEA"/>
    <w:rsid w:val="1FBC3CBF"/>
    <w:rsid w:val="1FBD53DB"/>
    <w:rsid w:val="1FBE4961"/>
    <w:rsid w:val="1FC33589"/>
    <w:rsid w:val="1FC63816"/>
    <w:rsid w:val="1FC64B73"/>
    <w:rsid w:val="1FC85D4F"/>
    <w:rsid w:val="1FCD6B3E"/>
    <w:rsid w:val="1FCE4979"/>
    <w:rsid w:val="1FD06747"/>
    <w:rsid w:val="1FD3740F"/>
    <w:rsid w:val="1FD6520B"/>
    <w:rsid w:val="1FDF2A06"/>
    <w:rsid w:val="1FE672BF"/>
    <w:rsid w:val="1FE81DCF"/>
    <w:rsid w:val="1FEA0454"/>
    <w:rsid w:val="1FEA4FB5"/>
    <w:rsid w:val="1FF06A45"/>
    <w:rsid w:val="1FF33468"/>
    <w:rsid w:val="1FF460F3"/>
    <w:rsid w:val="1FF6169F"/>
    <w:rsid w:val="1FF82675"/>
    <w:rsid w:val="1FF95065"/>
    <w:rsid w:val="1FFA7288"/>
    <w:rsid w:val="1FFD6878"/>
    <w:rsid w:val="1FFE44EA"/>
    <w:rsid w:val="1FFF265E"/>
    <w:rsid w:val="200133CA"/>
    <w:rsid w:val="200332D3"/>
    <w:rsid w:val="2005201C"/>
    <w:rsid w:val="200651D0"/>
    <w:rsid w:val="2007566C"/>
    <w:rsid w:val="200779B8"/>
    <w:rsid w:val="200A7E8A"/>
    <w:rsid w:val="200B2D1B"/>
    <w:rsid w:val="201532FF"/>
    <w:rsid w:val="201605FE"/>
    <w:rsid w:val="20176A7D"/>
    <w:rsid w:val="20181187"/>
    <w:rsid w:val="201D1F72"/>
    <w:rsid w:val="201E556C"/>
    <w:rsid w:val="202220C7"/>
    <w:rsid w:val="202261E1"/>
    <w:rsid w:val="2023038A"/>
    <w:rsid w:val="20267E59"/>
    <w:rsid w:val="2028115C"/>
    <w:rsid w:val="20286DB8"/>
    <w:rsid w:val="202D3774"/>
    <w:rsid w:val="202F5526"/>
    <w:rsid w:val="2031335D"/>
    <w:rsid w:val="203431A0"/>
    <w:rsid w:val="203551A1"/>
    <w:rsid w:val="203A2A7E"/>
    <w:rsid w:val="203B4E80"/>
    <w:rsid w:val="203D45F2"/>
    <w:rsid w:val="204071F2"/>
    <w:rsid w:val="20410337"/>
    <w:rsid w:val="2042445A"/>
    <w:rsid w:val="20424900"/>
    <w:rsid w:val="20434AF9"/>
    <w:rsid w:val="20450EE3"/>
    <w:rsid w:val="20465549"/>
    <w:rsid w:val="204D5F14"/>
    <w:rsid w:val="20563562"/>
    <w:rsid w:val="20582007"/>
    <w:rsid w:val="205A58F7"/>
    <w:rsid w:val="205C63F4"/>
    <w:rsid w:val="205D2F69"/>
    <w:rsid w:val="20600056"/>
    <w:rsid w:val="206246AD"/>
    <w:rsid w:val="20632E78"/>
    <w:rsid w:val="20647C3E"/>
    <w:rsid w:val="20656F4F"/>
    <w:rsid w:val="20684FE9"/>
    <w:rsid w:val="20692E24"/>
    <w:rsid w:val="206B761D"/>
    <w:rsid w:val="206C16A0"/>
    <w:rsid w:val="206C718B"/>
    <w:rsid w:val="206F6CE5"/>
    <w:rsid w:val="20703E7B"/>
    <w:rsid w:val="2070600D"/>
    <w:rsid w:val="20721E51"/>
    <w:rsid w:val="20730FE7"/>
    <w:rsid w:val="20762010"/>
    <w:rsid w:val="20796AB9"/>
    <w:rsid w:val="207B28CD"/>
    <w:rsid w:val="207D388A"/>
    <w:rsid w:val="207F698E"/>
    <w:rsid w:val="20832D72"/>
    <w:rsid w:val="20855784"/>
    <w:rsid w:val="208C3410"/>
    <w:rsid w:val="208E76D5"/>
    <w:rsid w:val="209204C7"/>
    <w:rsid w:val="209577D4"/>
    <w:rsid w:val="20975D89"/>
    <w:rsid w:val="209768C4"/>
    <w:rsid w:val="209937A3"/>
    <w:rsid w:val="209A6992"/>
    <w:rsid w:val="209E7CA2"/>
    <w:rsid w:val="20A47AA8"/>
    <w:rsid w:val="20A72990"/>
    <w:rsid w:val="20A815AF"/>
    <w:rsid w:val="20A84EA9"/>
    <w:rsid w:val="20A906ED"/>
    <w:rsid w:val="20A94912"/>
    <w:rsid w:val="20AC4205"/>
    <w:rsid w:val="20AD09DF"/>
    <w:rsid w:val="20B373AE"/>
    <w:rsid w:val="20B7373A"/>
    <w:rsid w:val="20B760A1"/>
    <w:rsid w:val="20BD1218"/>
    <w:rsid w:val="20BD3D5D"/>
    <w:rsid w:val="20C12FDE"/>
    <w:rsid w:val="20C254F4"/>
    <w:rsid w:val="20C30531"/>
    <w:rsid w:val="20C638AB"/>
    <w:rsid w:val="20C6448C"/>
    <w:rsid w:val="20C82E22"/>
    <w:rsid w:val="20CB2899"/>
    <w:rsid w:val="20CD49DD"/>
    <w:rsid w:val="20D03B8A"/>
    <w:rsid w:val="20D128B7"/>
    <w:rsid w:val="20D37767"/>
    <w:rsid w:val="20DB0E51"/>
    <w:rsid w:val="20DC4963"/>
    <w:rsid w:val="20DF509A"/>
    <w:rsid w:val="20E25C9F"/>
    <w:rsid w:val="20E406FC"/>
    <w:rsid w:val="20E85280"/>
    <w:rsid w:val="20E95EB7"/>
    <w:rsid w:val="20EA2A60"/>
    <w:rsid w:val="20EF0F28"/>
    <w:rsid w:val="20EF1013"/>
    <w:rsid w:val="20F10615"/>
    <w:rsid w:val="20F326ED"/>
    <w:rsid w:val="20F533BC"/>
    <w:rsid w:val="20F61C88"/>
    <w:rsid w:val="20F62BE6"/>
    <w:rsid w:val="20F771E0"/>
    <w:rsid w:val="20FA7AD2"/>
    <w:rsid w:val="20FE1E62"/>
    <w:rsid w:val="20FF7409"/>
    <w:rsid w:val="210266AA"/>
    <w:rsid w:val="21040C77"/>
    <w:rsid w:val="21054136"/>
    <w:rsid w:val="210B1A6E"/>
    <w:rsid w:val="210F09B0"/>
    <w:rsid w:val="210F3548"/>
    <w:rsid w:val="210F6CF3"/>
    <w:rsid w:val="21115269"/>
    <w:rsid w:val="21143CFD"/>
    <w:rsid w:val="21190DC1"/>
    <w:rsid w:val="211A5FAF"/>
    <w:rsid w:val="211B1D25"/>
    <w:rsid w:val="211F081E"/>
    <w:rsid w:val="212061D2"/>
    <w:rsid w:val="21253F20"/>
    <w:rsid w:val="21294448"/>
    <w:rsid w:val="212A1E87"/>
    <w:rsid w:val="212A62C5"/>
    <w:rsid w:val="212D24B4"/>
    <w:rsid w:val="213056DE"/>
    <w:rsid w:val="21316608"/>
    <w:rsid w:val="21350619"/>
    <w:rsid w:val="21362DA4"/>
    <w:rsid w:val="21372B46"/>
    <w:rsid w:val="21380A48"/>
    <w:rsid w:val="213B604D"/>
    <w:rsid w:val="213B7AAF"/>
    <w:rsid w:val="213C0315"/>
    <w:rsid w:val="213D41DE"/>
    <w:rsid w:val="2141718E"/>
    <w:rsid w:val="2142264B"/>
    <w:rsid w:val="21422BB2"/>
    <w:rsid w:val="21431F19"/>
    <w:rsid w:val="21466E99"/>
    <w:rsid w:val="21470C5E"/>
    <w:rsid w:val="2149390E"/>
    <w:rsid w:val="214942A5"/>
    <w:rsid w:val="214B046F"/>
    <w:rsid w:val="214E6ECE"/>
    <w:rsid w:val="21537595"/>
    <w:rsid w:val="215721CC"/>
    <w:rsid w:val="21584EF2"/>
    <w:rsid w:val="215B5798"/>
    <w:rsid w:val="215E766A"/>
    <w:rsid w:val="21601760"/>
    <w:rsid w:val="2162352F"/>
    <w:rsid w:val="21643F9B"/>
    <w:rsid w:val="21683503"/>
    <w:rsid w:val="21695363"/>
    <w:rsid w:val="216C55BE"/>
    <w:rsid w:val="21707EAF"/>
    <w:rsid w:val="2172589A"/>
    <w:rsid w:val="217652D9"/>
    <w:rsid w:val="21772BB9"/>
    <w:rsid w:val="217A0F67"/>
    <w:rsid w:val="217A35EA"/>
    <w:rsid w:val="217D1DFE"/>
    <w:rsid w:val="217D49EE"/>
    <w:rsid w:val="217F311B"/>
    <w:rsid w:val="21812753"/>
    <w:rsid w:val="21817B82"/>
    <w:rsid w:val="21874036"/>
    <w:rsid w:val="21894E00"/>
    <w:rsid w:val="21895CC7"/>
    <w:rsid w:val="218C55BD"/>
    <w:rsid w:val="218D11A0"/>
    <w:rsid w:val="21920E12"/>
    <w:rsid w:val="2195198B"/>
    <w:rsid w:val="219806F3"/>
    <w:rsid w:val="21992625"/>
    <w:rsid w:val="21AA6C8A"/>
    <w:rsid w:val="21AD305E"/>
    <w:rsid w:val="21AD3A3B"/>
    <w:rsid w:val="21AE405B"/>
    <w:rsid w:val="21AE6B4A"/>
    <w:rsid w:val="21B5361D"/>
    <w:rsid w:val="21B63302"/>
    <w:rsid w:val="21B75F1D"/>
    <w:rsid w:val="21BA52C3"/>
    <w:rsid w:val="21BC330A"/>
    <w:rsid w:val="21BF23D8"/>
    <w:rsid w:val="21C148BA"/>
    <w:rsid w:val="21C46106"/>
    <w:rsid w:val="21C562C9"/>
    <w:rsid w:val="21C916A0"/>
    <w:rsid w:val="21CC60EE"/>
    <w:rsid w:val="21CD73FF"/>
    <w:rsid w:val="21CF5463"/>
    <w:rsid w:val="21D1720E"/>
    <w:rsid w:val="21D33041"/>
    <w:rsid w:val="21D87BCE"/>
    <w:rsid w:val="21D96EB5"/>
    <w:rsid w:val="21DF4841"/>
    <w:rsid w:val="21E1269B"/>
    <w:rsid w:val="21E9147B"/>
    <w:rsid w:val="21EF2791"/>
    <w:rsid w:val="21EF4752"/>
    <w:rsid w:val="21EF5355"/>
    <w:rsid w:val="22031ED0"/>
    <w:rsid w:val="22041AEE"/>
    <w:rsid w:val="22066E99"/>
    <w:rsid w:val="22094063"/>
    <w:rsid w:val="221B26FE"/>
    <w:rsid w:val="221B5908"/>
    <w:rsid w:val="221C3E4C"/>
    <w:rsid w:val="2221541F"/>
    <w:rsid w:val="22224772"/>
    <w:rsid w:val="22250AD8"/>
    <w:rsid w:val="2225246B"/>
    <w:rsid w:val="222A6293"/>
    <w:rsid w:val="222D7170"/>
    <w:rsid w:val="222E7632"/>
    <w:rsid w:val="223236E9"/>
    <w:rsid w:val="22332F9D"/>
    <w:rsid w:val="22347EC0"/>
    <w:rsid w:val="22366277"/>
    <w:rsid w:val="22377F42"/>
    <w:rsid w:val="22397AF4"/>
    <w:rsid w:val="22400ECD"/>
    <w:rsid w:val="22413B0E"/>
    <w:rsid w:val="2241571A"/>
    <w:rsid w:val="224315E5"/>
    <w:rsid w:val="224542E5"/>
    <w:rsid w:val="224A0A33"/>
    <w:rsid w:val="224C54C9"/>
    <w:rsid w:val="224F00C9"/>
    <w:rsid w:val="22505031"/>
    <w:rsid w:val="225062B2"/>
    <w:rsid w:val="225107FA"/>
    <w:rsid w:val="22523EDB"/>
    <w:rsid w:val="22540069"/>
    <w:rsid w:val="2254170B"/>
    <w:rsid w:val="22543B38"/>
    <w:rsid w:val="22552F34"/>
    <w:rsid w:val="225537B1"/>
    <w:rsid w:val="2259467E"/>
    <w:rsid w:val="225A0531"/>
    <w:rsid w:val="225B0DD3"/>
    <w:rsid w:val="225E0C04"/>
    <w:rsid w:val="22611BBB"/>
    <w:rsid w:val="2262430F"/>
    <w:rsid w:val="22674C15"/>
    <w:rsid w:val="226762B9"/>
    <w:rsid w:val="226921BA"/>
    <w:rsid w:val="226B318A"/>
    <w:rsid w:val="226B4C34"/>
    <w:rsid w:val="226B75EC"/>
    <w:rsid w:val="226C58DE"/>
    <w:rsid w:val="227022E6"/>
    <w:rsid w:val="22711BD6"/>
    <w:rsid w:val="227421E1"/>
    <w:rsid w:val="22743722"/>
    <w:rsid w:val="22746890"/>
    <w:rsid w:val="22761EDE"/>
    <w:rsid w:val="22780A86"/>
    <w:rsid w:val="22783D64"/>
    <w:rsid w:val="227E7017"/>
    <w:rsid w:val="22815258"/>
    <w:rsid w:val="22831A2B"/>
    <w:rsid w:val="22863A97"/>
    <w:rsid w:val="228B0492"/>
    <w:rsid w:val="228D60B1"/>
    <w:rsid w:val="228F5E86"/>
    <w:rsid w:val="22910F6E"/>
    <w:rsid w:val="2291113F"/>
    <w:rsid w:val="2296122C"/>
    <w:rsid w:val="229719B5"/>
    <w:rsid w:val="22987E08"/>
    <w:rsid w:val="229956D1"/>
    <w:rsid w:val="22996BED"/>
    <w:rsid w:val="229A206E"/>
    <w:rsid w:val="229B1C55"/>
    <w:rsid w:val="229E23EC"/>
    <w:rsid w:val="22A0315D"/>
    <w:rsid w:val="22A401A6"/>
    <w:rsid w:val="22A528A1"/>
    <w:rsid w:val="22AA0C33"/>
    <w:rsid w:val="22AC299F"/>
    <w:rsid w:val="22AC5899"/>
    <w:rsid w:val="22AE1891"/>
    <w:rsid w:val="22B26CAE"/>
    <w:rsid w:val="22B62657"/>
    <w:rsid w:val="22BA4AD1"/>
    <w:rsid w:val="22BB38C7"/>
    <w:rsid w:val="22BC37E6"/>
    <w:rsid w:val="22BD29D1"/>
    <w:rsid w:val="22BD3C11"/>
    <w:rsid w:val="22C17A94"/>
    <w:rsid w:val="22C25A2A"/>
    <w:rsid w:val="22C41064"/>
    <w:rsid w:val="22C46757"/>
    <w:rsid w:val="22C468D8"/>
    <w:rsid w:val="22CC60B9"/>
    <w:rsid w:val="22CD03AC"/>
    <w:rsid w:val="22CD31CE"/>
    <w:rsid w:val="22CF4027"/>
    <w:rsid w:val="22D04CB9"/>
    <w:rsid w:val="22D41090"/>
    <w:rsid w:val="22D7119B"/>
    <w:rsid w:val="22DA1A46"/>
    <w:rsid w:val="22DA75EC"/>
    <w:rsid w:val="22DB6C3C"/>
    <w:rsid w:val="22DC5387"/>
    <w:rsid w:val="22DD41AA"/>
    <w:rsid w:val="22DE5F1F"/>
    <w:rsid w:val="22E33D89"/>
    <w:rsid w:val="22E90BE7"/>
    <w:rsid w:val="22E9189D"/>
    <w:rsid w:val="22EC6EA7"/>
    <w:rsid w:val="22EF40DF"/>
    <w:rsid w:val="22F143C7"/>
    <w:rsid w:val="22F51C88"/>
    <w:rsid w:val="22F60DA5"/>
    <w:rsid w:val="22F91B63"/>
    <w:rsid w:val="22FB23F2"/>
    <w:rsid w:val="23025B2F"/>
    <w:rsid w:val="230503FA"/>
    <w:rsid w:val="23064BA7"/>
    <w:rsid w:val="230701A5"/>
    <w:rsid w:val="230771ED"/>
    <w:rsid w:val="230773B1"/>
    <w:rsid w:val="23084C03"/>
    <w:rsid w:val="230C66E2"/>
    <w:rsid w:val="23111EB0"/>
    <w:rsid w:val="2313424A"/>
    <w:rsid w:val="23136474"/>
    <w:rsid w:val="2318468D"/>
    <w:rsid w:val="23184DFD"/>
    <w:rsid w:val="2320454F"/>
    <w:rsid w:val="23212CEC"/>
    <w:rsid w:val="2322669D"/>
    <w:rsid w:val="2323268B"/>
    <w:rsid w:val="232E6D7B"/>
    <w:rsid w:val="232F1623"/>
    <w:rsid w:val="23304D64"/>
    <w:rsid w:val="23305FDA"/>
    <w:rsid w:val="233068A1"/>
    <w:rsid w:val="23311723"/>
    <w:rsid w:val="23335401"/>
    <w:rsid w:val="23351288"/>
    <w:rsid w:val="233521BC"/>
    <w:rsid w:val="2335534E"/>
    <w:rsid w:val="233A2604"/>
    <w:rsid w:val="234039D9"/>
    <w:rsid w:val="23404993"/>
    <w:rsid w:val="234071F4"/>
    <w:rsid w:val="23412491"/>
    <w:rsid w:val="23415F12"/>
    <w:rsid w:val="234274E4"/>
    <w:rsid w:val="23430798"/>
    <w:rsid w:val="234403BE"/>
    <w:rsid w:val="23452C82"/>
    <w:rsid w:val="23453059"/>
    <w:rsid w:val="23453C87"/>
    <w:rsid w:val="234644E0"/>
    <w:rsid w:val="23472297"/>
    <w:rsid w:val="234D5351"/>
    <w:rsid w:val="235178E6"/>
    <w:rsid w:val="23531B4A"/>
    <w:rsid w:val="23547308"/>
    <w:rsid w:val="235774D3"/>
    <w:rsid w:val="23590917"/>
    <w:rsid w:val="235B4AF8"/>
    <w:rsid w:val="235D08E5"/>
    <w:rsid w:val="235D6544"/>
    <w:rsid w:val="235E2E6E"/>
    <w:rsid w:val="235F18CF"/>
    <w:rsid w:val="23652B69"/>
    <w:rsid w:val="236860FC"/>
    <w:rsid w:val="236A1FD4"/>
    <w:rsid w:val="236B048A"/>
    <w:rsid w:val="236E1047"/>
    <w:rsid w:val="236E343C"/>
    <w:rsid w:val="236F20C0"/>
    <w:rsid w:val="23717866"/>
    <w:rsid w:val="2372740E"/>
    <w:rsid w:val="23727A92"/>
    <w:rsid w:val="23753E60"/>
    <w:rsid w:val="23754AA7"/>
    <w:rsid w:val="237B46E6"/>
    <w:rsid w:val="237B7440"/>
    <w:rsid w:val="237F0F95"/>
    <w:rsid w:val="237F4BD3"/>
    <w:rsid w:val="23833093"/>
    <w:rsid w:val="23834B71"/>
    <w:rsid w:val="2385730B"/>
    <w:rsid w:val="238759BB"/>
    <w:rsid w:val="23886AFA"/>
    <w:rsid w:val="238E64F5"/>
    <w:rsid w:val="238F120A"/>
    <w:rsid w:val="238F5BB9"/>
    <w:rsid w:val="23913CCA"/>
    <w:rsid w:val="23946D48"/>
    <w:rsid w:val="2399789C"/>
    <w:rsid w:val="239E723A"/>
    <w:rsid w:val="23A07E01"/>
    <w:rsid w:val="23A5014F"/>
    <w:rsid w:val="23A6613D"/>
    <w:rsid w:val="23AC1098"/>
    <w:rsid w:val="23AC77D7"/>
    <w:rsid w:val="23AD530F"/>
    <w:rsid w:val="23B07DD3"/>
    <w:rsid w:val="23B134D4"/>
    <w:rsid w:val="23B13711"/>
    <w:rsid w:val="23B31B66"/>
    <w:rsid w:val="23B31C16"/>
    <w:rsid w:val="23B453E3"/>
    <w:rsid w:val="23B67121"/>
    <w:rsid w:val="23B71908"/>
    <w:rsid w:val="23B87B91"/>
    <w:rsid w:val="23B918C2"/>
    <w:rsid w:val="23BD26D3"/>
    <w:rsid w:val="23BD387A"/>
    <w:rsid w:val="23BF1DE2"/>
    <w:rsid w:val="23C1114B"/>
    <w:rsid w:val="23C41C70"/>
    <w:rsid w:val="23C53CA9"/>
    <w:rsid w:val="23C6467F"/>
    <w:rsid w:val="23C669A7"/>
    <w:rsid w:val="23C67F52"/>
    <w:rsid w:val="23CA4CF6"/>
    <w:rsid w:val="23CC5E77"/>
    <w:rsid w:val="23CC6669"/>
    <w:rsid w:val="23CD1627"/>
    <w:rsid w:val="23CE2021"/>
    <w:rsid w:val="23CF73D3"/>
    <w:rsid w:val="23D167A2"/>
    <w:rsid w:val="23D5257E"/>
    <w:rsid w:val="23D601CF"/>
    <w:rsid w:val="23D71B70"/>
    <w:rsid w:val="23D811A5"/>
    <w:rsid w:val="23D956D6"/>
    <w:rsid w:val="23DA1943"/>
    <w:rsid w:val="23DD6FB4"/>
    <w:rsid w:val="23DF0EB1"/>
    <w:rsid w:val="23E0319B"/>
    <w:rsid w:val="23E37C47"/>
    <w:rsid w:val="23E444F4"/>
    <w:rsid w:val="23E730EB"/>
    <w:rsid w:val="23E76688"/>
    <w:rsid w:val="23E828C2"/>
    <w:rsid w:val="23E93067"/>
    <w:rsid w:val="23EA3A66"/>
    <w:rsid w:val="23EC66A2"/>
    <w:rsid w:val="23EE3C32"/>
    <w:rsid w:val="23F6541A"/>
    <w:rsid w:val="23F97697"/>
    <w:rsid w:val="23FB223B"/>
    <w:rsid w:val="23FC5E73"/>
    <w:rsid w:val="24030EE2"/>
    <w:rsid w:val="2403737E"/>
    <w:rsid w:val="2407178D"/>
    <w:rsid w:val="240B60E5"/>
    <w:rsid w:val="240C54FA"/>
    <w:rsid w:val="240D4755"/>
    <w:rsid w:val="241058DF"/>
    <w:rsid w:val="24107A5A"/>
    <w:rsid w:val="241161BB"/>
    <w:rsid w:val="24126588"/>
    <w:rsid w:val="24137ADC"/>
    <w:rsid w:val="24147C00"/>
    <w:rsid w:val="241669A2"/>
    <w:rsid w:val="241718C8"/>
    <w:rsid w:val="241C1682"/>
    <w:rsid w:val="241D6568"/>
    <w:rsid w:val="24212E00"/>
    <w:rsid w:val="24244F5B"/>
    <w:rsid w:val="242E2B7E"/>
    <w:rsid w:val="242F179A"/>
    <w:rsid w:val="24327A17"/>
    <w:rsid w:val="24330F55"/>
    <w:rsid w:val="24381A4C"/>
    <w:rsid w:val="243B53D3"/>
    <w:rsid w:val="243D2CC0"/>
    <w:rsid w:val="244008B5"/>
    <w:rsid w:val="244301C6"/>
    <w:rsid w:val="24451D2F"/>
    <w:rsid w:val="24462541"/>
    <w:rsid w:val="24466BD9"/>
    <w:rsid w:val="2448789F"/>
    <w:rsid w:val="2449619F"/>
    <w:rsid w:val="244A3A37"/>
    <w:rsid w:val="2454544A"/>
    <w:rsid w:val="245533DF"/>
    <w:rsid w:val="24556A58"/>
    <w:rsid w:val="245A31A8"/>
    <w:rsid w:val="245B6CC6"/>
    <w:rsid w:val="245C2F70"/>
    <w:rsid w:val="24600343"/>
    <w:rsid w:val="2460647A"/>
    <w:rsid w:val="24660F8B"/>
    <w:rsid w:val="24663EBD"/>
    <w:rsid w:val="246A14F6"/>
    <w:rsid w:val="246B0041"/>
    <w:rsid w:val="246E39DB"/>
    <w:rsid w:val="247106A3"/>
    <w:rsid w:val="24737D3D"/>
    <w:rsid w:val="24741CA0"/>
    <w:rsid w:val="247539FE"/>
    <w:rsid w:val="24771132"/>
    <w:rsid w:val="24776688"/>
    <w:rsid w:val="247B10BF"/>
    <w:rsid w:val="247E3914"/>
    <w:rsid w:val="247E5AA1"/>
    <w:rsid w:val="247F7442"/>
    <w:rsid w:val="24815AF9"/>
    <w:rsid w:val="2482032A"/>
    <w:rsid w:val="24854DD1"/>
    <w:rsid w:val="24857B00"/>
    <w:rsid w:val="248A0430"/>
    <w:rsid w:val="248C2B4D"/>
    <w:rsid w:val="248E7884"/>
    <w:rsid w:val="248F3D6A"/>
    <w:rsid w:val="249111C9"/>
    <w:rsid w:val="24931286"/>
    <w:rsid w:val="2496290D"/>
    <w:rsid w:val="249661B1"/>
    <w:rsid w:val="24981E66"/>
    <w:rsid w:val="24982617"/>
    <w:rsid w:val="24991407"/>
    <w:rsid w:val="249935AC"/>
    <w:rsid w:val="249938E3"/>
    <w:rsid w:val="249A50D0"/>
    <w:rsid w:val="249B18A2"/>
    <w:rsid w:val="24A04639"/>
    <w:rsid w:val="24A236B2"/>
    <w:rsid w:val="24A33F39"/>
    <w:rsid w:val="24A55731"/>
    <w:rsid w:val="24A60A34"/>
    <w:rsid w:val="24AD23F7"/>
    <w:rsid w:val="24B032A6"/>
    <w:rsid w:val="24B73CD8"/>
    <w:rsid w:val="24B80B5D"/>
    <w:rsid w:val="24BA1759"/>
    <w:rsid w:val="24BB6396"/>
    <w:rsid w:val="24BB7B10"/>
    <w:rsid w:val="24C21ED3"/>
    <w:rsid w:val="24C2769B"/>
    <w:rsid w:val="24C34021"/>
    <w:rsid w:val="24C40F48"/>
    <w:rsid w:val="24C5738D"/>
    <w:rsid w:val="24CE53EF"/>
    <w:rsid w:val="24CE6E89"/>
    <w:rsid w:val="24D05501"/>
    <w:rsid w:val="24D23471"/>
    <w:rsid w:val="24D40BC1"/>
    <w:rsid w:val="24D53DA7"/>
    <w:rsid w:val="24D60657"/>
    <w:rsid w:val="24DB041F"/>
    <w:rsid w:val="24DD0EBD"/>
    <w:rsid w:val="24E24F53"/>
    <w:rsid w:val="24E362DE"/>
    <w:rsid w:val="24E4778B"/>
    <w:rsid w:val="24E871A4"/>
    <w:rsid w:val="24E96DCC"/>
    <w:rsid w:val="24ED0C1D"/>
    <w:rsid w:val="24F033D2"/>
    <w:rsid w:val="24F0789D"/>
    <w:rsid w:val="24F461A8"/>
    <w:rsid w:val="24F55C3E"/>
    <w:rsid w:val="24F93F5B"/>
    <w:rsid w:val="24F940DD"/>
    <w:rsid w:val="24F9622A"/>
    <w:rsid w:val="24FA0F25"/>
    <w:rsid w:val="24FC56C6"/>
    <w:rsid w:val="24FD13F1"/>
    <w:rsid w:val="24FF2845"/>
    <w:rsid w:val="24FF65BF"/>
    <w:rsid w:val="2500362B"/>
    <w:rsid w:val="2501180E"/>
    <w:rsid w:val="25043FA8"/>
    <w:rsid w:val="250441F4"/>
    <w:rsid w:val="250B528A"/>
    <w:rsid w:val="250C1FD0"/>
    <w:rsid w:val="250E4C8C"/>
    <w:rsid w:val="250F2B00"/>
    <w:rsid w:val="251155EE"/>
    <w:rsid w:val="25122CA5"/>
    <w:rsid w:val="251610A0"/>
    <w:rsid w:val="25162309"/>
    <w:rsid w:val="2517238C"/>
    <w:rsid w:val="251A3311"/>
    <w:rsid w:val="251B2337"/>
    <w:rsid w:val="251D028A"/>
    <w:rsid w:val="25231347"/>
    <w:rsid w:val="25243D84"/>
    <w:rsid w:val="252523B2"/>
    <w:rsid w:val="2526171D"/>
    <w:rsid w:val="25273EF5"/>
    <w:rsid w:val="25296BE3"/>
    <w:rsid w:val="252B16C0"/>
    <w:rsid w:val="25317F91"/>
    <w:rsid w:val="253B6CD7"/>
    <w:rsid w:val="253C7768"/>
    <w:rsid w:val="2540685A"/>
    <w:rsid w:val="2542506C"/>
    <w:rsid w:val="25436235"/>
    <w:rsid w:val="25442E03"/>
    <w:rsid w:val="25470680"/>
    <w:rsid w:val="2547552A"/>
    <w:rsid w:val="254D2B4C"/>
    <w:rsid w:val="254F1AAB"/>
    <w:rsid w:val="254F6ED9"/>
    <w:rsid w:val="25503B1C"/>
    <w:rsid w:val="2550754F"/>
    <w:rsid w:val="25545A86"/>
    <w:rsid w:val="255B069B"/>
    <w:rsid w:val="255B7A5D"/>
    <w:rsid w:val="255B7FC4"/>
    <w:rsid w:val="255C2CF3"/>
    <w:rsid w:val="255E32B4"/>
    <w:rsid w:val="25600899"/>
    <w:rsid w:val="256343D5"/>
    <w:rsid w:val="25653F6D"/>
    <w:rsid w:val="256603CB"/>
    <w:rsid w:val="256F6470"/>
    <w:rsid w:val="25754019"/>
    <w:rsid w:val="25757BE0"/>
    <w:rsid w:val="257D003A"/>
    <w:rsid w:val="25820452"/>
    <w:rsid w:val="258374A3"/>
    <w:rsid w:val="25865DE9"/>
    <w:rsid w:val="2587383B"/>
    <w:rsid w:val="258C721B"/>
    <w:rsid w:val="258C72B1"/>
    <w:rsid w:val="258D584E"/>
    <w:rsid w:val="258F1570"/>
    <w:rsid w:val="25901325"/>
    <w:rsid w:val="2594228B"/>
    <w:rsid w:val="25983863"/>
    <w:rsid w:val="25987D07"/>
    <w:rsid w:val="2599433E"/>
    <w:rsid w:val="259B7DA2"/>
    <w:rsid w:val="259E62FD"/>
    <w:rsid w:val="259F1F36"/>
    <w:rsid w:val="25A053BD"/>
    <w:rsid w:val="25A472B9"/>
    <w:rsid w:val="25A517B5"/>
    <w:rsid w:val="25A6285E"/>
    <w:rsid w:val="25A70C81"/>
    <w:rsid w:val="25A84E41"/>
    <w:rsid w:val="25A93C85"/>
    <w:rsid w:val="25A948F6"/>
    <w:rsid w:val="25A9621D"/>
    <w:rsid w:val="25AA0CC3"/>
    <w:rsid w:val="25AA1DE9"/>
    <w:rsid w:val="25AB33F3"/>
    <w:rsid w:val="25AD5ADC"/>
    <w:rsid w:val="25B32F1C"/>
    <w:rsid w:val="25B3516B"/>
    <w:rsid w:val="25B82416"/>
    <w:rsid w:val="25C3263E"/>
    <w:rsid w:val="25C62D8D"/>
    <w:rsid w:val="25C72D8A"/>
    <w:rsid w:val="25C768F5"/>
    <w:rsid w:val="25D16FA2"/>
    <w:rsid w:val="25D25E0D"/>
    <w:rsid w:val="25D40783"/>
    <w:rsid w:val="25D41390"/>
    <w:rsid w:val="25D43372"/>
    <w:rsid w:val="25D45E05"/>
    <w:rsid w:val="25D544FF"/>
    <w:rsid w:val="25D56594"/>
    <w:rsid w:val="25D6438C"/>
    <w:rsid w:val="25D8056B"/>
    <w:rsid w:val="25D91DA6"/>
    <w:rsid w:val="25DB5C69"/>
    <w:rsid w:val="25DC67FF"/>
    <w:rsid w:val="25E01687"/>
    <w:rsid w:val="25E21257"/>
    <w:rsid w:val="25E2168B"/>
    <w:rsid w:val="25E22D30"/>
    <w:rsid w:val="25E52705"/>
    <w:rsid w:val="25EE07E8"/>
    <w:rsid w:val="25EE348E"/>
    <w:rsid w:val="25F00602"/>
    <w:rsid w:val="25F11A36"/>
    <w:rsid w:val="25F221B4"/>
    <w:rsid w:val="25F32EB5"/>
    <w:rsid w:val="25F543F6"/>
    <w:rsid w:val="25F5484C"/>
    <w:rsid w:val="25F561CE"/>
    <w:rsid w:val="25F74984"/>
    <w:rsid w:val="25F839AF"/>
    <w:rsid w:val="25F86E84"/>
    <w:rsid w:val="260016BB"/>
    <w:rsid w:val="2600379B"/>
    <w:rsid w:val="26003EC7"/>
    <w:rsid w:val="260043D1"/>
    <w:rsid w:val="260755CC"/>
    <w:rsid w:val="2607582C"/>
    <w:rsid w:val="260B42E0"/>
    <w:rsid w:val="260B54C7"/>
    <w:rsid w:val="260D77A3"/>
    <w:rsid w:val="260E1770"/>
    <w:rsid w:val="260E3B25"/>
    <w:rsid w:val="260E6C56"/>
    <w:rsid w:val="261054BD"/>
    <w:rsid w:val="26107309"/>
    <w:rsid w:val="261123D0"/>
    <w:rsid w:val="2612190E"/>
    <w:rsid w:val="26195335"/>
    <w:rsid w:val="261B7FAB"/>
    <w:rsid w:val="261C14E0"/>
    <w:rsid w:val="2623495B"/>
    <w:rsid w:val="262620A0"/>
    <w:rsid w:val="262810EF"/>
    <w:rsid w:val="262A3A99"/>
    <w:rsid w:val="262B0B7B"/>
    <w:rsid w:val="262C6988"/>
    <w:rsid w:val="262D019B"/>
    <w:rsid w:val="26325F07"/>
    <w:rsid w:val="26330F56"/>
    <w:rsid w:val="2635086D"/>
    <w:rsid w:val="2637335D"/>
    <w:rsid w:val="2639454F"/>
    <w:rsid w:val="26397282"/>
    <w:rsid w:val="263B29F3"/>
    <w:rsid w:val="26432A55"/>
    <w:rsid w:val="26480B26"/>
    <w:rsid w:val="264B7043"/>
    <w:rsid w:val="264E0D0D"/>
    <w:rsid w:val="264E60DB"/>
    <w:rsid w:val="2654723F"/>
    <w:rsid w:val="2656575B"/>
    <w:rsid w:val="26591245"/>
    <w:rsid w:val="265C6E4B"/>
    <w:rsid w:val="265F6FD1"/>
    <w:rsid w:val="26644B1B"/>
    <w:rsid w:val="266455FF"/>
    <w:rsid w:val="266468EA"/>
    <w:rsid w:val="26666F6E"/>
    <w:rsid w:val="26685CF7"/>
    <w:rsid w:val="26695E13"/>
    <w:rsid w:val="266D0AE9"/>
    <w:rsid w:val="266E6E0B"/>
    <w:rsid w:val="266F2CD0"/>
    <w:rsid w:val="26773A67"/>
    <w:rsid w:val="26774969"/>
    <w:rsid w:val="267C0A91"/>
    <w:rsid w:val="267D2388"/>
    <w:rsid w:val="267D3C9A"/>
    <w:rsid w:val="267D7E75"/>
    <w:rsid w:val="268532D8"/>
    <w:rsid w:val="26860623"/>
    <w:rsid w:val="26875722"/>
    <w:rsid w:val="268C032A"/>
    <w:rsid w:val="268D1978"/>
    <w:rsid w:val="268E4427"/>
    <w:rsid w:val="268F0849"/>
    <w:rsid w:val="26906587"/>
    <w:rsid w:val="26934A21"/>
    <w:rsid w:val="26983290"/>
    <w:rsid w:val="26987C73"/>
    <w:rsid w:val="269B3B00"/>
    <w:rsid w:val="269F5987"/>
    <w:rsid w:val="26A006A4"/>
    <w:rsid w:val="26A033AE"/>
    <w:rsid w:val="26A16FDB"/>
    <w:rsid w:val="26A23B36"/>
    <w:rsid w:val="26A52DC7"/>
    <w:rsid w:val="26A54E2B"/>
    <w:rsid w:val="26A66666"/>
    <w:rsid w:val="26A716EE"/>
    <w:rsid w:val="26AA7801"/>
    <w:rsid w:val="26AC69DD"/>
    <w:rsid w:val="26AE1C48"/>
    <w:rsid w:val="26AE51A1"/>
    <w:rsid w:val="26B13C83"/>
    <w:rsid w:val="26B25903"/>
    <w:rsid w:val="26B30807"/>
    <w:rsid w:val="26B30A2F"/>
    <w:rsid w:val="26B45D4A"/>
    <w:rsid w:val="26B647BA"/>
    <w:rsid w:val="26BC5771"/>
    <w:rsid w:val="26BE3DE0"/>
    <w:rsid w:val="26BE7630"/>
    <w:rsid w:val="26BF2A92"/>
    <w:rsid w:val="26C36F9B"/>
    <w:rsid w:val="26C54E00"/>
    <w:rsid w:val="26CC5899"/>
    <w:rsid w:val="26CE111E"/>
    <w:rsid w:val="26CE35E6"/>
    <w:rsid w:val="26CE44F6"/>
    <w:rsid w:val="26D17800"/>
    <w:rsid w:val="26D225F0"/>
    <w:rsid w:val="26D32A3A"/>
    <w:rsid w:val="26D807F0"/>
    <w:rsid w:val="26D838D2"/>
    <w:rsid w:val="26DB262C"/>
    <w:rsid w:val="26DB7EAB"/>
    <w:rsid w:val="26DD6230"/>
    <w:rsid w:val="26E031F7"/>
    <w:rsid w:val="26E32701"/>
    <w:rsid w:val="26E40170"/>
    <w:rsid w:val="26E718D4"/>
    <w:rsid w:val="26EA28DB"/>
    <w:rsid w:val="26EE756F"/>
    <w:rsid w:val="26F01029"/>
    <w:rsid w:val="26F3125D"/>
    <w:rsid w:val="26F46B47"/>
    <w:rsid w:val="26F80D27"/>
    <w:rsid w:val="26FA57B4"/>
    <w:rsid w:val="26FB4613"/>
    <w:rsid w:val="26FE4BB0"/>
    <w:rsid w:val="27004391"/>
    <w:rsid w:val="2703209D"/>
    <w:rsid w:val="270363CE"/>
    <w:rsid w:val="270B432E"/>
    <w:rsid w:val="270B5FDB"/>
    <w:rsid w:val="270C5D66"/>
    <w:rsid w:val="270E1377"/>
    <w:rsid w:val="270E39A5"/>
    <w:rsid w:val="270E62DF"/>
    <w:rsid w:val="27104098"/>
    <w:rsid w:val="2712017D"/>
    <w:rsid w:val="2714176A"/>
    <w:rsid w:val="27152921"/>
    <w:rsid w:val="271D05D5"/>
    <w:rsid w:val="27210E99"/>
    <w:rsid w:val="272956BE"/>
    <w:rsid w:val="272E3E99"/>
    <w:rsid w:val="272F4F32"/>
    <w:rsid w:val="273354E7"/>
    <w:rsid w:val="27344969"/>
    <w:rsid w:val="27377ED8"/>
    <w:rsid w:val="27386A31"/>
    <w:rsid w:val="27386B1B"/>
    <w:rsid w:val="273D0C6E"/>
    <w:rsid w:val="27412B93"/>
    <w:rsid w:val="27422C83"/>
    <w:rsid w:val="2747116F"/>
    <w:rsid w:val="27473F5A"/>
    <w:rsid w:val="27481939"/>
    <w:rsid w:val="27482EFB"/>
    <w:rsid w:val="274A6201"/>
    <w:rsid w:val="274A632A"/>
    <w:rsid w:val="274B1377"/>
    <w:rsid w:val="274C39E1"/>
    <w:rsid w:val="274C6FFB"/>
    <w:rsid w:val="274E4489"/>
    <w:rsid w:val="275032CE"/>
    <w:rsid w:val="27507936"/>
    <w:rsid w:val="2752043E"/>
    <w:rsid w:val="27550584"/>
    <w:rsid w:val="275559D9"/>
    <w:rsid w:val="27564FDE"/>
    <w:rsid w:val="2757311D"/>
    <w:rsid w:val="2757352B"/>
    <w:rsid w:val="27595FDA"/>
    <w:rsid w:val="275A266D"/>
    <w:rsid w:val="275A7AB3"/>
    <w:rsid w:val="275E4D3D"/>
    <w:rsid w:val="27667817"/>
    <w:rsid w:val="276760E5"/>
    <w:rsid w:val="276B177E"/>
    <w:rsid w:val="276B491D"/>
    <w:rsid w:val="276E7B21"/>
    <w:rsid w:val="276F6623"/>
    <w:rsid w:val="27715FA2"/>
    <w:rsid w:val="2772161E"/>
    <w:rsid w:val="27743EF4"/>
    <w:rsid w:val="27756CFD"/>
    <w:rsid w:val="277B2493"/>
    <w:rsid w:val="277C5AD0"/>
    <w:rsid w:val="277F23BA"/>
    <w:rsid w:val="27814EF7"/>
    <w:rsid w:val="278259F2"/>
    <w:rsid w:val="27827B59"/>
    <w:rsid w:val="2787445D"/>
    <w:rsid w:val="27887A38"/>
    <w:rsid w:val="27891224"/>
    <w:rsid w:val="27895C2E"/>
    <w:rsid w:val="278A200F"/>
    <w:rsid w:val="278A56CB"/>
    <w:rsid w:val="278A60E7"/>
    <w:rsid w:val="278B52A5"/>
    <w:rsid w:val="278D5E5B"/>
    <w:rsid w:val="278E5A2D"/>
    <w:rsid w:val="2790145B"/>
    <w:rsid w:val="27962024"/>
    <w:rsid w:val="27967722"/>
    <w:rsid w:val="279C15DB"/>
    <w:rsid w:val="279D04B1"/>
    <w:rsid w:val="27A02EA3"/>
    <w:rsid w:val="27A02F58"/>
    <w:rsid w:val="27A20E99"/>
    <w:rsid w:val="27A4318D"/>
    <w:rsid w:val="27A43C94"/>
    <w:rsid w:val="27A73B8A"/>
    <w:rsid w:val="27A77EF1"/>
    <w:rsid w:val="27A82822"/>
    <w:rsid w:val="27AA3102"/>
    <w:rsid w:val="27AA4C60"/>
    <w:rsid w:val="27AE36AA"/>
    <w:rsid w:val="27AF403D"/>
    <w:rsid w:val="27AF77A5"/>
    <w:rsid w:val="27B2656B"/>
    <w:rsid w:val="27B316A3"/>
    <w:rsid w:val="27B32BD6"/>
    <w:rsid w:val="27B5694E"/>
    <w:rsid w:val="27BE538C"/>
    <w:rsid w:val="27BF3B39"/>
    <w:rsid w:val="27BF452D"/>
    <w:rsid w:val="27C11045"/>
    <w:rsid w:val="27C12C6D"/>
    <w:rsid w:val="27C16FF2"/>
    <w:rsid w:val="27C223B7"/>
    <w:rsid w:val="27C50653"/>
    <w:rsid w:val="27C54BAD"/>
    <w:rsid w:val="27CC17FF"/>
    <w:rsid w:val="27D00782"/>
    <w:rsid w:val="27D762DB"/>
    <w:rsid w:val="27DC037F"/>
    <w:rsid w:val="27DC47D8"/>
    <w:rsid w:val="27E120C1"/>
    <w:rsid w:val="27E36495"/>
    <w:rsid w:val="27E444A0"/>
    <w:rsid w:val="27E478CB"/>
    <w:rsid w:val="27E53CAD"/>
    <w:rsid w:val="27E64E0D"/>
    <w:rsid w:val="27E70AD2"/>
    <w:rsid w:val="27EE4F2D"/>
    <w:rsid w:val="27F01A30"/>
    <w:rsid w:val="27F04C1E"/>
    <w:rsid w:val="27F1011A"/>
    <w:rsid w:val="27F33129"/>
    <w:rsid w:val="27F35C2E"/>
    <w:rsid w:val="27F50444"/>
    <w:rsid w:val="27FC329B"/>
    <w:rsid w:val="27FD1BD1"/>
    <w:rsid w:val="27FE411D"/>
    <w:rsid w:val="280019E3"/>
    <w:rsid w:val="280214CB"/>
    <w:rsid w:val="280415FA"/>
    <w:rsid w:val="28050C3A"/>
    <w:rsid w:val="28077004"/>
    <w:rsid w:val="2808769A"/>
    <w:rsid w:val="28090DDF"/>
    <w:rsid w:val="280B7FC3"/>
    <w:rsid w:val="280D3534"/>
    <w:rsid w:val="280D7658"/>
    <w:rsid w:val="280E41D5"/>
    <w:rsid w:val="280F4A94"/>
    <w:rsid w:val="28100A83"/>
    <w:rsid w:val="28102566"/>
    <w:rsid w:val="28102EC6"/>
    <w:rsid w:val="28112DC3"/>
    <w:rsid w:val="28121E8B"/>
    <w:rsid w:val="28161CCF"/>
    <w:rsid w:val="28163811"/>
    <w:rsid w:val="28164345"/>
    <w:rsid w:val="281D0686"/>
    <w:rsid w:val="281D4950"/>
    <w:rsid w:val="281D61C3"/>
    <w:rsid w:val="281E12F6"/>
    <w:rsid w:val="282439BA"/>
    <w:rsid w:val="282837B6"/>
    <w:rsid w:val="28285372"/>
    <w:rsid w:val="28291266"/>
    <w:rsid w:val="28297D11"/>
    <w:rsid w:val="283006CB"/>
    <w:rsid w:val="28310441"/>
    <w:rsid w:val="2832097A"/>
    <w:rsid w:val="28376CC1"/>
    <w:rsid w:val="283A0950"/>
    <w:rsid w:val="283A224E"/>
    <w:rsid w:val="283A58F2"/>
    <w:rsid w:val="283B667B"/>
    <w:rsid w:val="283D595E"/>
    <w:rsid w:val="283D650B"/>
    <w:rsid w:val="28427C92"/>
    <w:rsid w:val="2843276B"/>
    <w:rsid w:val="28447D80"/>
    <w:rsid w:val="28476A18"/>
    <w:rsid w:val="28487FEB"/>
    <w:rsid w:val="284D23AE"/>
    <w:rsid w:val="284D6B87"/>
    <w:rsid w:val="28512864"/>
    <w:rsid w:val="28514947"/>
    <w:rsid w:val="28581EDE"/>
    <w:rsid w:val="285A026D"/>
    <w:rsid w:val="285E0D94"/>
    <w:rsid w:val="285E499B"/>
    <w:rsid w:val="285F52D8"/>
    <w:rsid w:val="28610884"/>
    <w:rsid w:val="28647279"/>
    <w:rsid w:val="286B28A7"/>
    <w:rsid w:val="286C2777"/>
    <w:rsid w:val="286F74A5"/>
    <w:rsid w:val="2875757F"/>
    <w:rsid w:val="28760977"/>
    <w:rsid w:val="28856B9D"/>
    <w:rsid w:val="28866728"/>
    <w:rsid w:val="288822E2"/>
    <w:rsid w:val="28884A77"/>
    <w:rsid w:val="2888777F"/>
    <w:rsid w:val="288B531E"/>
    <w:rsid w:val="288F4AA1"/>
    <w:rsid w:val="28947FCE"/>
    <w:rsid w:val="28953140"/>
    <w:rsid w:val="289706D9"/>
    <w:rsid w:val="28971F15"/>
    <w:rsid w:val="2897643F"/>
    <w:rsid w:val="289857AA"/>
    <w:rsid w:val="289959B3"/>
    <w:rsid w:val="289971BC"/>
    <w:rsid w:val="289B04C3"/>
    <w:rsid w:val="289D183C"/>
    <w:rsid w:val="289D6303"/>
    <w:rsid w:val="28A22899"/>
    <w:rsid w:val="28A37944"/>
    <w:rsid w:val="28A57EEE"/>
    <w:rsid w:val="28A72D36"/>
    <w:rsid w:val="28A8203E"/>
    <w:rsid w:val="28A8755B"/>
    <w:rsid w:val="28A929C9"/>
    <w:rsid w:val="28A9397C"/>
    <w:rsid w:val="28AB473F"/>
    <w:rsid w:val="28AF412D"/>
    <w:rsid w:val="28B13A5A"/>
    <w:rsid w:val="28B706ED"/>
    <w:rsid w:val="28B72DD7"/>
    <w:rsid w:val="28B8564E"/>
    <w:rsid w:val="28B906C0"/>
    <w:rsid w:val="28B93EC2"/>
    <w:rsid w:val="28BA3D8F"/>
    <w:rsid w:val="28BD3B58"/>
    <w:rsid w:val="28C037FD"/>
    <w:rsid w:val="28C240FD"/>
    <w:rsid w:val="28C94572"/>
    <w:rsid w:val="28CD3956"/>
    <w:rsid w:val="28D123D5"/>
    <w:rsid w:val="28D54147"/>
    <w:rsid w:val="28D5474D"/>
    <w:rsid w:val="28D61215"/>
    <w:rsid w:val="28D646A8"/>
    <w:rsid w:val="28D72917"/>
    <w:rsid w:val="28D7791B"/>
    <w:rsid w:val="28D817A5"/>
    <w:rsid w:val="28DC663E"/>
    <w:rsid w:val="28DE3188"/>
    <w:rsid w:val="28E024D9"/>
    <w:rsid w:val="28E40772"/>
    <w:rsid w:val="28E44B19"/>
    <w:rsid w:val="28E61194"/>
    <w:rsid w:val="28E62043"/>
    <w:rsid w:val="28E63A50"/>
    <w:rsid w:val="28E64228"/>
    <w:rsid w:val="28E968D7"/>
    <w:rsid w:val="28EA3093"/>
    <w:rsid w:val="28EE0A6D"/>
    <w:rsid w:val="28EE550C"/>
    <w:rsid w:val="28F037A5"/>
    <w:rsid w:val="28F07730"/>
    <w:rsid w:val="28F2161D"/>
    <w:rsid w:val="28F2303F"/>
    <w:rsid w:val="28F275CC"/>
    <w:rsid w:val="28F822B8"/>
    <w:rsid w:val="28FE05C3"/>
    <w:rsid w:val="2901387A"/>
    <w:rsid w:val="290154F3"/>
    <w:rsid w:val="29056E38"/>
    <w:rsid w:val="29102F35"/>
    <w:rsid w:val="29106401"/>
    <w:rsid w:val="291073AB"/>
    <w:rsid w:val="29115E06"/>
    <w:rsid w:val="291515D4"/>
    <w:rsid w:val="291A1D8D"/>
    <w:rsid w:val="291B12E2"/>
    <w:rsid w:val="291B159A"/>
    <w:rsid w:val="291B3D31"/>
    <w:rsid w:val="291C14ED"/>
    <w:rsid w:val="291C500B"/>
    <w:rsid w:val="291F2943"/>
    <w:rsid w:val="29210AB6"/>
    <w:rsid w:val="292141ED"/>
    <w:rsid w:val="29245950"/>
    <w:rsid w:val="29245B17"/>
    <w:rsid w:val="29271C9C"/>
    <w:rsid w:val="29290A40"/>
    <w:rsid w:val="292A002F"/>
    <w:rsid w:val="292D69B8"/>
    <w:rsid w:val="2932187E"/>
    <w:rsid w:val="293641B0"/>
    <w:rsid w:val="29380F52"/>
    <w:rsid w:val="293B627B"/>
    <w:rsid w:val="293C1347"/>
    <w:rsid w:val="293F6B38"/>
    <w:rsid w:val="294007AD"/>
    <w:rsid w:val="29415831"/>
    <w:rsid w:val="2942372C"/>
    <w:rsid w:val="294343F7"/>
    <w:rsid w:val="29441B32"/>
    <w:rsid w:val="2944474B"/>
    <w:rsid w:val="29461907"/>
    <w:rsid w:val="29464568"/>
    <w:rsid w:val="29467164"/>
    <w:rsid w:val="294A3147"/>
    <w:rsid w:val="294C3237"/>
    <w:rsid w:val="294C5091"/>
    <w:rsid w:val="294D5158"/>
    <w:rsid w:val="29500137"/>
    <w:rsid w:val="29563EFD"/>
    <w:rsid w:val="2959344D"/>
    <w:rsid w:val="295B0258"/>
    <w:rsid w:val="295D13F0"/>
    <w:rsid w:val="2960486A"/>
    <w:rsid w:val="29620F84"/>
    <w:rsid w:val="296A08B5"/>
    <w:rsid w:val="296B08B0"/>
    <w:rsid w:val="296C72D5"/>
    <w:rsid w:val="29745641"/>
    <w:rsid w:val="297749C1"/>
    <w:rsid w:val="297F0AC2"/>
    <w:rsid w:val="297F547E"/>
    <w:rsid w:val="297F690D"/>
    <w:rsid w:val="2980702F"/>
    <w:rsid w:val="298636C0"/>
    <w:rsid w:val="298720DD"/>
    <w:rsid w:val="298767F8"/>
    <w:rsid w:val="29895D4B"/>
    <w:rsid w:val="298A04B4"/>
    <w:rsid w:val="298F341C"/>
    <w:rsid w:val="29955231"/>
    <w:rsid w:val="29957FFB"/>
    <w:rsid w:val="29973631"/>
    <w:rsid w:val="299775A7"/>
    <w:rsid w:val="29985C7D"/>
    <w:rsid w:val="299910E7"/>
    <w:rsid w:val="299A0248"/>
    <w:rsid w:val="299A3570"/>
    <w:rsid w:val="299A5F75"/>
    <w:rsid w:val="299C2E7C"/>
    <w:rsid w:val="299D58EC"/>
    <w:rsid w:val="29A22F02"/>
    <w:rsid w:val="29A36E41"/>
    <w:rsid w:val="29A50C45"/>
    <w:rsid w:val="29A56E26"/>
    <w:rsid w:val="29A67FFF"/>
    <w:rsid w:val="29AA617E"/>
    <w:rsid w:val="29B002C2"/>
    <w:rsid w:val="29B14559"/>
    <w:rsid w:val="29B175E9"/>
    <w:rsid w:val="29B4544B"/>
    <w:rsid w:val="29B6797B"/>
    <w:rsid w:val="29B84536"/>
    <w:rsid w:val="29BA6285"/>
    <w:rsid w:val="29BA649E"/>
    <w:rsid w:val="29BB5800"/>
    <w:rsid w:val="29BB7321"/>
    <w:rsid w:val="29BB78E1"/>
    <w:rsid w:val="29BC095F"/>
    <w:rsid w:val="29BE77AD"/>
    <w:rsid w:val="29BF376D"/>
    <w:rsid w:val="29BF5D00"/>
    <w:rsid w:val="29C02245"/>
    <w:rsid w:val="29C53046"/>
    <w:rsid w:val="29C567ED"/>
    <w:rsid w:val="29C613A0"/>
    <w:rsid w:val="29C80A44"/>
    <w:rsid w:val="29C97E22"/>
    <w:rsid w:val="29CA0396"/>
    <w:rsid w:val="29CD3BFB"/>
    <w:rsid w:val="29CF1848"/>
    <w:rsid w:val="29D00E01"/>
    <w:rsid w:val="29D02919"/>
    <w:rsid w:val="29D5273F"/>
    <w:rsid w:val="29D56C8C"/>
    <w:rsid w:val="29D80566"/>
    <w:rsid w:val="29DD5A84"/>
    <w:rsid w:val="29DD638A"/>
    <w:rsid w:val="29DF4266"/>
    <w:rsid w:val="29E25812"/>
    <w:rsid w:val="29E34CD2"/>
    <w:rsid w:val="29E41D02"/>
    <w:rsid w:val="29E42278"/>
    <w:rsid w:val="29EB3122"/>
    <w:rsid w:val="29F4534F"/>
    <w:rsid w:val="29F53214"/>
    <w:rsid w:val="29F55167"/>
    <w:rsid w:val="29F60B9A"/>
    <w:rsid w:val="29F849C1"/>
    <w:rsid w:val="29F93355"/>
    <w:rsid w:val="29F9368B"/>
    <w:rsid w:val="29FB0415"/>
    <w:rsid w:val="29FB1640"/>
    <w:rsid w:val="2A0142A4"/>
    <w:rsid w:val="2A0420A7"/>
    <w:rsid w:val="2A0617B4"/>
    <w:rsid w:val="2A0B25B4"/>
    <w:rsid w:val="2A0D22F8"/>
    <w:rsid w:val="2A105B4A"/>
    <w:rsid w:val="2A112116"/>
    <w:rsid w:val="2A120271"/>
    <w:rsid w:val="2A151926"/>
    <w:rsid w:val="2A184BF2"/>
    <w:rsid w:val="2A19198A"/>
    <w:rsid w:val="2A1A63EC"/>
    <w:rsid w:val="2A1B7B42"/>
    <w:rsid w:val="2A1C1642"/>
    <w:rsid w:val="2A1E4086"/>
    <w:rsid w:val="2A202C0B"/>
    <w:rsid w:val="2A2051E1"/>
    <w:rsid w:val="2A217471"/>
    <w:rsid w:val="2A225DBD"/>
    <w:rsid w:val="2A2426CB"/>
    <w:rsid w:val="2A28550E"/>
    <w:rsid w:val="2A2A49C7"/>
    <w:rsid w:val="2A2D1C8C"/>
    <w:rsid w:val="2A2D4D20"/>
    <w:rsid w:val="2A2E45B7"/>
    <w:rsid w:val="2A303B01"/>
    <w:rsid w:val="2A3138C6"/>
    <w:rsid w:val="2A3332F4"/>
    <w:rsid w:val="2A3438AC"/>
    <w:rsid w:val="2A3A3747"/>
    <w:rsid w:val="2A3B0D2D"/>
    <w:rsid w:val="2A3C6B9F"/>
    <w:rsid w:val="2A3D121A"/>
    <w:rsid w:val="2A3D2C2B"/>
    <w:rsid w:val="2A425C08"/>
    <w:rsid w:val="2A47607E"/>
    <w:rsid w:val="2A495371"/>
    <w:rsid w:val="2A4C2E6E"/>
    <w:rsid w:val="2A4F09F1"/>
    <w:rsid w:val="2A512C0D"/>
    <w:rsid w:val="2A521676"/>
    <w:rsid w:val="2A540632"/>
    <w:rsid w:val="2A542D2B"/>
    <w:rsid w:val="2A544E59"/>
    <w:rsid w:val="2A561318"/>
    <w:rsid w:val="2A561E78"/>
    <w:rsid w:val="2A5F62AD"/>
    <w:rsid w:val="2A623A67"/>
    <w:rsid w:val="2A630F97"/>
    <w:rsid w:val="2A6505E7"/>
    <w:rsid w:val="2A6B5C76"/>
    <w:rsid w:val="2A6D2ADA"/>
    <w:rsid w:val="2A6E0388"/>
    <w:rsid w:val="2A6E5D30"/>
    <w:rsid w:val="2A70128A"/>
    <w:rsid w:val="2A703CBB"/>
    <w:rsid w:val="2A732BE8"/>
    <w:rsid w:val="2A74024C"/>
    <w:rsid w:val="2A744855"/>
    <w:rsid w:val="2A77004A"/>
    <w:rsid w:val="2A7C4DFD"/>
    <w:rsid w:val="2A7C7BF7"/>
    <w:rsid w:val="2A7E1C9C"/>
    <w:rsid w:val="2A7F4FF2"/>
    <w:rsid w:val="2A802529"/>
    <w:rsid w:val="2A834AE2"/>
    <w:rsid w:val="2A841D92"/>
    <w:rsid w:val="2A842608"/>
    <w:rsid w:val="2A8458A9"/>
    <w:rsid w:val="2A85319F"/>
    <w:rsid w:val="2A895E70"/>
    <w:rsid w:val="2A8B292B"/>
    <w:rsid w:val="2A8F7F6C"/>
    <w:rsid w:val="2A902238"/>
    <w:rsid w:val="2A904C05"/>
    <w:rsid w:val="2A907CAB"/>
    <w:rsid w:val="2A957DBF"/>
    <w:rsid w:val="2A97233B"/>
    <w:rsid w:val="2A974FDF"/>
    <w:rsid w:val="2A9762A0"/>
    <w:rsid w:val="2A9C2048"/>
    <w:rsid w:val="2A9F3652"/>
    <w:rsid w:val="2AA20FC6"/>
    <w:rsid w:val="2AA27396"/>
    <w:rsid w:val="2AAB0836"/>
    <w:rsid w:val="2AAD61A0"/>
    <w:rsid w:val="2AAE03D6"/>
    <w:rsid w:val="2AAE7EFA"/>
    <w:rsid w:val="2AB316F3"/>
    <w:rsid w:val="2AB331A8"/>
    <w:rsid w:val="2AB4113F"/>
    <w:rsid w:val="2AB729DE"/>
    <w:rsid w:val="2AB82B21"/>
    <w:rsid w:val="2AB93A7E"/>
    <w:rsid w:val="2ABE2C2D"/>
    <w:rsid w:val="2ABE3105"/>
    <w:rsid w:val="2AC128C2"/>
    <w:rsid w:val="2AC26809"/>
    <w:rsid w:val="2AC50F97"/>
    <w:rsid w:val="2ACA1325"/>
    <w:rsid w:val="2ACB3AE6"/>
    <w:rsid w:val="2ACC6E4A"/>
    <w:rsid w:val="2ACD3FAF"/>
    <w:rsid w:val="2ACE494C"/>
    <w:rsid w:val="2AD14489"/>
    <w:rsid w:val="2AD16F6B"/>
    <w:rsid w:val="2AD32020"/>
    <w:rsid w:val="2AD34ED6"/>
    <w:rsid w:val="2AD8047F"/>
    <w:rsid w:val="2ADB179C"/>
    <w:rsid w:val="2ADB357A"/>
    <w:rsid w:val="2ADC4651"/>
    <w:rsid w:val="2ADE0D2B"/>
    <w:rsid w:val="2AE16252"/>
    <w:rsid w:val="2AE32EF9"/>
    <w:rsid w:val="2AE34015"/>
    <w:rsid w:val="2AE36582"/>
    <w:rsid w:val="2AE37553"/>
    <w:rsid w:val="2AE63675"/>
    <w:rsid w:val="2AE8610D"/>
    <w:rsid w:val="2AE86A51"/>
    <w:rsid w:val="2AEA417B"/>
    <w:rsid w:val="2AEE1FAC"/>
    <w:rsid w:val="2AF3746F"/>
    <w:rsid w:val="2AF7276C"/>
    <w:rsid w:val="2AFA4A52"/>
    <w:rsid w:val="2AFA57F9"/>
    <w:rsid w:val="2AFB15BA"/>
    <w:rsid w:val="2AFB1A17"/>
    <w:rsid w:val="2AFB4BA9"/>
    <w:rsid w:val="2AFE2B02"/>
    <w:rsid w:val="2AFF1C79"/>
    <w:rsid w:val="2B0013DF"/>
    <w:rsid w:val="2B003A66"/>
    <w:rsid w:val="2B02324E"/>
    <w:rsid w:val="2B035AB8"/>
    <w:rsid w:val="2B0365AF"/>
    <w:rsid w:val="2B0421B6"/>
    <w:rsid w:val="2B044536"/>
    <w:rsid w:val="2B0E17DD"/>
    <w:rsid w:val="2B0F599D"/>
    <w:rsid w:val="2B105FD2"/>
    <w:rsid w:val="2B185303"/>
    <w:rsid w:val="2B2004F5"/>
    <w:rsid w:val="2B2172E1"/>
    <w:rsid w:val="2B24197F"/>
    <w:rsid w:val="2B2471B9"/>
    <w:rsid w:val="2B256728"/>
    <w:rsid w:val="2B2C4ABD"/>
    <w:rsid w:val="2B390FAD"/>
    <w:rsid w:val="2B3B0084"/>
    <w:rsid w:val="2B3C7E83"/>
    <w:rsid w:val="2B3D74DE"/>
    <w:rsid w:val="2B401607"/>
    <w:rsid w:val="2B442032"/>
    <w:rsid w:val="2B46078A"/>
    <w:rsid w:val="2B48108A"/>
    <w:rsid w:val="2B4B1830"/>
    <w:rsid w:val="2B4C077E"/>
    <w:rsid w:val="2B4C3F9D"/>
    <w:rsid w:val="2B4C461F"/>
    <w:rsid w:val="2B4C6D3B"/>
    <w:rsid w:val="2B4D2887"/>
    <w:rsid w:val="2B4D50EA"/>
    <w:rsid w:val="2B4F259A"/>
    <w:rsid w:val="2B4F2AE5"/>
    <w:rsid w:val="2B5170F5"/>
    <w:rsid w:val="2B5363C5"/>
    <w:rsid w:val="2B5D5FF9"/>
    <w:rsid w:val="2B601549"/>
    <w:rsid w:val="2B603D3A"/>
    <w:rsid w:val="2B695EAB"/>
    <w:rsid w:val="2B6C7163"/>
    <w:rsid w:val="2B6F5F4C"/>
    <w:rsid w:val="2B7618F3"/>
    <w:rsid w:val="2B774C6A"/>
    <w:rsid w:val="2B797FD6"/>
    <w:rsid w:val="2B7C67AE"/>
    <w:rsid w:val="2B7C697A"/>
    <w:rsid w:val="2B8357CC"/>
    <w:rsid w:val="2B863B19"/>
    <w:rsid w:val="2B894308"/>
    <w:rsid w:val="2B934D2B"/>
    <w:rsid w:val="2B962D89"/>
    <w:rsid w:val="2B9F6A73"/>
    <w:rsid w:val="2BA47406"/>
    <w:rsid w:val="2BA843FD"/>
    <w:rsid w:val="2BA90E3C"/>
    <w:rsid w:val="2BAA1DC3"/>
    <w:rsid w:val="2BAB51DE"/>
    <w:rsid w:val="2BAC73EB"/>
    <w:rsid w:val="2BAD1638"/>
    <w:rsid w:val="2BAD5AA5"/>
    <w:rsid w:val="2BAE5D11"/>
    <w:rsid w:val="2BB04070"/>
    <w:rsid w:val="2BB6706E"/>
    <w:rsid w:val="2BBC0DEE"/>
    <w:rsid w:val="2BBF5E87"/>
    <w:rsid w:val="2BC46389"/>
    <w:rsid w:val="2BC7447F"/>
    <w:rsid w:val="2BC865D3"/>
    <w:rsid w:val="2BC91A49"/>
    <w:rsid w:val="2BC93B73"/>
    <w:rsid w:val="2BCA4992"/>
    <w:rsid w:val="2BD135FB"/>
    <w:rsid w:val="2BD41F55"/>
    <w:rsid w:val="2BD904B5"/>
    <w:rsid w:val="2BD92BE1"/>
    <w:rsid w:val="2BDA74C5"/>
    <w:rsid w:val="2BDB26FC"/>
    <w:rsid w:val="2BDD7322"/>
    <w:rsid w:val="2BDE3290"/>
    <w:rsid w:val="2BDF3F74"/>
    <w:rsid w:val="2BE23353"/>
    <w:rsid w:val="2BE52C61"/>
    <w:rsid w:val="2BE57695"/>
    <w:rsid w:val="2BE64767"/>
    <w:rsid w:val="2BE7595B"/>
    <w:rsid w:val="2BEA2D10"/>
    <w:rsid w:val="2BEE0183"/>
    <w:rsid w:val="2BEF1E8B"/>
    <w:rsid w:val="2BF009BE"/>
    <w:rsid w:val="2BF27025"/>
    <w:rsid w:val="2BFC42CE"/>
    <w:rsid w:val="2BFE14C5"/>
    <w:rsid w:val="2C004881"/>
    <w:rsid w:val="2C0129B8"/>
    <w:rsid w:val="2C06729E"/>
    <w:rsid w:val="2C0732B0"/>
    <w:rsid w:val="2C092F3E"/>
    <w:rsid w:val="2C0D352C"/>
    <w:rsid w:val="2C10412E"/>
    <w:rsid w:val="2C15120E"/>
    <w:rsid w:val="2C1B1CF3"/>
    <w:rsid w:val="2C1B2D41"/>
    <w:rsid w:val="2C1B359A"/>
    <w:rsid w:val="2C1B47BE"/>
    <w:rsid w:val="2C1D2B98"/>
    <w:rsid w:val="2C211DCF"/>
    <w:rsid w:val="2C212AB7"/>
    <w:rsid w:val="2C215093"/>
    <w:rsid w:val="2C221C7F"/>
    <w:rsid w:val="2C232858"/>
    <w:rsid w:val="2C2362C0"/>
    <w:rsid w:val="2C273823"/>
    <w:rsid w:val="2C2C23B7"/>
    <w:rsid w:val="2C2C2F57"/>
    <w:rsid w:val="2C2C462A"/>
    <w:rsid w:val="2C2C73E3"/>
    <w:rsid w:val="2C314B07"/>
    <w:rsid w:val="2C326E22"/>
    <w:rsid w:val="2C360683"/>
    <w:rsid w:val="2C362E1E"/>
    <w:rsid w:val="2C3675A1"/>
    <w:rsid w:val="2C3A75CC"/>
    <w:rsid w:val="2C3A7EE1"/>
    <w:rsid w:val="2C3B1224"/>
    <w:rsid w:val="2C400000"/>
    <w:rsid w:val="2C411ECA"/>
    <w:rsid w:val="2C41746D"/>
    <w:rsid w:val="2C42025C"/>
    <w:rsid w:val="2C4213DC"/>
    <w:rsid w:val="2C4446B7"/>
    <w:rsid w:val="2C457DD6"/>
    <w:rsid w:val="2C4861FE"/>
    <w:rsid w:val="2C4C7F36"/>
    <w:rsid w:val="2C4F31FC"/>
    <w:rsid w:val="2C500024"/>
    <w:rsid w:val="2C50709B"/>
    <w:rsid w:val="2C526317"/>
    <w:rsid w:val="2C5353E9"/>
    <w:rsid w:val="2C564DA2"/>
    <w:rsid w:val="2C583068"/>
    <w:rsid w:val="2C584638"/>
    <w:rsid w:val="2C5A2A7F"/>
    <w:rsid w:val="2C5A5D8A"/>
    <w:rsid w:val="2C5B3EF1"/>
    <w:rsid w:val="2C5E48E3"/>
    <w:rsid w:val="2C5E6DB0"/>
    <w:rsid w:val="2C5F06B2"/>
    <w:rsid w:val="2C616FCF"/>
    <w:rsid w:val="2C6514AE"/>
    <w:rsid w:val="2C660977"/>
    <w:rsid w:val="2C6B73C6"/>
    <w:rsid w:val="2C6C0DB8"/>
    <w:rsid w:val="2C6E7E66"/>
    <w:rsid w:val="2C6F1ECB"/>
    <w:rsid w:val="2C6F60DA"/>
    <w:rsid w:val="2C705EF8"/>
    <w:rsid w:val="2C7129CB"/>
    <w:rsid w:val="2C715D7D"/>
    <w:rsid w:val="2C7479CD"/>
    <w:rsid w:val="2C7566DC"/>
    <w:rsid w:val="2C7966E4"/>
    <w:rsid w:val="2C7F3DF4"/>
    <w:rsid w:val="2C80554A"/>
    <w:rsid w:val="2C8114F5"/>
    <w:rsid w:val="2C82449C"/>
    <w:rsid w:val="2C837D35"/>
    <w:rsid w:val="2C840399"/>
    <w:rsid w:val="2C8870E1"/>
    <w:rsid w:val="2C891CCC"/>
    <w:rsid w:val="2C892C17"/>
    <w:rsid w:val="2C8A3B28"/>
    <w:rsid w:val="2C8F1D11"/>
    <w:rsid w:val="2C9069AE"/>
    <w:rsid w:val="2C942955"/>
    <w:rsid w:val="2C9F4D30"/>
    <w:rsid w:val="2CA25D6E"/>
    <w:rsid w:val="2CA35B9E"/>
    <w:rsid w:val="2CA77B46"/>
    <w:rsid w:val="2CA97C37"/>
    <w:rsid w:val="2CAA21CB"/>
    <w:rsid w:val="2CAE125D"/>
    <w:rsid w:val="2CB263CD"/>
    <w:rsid w:val="2CB67118"/>
    <w:rsid w:val="2CBD6562"/>
    <w:rsid w:val="2CC50527"/>
    <w:rsid w:val="2CC56847"/>
    <w:rsid w:val="2CC572FB"/>
    <w:rsid w:val="2CC63D9C"/>
    <w:rsid w:val="2CC654D3"/>
    <w:rsid w:val="2CC6579D"/>
    <w:rsid w:val="2CC70B6A"/>
    <w:rsid w:val="2CC73B5B"/>
    <w:rsid w:val="2CCA3B33"/>
    <w:rsid w:val="2CCA6FF3"/>
    <w:rsid w:val="2CCC5D21"/>
    <w:rsid w:val="2CCF34A7"/>
    <w:rsid w:val="2CCF372B"/>
    <w:rsid w:val="2CCF687D"/>
    <w:rsid w:val="2CD638E3"/>
    <w:rsid w:val="2CD675A2"/>
    <w:rsid w:val="2CD77C02"/>
    <w:rsid w:val="2CDA571F"/>
    <w:rsid w:val="2CDC35D3"/>
    <w:rsid w:val="2CDE0CC0"/>
    <w:rsid w:val="2CDE66D2"/>
    <w:rsid w:val="2CE554CB"/>
    <w:rsid w:val="2CE75C72"/>
    <w:rsid w:val="2CE819C9"/>
    <w:rsid w:val="2CF342D9"/>
    <w:rsid w:val="2CF859A8"/>
    <w:rsid w:val="2CF94382"/>
    <w:rsid w:val="2CFA22AB"/>
    <w:rsid w:val="2CFC3BA2"/>
    <w:rsid w:val="2D0258B4"/>
    <w:rsid w:val="2D033E1B"/>
    <w:rsid w:val="2D0E137D"/>
    <w:rsid w:val="2D0E5F9A"/>
    <w:rsid w:val="2D0F1270"/>
    <w:rsid w:val="2D117F40"/>
    <w:rsid w:val="2D17548A"/>
    <w:rsid w:val="2D187370"/>
    <w:rsid w:val="2D194F9A"/>
    <w:rsid w:val="2D196828"/>
    <w:rsid w:val="2D1A32C7"/>
    <w:rsid w:val="2D1B4E34"/>
    <w:rsid w:val="2D1E32E2"/>
    <w:rsid w:val="2D1F4908"/>
    <w:rsid w:val="2D202CF6"/>
    <w:rsid w:val="2D206B8F"/>
    <w:rsid w:val="2D214A86"/>
    <w:rsid w:val="2D224882"/>
    <w:rsid w:val="2D236A5E"/>
    <w:rsid w:val="2D28160B"/>
    <w:rsid w:val="2D2906D0"/>
    <w:rsid w:val="2D2D631E"/>
    <w:rsid w:val="2D3262BB"/>
    <w:rsid w:val="2D350D71"/>
    <w:rsid w:val="2D353F9E"/>
    <w:rsid w:val="2D3A348D"/>
    <w:rsid w:val="2D3C1570"/>
    <w:rsid w:val="2D431318"/>
    <w:rsid w:val="2D434BC4"/>
    <w:rsid w:val="2D4B2DA7"/>
    <w:rsid w:val="2D4C20D6"/>
    <w:rsid w:val="2D504B84"/>
    <w:rsid w:val="2D55008E"/>
    <w:rsid w:val="2D56653F"/>
    <w:rsid w:val="2D594630"/>
    <w:rsid w:val="2D5D28AD"/>
    <w:rsid w:val="2D604B7E"/>
    <w:rsid w:val="2D606898"/>
    <w:rsid w:val="2D6128B2"/>
    <w:rsid w:val="2D615731"/>
    <w:rsid w:val="2D643E11"/>
    <w:rsid w:val="2D646BF1"/>
    <w:rsid w:val="2D65052C"/>
    <w:rsid w:val="2D68325B"/>
    <w:rsid w:val="2D692CBF"/>
    <w:rsid w:val="2D69652F"/>
    <w:rsid w:val="2D6A0964"/>
    <w:rsid w:val="2D710184"/>
    <w:rsid w:val="2D710576"/>
    <w:rsid w:val="2D731329"/>
    <w:rsid w:val="2D77070B"/>
    <w:rsid w:val="2D782515"/>
    <w:rsid w:val="2D783019"/>
    <w:rsid w:val="2D786FFC"/>
    <w:rsid w:val="2D7B1BCC"/>
    <w:rsid w:val="2D7B4196"/>
    <w:rsid w:val="2D7B7522"/>
    <w:rsid w:val="2D7C7038"/>
    <w:rsid w:val="2D7F3E38"/>
    <w:rsid w:val="2D815571"/>
    <w:rsid w:val="2D832C33"/>
    <w:rsid w:val="2D8A0522"/>
    <w:rsid w:val="2D8A43D9"/>
    <w:rsid w:val="2D8D2139"/>
    <w:rsid w:val="2D8F7A69"/>
    <w:rsid w:val="2D9218A0"/>
    <w:rsid w:val="2D940EF8"/>
    <w:rsid w:val="2D964C31"/>
    <w:rsid w:val="2D99286E"/>
    <w:rsid w:val="2D9A1B1F"/>
    <w:rsid w:val="2D9B225F"/>
    <w:rsid w:val="2D9B79E3"/>
    <w:rsid w:val="2D9C27EE"/>
    <w:rsid w:val="2D9D140E"/>
    <w:rsid w:val="2D9F6B45"/>
    <w:rsid w:val="2DA073FA"/>
    <w:rsid w:val="2DA43FD5"/>
    <w:rsid w:val="2DA4668E"/>
    <w:rsid w:val="2DA46997"/>
    <w:rsid w:val="2DA762A3"/>
    <w:rsid w:val="2DA84AB3"/>
    <w:rsid w:val="2DA906B9"/>
    <w:rsid w:val="2DAE4150"/>
    <w:rsid w:val="2DB10C07"/>
    <w:rsid w:val="2DB16E81"/>
    <w:rsid w:val="2DB651CE"/>
    <w:rsid w:val="2DB66F7C"/>
    <w:rsid w:val="2DBB5882"/>
    <w:rsid w:val="2DBC5650"/>
    <w:rsid w:val="2DBD285B"/>
    <w:rsid w:val="2DBE224F"/>
    <w:rsid w:val="2DC22697"/>
    <w:rsid w:val="2DC5458F"/>
    <w:rsid w:val="2DC64A5B"/>
    <w:rsid w:val="2DC93DEE"/>
    <w:rsid w:val="2DCA3FE8"/>
    <w:rsid w:val="2DCA4956"/>
    <w:rsid w:val="2DCF3AFD"/>
    <w:rsid w:val="2DD16870"/>
    <w:rsid w:val="2DD226EB"/>
    <w:rsid w:val="2DD27D0B"/>
    <w:rsid w:val="2DD346A0"/>
    <w:rsid w:val="2DD34C40"/>
    <w:rsid w:val="2DD462BA"/>
    <w:rsid w:val="2DD57442"/>
    <w:rsid w:val="2DD62635"/>
    <w:rsid w:val="2DD7491D"/>
    <w:rsid w:val="2DE0304B"/>
    <w:rsid w:val="2DE103AE"/>
    <w:rsid w:val="2DE12EEA"/>
    <w:rsid w:val="2DE26FB5"/>
    <w:rsid w:val="2DE414F8"/>
    <w:rsid w:val="2DE91C23"/>
    <w:rsid w:val="2DE934E8"/>
    <w:rsid w:val="2DE93CAD"/>
    <w:rsid w:val="2DEA4E78"/>
    <w:rsid w:val="2DF27E09"/>
    <w:rsid w:val="2DF506E8"/>
    <w:rsid w:val="2DF857E7"/>
    <w:rsid w:val="2DF871A6"/>
    <w:rsid w:val="2DF90E58"/>
    <w:rsid w:val="2DFE053D"/>
    <w:rsid w:val="2DFE4FA2"/>
    <w:rsid w:val="2E01294F"/>
    <w:rsid w:val="2E022B24"/>
    <w:rsid w:val="2E0275FA"/>
    <w:rsid w:val="2E042ABA"/>
    <w:rsid w:val="2E072B66"/>
    <w:rsid w:val="2E092E20"/>
    <w:rsid w:val="2E0E3D4A"/>
    <w:rsid w:val="2E112C5C"/>
    <w:rsid w:val="2E1143E0"/>
    <w:rsid w:val="2E117D10"/>
    <w:rsid w:val="2E12263B"/>
    <w:rsid w:val="2E126F65"/>
    <w:rsid w:val="2E1405E2"/>
    <w:rsid w:val="2E143393"/>
    <w:rsid w:val="2E143F79"/>
    <w:rsid w:val="2E175F35"/>
    <w:rsid w:val="2E19103D"/>
    <w:rsid w:val="2E1B07F4"/>
    <w:rsid w:val="2E1B7727"/>
    <w:rsid w:val="2E1E54FD"/>
    <w:rsid w:val="2E1E6E76"/>
    <w:rsid w:val="2E202AEA"/>
    <w:rsid w:val="2E204673"/>
    <w:rsid w:val="2E240F31"/>
    <w:rsid w:val="2E2448A9"/>
    <w:rsid w:val="2E260F06"/>
    <w:rsid w:val="2E2B23A6"/>
    <w:rsid w:val="2E2B386D"/>
    <w:rsid w:val="2E2B5081"/>
    <w:rsid w:val="2E2C027B"/>
    <w:rsid w:val="2E2D4D16"/>
    <w:rsid w:val="2E304F81"/>
    <w:rsid w:val="2E323D9E"/>
    <w:rsid w:val="2E33681F"/>
    <w:rsid w:val="2E337095"/>
    <w:rsid w:val="2E344CC4"/>
    <w:rsid w:val="2E3559F0"/>
    <w:rsid w:val="2E3676C1"/>
    <w:rsid w:val="2E374407"/>
    <w:rsid w:val="2E384194"/>
    <w:rsid w:val="2E40554E"/>
    <w:rsid w:val="2E4063B1"/>
    <w:rsid w:val="2E426A0E"/>
    <w:rsid w:val="2E460595"/>
    <w:rsid w:val="2E47352D"/>
    <w:rsid w:val="2E4E04C6"/>
    <w:rsid w:val="2E4E242C"/>
    <w:rsid w:val="2E4F3953"/>
    <w:rsid w:val="2E510117"/>
    <w:rsid w:val="2E512671"/>
    <w:rsid w:val="2E536936"/>
    <w:rsid w:val="2E5C4EB0"/>
    <w:rsid w:val="2E631919"/>
    <w:rsid w:val="2E64529A"/>
    <w:rsid w:val="2E6459FC"/>
    <w:rsid w:val="2E656C51"/>
    <w:rsid w:val="2E666BF4"/>
    <w:rsid w:val="2E6A6E49"/>
    <w:rsid w:val="2E6D1475"/>
    <w:rsid w:val="2E7016AE"/>
    <w:rsid w:val="2E715590"/>
    <w:rsid w:val="2E7223E6"/>
    <w:rsid w:val="2E75162A"/>
    <w:rsid w:val="2E7B4C09"/>
    <w:rsid w:val="2E7B7A8C"/>
    <w:rsid w:val="2E7E4AE9"/>
    <w:rsid w:val="2E7F71F7"/>
    <w:rsid w:val="2E80488C"/>
    <w:rsid w:val="2E814D52"/>
    <w:rsid w:val="2E8157DC"/>
    <w:rsid w:val="2E873EE6"/>
    <w:rsid w:val="2E876686"/>
    <w:rsid w:val="2E8A1071"/>
    <w:rsid w:val="2E8B0FAB"/>
    <w:rsid w:val="2E8C0990"/>
    <w:rsid w:val="2E8D7C4D"/>
    <w:rsid w:val="2E9176FF"/>
    <w:rsid w:val="2E931165"/>
    <w:rsid w:val="2E9553E7"/>
    <w:rsid w:val="2E9813C1"/>
    <w:rsid w:val="2E9A6162"/>
    <w:rsid w:val="2EA22D12"/>
    <w:rsid w:val="2EA3170B"/>
    <w:rsid w:val="2EA41F46"/>
    <w:rsid w:val="2EA514AB"/>
    <w:rsid w:val="2EA71D47"/>
    <w:rsid w:val="2EA75E7C"/>
    <w:rsid w:val="2EA96F6B"/>
    <w:rsid w:val="2EAA396F"/>
    <w:rsid w:val="2EAC0F0B"/>
    <w:rsid w:val="2EAC4E67"/>
    <w:rsid w:val="2EB0071F"/>
    <w:rsid w:val="2EB255C1"/>
    <w:rsid w:val="2EB33574"/>
    <w:rsid w:val="2EB41B1F"/>
    <w:rsid w:val="2EB43725"/>
    <w:rsid w:val="2EB55954"/>
    <w:rsid w:val="2EBA6322"/>
    <w:rsid w:val="2EBF4D66"/>
    <w:rsid w:val="2EC102CF"/>
    <w:rsid w:val="2EC172B8"/>
    <w:rsid w:val="2EC53175"/>
    <w:rsid w:val="2EC9761E"/>
    <w:rsid w:val="2ECB421F"/>
    <w:rsid w:val="2ECC31B5"/>
    <w:rsid w:val="2ECD3D66"/>
    <w:rsid w:val="2ECD6C74"/>
    <w:rsid w:val="2ED22013"/>
    <w:rsid w:val="2ED42E9F"/>
    <w:rsid w:val="2ED47C4B"/>
    <w:rsid w:val="2ED62600"/>
    <w:rsid w:val="2ED92FC8"/>
    <w:rsid w:val="2EDC610B"/>
    <w:rsid w:val="2EDD131B"/>
    <w:rsid w:val="2EE02D2D"/>
    <w:rsid w:val="2EE0532B"/>
    <w:rsid w:val="2EE05ED8"/>
    <w:rsid w:val="2EE46D9D"/>
    <w:rsid w:val="2EE6665A"/>
    <w:rsid w:val="2EEC5F8F"/>
    <w:rsid w:val="2EF54DE1"/>
    <w:rsid w:val="2EF65FE8"/>
    <w:rsid w:val="2EF702F5"/>
    <w:rsid w:val="2EF80A61"/>
    <w:rsid w:val="2EF90F5C"/>
    <w:rsid w:val="2EFD41FF"/>
    <w:rsid w:val="2F037477"/>
    <w:rsid w:val="2F037756"/>
    <w:rsid w:val="2F054FF6"/>
    <w:rsid w:val="2F074589"/>
    <w:rsid w:val="2F0768B4"/>
    <w:rsid w:val="2F084418"/>
    <w:rsid w:val="2F087A0D"/>
    <w:rsid w:val="2F092D5B"/>
    <w:rsid w:val="2F0A5953"/>
    <w:rsid w:val="2F130C95"/>
    <w:rsid w:val="2F1325BE"/>
    <w:rsid w:val="2F164AD2"/>
    <w:rsid w:val="2F165D1D"/>
    <w:rsid w:val="2F1C4772"/>
    <w:rsid w:val="2F20218A"/>
    <w:rsid w:val="2F213974"/>
    <w:rsid w:val="2F24437C"/>
    <w:rsid w:val="2F270EA3"/>
    <w:rsid w:val="2F2825E6"/>
    <w:rsid w:val="2F2B1E07"/>
    <w:rsid w:val="2F2B34DC"/>
    <w:rsid w:val="2F2C6DF7"/>
    <w:rsid w:val="2F2E2DDF"/>
    <w:rsid w:val="2F2E60A0"/>
    <w:rsid w:val="2F2E76FB"/>
    <w:rsid w:val="2F3032F6"/>
    <w:rsid w:val="2F316148"/>
    <w:rsid w:val="2F35507E"/>
    <w:rsid w:val="2F366401"/>
    <w:rsid w:val="2F385C79"/>
    <w:rsid w:val="2F3C1154"/>
    <w:rsid w:val="2F3C1478"/>
    <w:rsid w:val="2F3F57DE"/>
    <w:rsid w:val="2F444C00"/>
    <w:rsid w:val="2F457519"/>
    <w:rsid w:val="2F464330"/>
    <w:rsid w:val="2F4A0C9B"/>
    <w:rsid w:val="2F4B3948"/>
    <w:rsid w:val="2F5179EC"/>
    <w:rsid w:val="2F563667"/>
    <w:rsid w:val="2F5701F3"/>
    <w:rsid w:val="2F5B4CE0"/>
    <w:rsid w:val="2F5C400B"/>
    <w:rsid w:val="2F5D19FC"/>
    <w:rsid w:val="2F622611"/>
    <w:rsid w:val="2F636514"/>
    <w:rsid w:val="2F68584D"/>
    <w:rsid w:val="2F696D8D"/>
    <w:rsid w:val="2F6A4E72"/>
    <w:rsid w:val="2F6A6691"/>
    <w:rsid w:val="2F6B5E25"/>
    <w:rsid w:val="2F6B696C"/>
    <w:rsid w:val="2F6E2E52"/>
    <w:rsid w:val="2F725205"/>
    <w:rsid w:val="2F7A5490"/>
    <w:rsid w:val="2F7B19A0"/>
    <w:rsid w:val="2F7E4986"/>
    <w:rsid w:val="2F8164DD"/>
    <w:rsid w:val="2F817D73"/>
    <w:rsid w:val="2F875154"/>
    <w:rsid w:val="2F906B02"/>
    <w:rsid w:val="2F925F6B"/>
    <w:rsid w:val="2F932296"/>
    <w:rsid w:val="2F9359C1"/>
    <w:rsid w:val="2F954879"/>
    <w:rsid w:val="2F980F88"/>
    <w:rsid w:val="2F985FD4"/>
    <w:rsid w:val="2F987507"/>
    <w:rsid w:val="2F995152"/>
    <w:rsid w:val="2F997209"/>
    <w:rsid w:val="2F9B294D"/>
    <w:rsid w:val="2F9B7DB7"/>
    <w:rsid w:val="2FA02AEC"/>
    <w:rsid w:val="2FA51A29"/>
    <w:rsid w:val="2FA7317B"/>
    <w:rsid w:val="2FA74466"/>
    <w:rsid w:val="2FA93CB0"/>
    <w:rsid w:val="2FAB3C29"/>
    <w:rsid w:val="2FAC239D"/>
    <w:rsid w:val="2FAE244D"/>
    <w:rsid w:val="2FB07E07"/>
    <w:rsid w:val="2FB21616"/>
    <w:rsid w:val="2FB80DFE"/>
    <w:rsid w:val="2FB825E6"/>
    <w:rsid w:val="2FB928AD"/>
    <w:rsid w:val="2FBA0848"/>
    <w:rsid w:val="2FBB077D"/>
    <w:rsid w:val="2FBE3B8A"/>
    <w:rsid w:val="2FBE69A4"/>
    <w:rsid w:val="2FBE77D7"/>
    <w:rsid w:val="2FC152AF"/>
    <w:rsid w:val="2FC308B3"/>
    <w:rsid w:val="2FC7650F"/>
    <w:rsid w:val="2FC87053"/>
    <w:rsid w:val="2FCF35AD"/>
    <w:rsid w:val="2FD07AAF"/>
    <w:rsid w:val="2FD11B01"/>
    <w:rsid w:val="2FD40A10"/>
    <w:rsid w:val="2FD93CA4"/>
    <w:rsid w:val="2FDB129D"/>
    <w:rsid w:val="2FDB4699"/>
    <w:rsid w:val="2FDC3B44"/>
    <w:rsid w:val="2FDD1810"/>
    <w:rsid w:val="2FDE0717"/>
    <w:rsid w:val="2FDE1D90"/>
    <w:rsid w:val="2FDE6441"/>
    <w:rsid w:val="2FDF0DF4"/>
    <w:rsid w:val="2FE10770"/>
    <w:rsid w:val="2FE36FA5"/>
    <w:rsid w:val="2FE63BE9"/>
    <w:rsid w:val="2FE73539"/>
    <w:rsid w:val="2FEA115F"/>
    <w:rsid w:val="2FEC6C4E"/>
    <w:rsid w:val="2FF2378F"/>
    <w:rsid w:val="2FF24901"/>
    <w:rsid w:val="2FF60465"/>
    <w:rsid w:val="2FF95A9A"/>
    <w:rsid w:val="2FFA27A8"/>
    <w:rsid w:val="2FFC43EA"/>
    <w:rsid w:val="2FFC61F3"/>
    <w:rsid w:val="2FFD0556"/>
    <w:rsid w:val="2FFD0C64"/>
    <w:rsid w:val="30072F81"/>
    <w:rsid w:val="300970FF"/>
    <w:rsid w:val="300A1ADF"/>
    <w:rsid w:val="300A7DFA"/>
    <w:rsid w:val="300D042A"/>
    <w:rsid w:val="300D380E"/>
    <w:rsid w:val="30147361"/>
    <w:rsid w:val="30152DF6"/>
    <w:rsid w:val="3017439E"/>
    <w:rsid w:val="301C2373"/>
    <w:rsid w:val="301C494B"/>
    <w:rsid w:val="301C5E7B"/>
    <w:rsid w:val="301E4F6D"/>
    <w:rsid w:val="30210665"/>
    <w:rsid w:val="302142ED"/>
    <w:rsid w:val="302145B3"/>
    <w:rsid w:val="302349D5"/>
    <w:rsid w:val="30240884"/>
    <w:rsid w:val="30242CB3"/>
    <w:rsid w:val="3025018D"/>
    <w:rsid w:val="30264E78"/>
    <w:rsid w:val="3027614C"/>
    <w:rsid w:val="30283CB4"/>
    <w:rsid w:val="302E24E4"/>
    <w:rsid w:val="302E2828"/>
    <w:rsid w:val="302F2772"/>
    <w:rsid w:val="302F3016"/>
    <w:rsid w:val="302F6FB2"/>
    <w:rsid w:val="30322242"/>
    <w:rsid w:val="3034062C"/>
    <w:rsid w:val="3037177B"/>
    <w:rsid w:val="30376580"/>
    <w:rsid w:val="303775B3"/>
    <w:rsid w:val="3039247D"/>
    <w:rsid w:val="303A31E5"/>
    <w:rsid w:val="303C7724"/>
    <w:rsid w:val="303D44EC"/>
    <w:rsid w:val="303F4D76"/>
    <w:rsid w:val="30470358"/>
    <w:rsid w:val="304857BA"/>
    <w:rsid w:val="304D115A"/>
    <w:rsid w:val="304F6F88"/>
    <w:rsid w:val="30514629"/>
    <w:rsid w:val="30521644"/>
    <w:rsid w:val="30596565"/>
    <w:rsid w:val="305967AE"/>
    <w:rsid w:val="305A4CF2"/>
    <w:rsid w:val="305C34E6"/>
    <w:rsid w:val="305F6A8F"/>
    <w:rsid w:val="305F7AA1"/>
    <w:rsid w:val="3065686B"/>
    <w:rsid w:val="306F65E4"/>
    <w:rsid w:val="30702186"/>
    <w:rsid w:val="307038E3"/>
    <w:rsid w:val="3070518F"/>
    <w:rsid w:val="307101AE"/>
    <w:rsid w:val="307179BC"/>
    <w:rsid w:val="307938AE"/>
    <w:rsid w:val="307A1C31"/>
    <w:rsid w:val="307A385C"/>
    <w:rsid w:val="307A3EBF"/>
    <w:rsid w:val="307B2D4D"/>
    <w:rsid w:val="307E1FF1"/>
    <w:rsid w:val="307E38A8"/>
    <w:rsid w:val="307E562A"/>
    <w:rsid w:val="307F1960"/>
    <w:rsid w:val="307F621F"/>
    <w:rsid w:val="30812603"/>
    <w:rsid w:val="30812D19"/>
    <w:rsid w:val="3082670B"/>
    <w:rsid w:val="30843FE0"/>
    <w:rsid w:val="30873265"/>
    <w:rsid w:val="308A73D8"/>
    <w:rsid w:val="308C6760"/>
    <w:rsid w:val="308E3D0A"/>
    <w:rsid w:val="30901669"/>
    <w:rsid w:val="30920589"/>
    <w:rsid w:val="30956F6F"/>
    <w:rsid w:val="30964D90"/>
    <w:rsid w:val="309B48FD"/>
    <w:rsid w:val="309C1524"/>
    <w:rsid w:val="309D6176"/>
    <w:rsid w:val="30A1122A"/>
    <w:rsid w:val="30A1683C"/>
    <w:rsid w:val="30A53CD8"/>
    <w:rsid w:val="30A64118"/>
    <w:rsid w:val="30A96D7F"/>
    <w:rsid w:val="30AB07B7"/>
    <w:rsid w:val="30AC5F99"/>
    <w:rsid w:val="30AE5695"/>
    <w:rsid w:val="30AF77F5"/>
    <w:rsid w:val="30B03C56"/>
    <w:rsid w:val="30B060F9"/>
    <w:rsid w:val="30B43DDA"/>
    <w:rsid w:val="30B5055F"/>
    <w:rsid w:val="30B51D85"/>
    <w:rsid w:val="30B777EE"/>
    <w:rsid w:val="30BA6A7A"/>
    <w:rsid w:val="30BB08BC"/>
    <w:rsid w:val="30BD0622"/>
    <w:rsid w:val="30BD29FD"/>
    <w:rsid w:val="30C46FA8"/>
    <w:rsid w:val="30C736F5"/>
    <w:rsid w:val="30C92FF0"/>
    <w:rsid w:val="30CB3DC1"/>
    <w:rsid w:val="30CB7C9B"/>
    <w:rsid w:val="30D36097"/>
    <w:rsid w:val="30D442BB"/>
    <w:rsid w:val="30D5637D"/>
    <w:rsid w:val="30DB120F"/>
    <w:rsid w:val="30DE78F8"/>
    <w:rsid w:val="30E81551"/>
    <w:rsid w:val="30E817BA"/>
    <w:rsid w:val="30E85F2C"/>
    <w:rsid w:val="30EB3A9C"/>
    <w:rsid w:val="30ED1B83"/>
    <w:rsid w:val="30ED5899"/>
    <w:rsid w:val="30EF6507"/>
    <w:rsid w:val="30F3093B"/>
    <w:rsid w:val="30F35223"/>
    <w:rsid w:val="30F74178"/>
    <w:rsid w:val="30F83B9E"/>
    <w:rsid w:val="30FC67C5"/>
    <w:rsid w:val="310243E1"/>
    <w:rsid w:val="310246D1"/>
    <w:rsid w:val="31034C56"/>
    <w:rsid w:val="31051A3C"/>
    <w:rsid w:val="31055CBF"/>
    <w:rsid w:val="3107065F"/>
    <w:rsid w:val="310A1114"/>
    <w:rsid w:val="310D6185"/>
    <w:rsid w:val="310E6748"/>
    <w:rsid w:val="310E70CF"/>
    <w:rsid w:val="3112554E"/>
    <w:rsid w:val="31137F63"/>
    <w:rsid w:val="311404DB"/>
    <w:rsid w:val="31147D55"/>
    <w:rsid w:val="31166389"/>
    <w:rsid w:val="311B5AE3"/>
    <w:rsid w:val="311C35A2"/>
    <w:rsid w:val="311C6CF2"/>
    <w:rsid w:val="311D64B6"/>
    <w:rsid w:val="311F10D6"/>
    <w:rsid w:val="3124729A"/>
    <w:rsid w:val="31280759"/>
    <w:rsid w:val="31283697"/>
    <w:rsid w:val="31294D2B"/>
    <w:rsid w:val="312C2053"/>
    <w:rsid w:val="312E55D6"/>
    <w:rsid w:val="31317D5B"/>
    <w:rsid w:val="31323E41"/>
    <w:rsid w:val="31337AE0"/>
    <w:rsid w:val="31341E7C"/>
    <w:rsid w:val="31356E44"/>
    <w:rsid w:val="31372D3E"/>
    <w:rsid w:val="31376E25"/>
    <w:rsid w:val="313D7EB0"/>
    <w:rsid w:val="31462432"/>
    <w:rsid w:val="314A490A"/>
    <w:rsid w:val="314A65E5"/>
    <w:rsid w:val="314C2CD3"/>
    <w:rsid w:val="314C4A33"/>
    <w:rsid w:val="315005E3"/>
    <w:rsid w:val="3152390B"/>
    <w:rsid w:val="315411B2"/>
    <w:rsid w:val="3157004E"/>
    <w:rsid w:val="3157266D"/>
    <w:rsid w:val="315754F2"/>
    <w:rsid w:val="31582F7A"/>
    <w:rsid w:val="31584846"/>
    <w:rsid w:val="316016EA"/>
    <w:rsid w:val="316323BF"/>
    <w:rsid w:val="31656A9C"/>
    <w:rsid w:val="31666F82"/>
    <w:rsid w:val="316671D7"/>
    <w:rsid w:val="31684958"/>
    <w:rsid w:val="31694662"/>
    <w:rsid w:val="316B2F46"/>
    <w:rsid w:val="316C4C47"/>
    <w:rsid w:val="316C6FBC"/>
    <w:rsid w:val="316D6DC9"/>
    <w:rsid w:val="316D75DE"/>
    <w:rsid w:val="3172106C"/>
    <w:rsid w:val="31725F19"/>
    <w:rsid w:val="31737025"/>
    <w:rsid w:val="31755EAA"/>
    <w:rsid w:val="31786596"/>
    <w:rsid w:val="317A54BB"/>
    <w:rsid w:val="31805781"/>
    <w:rsid w:val="31821EB5"/>
    <w:rsid w:val="31841A85"/>
    <w:rsid w:val="3186310A"/>
    <w:rsid w:val="318663E4"/>
    <w:rsid w:val="318719D6"/>
    <w:rsid w:val="31876075"/>
    <w:rsid w:val="3188089A"/>
    <w:rsid w:val="31886B7F"/>
    <w:rsid w:val="318B523B"/>
    <w:rsid w:val="318E3519"/>
    <w:rsid w:val="3191460B"/>
    <w:rsid w:val="31921322"/>
    <w:rsid w:val="31927770"/>
    <w:rsid w:val="31963BF0"/>
    <w:rsid w:val="31994052"/>
    <w:rsid w:val="319D4085"/>
    <w:rsid w:val="31A21301"/>
    <w:rsid w:val="31A40228"/>
    <w:rsid w:val="31A5512F"/>
    <w:rsid w:val="31A66FF1"/>
    <w:rsid w:val="31A750CE"/>
    <w:rsid w:val="31A816C8"/>
    <w:rsid w:val="31AB2869"/>
    <w:rsid w:val="31B10C64"/>
    <w:rsid w:val="31B113DE"/>
    <w:rsid w:val="31B237C6"/>
    <w:rsid w:val="31B2523A"/>
    <w:rsid w:val="31B32933"/>
    <w:rsid w:val="31B33F6A"/>
    <w:rsid w:val="31B50370"/>
    <w:rsid w:val="31B66DB3"/>
    <w:rsid w:val="31B732C3"/>
    <w:rsid w:val="31B8716C"/>
    <w:rsid w:val="31B93C28"/>
    <w:rsid w:val="31BE5F7F"/>
    <w:rsid w:val="31BF6ABD"/>
    <w:rsid w:val="31C106A1"/>
    <w:rsid w:val="31C33C96"/>
    <w:rsid w:val="31C377B6"/>
    <w:rsid w:val="31C42832"/>
    <w:rsid w:val="31C66041"/>
    <w:rsid w:val="31CA1522"/>
    <w:rsid w:val="31CF58FC"/>
    <w:rsid w:val="31D66156"/>
    <w:rsid w:val="31D95CA2"/>
    <w:rsid w:val="31DB174F"/>
    <w:rsid w:val="31DE219C"/>
    <w:rsid w:val="31DE7067"/>
    <w:rsid w:val="31E0596D"/>
    <w:rsid w:val="31E305C7"/>
    <w:rsid w:val="31E542D4"/>
    <w:rsid w:val="31E664C7"/>
    <w:rsid w:val="31E77DDB"/>
    <w:rsid w:val="31E8059D"/>
    <w:rsid w:val="31EA3966"/>
    <w:rsid w:val="31EB07E1"/>
    <w:rsid w:val="31F54F7E"/>
    <w:rsid w:val="31FA3E4E"/>
    <w:rsid w:val="31FB0711"/>
    <w:rsid w:val="31FB42D0"/>
    <w:rsid w:val="31FF165E"/>
    <w:rsid w:val="320037F2"/>
    <w:rsid w:val="3201646E"/>
    <w:rsid w:val="320235D9"/>
    <w:rsid w:val="3204492B"/>
    <w:rsid w:val="320B25CF"/>
    <w:rsid w:val="320F7F56"/>
    <w:rsid w:val="32117EFD"/>
    <w:rsid w:val="321365AB"/>
    <w:rsid w:val="32144D7C"/>
    <w:rsid w:val="321B3828"/>
    <w:rsid w:val="321C40D4"/>
    <w:rsid w:val="321C55B9"/>
    <w:rsid w:val="321E3EEA"/>
    <w:rsid w:val="322231DD"/>
    <w:rsid w:val="32234284"/>
    <w:rsid w:val="32261CA4"/>
    <w:rsid w:val="322675A6"/>
    <w:rsid w:val="322856D9"/>
    <w:rsid w:val="322921FA"/>
    <w:rsid w:val="322D41BC"/>
    <w:rsid w:val="322E1C01"/>
    <w:rsid w:val="3230657E"/>
    <w:rsid w:val="32344E7E"/>
    <w:rsid w:val="32361631"/>
    <w:rsid w:val="32361C3C"/>
    <w:rsid w:val="323717DB"/>
    <w:rsid w:val="32374915"/>
    <w:rsid w:val="323845E6"/>
    <w:rsid w:val="323922EC"/>
    <w:rsid w:val="323B3552"/>
    <w:rsid w:val="323C3689"/>
    <w:rsid w:val="323D4046"/>
    <w:rsid w:val="323E41F6"/>
    <w:rsid w:val="32416A3A"/>
    <w:rsid w:val="32420FF3"/>
    <w:rsid w:val="32463E5D"/>
    <w:rsid w:val="32476D3D"/>
    <w:rsid w:val="32476FF9"/>
    <w:rsid w:val="324B7055"/>
    <w:rsid w:val="324E0E86"/>
    <w:rsid w:val="324F04F3"/>
    <w:rsid w:val="324F59F5"/>
    <w:rsid w:val="325119C3"/>
    <w:rsid w:val="3254120D"/>
    <w:rsid w:val="32542AA5"/>
    <w:rsid w:val="32560ACC"/>
    <w:rsid w:val="325F2876"/>
    <w:rsid w:val="325F4B18"/>
    <w:rsid w:val="325F78BF"/>
    <w:rsid w:val="32607D10"/>
    <w:rsid w:val="32674D68"/>
    <w:rsid w:val="326B57A2"/>
    <w:rsid w:val="326C7663"/>
    <w:rsid w:val="326E7406"/>
    <w:rsid w:val="326F7532"/>
    <w:rsid w:val="327147A9"/>
    <w:rsid w:val="32714DBA"/>
    <w:rsid w:val="3272200A"/>
    <w:rsid w:val="32731C0E"/>
    <w:rsid w:val="32734FF5"/>
    <w:rsid w:val="32771B46"/>
    <w:rsid w:val="32772382"/>
    <w:rsid w:val="327913AE"/>
    <w:rsid w:val="32827F61"/>
    <w:rsid w:val="32880716"/>
    <w:rsid w:val="32886EBD"/>
    <w:rsid w:val="3289025B"/>
    <w:rsid w:val="32894BAA"/>
    <w:rsid w:val="328B2B86"/>
    <w:rsid w:val="328C4750"/>
    <w:rsid w:val="3291681E"/>
    <w:rsid w:val="3296541B"/>
    <w:rsid w:val="329701C5"/>
    <w:rsid w:val="32972811"/>
    <w:rsid w:val="329863B7"/>
    <w:rsid w:val="32994F78"/>
    <w:rsid w:val="32996B12"/>
    <w:rsid w:val="329A2457"/>
    <w:rsid w:val="329D7463"/>
    <w:rsid w:val="329E5EB7"/>
    <w:rsid w:val="329F4483"/>
    <w:rsid w:val="32A0306E"/>
    <w:rsid w:val="32A234E5"/>
    <w:rsid w:val="32A2552F"/>
    <w:rsid w:val="32A37D41"/>
    <w:rsid w:val="32A41E0C"/>
    <w:rsid w:val="32A7609D"/>
    <w:rsid w:val="32AC41CC"/>
    <w:rsid w:val="32AE6D79"/>
    <w:rsid w:val="32B450E9"/>
    <w:rsid w:val="32B47E52"/>
    <w:rsid w:val="32B711A9"/>
    <w:rsid w:val="32B86E48"/>
    <w:rsid w:val="32BA4F2F"/>
    <w:rsid w:val="32BF0681"/>
    <w:rsid w:val="32BF7AA5"/>
    <w:rsid w:val="32C159AA"/>
    <w:rsid w:val="32C4548D"/>
    <w:rsid w:val="32C46AA1"/>
    <w:rsid w:val="32C71B23"/>
    <w:rsid w:val="32C82D58"/>
    <w:rsid w:val="32C86720"/>
    <w:rsid w:val="32CE51EB"/>
    <w:rsid w:val="32D03746"/>
    <w:rsid w:val="32D12B04"/>
    <w:rsid w:val="32D3500A"/>
    <w:rsid w:val="32D561D6"/>
    <w:rsid w:val="32D613CB"/>
    <w:rsid w:val="32DC3E07"/>
    <w:rsid w:val="32DD7678"/>
    <w:rsid w:val="32DE1CE3"/>
    <w:rsid w:val="32DE203D"/>
    <w:rsid w:val="32DE4CA3"/>
    <w:rsid w:val="32E04850"/>
    <w:rsid w:val="32E31AAC"/>
    <w:rsid w:val="32E40355"/>
    <w:rsid w:val="32E45714"/>
    <w:rsid w:val="32E72AED"/>
    <w:rsid w:val="32E83273"/>
    <w:rsid w:val="32F06AB3"/>
    <w:rsid w:val="32F06D13"/>
    <w:rsid w:val="32F17845"/>
    <w:rsid w:val="32F43D9A"/>
    <w:rsid w:val="32F5700D"/>
    <w:rsid w:val="32F6068B"/>
    <w:rsid w:val="32F65173"/>
    <w:rsid w:val="32F70245"/>
    <w:rsid w:val="32F8776D"/>
    <w:rsid w:val="32F96C21"/>
    <w:rsid w:val="32FF2F79"/>
    <w:rsid w:val="32FF6C47"/>
    <w:rsid w:val="33033F73"/>
    <w:rsid w:val="33037AFD"/>
    <w:rsid w:val="33060A71"/>
    <w:rsid w:val="33071C6E"/>
    <w:rsid w:val="330A0967"/>
    <w:rsid w:val="330E3777"/>
    <w:rsid w:val="330F316D"/>
    <w:rsid w:val="33123C54"/>
    <w:rsid w:val="33136582"/>
    <w:rsid w:val="33180B0E"/>
    <w:rsid w:val="331A1C72"/>
    <w:rsid w:val="331A3D30"/>
    <w:rsid w:val="331B203A"/>
    <w:rsid w:val="331F387D"/>
    <w:rsid w:val="33202FF4"/>
    <w:rsid w:val="33247A90"/>
    <w:rsid w:val="33250493"/>
    <w:rsid w:val="33282A98"/>
    <w:rsid w:val="33290082"/>
    <w:rsid w:val="332D0EEA"/>
    <w:rsid w:val="332D4297"/>
    <w:rsid w:val="332F5945"/>
    <w:rsid w:val="3330134C"/>
    <w:rsid w:val="33305F24"/>
    <w:rsid w:val="33346C00"/>
    <w:rsid w:val="33361C69"/>
    <w:rsid w:val="33365821"/>
    <w:rsid w:val="33396E53"/>
    <w:rsid w:val="334209C6"/>
    <w:rsid w:val="33441724"/>
    <w:rsid w:val="33454114"/>
    <w:rsid w:val="33474887"/>
    <w:rsid w:val="334D2942"/>
    <w:rsid w:val="334D7949"/>
    <w:rsid w:val="334D7CD6"/>
    <w:rsid w:val="334F24F9"/>
    <w:rsid w:val="334F7189"/>
    <w:rsid w:val="33505C3B"/>
    <w:rsid w:val="33511345"/>
    <w:rsid w:val="335940E1"/>
    <w:rsid w:val="335F3DF9"/>
    <w:rsid w:val="33625DF9"/>
    <w:rsid w:val="336C7863"/>
    <w:rsid w:val="336D043E"/>
    <w:rsid w:val="336D0F45"/>
    <w:rsid w:val="337117EF"/>
    <w:rsid w:val="3371574C"/>
    <w:rsid w:val="33750FD2"/>
    <w:rsid w:val="33792C60"/>
    <w:rsid w:val="337F39BE"/>
    <w:rsid w:val="33827ECE"/>
    <w:rsid w:val="338360C0"/>
    <w:rsid w:val="33842475"/>
    <w:rsid w:val="338924B3"/>
    <w:rsid w:val="33913B35"/>
    <w:rsid w:val="33937322"/>
    <w:rsid w:val="33980086"/>
    <w:rsid w:val="33980A4E"/>
    <w:rsid w:val="339A14E7"/>
    <w:rsid w:val="339A3027"/>
    <w:rsid w:val="339A6516"/>
    <w:rsid w:val="339C1959"/>
    <w:rsid w:val="339D72D2"/>
    <w:rsid w:val="339F615F"/>
    <w:rsid w:val="339F70B6"/>
    <w:rsid w:val="33A06959"/>
    <w:rsid w:val="33A25FA7"/>
    <w:rsid w:val="33A304EE"/>
    <w:rsid w:val="33A40250"/>
    <w:rsid w:val="33A43131"/>
    <w:rsid w:val="33A54E2D"/>
    <w:rsid w:val="33A70C91"/>
    <w:rsid w:val="33A73DCA"/>
    <w:rsid w:val="33A8108C"/>
    <w:rsid w:val="33A85CF9"/>
    <w:rsid w:val="33A973CA"/>
    <w:rsid w:val="33AE64C0"/>
    <w:rsid w:val="33B179B0"/>
    <w:rsid w:val="33B21D55"/>
    <w:rsid w:val="33B3057F"/>
    <w:rsid w:val="33B42E61"/>
    <w:rsid w:val="33B7274F"/>
    <w:rsid w:val="33B75C6A"/>
    <w:rsid w:val="33B94ED0"/>
    <w:rsid w:val="33BB0109"/>
    <w:rsid w:val="33BC45F7"/>
    <w:rsid w:val="33BD78FC"/>
    <w:rsid w:val="33C6736E"/>
    <w:rsid w:val="33CB54ED"/>
    <w:rsid w:val="33CC72E1"/>
    <w:rsid w:val="33CD28BE"/>
    <w:rsid w:val="33CD5D38"/>
    <w:rsid w:val="33CF0093"/>
    <w:rsid w:val="33CF11FB"/>
    <w:rsid w:val="33D115F1"/>
    <w:rsid w:val="33D22636"/>
    <w:rsid w:val="33D33288"/>
    <w:rsid w:val="33D422BE"/>
    <w:rsid w:val="33D44DCF"/>
    <w:rsid w:val="33D57A71"/>
    <w:rsid w:val="33D646B0"/>
    <w:rsid w:val="33D948BB"/>
    <w:rsid w:val="33DA5FC5"/>
    <w:rsid w:val="33DB54F7"/>
    <w:rsid w:val="33DC024E"/>
    <w:rsid w:val="33DC565D"/>
    <w:rsid w:val="33DE4667"/>
    <w:rsid w:val="33DF01AE"/>
    <w:rsid w:val="33DF4B25"/>
    <w:rsid w:val="33E12037"/>
    <w:rsid w:val="33E22EFA"/>
    <w:rsid w:val="33E276B6"/>
    <w:rsid w:val="33EB10ED"/>
    <w:rsid w:val="33EC1679"/>
    <w:rsid w:val="33EC3C1D"/>
    <w:rsid w:val="33ED479B"/>
    <w:rsid w:val="33EE56E9"/>
    <w:rsid w:val="33F33E63"/>
    <w:rsid w:val="33F51839"/>
    <w:rsid w:val="33FB1AB8"/>
    <w:rsid w:val="33FB4A5D"/>
    <w:rsid w:val="33FB77BE"/>
    <w:rsid w:val="33FD53E6"/>
    <w:rsid w:val="33FE5251"/>
    <w:rsid w:val="33FE7201"/>
    <w:rsid w:val="33FF7CD3"/>
    <w:rsid w:val="34057AEE"/>
    <w:rsid w:val="3406258F"/>
    <w:rsid w:val="340B21C5"/>
    <w:rsid w:val="340C09E8"/>
    <w:rsid w:val="340E17DE"/>
    <w:rsid w:val="34117A4F"/>
    <w:rsid w:val="34120024"/>
    <w:rsid w:val="341375D7"/>
    <w:rsid w:val="34140DCB"/>
    <w:rsid w:val="34145C76"/>
    <w:rsid w:val="341546E9"/>
    <w:rsid w:val="34161F5E"/>
    <w:rsid w:val="34166F5E"/>
    <w:rsid w:val="341913EF"/>
    <w:rsid w:val="34193C56"/>
    <w:rsid w:val="341A0F62"/>
    <w:rsid w:val="341E0558"/>
    <w:rsid w:val="34201FE7"/>
    <w:rsid w:val="34213E0F"/>
    <w:rsid w:val="342246E2"/>
    <w:rsid w:val="3428406E"/>
    <w:rsid w:val="342D1538"/>
    <w:rsid w:val="342E53E4"/>
    <w:rsid w:val="342F75C0"/>
    <w:rsid w:val="3433382F"/>
    <w:rsid w:val="34342A54"/>
    <w:rsid w:val="3437245E"/>
    <w:rsid w:val="34380BBA"/>
    <w:rsid w:val="3438429B"/>
    <w:rsid w:val="343926B5"/>
    <w:rsid w:val="343B44FE"/>
    <w:rsid w:val="343F6000"/>
    <w:rsid w:val="34423DFA"/>
    <w:rsid w:val="34441786"/>
    <w:rsid w:val="34464FCD"/>
    <w:rsid w:val="344751ED"/>
    <w:rsid w:val="34477282"/>
    <w:rsid w:val="34486B23"/>
    <w:rsid w:val="3449638C"/>
    <w:rsid w:val="344C7236"/>
    <w:rsid w:val="344E5562"/>
    <w:rsid w:val="344F71E9"/>
    <w:rsid w:val="345378DD"/>
    <w:rsid w:val="34551964"/>
    <w:rsid w:val="3458496D"/>
    <w:rsid w:val="345A0489"/>
    <w:rsid w:val="345B4E99"/>
    <w:rsid w:val="345B7A39"/>
    <w:rsid w:val="345C7F11"/>
    <w:rsid w:val="345D282C"/>
    <w:rsid w:val="345D2F05"/>
    <w:rsid w:val="346238EA"/>
    <w:rsid w:val="34637E42"/>
    <w:rsid w:val="34643074"/>
    <w:rsid w:val="346470F4"/>
    <w:rsid w:val="34674322"/>
    <w:rsid w:val="346A0B7E"/>
    <w:rsid w:val="346A3C73"/>
    <w:rsid w:val="346B5C12"/>
    <w:rsid w:val="346E440B"/>
    <w:rsid w:val="34700D72"/>
    <w:rsid w:val="34711E4F"/>
    <w:rsid w:val="347437EA"/>
    <w:rsid w:val="3478087B"/>
    <w:rsid w:val="34783835"/>
    <w:rsid w:val="347B57A0"/>
    <w:rsid w:val="347B5C16"/>
    <w:rsid w:val="347C4753"/>
    <w:rsid w:val="347E33FE"/>
    <w:rsid w:val="34820069"/>
    <w:rsid w:val="3482760E"/>
    <w:rsid w:val="34836A0C"/>
    <w:rsid w:val="34853CE2"/>
    <w:rsid w:val="34857D04"/>
    <w:rsid w:val="34876FCB"/>
    <w:rsid w:val="348B0AE2"/>
    <w:rsid w:val="348C6A57"/>
    <w:rsid w:val="348D696B"/>
    <w:rsid w:val="348E6409"/>
    <w:rsid w:val="348E6660"/>
    <w:rsid w:val="34901AE1"/>
    <w:rsid w:val="349130DC"/>
    <w:rsid w:val="34953F42"/>
    <w:rsid w:val="34974891"/>
    <w:rsid w:val="349758F4"/>
    <w:rsid w:val="34983E81"/>
    <w:rsid w:val="34994CD3"/>
    <w:rsid w:val="349952E0"/>
    <w:rsid w:val="349A275B"/>
    <w:rsid w:val="349A476D"/>
    <w:rsid w:val="349C61F9"/>
    <w:rsid w:val="349C6FFE"/>
    <w:rsid w:val="349E77E0"/>
    <w:rsid w:val="349F3BBF"/>
    <w:rsid w:val="349F54A9"/>
    <w:rsid w:val="34A50FB4"/>
    <w:rsid w:val="34A6118F"/>
    <w:rsid w:val="34A6423C"/>
    <w:rsid w:val="34A84F7C"/>
    <w:rsid w:val="34AA129E"/>
    <w:rsid w:val="34AE4E51"/>
    <w:rsid w:val="34AF53D4"/>
    <w:rsid w:val="34B53BD5"/>
    <w:rsid w:val="34B90AE8"/>
    <w:rsid w:val="34BB756E"/>
    <w:rsid w:val="34BE1B39"/>
    <w:rsid w:val="34C15FCB"/>
    <w:rsid w:val="34C43B7F"/>
    <w:rsid w:val="34C46F2F"/>
    <w:rsid w:val="34C75F13"/>
    <w:rsid w:val="34C82549"/>
    <w:rsid w:val="34CA24BC"/>
    <w:rsid w:val="34CC29F6"/>
    <w:rsid w:val="34CC52D7"/>
    <w:rsid w:val="34CD3EA7"/>
    <w:rsid w:val="34CE1CB3"/>
    <w:rsid w:val="34CE4CBB"/>
    <w:rsid w:val="34D35844"/>
    <w:rsid w:val="34D42899"/>
    <w:rsid w:val="34D54E1E"/>
    <w:rsid w:val="34D57C8D"/>
    <w:rsid w:val="34D7727F"/>
    <w:rsid w:val="34D85F82"/>
    <w:rsid w:val="34D90D7C"/>
    <w:rsid w:val="34D93874"/>
    <w:rsid w:val="34DB0770"/>
    <w:rsid w:val="34DB2A44"/>
    <w:rsid w:val="34DC63C1"/>
    <w:rsid w:val="34E35787"/>
    <w:rsid w:val="34E41E93"/>
    <w:rsid w:val="34E521CA"/>
    <w:rsid w:val="34E75451"/>
    <w:rsid w:val="34EA66CA"/>
    <w:rsid w:val="34ED71D7"/>
    <w:rsid w:val="34F04535"/>
    <w:rsid w:val="34F0771A"/>
    <w:rsid w:val="34F4451B"/>
    <w:rsid w:val="34F928EF"/>
    <w:rsid w:val="34FA5F07"/>
    <w:rsid w:val="34FB4F69"/>
    <w:rsid w:val="34FF1551"/>
    <w:rsid w:val="34FF78A6"/>
    <w:rsid w:val="35004F81"/>
    <w:rsid w:val="35033DF2"/>
    <w:rsid w:val="350433CA"/>
    <w:rsid w:val="350548CF"/>
    <w:rsid w:val="35065B8E"/>
    <w:rsid w:val="35075794"/>
    <w:rsid w:val="3508438C"/>
    <w:rsid w:val="350921D1"/>
    <w:rsid w:val="350A3D87"/>
    <w:rsid w:val="350D4379"/>
    <w:rsid w:val="351243A4"/>
    <w:rsid w:val="35145479"/>
    <w:rsid w:val="35177E1E"/>
    <w:rsid w:val="35191039"/>
    <w:rsid w:val="35191BDA"/>
    <w:rsid w:val="3519520A"/>
    <w:rsid w:val="351A4BEB"/>
    <w:rsid w:val="351D37A4"/>
    <w:rsid w:val="351E2FFF"/>
    <w:rsid w:val="351F7C27"/>
    <w:rsid w:val="3522580C"/>
    <w:rsid w:val="35252511"/>
    <w:rsid w:val="3527382C"/>
    <w:rsid w:val="35280896"/>
    <w:rsid w:val="352D1B3F"/>
    <w:rsid w:val="35301FE7"/>
    <w:rsid w:val="353220F1"/>
    <w:rsid w:val="35324A04"/>
    <w:rsid w:val="35347F24"/>
    <w:rsid w:val="353B2190"/>
    <w:rsid w:val="353C15F4"/>
    <w:rsid w:val="353D7F64"/>
    <w:rsid w:val="35464C09"/>
    <w:rsid w:val="354929C6"/>
    <w:rsid w:val="354A3CF0"/>
    <w:rsid w:val="354E03E2"/>
    <w:rsid w:val="35501802"/>
    <w:rsid w:val="35551F33"/>
    <w:rsid w:val="355C0670"/>
    <w:rsid w:val="355D7ED2"/>
    <w:rsid w:val="35621103"/>
    <w:rsid w:val="356367FD"/>
    <w:rsid w:val="3564194A"/>
    <w:rsid w:val="356639A8"/>
    <w:rsid w:val="356653DD"/>
    <w:rsid w:val="3568138E"/>
    <w:rsid w:val="356A12F8"/>
    <w:rsid w:val="356C5AB0"/>
    <w:rsid w:val="356E4BB0"/>
    <w:rsid w:val="35701FBB"/>
    <w:rsid w:val="35715ECD"/>
    <w:rsid w:val="35735C04"/>
    <w:rsid w:val="35757B1F"/>
    <w:rsid w:val="357A24DE"/>
    <w:rsid w:val="357C6402"/>
    <w:rsid w:val="357E3968"/>
    <w:rsid w:val="357F0475"/>
    <w:rsid w:val="358004C1"/>
    <w:rsid w:val="358039C1"/>
    <w:rsid w:val="358116CB"/>
    <w:rsid w:val="35821585"/>
    <w:rsid w:val="35830FC4"/>
    <w:rsid w:val="35832D08"/>
    <w:rsid w:val="35836C5D"/>
    <w:rsid w:val="35880792"/>
    <w:rsid w:val="358C106E"/>
    <w:rsid w:val="358C2E12"/>
    <w:rsid w:val="358D4682"/>
    <w:rsid w:val="358D4A67"/>
    <w:rsid w:val="35900B5D"/>
    <w:rsid w:val="35935DF5"/>
    <w:rsid w:val="35956826"/>
    <w:rsid w:val="359B0DFC"/>
    <w:rsid w:val="35A22F5E"/>
    <w:rsid w:val="35A348CD"/>
    <w:rsid w:val="35A869C5"/>
    <w:rsid w:val="35AA27C1"/>
    <w:rsid w:val="35AE0D8D"/>
    <w:rsid w:val="35AE1DBE"/>
    <w:rsid w:val="35AF79AE"/>
    <w:rsid w:val="35B015D1"/>
    <w:rsid w:val="35B04BF9"/>
    <w:rsid w:val="35B26BC3"/>
    <w:rsid w:val="35B431E6"/>
    <w:rsid w:val="35B8534C"/>
    <w:rsid w:val="35B9166D"/>
    <w:rsid w:val="35BA6331"/>
    <w:rsid w:val="35BB419F"/>
    <w:rsid w:val="35C41D8D"/>
    <w:rsid w:val="35C513E6"/>
    <w:rsid w:val="35C83156"/>
    <w:rsid w:val="35C97777"/>
    <w:rsid w:val="35CA2603"/>
    <w:rsid w:val="35CD57AB"/>
    <w:rsid w:val="35D45319"/>
    <w:rsid w:val="35D500E2"/>
    <w:rsid w:val="35D55B99"/>
    <w:rsid w:val="35D86DA6"/>
    <w:rsid w:val="35DC5A49"/>
    <w:rsid w:val="35DC615C"/>
    <w:rsid w:val="35DF7214"/>
    <w:rsid w:val="35E005CC"/>
    <w:rsid w:val="35E21BB5"/>
    <w:rsid w:val="35E24A59"/>
    <w:rsid w:val="35E45F86"/>
    <w:rsid w:val="35E76CF9"/>
    <w:rsid w:val="35E9144F"/>
    <w:rsid w:val="35E965CA"/>
    <w:rsid w:val="35EA2490"/>
    <w:rsid w:val="35EA5E6E"/>
    <w:rsid w:val="35EA77A2"/>
    <w:rsid w:val="35EB2BCA"/>
    <w:rsid w:val="35EF127D"/>
    <w:rsid w:val="35EF13D5"/>
    <w:rsid w:val="35F73429"/>
    <w:rsid w:val="35F745D6"/>
    <w:rsid w:val="35F83A84"/>
    <w:rsid w:val="360013B9"/>
    <w:rsid w:val="36023294"/>
    <w:rsid w:val="360272E1"/>
    <w:rsid w:val="36043AA6"/>
    <w:rsid w:val="36064244"/>
    <w:rsid w:val="36081F56"/>
    <w:rsid w:val="36094A17"/>
    <w:rsid w:val="360A46C7"/>
    <w:rsid w:val="360B2D2C"/>
    <w:rsid w:val="360D3A7F"/>
    <w:rsid w:val="360E48F1"/>
    <w:rsid w:val="360E59AB"/>
    <w:rsid w:val="361423AB"/>
    <w:rsid w:val="361566F3"/>
    <w:rsid w:val="36165BB9"/>
    <w:rsid w:val="36187566"/>
    <w:rsid w:val="361F5150"/>
    <w:rsid w:val="362C369F"/>
    <w:rsid w:val="362F6E5C"/>
    <w:rsid w:val="363016B9"/>
    <w:rsid w:val="363701A0"/>
    <w:rsid w:val="363743B1"/>
    <w:rsid w:val="36396648"/>
    <w:rsid w:val="363B170F"/>
    <w:rsid w:val="363B5B2E"/>
    <w:rsid w:val="36402AE3"/>
    <w:rsid w:val="364515FF"/>
    <w:rsid w:val="364837F3"/>
    <w:rsid w:val="364C1929"/>
    <w:rsid w:val="364C417F"/>
    <w:rsid w:val="364E3B0D"/>
    <w:rsid w:val="3650092E"/>
    <w:rsid w:val="36570667"/>
    <w:rsid w:val="365A3977"/>
    <w:rsid w:val="365C1125"/>
    <w:rsid w:val="365D0409"/>
    <w:rsid w:val="36614438"/>
    <w:rsid w:val="3662346C"/>
    <w:rsid w:val="36657B7A"/>
    <w:rsid w:val="36662C1B"/>
    <w:rsid w:val="366E5E37"/>
    <w:rsid w:val="366E5EE6"/>
    <w:rsid w:val="366F488E"/>
    <w:rsid w:val="3671292B"/>
    <w:rsid w:val="36733E47"/>
    <w:rsid w:val="36746392"/>
    <w:rsid w:val="36764A1F"/>
    <w:rsid w:val="36771625"/>
    <w:rsid w:val="36790359"/>
    <w:rsid w:val="367E740C"/>
    <w:rsid w:val="367F686A"/>
    <w:rsid w:val="36864421"/>
    <w:rsid w:val="36870823"/>
    <w:rsid w:val="368727D7"/>
    <w:rsid w:val="36883E8C"/>
    <w:rsid w:val="368A7B8F"/>
    <w:rsid w:val="368B0658"/>
    <w:rsid w:val="368B4DC6"/>
    <w:rsid w:val="368B50FB"/>
    <w:rsid w:val="368B5172"/>
    <w:rsid w:val="368C3156"/>
    <w:rsid w:val="368E55AE"/>
    <w:rsid w:val="36936508"/>
    <w:rsid w:val="369462C9"/>
    <w:rsid w:val="3698445F"/>
    <w:rsid w:val="36987B67"/>
    <w:rsid w:val="369E1E4A"/>
    <w:rsid w:val="36A33EBA"/>
    <w:rsid w:val="36A52DE5"/>
    <w:rsid w:val="36A77120"/>
    <w:rsid w:val="36A8392B"/>
    <w:rsid w:val="36AC3067"/>
    <w:rsid w:val="36AC3456"/>
    <w:rsid w:val="36AE6EE6"/>
    <w:rsid w:val="36B204FD"/>
    <w:rsid w:val="36B25981"/>
    <w:rsid w:val="36B43262"/>
    <w:rsid w:val="36B70C01"/>
    <w:rsid w:val="36B84068"/>
    <w:rsid w:val="36BB0A50"/>
    <w:rsid w:val="36BD4395"/>
    <w:rsid w:val="36BF3415"/>
    <w:rsid w:val="36BF474E"/>
    <w:rsid w:val="36C42FC9"/>
    <w:rsid w:val="36C54E00"/>
    <w:rsid w:val="36C8522D"/>
    <w:rsid w:val="36C924F1"/>
    <w:rsid w:val="36CD2A44"/>
    <w:rsid w:val="36CD35CB"/>
    <w:rsid w:val="36D12776"/>
    <w:rsid w:val="36D66F2F"/>
    <w:rsid w:val="36D8380E"/>
    <w:rsid w:val="36D84CAA"/>
    <w:rsid w:val="36DA0180"/>
    <w:rsid w:val="36DD2E3A"/>
    <w:rsid w:val="36DD5FBA"/>
    <w:rsid w:val="36E14866"/>
    <w:rsid w:val="36E6182F"/>
    <w:rsid w:val="36E67D37"/>
    <w:rsid w:val="36EC3A0F"/>
    <w:rsid w:val="36EC78D3"/>
    <w:rsid w:val="36EE5D1F"/>
    <w:rsid w:val="36EF7815"/>
    <w:rsid w:val="36F65EC8"/>
    <w:rsid w:val="36F80606"/>
    <w:rsid w:val="36FA1419"/>
    <w:rsid w:val="36FD670C"/>
    <w:rsid w:val="36FF5060"/>
    <w:rsid w:val="37001839"/>
    <w:rsid w:val="3703054B"/>
    <w:rsid w:val="37067C28"/>
    <w:rsid w:val="370741E8"/>
    <w:rsid w:val="370825FF"/>
    <w:rsid w:val="370A0339"/>
    <w:rsid w:val="370A5456"/>
    <w:rsid w:val="370B61A1"/>
    <w:rsid w:val="370E4AB4"/>
    <w:rsid w:val="371029B5"/>
    <w:rsid w:val="37114683"/>
    <w:rsid w:val="37157B34"/>
    <w:rsid w:val="37236C9E"/>
    <w:rsid w:val="37252A8F"/>
    <w:rsid w:val="37267708"/>
    <w:rsid w:val="37281D9C"/>
    <w:rsid w:val="372A1BEF"/>
    <w:rsid w:val="372A6D98"/>
    <w:rsid w:val="372C3E5E"/>
    <w:rsid w:val="372D0DFA"/>
    <w:rsid w:val="372D4678"/>
    <w:rsid w:val="372F72D6"/>
    <w:rsid w:val="37335ED3"/>
    <w:rsid w:val="37362EDC"/>
    <w:rsid w:val="37382DB4"/>
    <w:rsid w:val="37397BC6"/>
    <w:rsid w:val="37415734"/>
    <w:rsid w:val="37457D9D"/>
    <w:rsid w:val="3749374B"/>
    <w:rsid w:val="374B091C"/>
    <w:rsid w:val="374B20B5"/>
    <w:rsid w:val="37510C2B"/>
    <w:rsid w:val="375241BA"/>
    <w:rsid w:val="375259FD"/>
    <w:rsid w:val="37544834"/>
    <w:rsid w:val="37565477"/>
    <w:rsid w:val="3759608B"/>
    <w:rsid w:val="37597429"/>
    <w:rsid w:val="375A77CF"/>
    <w:rsid w:val="375F370E"/>
    <w:rsid w:val="3762328C"/>
    <w:rsid w:val="37625840"/>
    <w:rsid w:val="376404DF"/>
    <w:rsid w:val="376573B7"/>
    <w:rsid w:val="37667C65"/>
    <w:rsid w:val="37672356"/>
    <w:rsid w:val="376821BF"/>
    <w:rsid w:val="37684F3D"/>
    <w:rsid w:val="376D6BB1"/>
    <w:rsid w:val="376E22E9"/>
    <w:rsid w:val="37706CA2"/>
    <w:rsid w:val="37712687"/>
    <w:rsid w:val="37713445"/>
    <w:rsid w:val="377644CF"/>
    <w:rsid w:val="37777460"/>
    <w:rsid w:val="37781411"/>
    <w:rsid w:val="377B6A1E"/>
    <w:rsid w:val="377D1E47"/>
    <w:rsid w:val="377D446F"/>
    <w:rsid w:val="37824555"/>
    <w:rsid w:val="378255E4"/>
    <w:rsid w:val="378454E5"/>
    <w:rsid w:val="37846E43"/>
    <w:rsid w:val="378654ED"/>
    <w:rsid w:val="37865C0D"/>
    <w:rsid w:val="37866862"/>
    <w:rsid w:val="37881525"/>
    <w:rsid w:val="378909A5"/>
    <w:rsid w:val="378B294B"/>
    <w:rsid w:val="378D2608"/>
    <w:rsid w:val="378D35D5"/>
    <w:rsid w:val="378F7976"/>
    <w:rsid w:val="379049DB"/>
    <w:rsid w:val="379060F5"/>
    <w:rsid w:val="37916681"/>
    <w:rsid w:val="37927F96"/>
    <w:rsid w:val="37955C4B"/>
    <w:rsid w:val="37964C93"/>
    <w:rsid w:val="37975F19"/>
    <w:rsid w:val="3798628E"/>
    <w:rsid w:val="379937A6"/>
    <w:rsid w:val="379A1458"/>
    <w:rsid w:val="379D08BE"/>
    <w:rsid w:val="37A0335D"/>
    <w:rsid w:val="37A1445F"/>
    <w:rsid w:val="37A47D26"/>
    <w:rsid w:val="37A53BAF"/>
    <w:rsid w:val="37A56499"/>
    <w:rsid w:val="37A67C53"/>
    <w:rsid w:val="37A745F4"/>
    <w:rsid w:val="37A85B27"/>
    <w:rsid w:val="37AE42C5"/>
    <w:rsid w:val="37AE5797"/>
    <w:rsid w:val="37AF733A"/>
    <w:rsid w:val="37B218C4"/>
    <w:rsid w:val="37B7226F"/>
    <w:rsid w:val="37B77624"/>
    <w:rsid w:val="37BA6EAF"/>
    <w:rsid w:val="37BB375B"/>
    <w:rsid w:val="37BB541A"/>
    <w:rsid w:val="37C14E9C"/>
    <w:rsid w:val="37C30375"/>
    <w:rsid w:val="37C6310A"/>
    <w:rsid w:val="37C71532"/>
    <w:rsid w:val="37C86FA0"/>
    <w:rsid w:val="37CA5E3C"/>
    <w:rsid w:val="37CC5C00"/>
    <w:rsid w:val="37CC718C"/>
    <w:rsid w:val="37CD3416"/>
    <w:rsid w:val="37D2787D"/>
    <w:rsid w:val="37D70F80"/>
    <w:rsid w:val="37D827FC"/>
    <w:rsid w:val="37DB05EC"/>
    <w:rsid w:val="37DC2DBF"/>
    <w:rsid w:val="37DC51AD"/>
    <w:rsid w:val="37DD36C3"/>
    <w:rsid w:val="37DE677C"/>
    <w:rsid w:val="37EA2F01"/>
    <w:rsid w:val="37EB1D65"/>
    <w:rsid w:val="37EC0B89"/>
    <w:rsid w:val="37ED0245"/>
    <w:rsid w:val="37ED22E2"/>
    <w:rsid w:val="37EE2CE2"/>
    <w:rsid w:val="37EF4CBB"/>
    <w:rsid w:val="37F01855"/>
    <w:rsid w:val="37F1133A"/>
    <w:rsid w:val="37F1334D"/>
    <w:rsid w:val="37F21309"/>
    <w:rsid w:val="37F55393"/>
    <w:rsid w:val="37F8326A"/>
    <w:rsid w:val="37F94D51"/>
    <w:rsid w:val="37FB0B2E"/>
    <w:rsid w:val="37FE1C4C"/>
    <w:rsid w:val="37FF687E"/>
    <w:rsid w:val="38013DBC"/>
    <w:rsid w:val="38026556"/>
    <w:rsid w:val="380439DE"/>
    <w:rsid w:val="380447C9"/>
    <w:rsid w:val="3806535D"/>
    <w:rsid w:val="380D4D1A"/>
    <w:rsid w:val="380F1730"/>
    <w:rsid w:val="3810372D"/>
    <w:rsid w:val="38114D3D"/>
    <w:rsid w:val="38125312"/>
    <w:rsid w:val="38151167"/>
    <w:rsid w:val="38166058"/>
    <w:rsid w:val="381804D7"/>
    <w:rsid w:val="3818065B"/>
    <w:rsid w:val="38183671"/>
    <w:rsid w:val="381A02FF"/>
    <w:rsid w:val="381B3C7D"/>
    <w:rsid w:val="381D208D"/>
    <w:rsid w:val="381D59F7"/>
    <w:rsid w:val="381E5BA6"/>
    <w:rsid w:val="381F2D26"/>
    <w:rsid w:val="38222991"/>
    <w:rsid w:val="38242C2A"/>
    <w:rsid w:val="38264B93"/>
    <w:rsid w:val="3827511A"/>
    <w:rsid w:val="38281F57"/>
    <w:rsid w:val="3828341F"/>
    <w:rsid w:val="382B2D95"/>
    <w:rsid w:val="382C1EBC"/>
    <w:rsid w:val="382E489A"/>
    <w:rsid w:val="382E6DF4"/>
    <w:rsid w:val="382F177C"/>
    <w:rsid w:val="38302311"/>
    <w:rsid w:val="38324121"/>
    <w:rsid w:val="38324A8E"/>
    <w:rsid w:val="38333032"/>
    <w:rsid w:val="3836242D"/>
    <w:rsid w:val="383F5FE3"/>
    <w:rsid w:val="38402C64"/>
    <w:rsid w:val="38402FE1"/>
    <w:rsid w:val="38423557"/>
    <w:rsid w:val="38455E03"/>
    <w:rsid w:val="38457CE7"/>
    <w:rsid w:val="38466C34"/>
    <w:rsid w:val="38471153"/>
    <w:rsid w:val="38480930"/>
    <w:rsid w:val="384838E8"/>
    <w:rsid w:val="38496943"/>
    <w:rsid w:val="384B0E50"/>
    <w:rsid w:val="384C11AA"/>
    <w:rsid w:val="384D6687"/>
    <w:rsid w:val="384E58FC"/>
    <w:rsid w:val="38524E52"/>
    <w:rsid w:val="38527602"/>
    <w:rsid w:val="3853099F"/>
    <w:rsid w:val="3855082E"/>
    <w:rsid w:val="3855229F"/>
    <w:rsid w:val="38557548"/>
    <w:rsid w:val="38585D87"/>
    <w:rsid w:val="385B76E8"/>
    <w:rsid w:val="385F66CF"/>
    <w:rsid w:val="385F6B46"/>
    <w:rsid w:val="38686ED3"/>
    <w:rsid w:val="386D241A"/>
    <w:rsid w:val="387117AF"/>
    <w:rsid w:val="38716399"/>
    <w:rsid w:val="38722741"/>
    <w:rsid w:val="38743EC9"/>
    <w:rsid w:val="3878101F"/>
    <w:rsid w:val="38783580"/>
    <w:rsid w:val="387C6E89"/>
    <w:rsid w:val="387F7CE4"/>
    <w:rsid w:val="38801AE1"/>
    <w:rsid w:val="388021A0"/>
    <w:rsid w:val="3885491E"/>
    <w:rsid w:val="38856F86"/>
    <w:rsid w:val="388A35E1"/>
    <w:rsid w:val="388B2F0E"/>
    <w:rsid w:val="388C36FB"/>
    <w:rsid w:val="388D1857"/>
    <w:rsid w:val="389014A0"/>
    <w:rsid w:val="38912823"/>
    <w:rsid w:val="38915AB0"/>
    <w:rsid w:val="38923136"/>
    <w:rsid w:val="38925958"/>
    <w:rsid w:val="389337BE"/>
    <w:rsid w:val="38965206"/>
    <w:rsid w:val="38972D34"/>
    <w:rsid w:val="38973C09"/>
    <w:rsid w:val="38983BD0"/>
    <w:rsid w:val="38986B71"/>
    <w:rsid w:val="389B3D7F"/>
    <w:rsid w:val="389D1530"/>
    <w:rsid w:val="389F75FE"/>
    <w:rsid w:val="38A30CC7"/>
    <w:rsid w:val="38A32ADE"/>
    <w:rsid w:val="38A66727"/>
    <w:rsid w:val="38A82E33"/>
    <w:rsid w:val="38A86A5A"/>
    <w:rsid w:val="38A86F74"/>
    <w:rsid w:val="38AC7FBC"/>
    <w:rsid w:val="38B062AB"/>
    <w:rsid w:val="38B10472"/>
    <w:rsid w:val="38B3304A"/>
    <w:rsid w:val="38B36EDA"/>
    <w:rsid w:val="38B578EE"/>
    <w:rsid w:val="38B647EC"/>
    <w:rsid w:val="38B72984"/>
    <w:rsid w:val="38B86D83"/>
    <w:rsid w:val="38BA7A92"/>
    <w:rsid w:val="38BA7E75"/>
    <w:rsid w:val="38BB63E8"/>
    <w:rsid w:val="38BE0282"/>
    <w:rsid w:val="38C113B3"/>
    <w:rsid w:val="38C335E1"/>
    <w:rsid w:val="38C33DC6"/>
    <w:rsid w:val="38C56B5A"/>
    <w:rsid w:val="38C57719"/>
    <w:rsid w:val="38C649AA"/>
    <w:rsid w:val="38C85503"/>
    <w:rsid w:val="38CD3E6A"/>
    <w:rsid w:val="38CF35E8"/>
    <w:rsid w:val="38D11C18"/>
    <w:rsid w:val="38D20C54"/>
    <w:rsid w:val="38D23EB0"/>
    <w:rsid w:val="38D34D87"/>
    <w:rsid w:val="38D40E45"/>
    <w:rsid w:val="38D55E6D"/>
    <w:rsid w:val="38D806EF"/>
    <w:rsid w:val="38D81B83"/>
    <w:rsid w:val="38D87F69"/>
    <w:rsid w:val="38DC3D23"/>
    <w:rsid w:val="38DE7D61"/>
    <w:rsid w:val="38E2211C"/>
    <w:rsid w:val="38E50517"/>
    <w:rsid w:val="38E53924"/>
    <w:rsid w:val="38E54A1E"/>
    <w:rsid w:val="38E615C1"/>
    <w:rsid w:val="38E8238F"/>
    <w:rsid w:val="38EA6562"/>
    <w:rsid w:val="38F008C5"/>
    <w:rsid w:val="38F031FB"/>
    <w:rsid w:val="38F41513"/>
    <w:rsid w:val="38F44398"/>
    <w:rsid w:val="38F51707"/>
    <w:rsid w:val="38F91DCB"/>
    <w:rsid w:val="38FB5FAF"/>
    <w:rsid w:val="38FC4B50"/>
    <w:rsid w:val="38FD5736"/>
    <w:rsid w:val="38FF13B8"/>
    <w:rsid w:val="38FF5F03"/>
    <w:rsid w:val="39036BB8"/>
    <w:rsid w:val="39063E8C"/>
    <w:rsid w:val="39070F6E"/>
    <w:rsid w:val="39070FD4"/>
    <w:rsid w:val="390833AA"/>
    <w:rsid w:val="39085F69"/>
    <w:rsid w:val="390A42F5"/>
    <w:rsid w:val="390B0465"/>
    <w:rsid w:val="390C01E7"/>
    <w:rsid w:val="390F79C0"/>
    <w:rsid w:val="39104250"/>
    <w:rsid w:val="391306E2"/>
    <w:rsid w:val="391B1A56"/>
    <w:rsid w:val="391B6D96"/>
    <w:rsid w:val="391B7493"/>
    <w:rsid w:val="391C0DA5"/>
    <w:rsid w:val="391D5909"/>
    <w:rsid w:val="391D7646"/>
    <w:rsid w:val="39200C6C"/>
    <w:rsid w:val="39284363"/>
    <w:rsid w:val="39287146"/>
    <w:rsid w:val="39296FF4"/>
    <w:rsid w:val="392A7BF9"/>
    <w:rsid w:val="392B69BE"/>
    <w:rsid w:val="392F089B"/>
    <w:rsid w:val="3935728B"/>
    <w:rsid w:val="3936386A"/>
    <w:rsid w:val="39374DDA"/>
    <w:rsid w:val="39392A20"/>
    <w:rsid w:val="393A59DE"/>
    <w:rsid w:val="393C40F9"/>
    <w:rsid w:val="393C4364"/>
    <w:rsid w:val="393C6ED0"/>
    <w:rsid w:val="393D2DD6"/>
    <w:rsid w:val="39497385"/>
    <w:rsid w:val="394C3E17"/>
    <w:rsid w:val="394C7567"/>
    <w:rsid w:val="395502D1"/>
    <w:rsid w:val="395814A0"/>
    <w:rsid w:val="395B7A15"/>
    <w:rsid w:val="395E3DBA"/>
    <w:rsid w:val="39601994"/>
    <w:rsid w:val="396041DF"/>
    <w:rsid w:val="3963485C"/>
    <w:rsid w:val="396436E0"/>
    <w:rsid w:val="39695F4A"/>
    <w:rsid w:val="396C21A9"/>
    <w:rsid w:val="396C7F99"/>
    <w:rsid w:val="396F24D8"/>
    <w:rsid w:val="396F5208"/>
    <w:rsid w:val="39742F53"/>
    <w:rsid w:val="3975370B"/>
    <w:rsid w:val="397E1A65"/>
    <w:rsid w:val="39820C2E"/>
    <w:rsid w:val="39841C13"/>
    <w:rsid w:val="39872F7B"/>
    <w:rsid w:val="39875AA6"/>
    <w:rsid w:val="3989266D"/>
    <w:rsid w:val="398C2E6F"/>
    <w:rsid w:val="398C3287"/>
    <w:rsid w:val="398D4EBB"/>
    <w:rsid w:val="399105FC"/>
    <w:rsid w:val="39920B23"/>
    <w:rsid w:val="39942796"/>
    <w:rsid w:val="3998667C"/>
    <w:rsid w:val="399E7AC2"/>
    <w:rsid w:val="39A05DD9"/>
    <w:rsid w:val="39A156B6"/>
    <w:rsid w:val="39A6259B"/>
    <w:rsid w:val="39AF0BE4"/>
    <w:rsid w:val="39B23074"/>
    <w:rsid w:val="39B32692"/>
    <w:rsid w:val="39B53F2A"/>
    <w:rsid w:val="39B71639"/>
    <w:rsid w:val="39B87373"/>
    <w:rsid w:val="39BA67A3"/>
    <w:rsid w:val="39BD1F51"/>
    <w:rsid w:val="39BD34C1"/>
    <w:rsid w:val="39BD638E"/>
    <w:rsid w:val="39C11E84"/>
    <w:rsid w:val="39C2667D"/>
    <w:rsid w:val="39C275D2"/>
    <w:rsid w:val="39C83EA9"/>
    <w:rsid w:val="39CB42F9"/>
    <w:rsid w:val="39CF5FBC"/>
    <w:rsid w:val="39D132D3"/>
    <w:rsid w:val="39D24C13"/>
    <w:rsid w:val="39D31778"/>
    <w:rsid w:val="39D40A8E"/>
    <w:rsid w:val="39D61687"/>
    <w:rsid w:val="39D95891"/>
    <w:rsid w:val="39DA1336"/>
    <w:rsid w:val="39DC1CDE"/>
    <w:rsid w:val="39E11AA4"/>
    <w:rsid w:val="39E15220"/>
    <w:rsid w:val="39E22CF5"/>
    <w:rsid w:val="39E6781E"/>
    <w:rsid w:val="39E76D95"/>
    <w:rsid w:val="39EB26A4"/>
    <w:rsid w:val="39ED2D65"/>
    <w:rsid w:val="39F01A68"/>
    <w:rsid w:val="39F04C68"/>
    <w:rsid w:val="39F258B6"/>
    <w:rsid w:val="39F3290F"/>
    <w:rsid w:val="39F42FC4"/>
    <w:rsid w:val="39F840DA"/>
    <w:rsid w:val="3A057DBA"/>
    <w:rsid w:val="3A061C88"/>
    <w:rsid w:val="3A063392"/>
    <w:rsid w:val="3A08407C"/>
    <w:rsid w:val="3A086DB2"/>
    <w:rsid w:val="3A091488"/>
    <w:rsid w:val="3A0B7AD3"/>
    <w:rsid w:val="3A0F1803"/>
    <w:rsid w:val="3A10119B"/>
    <w:rsid w:val="3A112C5D"/>
    <w:rsid w:val="3A130E11"/>
    <w:rsid w:val="3A132F07"/>
    <w:rsid w:val="3A193345"/>
    <w:rsid w:val="3A1A66F3"/>
    <w:rsid w:val="3A1C55E7"/>
    <w:rsid w:val="3A1C7ED5"/>
    <w:rsid w:val="3A1D3032"/>
    <w:rsid w:val="3A1F234D"/>
    <w:rsid w:val="3A290D5D"/>
    <w:rsid w:val="3A291302"/>
    <w:rsid w:val="3A296246"/>
    <w:rsid w:val="3A2A00C3"/>
    <w:rsid w:val="3A2A4EE2"/>
    <w:rsid w:val="3A2D5F58"/>
    <w:rsid w:val="3A322D85"/>
    <w:rsid w:val="3A345DF9"/>
    <w:rsid w:val="3A350DAB"/>
    <w:rsid w:val="3A35391F"/>
    <w:rsid w:val="3A355D1B"/>
    <w:rsid w:val="3A3631C7"/>
    <w:rsid w:val="3A37598F"/>
    <w:rsid w:val="3A3834C4"/>
    <w:rsid w:val="3A397E1F"/>
    <w:rsid w:val="3A4079D4"/>
    <w:rsid w:val="3A433482"/>
    <w:rsid w:val="3A47797C"/>
    <w:rsid w:val="3A4C7912"/>
    <w:rsid w:val="3A4F569F"/>
    <w:rsid w:val="3A502507"/>
    <w:rsid w:val="3A503DAB"/>
    <w:rsid w:val="3A53141F"/>
    <w:rsid w:val="3A57258D"/>
    <w:rsid w:val="3A590EF9"/>
    <w:rsid w:val="3A596A85"/>
    <w:rsid w:val="3A5F6D74"/>
    <w:rsid w:val="3A603D74"/>
    <w:rsid w:val="3A63168D"/>
    <w:rsid w:val="3A63240A"/>
    <w:rsid w:val="3A655FB2"/>
    <w:rsid w:val="3A673A6A"/>
    <w:rsid w:val="3A6751D7"/>
    <w:rsid w:val="3A684BA0"/>
    <w:rsid w:val="3A6B60D7"/>
    <w:rsid w:val="3A6D5E52"/>
    <w:rsid w:val="3A6F0BDF"/>
    <w:rsid w:val="3A74682E"/>
    <w:rsid w:val="3A7770BB"/>
    <w:rsid w:val="3A777273"/>
    <w:rsid w:val="3A784E0F"/>
    <w:rsid w:val="3A786579"/>
    <w:rsid w:val="3A7B6BB7"/>
    <w:rsid w:val="3A7C2D73"/>
    <w:rsid w:val="3A7E7113"/>
    <w:rsid w:val="3A80235E"/>
    <w:rsid w:val="3A8309EA"/>
    <w:rsid w:val="3A8573E4"/>
    <w:rsid w:val="3A8900EB"/>
    <w:rsid w:val="3A8E5733"/>
    <w:rsid w:val="3A9201F1"/>
    <w:rsid w:val="3A940918"/>
    <w:rsid w:val="3A996B1B"/>
    <w:rsid w:val="3A9E1E26"/>
    <w:rsid w:val="3A9F5FBB"/>
    <w:rsid w:val="3AA005AD"/>
    <w:rsid w:val="3AA01285"/>
    <w:rsid w:val="3AA22960"/>
    <w:rsid w:val="3AA35106"/>
    <w:rsid w:val="3AA41C19"/>
    <w:rsid w:val="3AAA48BA"/>
    <w:rsid w:val="3AAB5D4D"/>
    <w:rsid w:val="3AAC7166"/>
    <w:rsid w:val="3AAD7484"/>
    <w:rsid w:val="3AAE02D1"/>
    <w:rsid w:val="3AB048A0"/>
    <w:rsid w:val="3AB421C1"/>
    <w:rsid w:val="3AB55CFD"/>
    <w:rsid w:val="3AB661CA"/>
    <w:rsid w:val="3AB749D2"/>
    <w:rsid w:val="3AB76CA6"/>
    <w:rsid w:val="3ABA360F"/>
    <w:rsid w:val="3ABF4364"/>
    <w:rsid w:val="3AC0603A"/>
    <w:rsid w:val="3AC11350"/>
    <w:rsid w:val="3AC45F39"/>
    <w:rsid w:val="3AC55FB7"/>
    <w:rsid w:val="3AC632A6"/>
    <w:rsid w:val="3AC81716"/>
    <w:rsid w:val="3AC855BD"/>
    <w:rsid w:val="3ACB54DE"/>
    <w:rsid w:val="3ACC134E"/>
    <w:rsid w:val="3ACD1234"/>
    <w:rsid w:val="3ACF3E0D"/>
    <w:rsid w:val="3ADB68A7"/>
    <w:rsid w:val="3ADC5C2F"/>
    <w:rsid w:val="3AE02ADF"/>
    <w:rsid w:val="3AE1070B"/>
    <w:rsid w:val="3AE21319"/>
    <w:rsid w:val="3AE27C8D"/>
    <w:rsid w:val="3AE42A2A"/>
    <w:rsid w:val="3AE52B77"/>
    <w:rsid w:val="3AED7380"/>
    <w:rsid w:val="3AEF0EE9"/>
    <w:rsid w:val="3AF50476"/>
    <w:rsid w:val="3AF92B05"/>
    <w:rsid w:val="3AFA5D9D"/>
    <w:rsid w:val="3AFE1125"/>
    <w:rsid w:val="3AFE3131"/>
    <w:rsid w:val="3B003BEA"/>
    <w:rsid w:val="3B092F2A"/>
    <w:rsid w:val="3B0A6B5A"/>
    <w:rsid w:val="3B0A7B00"/>
    <w:rsid w:val="3B0F78B9"/>
    <w:rsid w:val="3B1020ED"/>
    <w:rsid w:val="3B1427CA"/>
    <w:rsid w:val="3B144BB0"/>
    <w:rsid w:val="3B157C44"/>
    <w:rsid w:val="3B170421"/>
    <w:rsid w:val="3B171DFE"/>
    <w:rsid w:val="3B1D4ADF"/>
    <w:rsid w:val="3B205640"/>
    <w:rsid w:val="3B235DBA"/>
    <w:rsid w:val="3B241A4E"/>
    <w:rsid w:val="3B252A87"/>
    <w:rsid w:val="3B252F8A"/>
    <w:rsid w:val="3B2772DA"/>
    <w:rsid w:val="3B2C7DCB"/>
    <w:rsid w:val="3B31460B"/>
    <w:rsid w:val="3B34702C"/>
    <w:rsid w:val="3B387E27"/>
    <w:rsid w:val="3B3911ED"/>
    <w:rsid w:val="3B427347"/>
    <w:rsid w:val="3B45315F"/>
    <w:rsid w:val="3B457545"/>
    <w:rsid w:val="3B474FC9"/>
    <w:rsid w:val="3B485D3B"/>
    <w:rsid w:val="3B4E330E"/>
    <w:rsid w:val="3B500E1F"/>
    <w:rsid w:val="3B5029AB"/>
    <w:rsid w:val="3B510801"/>
    <w:rsid w:val="3B525104"/>
    <w:rsid w:val="3B5750CC"/>
    <w:rsid w:val="3B5C2719"/>
    <w:rsid w:val="3B5C7436"/>
    <w:rsid w:val="3B5D3155"/>
    <w:rsid w:val="3B612F7F"/>
    <w:rsid w:val="3B675424"/>
    <w:rsid w:val="3B6B3057"/>
    <w:rsid w:val="3B6C2834"/>
    <w:rsid w:val="3B6C2FE8"/>
    <w:rsid w:val="3B6C3370"/>
    <w:rsid w:val="3B6E7DD7"/>
    <w:rsid w:val="3B6F389F"/>
    <w:rsid w:val="3B742F19"/>
    <w:rsid w:val="3B746A17"/>
    <w:rsid w:val="3B792769"/>
    <w:rsid w:val="3B7C29F2"/>
    <w:rsid w:val="3B7C4551"/>
    <w:rsid w:val="3B7F3944"/>
    <w:rsid w:val="3B800BCA"/>
    <w:rsid w:val="3B84446E"/>
    <w:rsid w:val="3B846F48"/>
    <w:rsid w:val="3B86115F"/>
    <w:rsid w:val="3B87164A"/>
    <w:rsid w:val="3B8B7147"/>
    <w:rsid w:val="3B901BCE"/>
    <w:rsid w:val="3B9052B1"/>
    <w:rsid w:val="3B9107A3"/>
    <w:rsid w:val="3B9329C1"/>
    <w:rsid w:val="3B933920"/>
    <w:rsid w:val="3B992B43"/>
    <w:rsid w:val="3B9A67E4"/>
    <w:rsid w:val="3B9D494C"/>
    <w:rsid w:val="3B9E672A"/>
    <w:rsid w:val="3B9F6510"/>
    <w:rsid w:val="3BA0612C"/>
    <w:rsid w:val="3BA369A6"/>
    <w:rsid w:val="3BA82E68"/>
    <w:rsid w:val="3BA85450"/>
    <w:rsid w:val="3BAA6962"/>
    <w:rsid w:val="3BAE6048"/>
    <w:rsid w:val="3BB55DB1"/>
    <w:rsid w:val="3BBD7B3A"/>
    <w:rsid w:val="3BBE3EE4"/>
    <w:rsid w:val="3BBF32D6"/>
    <w:rsid w:val="3BC31A07"/>
    <w:rsid w:val="3BC62E31"/>
    <w:rsid w:val="3BC63CA9"/>
    <w:rsid w:val="3BCA2362"/>
    <w:rsid w:val="3BCA5903"/>
    <w:rsid w:val="3BCB4B27"/>
    <w:rsid w:val="3BCB57C2"/>
    <w:rsid w:val="3BCD235D"/>
    <w:rsid w:val="3BCD3735"/>
    <w:rsid w:val="3BCD790A"/>
    <w:rsid w:val="3BCF637A"/>
    <w:rsid w:val="3BD11AB3"/>
    <w:rsid w:val="3BD1361B"/>
    <w:rsid w:val="3BD335E3"/>
    <w:rsid w:val="3BD34B24"/>
    <w:rsid w:val="3BD45819"/>
    <w:rsid w:val="3BDB3319"/>
    <w:rsid w:val="3BDC59FF"/>
    <w:rsid w:val="3BDD4E2A"/>
    <w:rsid w:val="3BDE1396"/>
    <w:rsid w:val="3BE04BA8"/>
    <w:rsid w:val="3BE179B9"/>
    <w:rsid w:val="3BE215E8"/>
    <w:rsid w:val="3BE23CC9"/>
    <w:rsid w:val="3BE32F5D"/>
    <w:rsid w:val="3BE6576C"/>
    <w:rsid w:val="3BE7582E"/>
    <w:rsid w:val="3BE87BE8"/>
    <w:rsid w:val="3BE92F24"/>
    <w:rsid w:val="3BE9633D"/>
    <w:rsid w:val="3BEA1691"/>
    <w:rsid w:val="3BEB698B"/>
    <w:rsid w:val="3BEE287E"/>
    <w:rsid w:val="3BF03E78"/>
    <w:rsid w:val="3BF178F1"/>
    <w:rsid w:val="3BF208A6"/>
    <w:rsid w:val="3BF4752F"/>
    <w:rsid w:val="3BF73E98"/>
    <w:rsid w:val="3BF770E1"/>
    <w:rsid w:val="3BF93E20"/>
    <w:rsid w:val="3BFC08F7"/>
    <w:rsid w:val="3BFD569C"/>
    <w:rsid w:val="3BFD6228"/>
    <w:rsid w:val="3BFF38DF"/>
    <w:rsid w:val="3BFF3E52"/>
    <w:rsid w:val="3C0430B5"/>
    <w:rsid w:val="3C067395"/>
    <w:rsid w:val="3C0C179D"/>
    <w:rsid w:val="3C0F5BB4"/>
    <w:rsid w:val="3C11673C"/>
    <w:rsid w:val="3C123106"/>
    <w:rsid w:val="3C124CF4"/>
    <w:rsid w:val="3C140E0E"/>
    <w:rsid w:val="3C1542C2"/>
    <w:rsid w:val="3C1A67DC"/>
    <w:rsid w:val="3C1B089E"/>
    <w:rsid w:val="3C1F2129"/>
    <w:rsid w:val="3C2B5ABA"/>
    <w:rsid w:val="3C2D2C94"/>
    <w:rsid w:val="3C3062B3"/>
    <w:rsid w:val="3C335C3C"/>
    <w:rsid w:val="3C3A0A54"/>
    <w:rsid w:val="3C3B76F8"/>
    <w:rsid w:val="3C3C4BD8"/>
    <w:rsid w:val="3C3F69AE"/>
    <w:rsid w:val="3C422459"/>
    <w:rsid w:val="3C432E4C"/>
    <w:rsid w:val="3C495460"/>
    <w:rsid w:val="3C4A4ABE"/>
    <w:rsid w:val="3C535850"/>
    <w:rsid w:val="3C565C24"/>
    <w:rsid w:val="3C571E73"/>
    <w:rsid w:val="3C5B3366"/>
    <w:rsid w:val="3C65720A"/>
    <w:rsid w:val="3C661EED"/>
    <w:rsid w:val="3C664263"/>
    <w:rsid w:val="3C670E8B"/>
    <w:rsid w:val="3C690D74"/>
    <w:rsid w:val="3C6E7BEC"/>
    <w:rsid w:val="3C6F599A"/>
    <w:rsid w:val="3C707DD0"/>
    <w:rsid w:val="3C716A44"/>
    <w:rsid w:val="3C717C6C"/>
    <w:rsid w:val="3C732209"/>
    <w:rsid w:val="3C7369BF"/>
    <w:rsid w:val="3C742737"/>
    <w:rsid w:val="3C764BDE"/>
    <w:rsid w:val="3C7658B5"/>
    <w:rsid w:val="3C781E93"/>
    <w:rsid w:val="3C794F33"/>
    <w:rsid w:val="3C7A08B8"/>
    <w:rsid w:val="3C7A2FEC"/>
    <w:rsid w:val="3C7B5CC7"/>
    <w:rsid w:val="3C7D3DAF"/>
    <w:rsid w:val="3C7F65D7"/>
    <w:rsid w:val="3C8245F8"/>
    <w:rsid w:val="3C8857B5"/>
    <w:rsid w:val="3C8B5A78"/>
    <w:rsid w:val="3C8E255B"/>
    <w:rsid w:val="3C946E1D"/>
    <w:rsid w:val="3C950110"/>
    <w:rsid w:val="3C960D20"/>
    <w:rsid w:val="3C97159A"/>
    <w:rsid w:val="3C9A09D7"/>
    <w:rsid w:val="3C9B5522"/>
    <w:rsid w:val="3C9F764D"/>
    <w:rsid w:val="3CA04999"/>
    <w:rsid w:val="3CA14437"/>
    <w:rsid w:val="3CA223F9"/>
    <w:rsid w:val="3CA3631D"/>
    <w:rsid w:val="3CA60EA9"/>
    <w:rsid w:val="3CA75308"/>
    <w:rsid w:val="3CA849CF"/>
    <w:rsid w:val="3CAD4166"/>
    <w:rsid w:val="3CB366F9"/>
    <w:rsid w:val="3CB53C77"/>
    <w:rsid w:val="3CB85DAE"/>
    <w:rsid w:val="3CBF1CDC"/>
    <w:rsid w:val="3CC01BFE"/>
    <w:rsid w:val="3CC04938"/>
    <w:rsid w:val="3CC060F6"/>
    <w:rsid w:val="3CC27A66"/>
    <w:rsid w:val="3CC55BC3"/>
    <w:rsid w:val="3CC857CD"/>
    <w:rsid w:val="3CCA2FED"/>
    <w:rsid w:val="3CCD391F"/>
    <w:rsid w:val="3CCF2615"/>
    <w:rsid w:val="3CD14BB1"/>
    <w:rsid w:val="3CD236A7"/>
    <w:rsid w:val="3CD46174"/>
    <w:rsid w:val="3CD90EE0"/>
    <w:rsid w:val="3CDA3578"/>
    <w:rsid w:val="3CDC28D8"/>
    <w:rsid w:val="3CDE407F"/>
    <w:rsid w:val="3CE1264C"/>
    <w:rsid w:val="3CE2680D"/>
    <w:rsid w:val="3CE376AC"/>
    <w:rsid w:val="3CE533DA"/>
    <w:rsid w:val="3CE607EA"/>
    <w:rsid w:val="3CE63570"/>
    <w:rsid w:val="3CE7760B"/>
    <w:rsid w:val="3CE913F4"/>
    <w:rsid w:val="3CEB0A61"/>
    <w:rsid w:val="3CEB135C"/>
    <w:rsid w:val="3CEB6BA4"/>
    <w:rsid w:val="3CEC5EEB"/>
    <w:rsid w:val="3CED4551"/>
    <w:rsid w:val="3CF05E26"/>
    <w:rsid w:val="3CF36A21"/>
    <w:rsid w:val="3CF6038D"/>
    <w:rsid w:val="3CF73FE9"/>
    <w:rsid w:val="3CF75B0F"/>
    <w:rsid w:val="3CF806EA"/>
    <w:rsid w:val="3CFA434B"/>
    <w:rsid w:val="3CFB1DD2"/>
    <w:rsid w:val="3CFE0851"/>
    <w:rsid w:val="3CFF0ECD"/>
    <w:rsid w:val="3CFF4B77"/>
    <w:rsid w:val="3D020690"/>
    <w:rsid w:val="3D036B64"/>
    <w:rsid w:val="3D06448B"/>
    <w:rsid w:val="3D07476D"/>
    <w:rsid w:val="3D0E6BA8"/>
    <w:rsid w:val="3D0F7CA5"/>
    <w:rsid w:val="3D100C05"/>
    <w:rsid w:val="3D175719"/>
    <w:rsid w:val="3D191A6A"/>
    <w:rsid w:val="3D192DFD"/>
    <w:rsid w:val="3D197558"/>
    <w:rsid w:val="3D1D0DF8"/>
    <w:rsid w:val="3D1D16E3"/>
    <w:rsid w:val="3D1E7373"/>
    <w:rsid w:val="3D204763"/>
    <w:rsid w:val="3D225EFB"/>
    <w:rsid w:val="3D2277E0"/>
    <w:rsid w:val="3D244210"/>
    <w:rsid w:val="3D254CE7"/>
    <w:rsid w:val="3D2E3666"/>
    <w:rsid w:val="3D39111B"/>
    <w:rsid w:val="3D3A192B"/>
    <w:rsid w:val="3D3C776A"/>
    <w:rsid w:val="3D3D1CE4"/>
    <w:rsid w:val="3D3D34D6"/>
    <w:rsid w:val="3D3E7677"/>
    <w:rsid w:val="3D41368D"/>
    <w:rsid w:val="3D474600"/>
    <w:rsid w:val="3D487CFD"/>
    <w:rsid w:val="3D494AB8"/>
    <w:rsid w:val="3D4A015D"/>
    <w:rsid w:val="3D4E2FDB"/>
    <w:rsid w:val="3D515BE4"/>
    <w:rsid w:val="3D544AA0"/>
    <w:rsid w:val="3D5663BE"/>
    <w:rsid w:val="3D567AFE"/>
    <w:rsid w:val="3D575415"/>
    <w:rsid w:val="3D5A1EA5"/>
    <w:rsid w:val="3D5D7415"/>
    <w:rsid w:val="3D5E556E"/>
    <w:rsid w:val="3D5F2755"/>
    <w:rsid w:val="3D5F3F0D"/>
    <w:rsid w:val="3D600C62"/>
    <w:rsid w:val="3D601BF4"/>
    <w:rsid w:val="3D6315C2"/>
    <w:rsid w:val="3D645A59"/>
    <w:rsid w:val="3D645F9E"/>
    <w:rsid w:val="3D664A9E"/>
    <w:rsid w:val="3D694E44"/>
    <w:rsid w:val="3D697DE5"/>
    <w:rsid w:val="3D6A58AF"/>
    <w:rsid w:val="3D6D6975"/>
    <w:rsid w:val="3D741F43"/>
    <w:rsid w:val="3D74577A"/>
    <w:rsid w:val="3D753672"/>
    <w:rsid w:val="3D784C19"/>
    <w:rsid w:val="3D790B53"/>
    <w:rsid w:val="3D7C0943"/>
    <w:rsid w:val="3D7C4A79"/>
    <w:rsid w:val="3D7E4C2C"/>
    <w:rsid w:val="3D832C05"/>
    <w:rsid w:val="3D850586"/>
    <w:rsid w:val="3D891C90"/>
    <w:rsid w:val="3D8A55DF"/>
    <w:rsid w:val="3D8E6C04"/>
    <w:rsid w:val="3D907FAC"/>
    <w:rsid w:val="3D9115C6"/>
    <w:rsid w:val="3D913562"/>
    <w:rsid w:val="3D913A94"/>
    <w:rsid w:val="3D9323A5"/>
    <w:rsid w:val="3D946774"/>
    <w:rsid w:val="3D951036"/>
    <w:rsid w:val="3D9741EA"/>
    <w:rsid w:val="3D9A3076"/>
    <w:rsid w:val="3D9C0FFD"/>
    <w:rsid w:val="3D9D295D"/>
    <w:rsid w:val="3D9F6700"/>
    <w:rsid w:val="3DA203EE"/>
    <w:rsid w:val="3DA22594"/>
    <w:rsid w:val="3DA4182A"/>
    <w:rsid w:val="3DA42345"/>
    <w:rsid w:val="3DA42E3E"/>
    <w:rsid w:val="3DA47B65"/>
    <w:rsid w:val="3DAA1C5F"/>
    <w:rsid w:val="3DAB0078"/>
    <w:rsid w:val="3DAF573F"/>
    <w:rsid w:val="3DB0611E"/>
    <w:rsid w:val="3DB22E0F"/>
    <w:rsid w:val="3DB42B17"/>
    <w:rsid w:val="3DB534B3"/>
    <w:rsid w:val="3DB60643"/>
    <w:rsid w:val="3DB83C99"/>
    <w:rsid w:val="3DBB413B"/>
    <w:rsid w:val="3DBD089E"/>
    <w:rsid w:val="3DBD1A04"/>
    <w:rsid w:val="3DC21C01"/>
    <w:rsid w:val="3DC2406A"/>
    <w:rsid w:val="3DC31725"/>
    <w:rsid w:val="3DC33C07"/>
    <w:rsid w:val="3DC364EC"/>
    <w:rsid w:val="3DC66AF5"/>
    <w:rsid w:val="3DC70D32"/>
    <w:rsid w:val="3DC737D5"/>
    <w:rsid w:val="3DC92B9E"/>
    <w:rsid w:val="3DC952E4"/>
    <w:rsid w:val="3DCE69C9"/>
    <w:rsid w:val="3DD0070B"/>
    <w:rsid w:val="3DD47E79"/>
    <w:rsid w:val="3DD63EAB"/>
    <w:rsid w:val="3DD70381"/>
    <w:rsid w:val="3DD87BC4"/>
    <w:rsid w:val="3DD94315"/>
    <w:rsid w:val="3DD97189"/>
    <w:rsid w:val="3DDA43A0"/>
    <w:rsid w:val="3DDC3489"/>
    <w:rsid w:val="3DDC38C3"/>
    <w:rsid w:val="3DE435F0"/>
    <w:rsid w:val="3DE70F3E"/>
    <w:rsid w:val="3DEA2147"/>
    <w:rsid w:val="3DEC051B"/>
    <w:rsid w:val="3DED21CB"/>
    <w:rsid w:val="3DF02DF6"/>
    <w:rsid w:val="3DF046B4"/>
    <w:rsid w:val="3DF13C21"/>
    <w:rsid w:val="3DF15EE8"/>
    <w:rsid w:val="3DF23E17"/>
    <w:rsid w:val="3DF467DA"/>
    <w:rsid w:val="3DF52C02"/>
    <w:rsid w:val="3DF554C2"/>
    <w:rsid w:val="3DF66598"/>
    <w:rsid w:val="3DF67FC6"/>
    <w:rsid w:val="3DF83BF6"/>
    <w:rsid w:val="3DF95672"/>
    <w:rsid w:val="3DFB5636"/>
    <w:rsid w:val="3E035C5E"/>
    <w:rsid w:val="3E045514"/>
    <w:rsid w:val="3E06467B"/>
    <w:rsid w:val="3E06674C"/>
    <w:rsid w:val="3E0944F2"/>
    <w:rsid w:val="3E0F0D34"/>
    <w:rsid w:val="3E0F48BE"/>
    <w:rsid w:val="3E142CCE"/>
    <w:rsid w:val="3E1C1E07"/>
    <w:rsid w:val="3E2134ED"/>
    <w:rsid w:val="3E22677B"/>
    <w:rsid w:val="3E244505"/>
    <w:rsid w:val="3E31022B"/>
    <w:rsid w:val="3E3204E4"/>
    <w:rsid w:val="3E336D1F"/>
    <w:rsid w:val="3E340616"/>
    <w:rsid w:val="3E35039B"/>
    <w:rsid w:val="3E354BAD"/>
    <w:rsid w:val="3E35703A"/>
    <w:rsid w:val="3E365B8E"/>
    <w:rsid w:val="3E3724E9"/>
    <w:rsid w:val="3E374318"/>
    <w:rsid w:val="3E38075D"/>
    <w:rsid w:val="3E3A4506"/>
    <w:rsid w:val="3E3C3FE2"/>
    <w:rsid w:val="3E4314B9"/>
    <w:rsid w:val="3E445F84"/>
    <w:rsid w:val="3E4562BB"/>
    <w:rsid w:val="3E470E1F"/>
    <w:rsid w:val="3E49052D"/>
    <w:rsid w:val="3E4B3025"/>
    <w:rsid w:val="3E4C2575"/>
    <w:rsid w:val="3E54035E"/>
    <w:rsid w:val="3E5534A6"/>
    <w:rsid w:val="3E5668B2"/>
    <w:rsid w:val="3E57198E"/>
    <w:rsid w:val="3E597182"/>
    <w:rsid w:val="3E633805"/>
    <w:rsid w:val="3E68075C"/>
    <w:rsid w:val="3E6A680E"/>
    <w:rsid w:val="3E720F95"/>
    <w:rsid w:val="3E742C68"/>
    <w:rsid w:val="3E751ECD"/>
    <w:rsid w:val="3E78233F"/>
    <w:rsid w:val="3E7A3FF6"/>
    <w:rsid w:val="3E7B069C"/>
    <w:rsid w:val="3E7C25FD"/>
    <w:rsid w:val="3E7D673C"/>
    <w:rsid w:val="3E8272D4"/>
    <w:rsid w:val="3E8A33DB"/>
    <w:rsid w:val="3E8A537A"/>
    <w:rsid w:val="3E8A53A6"/>
    <w:rsid w:val="3E8E4128"/>
    <w:rsid w:val="3E9067CE"/>
    <w:rsid w:val="3E916A9D"/>
    <w:rsid w:val="3E946807"/>
    <w:rsid w:val="3E95498C"/>
    <w:rsid w:val="3E967894"/>
    <w:rsid w:val="3E970352"/>
    <w:rsid w:val="3E976345"/>
    <w:rsid w:val="3E977815"/>
    <w:rsid w:val="3E9819DA"/>
    <w:rsid w:val="3E991268"/>
    <w:rsid w:val="3E9922F1"/>
    <w:rsid w:val="3E996EDD"/>
    <w:rsid w:val="3E9B70AB"/>
    <w:rsid w:val="3E9D590E"/>
    <w:rsid w:val="3E9F3F27"/>
    <w:rsid w:val="3E9F5BC6"/>
    <w:rsid w:val="3EA06BCA"/>
    <w:rsid w:val="3EA14E4B"/>
    <w:rsid w:val="3EA23EAA"/>
    <w:rsid w:val="3EA25915"/>
    <w:rsid w:val="3EA317B0"/>
    <w:rsid w:val="3EAD0832"/>
    <w:rsid w:val="3EAE5C16"/>
    <w:rsid w:val="3EAE6BAD"/>
    <w:rsid w:val="3EAF3C0B"/>
    <w:rsid w:val="3EB058C5"/>
    <w:rsid w:val="3EB42429"/>
    <w:rsid w:val="3EB43064"/>
    <w:rsid w:val="3EB46366"/>
    <w:rsid w:val="3EB65EBB"/>
    <w:rsid w:val="3EBC0210"/>
    <w:rsid w:val="3EBE42FC"/>
    <w:rsid w:val="3EBF05B7"/>
    <w:rsid w:val="3EC377DB"/>
    <w:rsid w:val="3EC563C3"/>
    <w:rsid w:val="3EC705ED"/>
    <w:rsid w:val="3EC81FD0"/>
    <w:rsid w:val="3EC87A39"/>
    <w:rsid w:val="3ECA63AA"/>
    <w:rsid w:val="3ED15D9F"/>
    <w:rsid w:val="3ED20A28"/>
    <w:rsid w:val="3ED577E8"/>
    <w:rsid w:val="3ED74367"/>
    <w:rsid w:val="3ED77EDC"/>
    <w:rsid w:val="3ED83CC0"/>
    <w:rsid w:val="3EDE2BD0"/>
    <w:rsid w:val="3EDF18B6"/>
    <w:rsid w:val="3EE00B86"/>
    <w:rsid w:val="3EE4198D"/>
    <w:rsid w:val="3EE56686"/>
    <w:rsid w:val="3EED77FB"/>
    <w:rsid w:val="3EEE70FF"/>
    <w:rsid w:val="3EF078B0"/>
    <w:rsid w:val="3EF44A67"/>
    <w:rsid w:val="3EF7547B"/>
    <w:rsid w:val="3EFB3FB3"/>
    <w:rsid w:val="3EFC4154"/>
    <w:rsid w:val="3EFC7493"/>
    <w:rsid w:val="3EFE170B"/>
    <w:rsid w:val="3EFE1FDB"/>
    <w:rsid w:val="3EFF52A1"/>
    <w:rsid w:val="3F023CE3"/>
    <w:rsid w:val="3F025F33"/>
    <w:rsid w:val="3F03357D"/>
    <w:rsid w:val="3F132748"/>
    <w:rsid w:val="3F1D188E"/>
    <w:rsid w:val="3F223222"/>
    <w:rsid w:val="3F2254BD"/>
    <w:rsid w:val="3F237950"/>
    <w:rsid w:val="3F2418A7"/>
    <w:rsid w:val="3F2726FD"/>
    <w:rsid w:val="3F275AED"/>
    <w:rsid w:val="3F275F2C"/>
    <w:rsid w:val="3F2B648E"/>
    <w:rsid w:val="3F2C0A7B"/>
    <w:rsid w:val="3F2F6E3F"/>
    <w:rsid w:val="3F331600"/>
    <w:rsid w:val="3F352C1B"/>
    <w:rsid w:val="3F3555EB"/>
    <w:rsid w:val="3F356FFA"/>
    <w:rsid w:val="3F385600"/>
    <w:rsid w:val="3F3C12AC"/>
    <w:rsid w:val="3F3D02BB"/>
    <w:rsid w:val="3F41049C"/>
    <w:rsid w:val="3F4248B1"/>
    <w:rsid w:val="3F4416D5"/>
    <w:rsid w:val="3F455C51"/>
    <w:rsid w:val="3F4B1959"/>
    <w:rsid w:val="3F4F2C6E"/>
    <w:rsid w:val="3F50499D"/>
    <w:rsid w:val="3F5150C3"/>
    <w:rsid w:val="3F531382"/>
    <w:rsid w:val="3F532B8E"/>
    <w:rsid w:val="3F54723B"/>
    <w:rsid w:val="3F551D4E"/>
    <w:rsid w:val="3F560EFF"/>
    <w:rsid w:val="3F576588"/>
    <w:rsid w:val="3F592117"/>
    <w:rsid w:val="3F5936C3"/>
    <w:rsid w:val="3F593C0C"/>
    <w:rsid w:val="3F5C0D67"/>
    <w:rsid w:val="3F5D71D2"/>
    <w:rsid w:val="3F610A8F"/>
    <w:rsid w:val="3F612674"/>
    <w:rsid w:val="3F6156B2"/>
    <w:rsid w:val="3F620FE1"/>
    <w:rsid w:val="3F635A34"/>
    <w:rsid w:val="3F64019C"/>
    <w:rsid w:val="3F6512AE"/>
    <w:rsid w:val="3F666C80"/>
    <w:rsid w:val="3F667E7E"/>
    <w:rsid w:val="3F68778A"/>
    <w:rsid w:val="3F694C15"/>
    <w:rsid w:val="3F701D6F"/>
    <w:rsid w:val="3F70214F"/>
    <w:rsid w:val="3F7A2500"/>
    <w:rsid w:val="3F7A7972"/>
    <w:rsid w:val="3F7A7FB9"/>
    <w:rsid w:val="3F7D3B80"/>
    <w:rsid w:val="3F7E6FB2"/>
    <w:rsid w:val="3F8233CC"/>
    <w:rsid w:val="3F823776"/>
    <w:rsid w:val="3F834CFE"/>
    <w:rsid w:val="3F88157D"/>
    <w:rsid w:val="3F8D2D82"/>
    <w:rsid w:val="3F8D56A5"/>
    <w:rsid w:val="3F925EC5"/>
    <w:rsid w:val="3F927E69"/>
    <w:rsid w:val="3F93368C"/>
    <w:rsid w:val="3F995744"/>
    <w:rsid w:val="3F9D3EF3"/>
    <w:rsid w:val="3F9F271B"/>
    <w:rsid w:val="3F9F3834"/>
    <w:rsid w:val="3FA0760B"/>
    <w:rsid w:val="3FA12D23"/>
    <w:rsid w:val="3FA52ED2"/>
    <w:rsid w:val="3FA52F25"/>
    <w:rsid w:val="3FA56F32"/>
    <w:rsid w:val="3FA62BBA"/>
    <w:rsid w:val="3FA9040A"/>
    <w:rsid w:val="3FA977B0"/>
    <w:rsid w:val="3FAA1E6F"/>
    <w:rsid w:val="3FAC6431"/>
    <w:rsid w:val="3FAD7C87"/>
    <w:rsid w:val="3FB2125A"/>
    <w:rsid w:val="3FB23A51"/>
    <w:rsid w:val="3FB2622A"/>
    <w:rsid w:val="3FB270A3"/>
    <w:rsid w:val="3FB603A4"/>
    <w:rsid w:val="3FB86B84"/>
    <w:rsid w:val="3FB93ECB"/>
    <w:rsid w:val="3FBC0441"/>
    <w:rsid w:val="3FBC5B51"/>
    <w:rsid w:val="3FBE0C37"/>
    <w:rsid w:val="3FC024F4"/>
    <w:rsid w:val="3FC04A19"/>
    <w:rsid w:val="3FC656D3"/>
    <w:rsid w:val="3FC94D29"/>
    <w:rsid w:val="3FCA69F1"/>
    <w:rsid w:val="3FCC0EB2"/>
    <w:rsid w:val="3FCE45FA"/>
    <w:rsid w:val="3FCF3DA4"/>
    <w:rsid w:val="3FD51F87"/>
    <w:rsid w:val="3FD84880"/>
    <w:rsid w:val="3FD93368"/>
    <w:rsid w:val="3FDB65E7"/>
    <w:rsid w:val="3FDC3051"/>
    <w:rsid w:val="3FDD3703"/>
    <w:rsid w:val="3FE12DDF"/>
    <w:rsid w:val="3FE37227"/>
    <w:rsid w:val="3FE551BD"/>
    <w:rsid w:val="3FE67960"/>
    <w:rsid w:val="3FE74A81"/>
    <w:rsid w:val="3FE7534B"/>
    <w:rsid w:val="3FE779E4"/>
    <w:rsid w:val="3FE85C54"/>
    <w:rsid w:val="3FEA0EB9"/>
    <w:rsid w:val="3FED667E"/>
    <w:rsid w:val="3FF023AA"/>
    <w:rsid w:val="3FF06FA0"/>
    <w:rsid w:val="3FF10882"/>
    <w:rsid w:val="3FF60CA1"/>
    <w:rsid w:val="3FF94FAF"/>
    <w:rsid w:val="3FFB5448"/>
    <w:rsid w:val="3FFB65B8"/>
    <w:rsid w:val="3FFC5BDE"/>
    <w:rsid w:val="3FFF5EF9"/>
    <w:rsid w:val="400045B2"/>
    <w:rsid w:val="40004BCE"/>
    <w:rsid w:val="40026123"/>
    <w:rsid w:val="40031AEE"/>
    <w:rsid w:val="40047FBE"/>
    <w:rsid w:val="400A3B01"/>
    <w:rsid w:val="400C71AA"/>
    <w:rsid w:val="400D16BC"/>
    <w:rsid w:val="40115379"/>
    <w:rsid w:val="401D732F"/>
    <w:rsid w:val="401E40F5"/>
    <w:rsid w:val="401F1F2D"/>
    <w:rsid w:val="4021269B"/>
    <w:rsid w:val="402378E8"/>
    <w:rsid w:val="402A4D60"/>
    <w:rsid w:val="402A67CB"/>
    <w:rsid w:val="402B3B10"/>
    <w:rsid w:val="402C30CE"/>
    <w:rsid w:val="40342615"/>
    <w:rsid w:val="40370F27"/>
    <w:rsid w:val="40373F02"/>
    <w:rsid w:val="403C0175"/>
    <w:rsid w:val="4041301F"/>
    <w:rsid w:val="40441DC9"/>
    <w:rsid w:val="404424FE"/>
    <w:rsid w:val="4044526B"/>
    <w:rsid w:val="40461684"/>
    <w:rsid w:val="40493479"/>
    <w:rsid w:val="404B4585"/>
    <w:rsid w:val="404B63F0"/>
    <w:rsid w:val="404E5B8B"/>
    <w:rsid w:val="4051347F"/>
    <w:rsid w:val="40543303"/>
    <w:rsid w:val="40576C25"/>
    <w:rsid w:val="40597026"/>
    <w:rsid w:val="405B2F9E"/>
    <w:rsid w:val="405B42BC"/>
    <w:rsid w:val="405C59BA"/>
    <w:rsid w:val="40610FCA"/>
    <w:rsid w:val="406442D1"/>
    <w:rsid w:val="406608E0"/>
    <w:rsid w:val="40694322"/>
    <w:rsid w:val="406A54C0"/>
    <w:rsid w:val="406A7B9C"/>
    <w:rsid w:val="406B4545"/>
    <w:rsid w:val="406B57B3"/>
    <w:rsid w:val="406F07D5"/>
    <w:rsid w:val="407043A1"/>
    <w:rsid w:val="4072605A"/>
    <w:rsid w:val="407447B1"/>
    <w:rsid w:val="407A652F"/>
    <w:rsid w:val="40803181"/>
    <w:rsid w:val="40865FB2"/>
    <w:rsid w:val="40870CDF"/>
    <w:rsid w:val="408A2240"/>
    <w:rsid w:val="408A77FA"/>
    <w:rsid w:val="408C2575"/>
    <w:rsid w:val="408D3FA2"/>
    <w:rsid w:val="40906823"/>
    <w:rsid w:val="409424E6"/>
    <w:rsid w:val="40944F69"/>
    <w:rsid w:val="409560C8"/>
    <w:rsid w:val="409C310A"/>
    <w:rsid w:val="40A80074"/>
    <w:rsid w:val="40AB6B7D"/>
    <w:rsid w:val="40AC56C1"/>
    <w:rsid w:val="40AD47CB"/>
    <w:rsid w:val="40B105B2"/>
    <w:rsid w:val="40B23BC3"/>
    <w:rsid w:val="40B242EE"/>
    <w:rsid w:val="40B27485"/>
    <w:rsid w:val="40B65455"/>
    <w:rsid w:val="40B7228E"/>
    <w:rsid w:val="40B81F67"/>
    <w:rsid w:val="40BA5842"/>
    <w:rsid w:val="40BB458C"/>
    <w:rsid w:val="40BF2DA1"/>
    <w:rsid w:val="40BF7E88"/>
    <w:rsid w:val="40C042D5"/>
    <w:rsid w:val="40C264B7"/>
    <w:rsid w:val="40C32C2A"/>
    <w:rsid w:val="40C520ED"/>
    <w:rsid w:val="40C855D9"/>
    <w:rsid w:val="40CD7C68"/>
    <w:rsid w:val="40CE5BEF"/>
    <w:rsid w:val="40CF12A7"/>
    <w:rsid w:val="40CF2B5D"/>
    <w:rsid w:val="40CF301C"/>
    <w:rsid w:val="40D11265"/>
    <w:rsid w:val="40D1719E"/>
    <w:rsid w:val="40D65E1C"/>
    <w:rsid w:val="40D74FBC"/>
    <w:rsid w:val="40D76C79"/>
    <w:rsid w:val="40D82C75"/>
    <w:rsid w:val="40DB0B9F"/>
    <w:rsid w:val="40DB137B"/>
    <w:rsid w:val="40DB6DC4"/>
    <w:rsid w:val="40DC31E8"/>
    <w:rsid w:val="40DD1E2C"/>
    <w:rsid w:val="40DD44CC"/>
    <w:rsid w:val="40E36881"/>
    <w:rsid w:val="40E75332"/>
    <w:rsid w:val="40E774F2"/>
    <w:rsid w:val="40E9226F"/>
    <w:rsid w:val="40EC6F21"/>
    <w:rsid w:val="40EC7C79"/>
    <w:rsid w:val="40ED62E7"/>
    <w:rsid w:val="40F2711A"/>
    <w:rsid w:val="40F567B2"/>
    <w:rsid w:val="40F849A8"/>
    <w:rsid w:val="40F91CC9"/>
    <w:rsid w:val="40FB0584"/>
    <w:rsid w:val="40FC3F5D"/>
    <w:rsid w:val="41033AA7"/>
    <w:rsid w:val="41043D36"/>
    <w:rsid w:val="4104565E"/>
    <w:rsid w:val="41052393"/>
    <w:rsid w:val="41054EA3"/>
    <w:rsid w:val="41060450"/>
    <w:rsid w:val="4107344E"/>
    <w:rsid w:val="410B2B50"/>
    <w:rsid w:val="410C5924"/>
    <w:rsid w:val="410F54D6"/>
    <w:rsid w:val="41101D9A"/>
    <w:rsid w:val="411733A9"/>
    <w:rsid w:val="411A556D"/>
    <w:rsid w:val="411B2C10"/>
    <w:rsid w:val="411E35F6"/>
    <w:rsid w:val="41200023"/>
    <w:rsid w:val="41201C77"/>
    <w:rsid w:val="41236456"/>
    <w:rsid w:val="412626B7"/>
    <w:rsid w:val="4126413C"/>
    <w:rsid w:val="4127388A"/>
    <w:rsid w:val="412B7579"/>
    <w:rsid w:val="412F0DDD"/>
    <w:rsid w:val="413018DD"/>
    <w:rsid w:val="4130358D"/>
    <w:rsid w:val="413162B2"/>
    <w:rsid w:val="41346A90"/>
    <w:rsid w:val="4137250E"/>
    <w:rsid w:val="41375D9D"/>
    <w:rsid w:val="413B2690"/>
    <w:rsid w:val="413B423B"/>
    <w:rsid w:val="413D207D"/>
    <w:rsid w:val="413E65FF"/>
    <w:rsid w:val="41403097"/>
    <w:rsid w:val="414077B1"/>
    <w:rsid w:val="41410992"/>
    <w:rsid w:val="414430F4"/>
    <w:rsid w:val="41452C33"/>
    <w:rsid w:val="4145553C"/>
    <w:rsid w:val="41465A0C"/>
    <w:rsid w:val="414804BD"/>
    <w:rsid w:val="41497DC2"/>
    <w:rsid w:val="414E124D"/>
    <w:rsid w:val="414F45D3"/>
    <w:rsid w:val="41507B45"/>
    <w:rsid w:val="41584F5F"/>
    <w:rsid w:val="415B2DBB"/>
    <w:rsid w:val="415C4871"/>
    <w:rsid w:val="415D180D"/>
    <w:rsid w:val="415E3006"/>
    <w:rsid w:val="415E7A7F"/>
    <w:rsid w:val="41604998"/>
    <w:rsid w:val="416B2429"/>
    <w:rsid w:val="416B730A"/>
    <w:rsid w:val="416E1C55"/>
    <w:rsid w:val="416F1A07"/>
    <w:rsid w:val="416F32C0"/>
    <w:rsid w:val="4172680E"/>
    <w:rsid w:val="417324D0"/>
    <w:rsid w:val="4174364C"/>
    <w:rsid w:val="41780BD0"/>
    <w:rsid w:val="41787E98"/>
    <w:rsid w:val="41797C42"/>
    <w:rsid w:val="417C79CE"/>
    <w:rsid w:val="417D7B45"/>
    <w:rsid w:val="41806976"/>
    <w:rsid w:val="4182718D"/>
    <w:rsid w:val="41851198"/>
    <w:rsid w:val="41870F38"/>
    <w:rsid w:val="41874439"/>
    <w:rsid w:val="4187454A"/>
    <w:rsid w:val="418C5988"/>
    <w:rsid w:val="418F151E"/>
    <w:rsid w:val="41904A75"/>
    <w:rsid w:val="4193757C"/>
    <w:rsid w:val="41941D02"/>
    <w:rsid w:val="41944AEA"/>
    <w:rsid w:val="41951B23"/>
    <w:rsid w:val="419B3A69"/>
    <w:rsid w:val="419C2A72"/>
    <w:rsid w:val="419E50D8"/>
    <w:rsid w:val="419F2AF6"/>
    <w:rsid w:val="41A36FC7"/>
    <w:rsid w:val="41A45523"/>
    <w:rsid w:val="41A857FC"/>
    <w:rsid w:val="41A9592F"/>
    <w:rsid w:val="41B222A4"/>
    <w:rsid w:val="41B25855"/>
    <w:rsid w:val="41B27B3B"/>
    <w:rsid w:val="41B664B4"/>
    <w:rsid w:val="41B82AD7"/>
    <w:rsid w:val="41B83FC5"/>
    <w:rsid w:val="41BB0AFC"/>
    <w:rsid w:val="41BC3C6A"/>
    <w:rsid w:val="41C14EBC"/>
    <w:rsid w:val="41C178F8"/>
    <w:rsid w:val="41C52633"/>
    <w:rsid w:val="41C61957"/>
    <w:rsid w:val="41C622AD"/>
    <w:rsid w:val="41C97213"/>
    <w:rsid w:val="41CC1571"/>
    <w:rsid w:val="41CC7CCF"/>
    <w:rsid w:val="41CD35C2"/>
    <w:rsid w:val="41D11EDD"/>
    <w:rsid w:val="41D53617"/>
    <w:rsid w:val="41D543AD"/>
    <w:rsid w:val="41D65CE8"/>
    <w:rsid w:val="41D8000A"/>
    <w:rsid w:val="41DB28C2"/>
    <w:rsid w:val="41DC0F94"/>
    <w:rsid w:val="41DD4CA5"/>
    <w:rsid w:val="41DD75D3"/>
    <w:rsid w:val="41E03E76"/>
    <w:rsid w:val="41E20189"/>
    <w:rsid w:val="41E432EB"/>
    <w:rsid w:val="41E84702"/>
    <w:rsid w:val="41EA68F9"/>
    <w:rsid w:val="41EE4357"/>
    <w:rsid w:val="41EE764A"/>
    <w:rsid w:val="41EE7D8D"/>
    <w:rsid w:val="41F44D5A"/>
    <w:rsid w:val="41F5621D"/>
    <w:rsid w:val="41F96B63"/>
    <w:rsid w:val="41FD14C6"/>
    <w:rsid w:val="41FE1488"/>
    <w:rsid w:val="42004360"/>
    <w:rsid w:val="42051E29"/>
    <w:rsid w:val="420672EE"/>
    <w:rsid w:val="42073DF3"/>
    <w:rsid w:val="420976B6"/>
    <w:rsid w:val="420A069D"/>
    <w:rsid w:val="420D1974"/>
    <w:rsid w:val="420D6DB7"/>
    <w:rsid w:val="420E4C53"/>
    <w:rsid w:val="420F525D"/>
    <w:rsid w:val="42112B5F"/>
    <w:rsid w:val="42146989"/>
    <w:rsid w:val="421502BE"/>
    <w:rsid w:val="421F113C"/>
    <w:rsid w:val="42231FA5"/>
    <w:rsid w:val="422378DD"/>
    <w:rsid w:val="422778C2"/>
    <w:rsid w:val="422B529A"/>
    <w:rsid w:val="422C03E5"/>
    <w:rsid w:val="422E0330"/>
    <w:rsid w:val="422E6CCA"/>
    <w:rsid w:val="422F11A5"/>
    <w:rsid w:val="42323E37"/>
    <w:rsid w:val="4238500F"/>
    <w:rsid w:val="423A694D"/>
    <w:rsid w:val="423B5C5D"/>
    <w:rsid w:val="423F63BA"/>
    <w:rsid w:val="424377F7"/>
    <w:rsid w:val="4244112A"/>
    <w:rsid w:val="424704CC"/>
    <w:rsid w:val="42481CBE"/>
    <w:rsid w:val="42487B32"/>
    <w:rsid w:val="424A2700"/>
    <w:rsid w:val="424B3EC0"/>
    <w:rsid w:val="424C08B0"/>
    <w:rsid w:val="42516AAC"/>
    <w:rsid w:val="425573E9"/>
    <w:rsid w:val="425C3A25"/>
    <w:rsid w:val="426056FB"/>
    <w:rsid w:val="42630DBC"/>
    <w:rsid w:val="42652492"/>
    <w:rsid w:val="42671096"/>
    <w:rsid w:val="426816AB"/>
    <w:rsid w:val="426B3D2C"/>
    <w:rsid w:val="426B43E0"/>
    <w:rsid w:val="426C7777"/>
    <w:rsid w:val="426E2A74"/>
    <w:rsid w:val="4276524E"/>
    <w:rsid w:val="42795178"/>
    <w:rsid w:val="427A5575"/>
    <w:rsid w:val="427D7C71"/>
    <w:rsid w:val="428216CB"/>
    <w:rsid w:val="4283761A"/>
    <w:rsid w:val="42840176"/>
    <w:rsid w:val="428444CD"/>
    <w:rsid w:val="42860DA7"/>
    <w:rsid w:val="42863C20"/>
    <w:rsid w:val="428A5E61"/>
    <w:rsid w:val="428B0102"/>
    <w:rsid w:val="428C3682"/>
    <w:rsid w:val="428C471D"/>
    <w:rsid w:val="428F0AA1"/>
    <w:rsid w:val="42902FCC"/>
    <w:rsid w:val="429276B0"/>
    <w:rsid w:val="42947A86"/>
    <w:rsid w:val="429509FF"/>
    <w:rsid w:val="429A2AF9"/>
    <w:rsid w:val="429F16B4"/>
    <w:rsid w:val="429F3234"/>
    <w:rsid w:val="429F4DF2"/>
    <w:rsid w:val="42A1469D"/>
    <w:rsid w:val="42A26070"/>
    <w:rsid w:val="42A26ABB"/>
    <w:rsid w:val="42A40163"/>
    <w:rsid w:val="42A70DB2"/>
    <w:rsid w:val="42AC13EB"/>
    <w:rsid w:val="42B205FB"/>
    <w:rsid w:val="42B2512D"/>
    <w:rsid w:val="42B47F99"/>
    <w:rsid w:val="42B657CD"/>
    <w:rsid w:val="42B82BB6"/>
    <w:rsid w:val="42BB4DC4"/>
    <w:rsid w:val="42BC135C"/>
    <w:rsid w:val="42BC1682"/>
    <w:rsid w:val="42BD2F8E"/>
    <w:rsid w:val="42BE662A"/>
    <w:rsid w:val="42BF76B3"/>
    <w:rsid w:val="42C0278A"/>
    <w:rsid w:val="42C71E65"/>
    <w:rsid w:val="42C85DE2"/>
    <w:rsid w:val="42C86373"/>
    <w:rsid w:val="42CB11D8"/>
    <w:rsid w:val="42D05A52"/>
    <w:rsid w:val="42D24B42"/>
    <w:rsid w:val="42D37EC0"/>
    <w:rsid w:val="42D4601F"/>
    <w:rsid w:val="42D55942"/>
    <w:rsid w:val="42D97796"/>
    <w:rsid w:val="42DD10DB"/>
    <w:rsid w:val="42E163F2"/>
    <w:rsid w:val="42E17CD5"/>
    <w:rsid w:val="42E3312C"/>
    <w:rsid w:val="42E82562"/>
    <w:rsid w:val="42EC0CFA"/>
    <w:rsid w:val="42ED58A1"/>
    <w:rsid w:val="42F000DE"/>
    <w:rsid w:val="42F02820"/>
    <w:rsid w:val="42F74BD5"/>
    <w:rsid w:val="42F96F0C"/>
    <w:rsid w:val="42FC2EDF"/>
    <w:rsid w:val="42FE311D"/>
    <w:rsid w:val="43021D73"/>
    <w:rsid w:val="43035411"/>
    <w:rsid w:val="43040956"/>
    <w:rsid w:val="430530ED"/>
    <w:rsid w:val="43071DE8"/>
    <w:rsid w:val="430B3F96"/>
    <w:rsid w:val="430C5CBF"/>
    <w:rsid w:val="430E4C34"/>
    <w:rsid w:val="430F0F34"/>
    <w:rsid w:val="43153B0B"/>
    <w:rsid w:val="4317157F"/>
    <w:rsid w:val="43172D44"/>
    <w:rsid w:val="4317390B"/>
    <w:rsid w:val="43181664"/>
    <w:rsid w:val="43186011"/>
    <w:rsid w:val="43196650"/>
    <w:rsid w:val="431A2D34"/>
    <w:rsid w:val="431A6A96"/>
    <w:rsid w:val="431F4F72"/>
    <w:rsid w:val="43201ABE"/>
    <w:rsid w:val="43240210"/>
    <w:rsid w:val="43261123"/>
    <w:rsid w:val="43263AB0"/>
    <w:rsid w:val="432A27BB"/>
    <w:rsid w:val="432A578E"/>
    <w:rsid w:val="433014C0"/>
    <w:rsid w:val="43305D4D"/>
    <w:rsid w:val="4331499C"/>
    <w:rsid w:val="433618DD"/>
    <w:rsid w:val="433815E8"/>
    <w:rsid w:val="43390879"/>
    <w:rsid w:val="433967DF"/>
    <w:rsid w:val="433B264B"/>
    <w:rsid w:val="433C18D9"/>
    <w:rsid w:val="43402F10"/>
    <w:rsid w:val="43410FEF"/>
    <w:rsid w:val="4341287C"/>
    <w:rsid w:val="434163C5"/>
    <w:rsid w:val="4344554F"/>
    <w:rsid w:val="4346094B"/>
    <w:rsid w:val="43473BBA"/>
    <w:rsid w:val="43477A73"/>
    <w:rsid w:val="43486471"/>
    <w:rsid w:val="434A1765"/>
    <w:rsid w:val="434A3D2B"/>
    <w:rsid w:val="434E2B40"/>
    <w:rsid w:val="434E37E8"/>
    <w:rsid w:val="4352099A"/>
    <w:rsid w:val="43533934"/>
    <w:rsid w:val="43574789"/>
    <w:rsid w:val="435D27A0"/>
    <w:rsid w:val="435E7F48"/>
    <w:rsid w:val="436736C5"/>
    <w:rsid w:val="4369214B"/>
    <w:rsid w:val="4369720D"/>
    <w:rsid w:val="436C7E02"/>
    <w:rsid w:val="437242EA"/>
    <w:rsid w:val="4373072B"/>
    <w:rsid w:val="43741BB6"/>
    <w:rsid w:val="43782F3C"/>
    <w:rsid w:val="437C1BA5"/>
    <w:rsid w:val="43802F97"/>
    <w:rsid w:val="43843C84"/>
    <w:rsid w:val="4385437D"/>
    <w:rsid w:val="43855F80"/>
    <w:rsid w:val="43880845"/>
    <w:rsid w:val="438E13C0"/>
    <w:rsid w:val="439052B1"/>
    <w:rsid w:val="43913BC9"/>
    <w:rsid w:val="4391775E"/>
    <w:rsid w:val="43920201"/>
    <w:rsid w:val="43932BC6"/>
    <w:rsid w:val="43961C17"/>
    <w:rsid w:val="43970889"/>
    <w:rsid w:val="43986676"/>
    <w:rsid w:val="439A3C93"/>
    <w:rsid w:val="439A7F3B"/>
    <w:rsid w:val="439B2ECC"/>
    <w:rsid w:val="439E77D9"/>
    <w:rsid w:val="43A102DA"/>
    <w:rsid w:val="43A35DE5"/>
    <w:rsid w:val="43A86ABB"/>
    <w:rsid w:val="43AA7D42"/>
    <w:rsid w:val="43AB01C1"/>
    <w:rsid w:val="43AC6081"/>
    <w:rsid w:val="43AD10FA"/>
    <w:rsid w:val="43B10086"/>
    <w:rsid w:val="43B1682F"/>
    <w:rsid w:val="43B429A3"/>
    <w:rsid w:val="43B47335"/>
    <w:rsid w:val="43BA4F41"/>
    <w:rsid w:val="43BB1811"/>
    <w:rsid w:val="43BC31A3"/>
    <w:rsid w:val="43BC4811"/>
    <w:rsid w:val="43BC7865"/>
    <w:rsid w:val="43BF4844"/>
    <w:rsid w:val="43C22C91"/>
    <w:rsid w:val="43C27A57"/>
    <w:rsid w:val="43C401ED"/>
    <w:rsid w:val="43C83EB7"/>
    <w:rsid w:val="43C86BEF"/>
    <w:rsid w:val="43C91BF8"/>
    <w:rsid w:val="43CC5B54"/>
    <w:rsid w:val="43CE0EA0"/>
    <w:rsid w:val="43CE1B47"/>
    <w:rsid w:val="43CF4CC0"/>
    <w:rsid w:val="43D11F59"/>
    <w:rsid w:val="43D42A3B"/>
    <w:rsid w:val="43D51987"/>
    <w:rsid w:val="43D828CB"/>
    <w:rsid w:val="43D90907"/>
    <w:rsid w:val="43D96031"/>
    <w:rsid w:val="43DA54A3"/>
    <w:rsid w:val="43DB1B29"/>
    <w:rsid w:val="43DD4159"/>
    <w:rsid w:val="43DE0B83"/>
    <w:rsid w:val="43E16603"/>
    <w:rsid w:val="43E8438B"/>
    <w:rsid w:val="43E91A02"/>
    <w:rsid w:val="43EA41F5"/>
    <w:rsid w:val="43ED108E"/>
    <w:rsid w:val="43ED6D14"/>
    <w:rsid w:val="43F509BB"/>
    <w:rsid w:val="43F70A8E"/>
    <w:rsid w:val="43F912DF"/>
    <w:rsid w:val="43F95BE1"/>
    <w:rsid w:val="43FA0205"/>
    <w:rsid w:val="43FA3C69"/>
    <w:rsid w:val="43FA7271"/>
    <w:rsid w:val="440013F3"/>
    <w:rsid w:val="440041C6"/>
    <w:rsid w:val="44011DF9"/>
    <w:rsid w:val="4401215F"/>
    <w:rsid w:val="4401490A"/>
    <w:rsid w:val="44015709"/>
    <w:rsid w:val="44024BFF"/>
    <w:rsid w:val="440540B9"/>
    <w:rsid w:val="44055DF7"/>
    <w:rsid w:val="44090E04"/>
    <w:rsid w:val="44095180"/>
    <w:rsid w:val="440A1686"/>
    <w:rsid w:val="440B152D"/>
    <w:rsid w:val="44104331"/>
    <w:rsid w:val="441400E2"/>
    <w:rsid w:val="44161EFA"/>
    <w:rsid w:val="4417074E"/>
    <w:rsid w:val="44226A4C"/>
    <w:rsid w:val="44232E3B"/>
    <w:rsid w:val="44234B16"/>
    <w:rsid w:val="44240255"/>
    <w:rsid w:val="442411CD"/>
    <w:rsid w:val="44260FF2"/>
    <w:rsid w:val="44264043"/>
    <w:rsid w:val="442870EA"/>
    <w:rsid w:val="442A41B4"/>
    <w:rsid w:val="44322F15"/>
    <w:rsid w:val="44341CB2"/>
    <w:rsid w:val="443468E7"/>
    <w:rsid w:val="443621B9"/>
    <w:rsid w:val="443877E9"/>
    <w:rsid w:val="443B4531"/>
    <w:rsid w:val="443D0326"/>
    <w:rsid w:val="443F2746"/>
    <w:rsid w:val="4442581D"/>
    <w:rsid w:val="44431C66"/>
    <w:rsid w:val="44443372"/>
    <w:rsid w:val="44481399"/>
    <w:rsid w:val="444929F7"/>
    <w:rsid w:val="4449385B"/>
    <w:rsid w:val="444A5722"/>
    <w:rsid w:val="444C47AF"/>
    <w:rsid w:val="444D59BD"/>
    <w:rsid w:val="444E5E03"/>
    <w:rsid w:val="44503101"/>
    <w:rsid w:val="44527A59"/>
    <w:rsid w:val="44533D98"/>
    <w:rsid w:val="44554FD2"/>
    <w:rsid w:val="44597251"/>
    <w:rsid w:val="445C2AB5"/>
    <w:rsid w:val="445E3554"/>
    <w:rsid w:val="4463017D"/>
    <w:rsid w:val="44632F66"/>
    <w:rsid w:val="44657E37"/>
    <w:rsid w:val="44672F1A"/>
    <w:rsid w:val="446C4C90"/>
    <w:rsid w:val="4471593B"/>
    <w:rsid w:val="44751E57"/>
    <w:rsid w:val="44756998"/>
    <w:rsid w:val="44763EBA"/>
    <w:rsid w:val="4479147B"/>
    <w:rsid w:val="4479577A"/>
    <w:rsid w:val="447C280E"/>
    <w:rsid w:val="447D68EB"/>
    <w:rsid w:val="447E0CDB"/>
    <w:rsid w:val="447F7A27"/>
    <w:rsid w:val="4486216C"/>
    <w:rsid w:val="448B0BE5"/>
    <w:rsid w:val="448D6B7D"/>
    <w:rsid w:val="448E48EC"/>
    <w:rsid w:val="449035D9"/>
    <w:rsid w:val="449101EB"/>
    <w:rsid w:val="4493016C"/>
    <w:rsid w:val="449943E5"/>
    <w:rsid w:val="449964A4"/>
    <w:rsid w:val="449A4488"/>
    <w:rsid w:val="449F70A8"/>
    <w:rsid w:val="44A34075"/>
    <w:rsid w:val="44A43FEE"/>
    <w:rsid w:val="44A47052"/>
    <w:rsid w:val="44A5160F"/>
    <w:rsid w:val="44A55F14"/>
    <w:rsid w:val="44A610AD"/>
    <w:rsid w:val="44A80CF6"/>
    <w:rsid w:val="44A96FDE"/>
    <w:rsid w:val="44AC5384"/>
    <w:rsid w:val="44AD5144"/>
    <w:rsid w:val="44AE5D14"/>
    <w:rsid w:val="44AF2609"/>
    <w:rsid w:val="44B11F8A"/>
    <w:rsid w:val="44B357F3"/>
    <w:rsid w:val="44B518E4"/>
    <w:rsid w:val="44B5325D"/>
    <w:rsid w:val="44B92169"/>
    <w:rsid w:val="44BC6B43"/>
    <w:rsid w:val="44BC7E16"/>
    <w:rsid w:val="44BF6C07"/>
    <w:rsid w:val="44C07008"/>
    <w:rsid w:val="44C935E1"/>
    <w:rsid w:val="44CA14C4"/>
    <w:rsid w:val="44CB6817"/>
    <w:rsid w:val="44CE5DF4"/>
    <w:rsid w:val="44D017C7"/>
    <w:rsid w:val="44D02B59"/>
    <w:rsid w:val="44D3151B"/>
    <w:rsid w:val="44D37405"/>
    <w:rsid w:val="44D86C2F"/>
    <w:rsid w:val="44DA7BBD"/>
    <w:rsid w:val="44DB465D"/>
    <w:rsid w:val="44DB4FF3"/>
    <w:rsid w:val="44DC48C5"/>
    <w:rsid w:val="44DC50C3"/>
    <w:rsid w:val="44DD4B50"/>
    <w:rsid w:val="44DE6F44"/>
    <w:rsid w:val="44DF31BF"/>
    <w:rsid w:val="44E21052"/>
    <w:rsid w:val="44E225C8"/>
    <w:rsid w:val="44E31EE1"/>
    <w:rsid w:val="44E804C2"/>
    <w:rsid w:val="44EA328D"/>
    <w:rsid w:val="44EF5AA0"/>
    <w:rsid w:val="44F072BD"/>
    <w:rsid w:val="44F13DCE"/>
    <w:rsid w:val="44F57B71"/>
    <w:rsid w:val="44F71EFD"/>
    <w:rsid w:val="44F81DC5"/>
    <w:rsid w:val="44F9271D"/>
    <w:rsid w:val="44FA027F"/>
    <w:rsid w:val="44FE7F31"/>
    <w:rsid w:val="44FF0A3D"/>
    <w:rsid w:val="45015C79"/>
    <w:rsid w:val="4501798F"/>
    <w:rsid w:val="450308A1"/>
    <w:rsid w:val="45070CC5"/>
    <w:rsid w:val="4508174E"/>
    <w:rsid w:val="450C354B"/>
    <w:rsid w:val="450C4087"/>
    <w:rsid w:val="45107462"/>
    <w:rsid w:val="4512506A"/>
    <w:rsid w:val="4513103B"/>
    <w:rsid w:val="45150458"/>
    <w:rsid w:val="451570DE"/>
    <w:rsid w:val="45164C71"/>
    <w:rsid w:val="4517082E"/>
    <w:rsid w:val="45190097"/>
    <w:rsid w:val="451F499C"/>
    <w:rsid w:val="4523415A"/>
    <w:rsid w:val="45277B21"/>
    <w:rsid w:val="452879A9"/>
    <w:rsid w:val="452A70C5"/>
    <w:rsid w:val="452C7DF3"/>
    <w:rsid w:val="452C7FD8"/>
    <w:rsid w:val="452D1C97"/>
    <w:rsid w:val="45302424"/>
    <w:rsid w:val="45303C17"/>
    <w:rsid w:val="4530675E"/>
    <w:rsid w:val="453111AB"/>
    <w:rsid w:val="453327B1"/>
    <w:rsid w:val="45334985"/>
    <w:rsid w:val="45336759"/>
    <w:rsid w:val="453434E7"/>
    <w:rsid w:val="45345519"/>
    <w:rsid w:val="453B55C6"/>
    <w:rsid w:val="453D41F9"/>
    <w:rsid w:val="453E2467"/>
    <w:rsid w:val="453F19B6"/>
    <w:rsid w:val="45402D17"/>
    <w:rsid w:val="454160ED"/>
    <w:rsid w:val="45417254"/>
    <w:rsid w:val="4542476F"/>
    <w:rsid w:val="4542606D"/>
    <w:rsid w:val="45430DCF"/>
    <w:rsid w:val="45470301"/>
    <w:rsid w:val="4549663E"/>
    <w:rsid w:val="454B25FA"/>
    <w:rsid w:val="454B4BAA"/>
    <w:rsid w:val="454D3EC4"/>
    <w:rsid w:val="454F344A"/>
    <w:rsid w:val="45520559"/>
    <w:rsid w:val="455216D0"/>
    <w:rsid w:val="455545FA"/>
    <w:rsid w:val="455730E2"/>
    <w:rsid w:val="455817F6"/>
    <w:rsid w:val="455A1C8A"/>
    <w:rsid w:val="455D43AA"/>
    <w:rsid w:val="456357E4"/>
    <w:rsid w:val="45645BA9"/>
    <w:rsid w:val="456630E4"/>
    <w:rsid w:val="45676740"/>
    <w:rsid w:val="456A1BAE"/>
    <w:rsid w:val="456E1850"/>
    <w:rsid w:val="456E1D45"/>
    <w:rsid w:val="457018BF"/>
    <w:rsid w:val="45742628"/>
    <w:rsid w:val="45782904"/>
    <w:rsid w:val="457A0ABA"/>
    <w:rsid w:val="458535A1"/>
    <w:rsid w:val="4586336D"/>
    <w:rsid w:val="458E3FDD"/>
    <w:rsid w:val="4595089C"/>
    <w:rsid w:val="4596071A"/>
    <w:rsid w:val="45961FE9"/>
    <w:rsid w:val="45967754"/>
    <w:rsid w:val="45986250"/>
    <w:rsid w:val="459A25A9"/>
    <w:rsid w:val="459A3F8A"/>
    <w:rsid w:val="459C5C2A"/>
    <w:rsid w:val="459D1B05"/>
    <w:rsid w:val="459F773D"/>
    <w:rsid w:val="45A100BA"/>
    <w:rsid w:val="45A41D55"/>
    <w:rsid w:val="45A52CB7"/>
    <w:rsid w:val="45A75A3E"/>
    <w:rsid w:val="45A84818"/>
    <w:rsid w:val="45A851E0"/>
    <w:rsid w:val="45AB1399"/>
    <w:rsid w:val="45AD7253"/>
    <w:rsid w:val="45AE5CA2"/>
    <w:rsid w:val="45AF0A29"/>
    <w:rsid w:val="45B27876"/>
    <w:rsid w:val="45B310B4"/>
    <w:rsid w:val="45B31A3F"/>
    <w:rsid w:val="45B8167E"/>
    <w:rsid w:val="45BD729F"/>
    <w:rsid w:val="45BE2CE8"/>
    <w:rsid w:val="45C12C20"/>
    <w:rsid w:val="45C146A9"/>
    <w:rsid w:val="45C3023F"/>
    <w:rsid w:val="45C509D7"/>
    <w:rsid w:val="45C60893"/>
    <w:rsid w:val="45C849B7"/>
    <w:rsid w:val="45C85647"/>
    <w:rsid w:val="45C86564"/>
    <w:rsid w:val="45CD582A"/>
    <w:rsid w:val="45CF771C"/>
    <w:rsid w:val="45D21E98"/>
    <w:rsid w:val="45D56282"/>
    <w:rsid w:val="45D9158F"/>
    <w:rsid w:val="45D91774"/>
    <w:rsid w:val="45DC5AAA"/>
    <w:rsid w:val="45DF3DFC"/>
    <w:rsid w:val="45E34096"/>
    <w:rsid w:val="45E67993"/>
    <w:rsid w:val="45EA79BE"/>
    <w:rsid w:val="45EB20F5"/>
    <w:rsid w:val="45EC4080"/>
    <w:rsid w:val="45EF3B52"/>
    <w:rsid w:val="45F21793"/>
    <w:rsid w:val="45F23154"/>
    <w:rsid w:val="45F51128"/>
    <w:rsid w:val="45F56B73"/>
    <w:rsid w:val="45F603C3"/>
    <w:rsid w:val="45FE4ED6"/>
    <w:rsid w:val="45FE7EF1"/>
    <w:rsid w:val="45FF5C48"/>
    <w:rsid w:val="46036BD1"/>
    <w:rsid w:val="46053D64"/>
    <w:rsid w:val="46057543"/>
    <w:rsid w:val="46091663"/>
    <w:rsid w:val="460D4518"/>
    <w:rsid w:val="460D6D55"/>
    <w:rsid w:val="460F3912"/>
    <w:rsid w:val="46124134"/>
    <w:rsid w:val="46125DA8"/>
    <w:rsid w:val="46151B96"/>
    <w:rsid w:val="46162A46"/>
    <w:rsid w:val="46186795"/>
    <w:rsid w:val="461907DE"/>
    <w:rsid w:val="461A58C1"/>
    <w:rsid w:val="461B38E7"/>
    <w:rsid w:val="461B60C3"/>
    <w:rsid w:val="461C0398"/>
    <w:rsid w:val="461C43AC"/>
    <w:rsid w:val="461D3BE5"/>
    <w:rsid w:val="461E5419"/>
    <w:rsid w:val="46202C2E"/>
    <w:rsid w:val="46207582"/>
    <w:rsid w:val="46231F6A"/>
    <w:rsid w:val="462324B3"/>
    <w:rsid w:val="46284E65"/>
    <w:rsid w:val="462966E5"/>
    <w:rsid w:val="462D1214"/>
    <w:rsid w:val="462E6364"/>
    <w:rsid w:val="463038A6"/>
    <w:rsid w:val="46304F1D"/>
    <w:rsid w:val="46305825"/>
    <w:rsid w:val="46383C6D"/>
    <w:rsid w:val="463A5D74"/>
    <w:rsid w:val="463A6103"/>
    <w:rsid w:val="463D7DE3"/>
    <w:rsid w:val="464128A5"/>
    <w:rsid w:val="46426216"/>
    <w:rsid w:val="464445E5"/>
    <w:rsid w:val="46470C62"/>
    <w:rsid w:val="4648013E"/>
    <w:rsid w:val="46483E7C"/>
    <w:rsid w:val="464864E9"/>
    <w:rsid w:val="46487F0C"/>
    <w:rsid w:val="464C0D00"/>
    <w:rsid w:val="464C2C3E"/>
    <w:rsid w:val="464D1ED4"/>
    <w:rsid w:val="464E1E1E"/>
    <w:rsid w:val="464F27AA"/>
    <w:rsid w:val="4650659E"/>
    <w:rsid w:val="46525492"/>
    <w:rsid w:val="46575030"/>
    <w:rsid w:val="46577227"/>
    <w:rsid w:val="46594573"/>
    <w:rsid w:val="465B0071"/>
    <w:rsid w:val="465D5EDC"/>
    <w:rsid w:val="465F28EC"/>
    <w:rsid w:val="4661398E"/>
    <w:rsid w:val="46642377"/>
    <w:rsid w:val="46662382"/>
    <w:rsid w:val="46674052"/>
    <w:rsid w:val="4668377F"/>
    <w:rsid w:val="46684FB8"/>
    <w:rsid w:val="46691D73"/>
    <w:rsid w:val="466B195B"/>
    <w:rsid w:val="466C4712"/>
    <w:rsid w:val="466C704E"/>
    <w:rsid w:val="466C72E5"/>
    <w:rsid w:val="466D7F06"/>
    <w:rsid w:val="467003CD"/>
    <w:rsid w:val="46700FED"/>
    <w:rsid w:val="46742CC6"/>
    <w:rsid w:val="46770340"/>
    <w:rsid w:val="46793423"/>
    <w:rsid w:val="467D1C49"/>
    <w:rsid w:val="467E352B"/>
    <w:rsid w:val="467E53EC"/>
    <w:rsid w:val="46802D45"/>
    <w:rsid w:val="46804174"/>
    <w:rsid w:val="46826145"/>
    <w:rsid w:val="46827FC7"/>
    <w:rsid w:val="46874FFE"/>
    <w:rsid w:val="468776BF"/>
    <w:rsid w:val="468C0D6B"/>
    <w:rsid w:val="468C1132"/>
    <w:rsid w:val="468F7A87"/>
    <w:rsid w:val="46911624"/>
    <w:rsid w:val="46932B3F"/>
    <w:rsid w:val="4693720F"/>
    <w:rsid w:val="46973658"/>
    <w:rsid w:val="469D7F8D"/>
    <w:rsid w:val="46A370ED"/>
    <w:rsid w:val="46A717BA"/>
    <w:rsid w:val="46A81ACB"/>
    <w:rsid w:val="46AC5104"/>
    <w:rsid w:val="46AF7795"/>
    <w:rsid w:val="46B0337B"/>
    <w:rsid w:val="46B22010"/>
    <w:rsid w:val="46B87761"/>
    <w:rsid w:val="46BC6433"/>
    <w:rsid w:val="46BF36BA"/>
    <w:rsid w:val="46C100DB"/>
    <w:rsid w:val="46C15C50"/>
    <w:rsid w:val="46C82C32"/>
    <w:rsid w:val="46C8348B"/>
    <w:rsid w:val="46CB56AC"/>
    <w:rsid w:val="46CD0741"/>
    <w:rsid w:val="46CD48F6"/>
    <w:rsid w:val="46CD573D"/>
    <w:rsid w:val="46D821CB"/>
    <w:rsid w:val="46D91947"/>
    <w:rsid w:val="46DA3153"/>
    <w:rsid w:val="46DB2FEC"/>
    <w:rsid w:val="46DB6189"/>
    <w:rsid w:val="46DC77C0"/>
    <w:rsid w:val="46DD1A57"/>
    <w:rsid w:val="46E04712"/>
    <w:rsid w:val="46E416C7"/>
    <w:rsid w:val="46E52EFA"/>
    <w:rsid w:val="46EB751A"/>
    <w:rsid w:val="46F27826"/>
    <w:rsid w:val="46F60992"/>
    <w:rsid w:val="46FA51C0"/>
    <w:rsid w:val="47015007"/>
    <w:rsid w:val="47017E42"/>
    <w:rsid w:val="47033422"/>
    <w:rsid w:val="47073DB0"/>
    <w:rsid w:val="47077B1D"/>
    <w:rsid w:val="470B1ADA"/>
    <w:rsid w:val="470E6F87"/>
    <w:rsid w:val="47170C4A"/>
    <w:rsid w:val="4717132B"/>
    <w:rsid w:val="471A7B37"/>
    <w:rsid w:val="471F1D27"/>
    <w:rsid w:val="47220987"/>
    <w:rsid w:val="47231205"/>
    <w:rsid w:val="472423A6"/>
    <w:rsid w:val="47255376"/>
    <w:rsid w:val="47256308"/>
    <w:rsid w:val="47257AB1"/>
    <w:rsid w:val="47283E05"/>
    <w:rsid w:val="472C26B1"/>
    <w:rsid w:val="47301EF0"/>
    <w:rsid w:val="473352A0"/>
    <w:rsid w:val="473357CF"/>
    <w:rsid w:val="47340E07"/>
    <w:rsid w:val="473433B1"/>
    <w:rsid w:val="4738374C"/>
    <w:rsid w:val="473839F7"/>
    <w:rsid w:val="473867EB"/>
    <w:rsid w:val="47397CD9"/>
    <w:rsid w:val="473C332F"/>
    <w:rsid w:val="473D5FC9"/>
    <w:rsid w:val="473E6B61"/>
    <w:rsid w:val="474024B5"/>
    <w:rsid w:val="4742106C"/>
    <w:rsid w:val="47432FCA"/>
    <w:rsid w:val="47446227"/>
    <w:rsid w:val="47455863"/>
    <w:rsid w:val="47464276"/>
    <w:rsid w:val="474705E7"/>
    <w:rsid w:val="474A5261"/>
    <w:rsid w:val="474B424C"/>
    <w:rsid w:val="474C6BE6"/>
    <w:rsid w:val="474F418C"/>
    <w:rsid w:val="475016AA"/>
    <w:rsid w:val="475064D9"/>
    <w:rsid w:val="47523F2D"/>
    <w:rsid w:val="47524E0A"/>
    <w:rsid w:val="47547B7B"/>
    <w:rsid w:val="4755222F"/>
    <w:rsid w:val="47556254"/>
    <w:rsid w:val="47566AAD"/>
    <w:rsid w:val="47583C56"/>
    <w:rsid w:val="475C36B7"/>
    <w:rsid w:val="475E52F1"/>
    <w:rsid w:val="476159FA"/>
    <w:rsid w:val="476244BF"/>
    <w:rsid w:val="47630417"/>
    <w:rsid w:val="47634BCB"/>
    <w:rsid w:val="47640CB4"/>
    <w:rsid w:val="476717AE"/>
    <w:rsid w:val="47677504"/>
    <w:rsid w:val="476B1DE2"/>
    <w:rsid w:val="476D3991"/>
    <w:rsid w:val="476E5BB7"/>
    <w:rsid w:val="47714AC8"/>
    <w:rsid w:val="47717937"/>
    <w:rsid w:val="47744624"/>
    <w:rsid w:val="47755737"/>
    <w:rsid w:val="47761FBA"/>
    <w:rsid w:val="47780C80"/>
    <w:rsid w:val="477A63CE"/>
    <w:rsid w:val="477D0992"/>
    <w:rsid w:val="477F51D7"/>
    <w:rsid w:val="478207EB"/>
    <w:rsid w:val="478419FD"/>
    <w:rsid w:val="47853FC3"/>
    <w:rsid w:val="47857C94"/>
    <w:rsid w:val="478A121F"/>
    <w:rsid w:val="478C3513"/>
    <w:rsid w:val="478D46DF"/>
    <w:rsid w:val="478D6ACE"/>
    <w:rsid w:val="478F1D52"/>
    <w:rsid w:val="479003E6"/>
    <w:rsid w:val="47903741"/>
    <w:rsid w:val="47934FE0"/>
    <w:rsid w:val="47944AEF"/>
    <w:rsid w:val="47944E6D"/>
    <w:rsid w:val="479765CE"/>
    <w:rsid w:val="479A4578"/>
    <w:rsid w:val="479B0F9C"/>
    <w:rsid w:val="479C05B2"/>
    <w:rsid w:val="479C4FDD"/>
    <w:rsid w:val="479F7CA0"/>
    <w:rsid w:val="47A02539"/>
    <w:rsid w:val="47A03468"/>
    <w:rsid w:val="47A1484F"/>
    <w:rsid w:val="47A66DED"/>
    <w:rsid w:val="47A674C4"/>
    <w:rsid w:val="47A8294A"/>
    <w:rsid w:val="47B3068E"/>
    <w:rsid w:val="47B57863"/>
    <w:rsid w:val="47B67191"/>
    <w:rsid w:val="47BC372C"/>
    <w:rsid w:val="47BC6F0C"/>
    <w:rsid w:val="47BF3A97"/>
    <w:rsid w:val="47C45A50"/>
    <w:rsid w:val="47C4662B"/>
    <w:rsid w:val="47C74078"/>
    <w:rsid w:val="47C77041"/>
    <w:rsid w:val="47C84242"/>
    <w:rsid w:val="47CD1A1A"/>
    <w:rsid w:val="47D338F5"/>
    <w:rsid w:val="47D43FC5"/>
    <w:rsid w:val="47D50BD3"/>
    <w:rsid w:val="47D5435A"/>
    <w:rsid w:val="47D6052C"/>
    <w:rsid w:val="47D844AF"/>
    <w:rsid w:val="47DB3A85"/>
    <w:rsid w:val="47DD09D3"/>
    <w:rsid w:val="47E04F86"/>
    <w:rsid w:val="47E1617A"/>
    <w:rsid w:val="47E40ACA"/>
    <w:rsid w:val="47E47F87"/>
    <w:rsid w:val="47E83D75"/>
    <w:rsid w:val="47E96DF6"/>
    <w:rsid w:val="47ED1C1D"/>
    <w:rsid w:val="47F10ED9"/>
    <w:rsid w:val="47F115D9"/>
    <w:rsid w:val="47F50E2C"/>
    <w:rsid w:val="47F5635D"/>
    <w:rsid w:val="47F56BE2"/>
    <w:rsid w:val="47F95AB4"/>
    <w:rsid w:val="47FA7868"/>
    <w:rsid w:val="47FC30E6"/>
    <w:rsid w:val="47FC610A"/>
    <w:rsid w:val="47FE1885"/>
    <w:rsid w:val="47FF5668"/>
    <w:rsid w:val="48004148"/>
    <w:rsid w:val="4800556C"/>
    <w:rsid w:val="480212E4"/>
    <w:rsid w:val="48024734"/>
    <w:rsid w:val="480A25B1"/>
    <w:rsid w:val="480D0416"/>
    <w:rsid w:val="481378DB"/>
    <w:rsid w:val="48147EC3"/>
    <w:rsid w:val="4815111C"/>
    <w:rsid w:val="48165B76"/>
    <w:rsid w:val="48177AF5"/>
    <w:rsid w:val="48185BC3"/>
    <w:rsid w:val="4819494F"/>
    <w:rsid w:val="481B05F8"/>
    <w:rsid w:val="481D19A6"/>
    <w:rsid w:val="481D409D"/>
    <w:rsid w:val="48214C3D"/>
    <w:rsid w:val="482454C3"/>
    <w:rsid w:val="482544B3"/>
    <w:rsid w:val="48281200"/>
    <w:rsid w:val="48283154"/>
    <w:rsid w:val="482A4317"/>
    <w:rsid w:val="482E00A3"/>
    <w:rsid w:val="482E4F5C"/>
    <w:rsid w:val="482F021F"/>
    <w:rsid w:val="482F77A8"/>
    <w:rsid w:val="4830556B"/>
    <w:rsid w:val="48365DF8"/>
    <w:rsid w:val="48375DF8"/>
    <w:rsid w:val="4839223B"/>
    <w:rsid w:val="483A3A8B"/>
    <w:rsid w:val="483B5583"/>
    <w:rsid w:val="483C2F71"/>
    <w:rsid w:val="483D067E"/>
    <w:rsid w:val="483D3311"/>
    <w:rsid w:val="483E4357"/>
    <w:rsid w:val="48404AB7"/>
    <w:rsid w:val="48420B10"/>
    <w:rsid w:val="484355FE"/>
    <w:rsid w:val="48443B24"/>
    <w:rsid w:val="48483DDF"/>
    <w:rsid w:val="48492F70"/>
    <w:rsid w:val="484A67E7"/>
    <w:rsid w:val="484C07B1"/>
    <w:rsid w:val="484E50D2"/>
    <w:rsid w:val="485119F8"/>
    <w:rsid w:val="48513BB8"/>
    <w:rsid w:val="48524A30"/>
    <w:rsid w:val="485338EE"/>
    <w:rsid w:val="485A13F2"/>
    <w:rsid w:val="485E4EEC"/>
    <w:rsid w:val="485F696B"/>
    <w:rsid w:val="4862080A"/>
    <w:rsid w:val="486218EF"/>
    <w:rsid w:val="4862645A"/>
    <w:rsid w:val="486266ED"/>
    <w:rsid w:val="48651242"/>
    <w:rsid w:val="486545F7"/>
    <w:rsid w:val="486B0D8E"/>
    <w:rsid w:val="486B5391"/>
    <w:rsid w:val="486C09AF"/>
    <w:rsid w:val="486E6FEF"/>
    <w:rsid w:val="48714BB2"/>
    <w:rsid w:val="48773A81"/>
    <w:rsid w:val="48775102"/>
    <w:rsid w:val="487A55C7"/>
    <w:rsid w:val="487B41D4"/>
    <w:rsid w:val="487D0463"/>
    <w:rsid w:val="487D6BBD"/>
    <w:rsid w:val="48821E55"/>
    <w:rsid w:val="48852140"/>
    <w:rsid w:val="488B07A6"/>
    <w:rsid w:val="488C41B6"/>
    <w:rsid w:val="488F29C0"/>
    <w:rsid w:val="48906A47"/>
    <w:rsid w:val="48940295"/>
    <w:rsid w:val="4895140F"/>
    <w:rsid w:val="489677E3"/>
    <w:rsid w:val="48987FB3"/>
    <w:rsid w:val="489C362E"/>
    <w:rsid w:val="489F5DEC"/>
    <w:rsid w:val="48A50DAB"/>
    <w:rsid w:val="48A57003"/>
    <w:rsid w:val="48A8052E"/>
    <w:rsid w:val="48A81C44"/>
    <w:rsid w:val="48A95220"/>
    <w:rsid w:val="48AC0560"/>
    <w:rsid w:val="48AC318D"/>
    <w:rsid w:val="48AE6BD8"/>
    <w:rsid w:val="48B01CE8"/>
    <w:rsid w:val="48B05F30"/>
    <w:rsid w:val="48B2326D"/>
    <w:rsid w:val="48B43626"/>
    <w:rsid w:val="48B65FD3"/>
    <w:rsid w:val="48B666B6"/>
    <w:rsid w:val="48B72FCC"/>
    <w:rsid w:val="48B8194D"/>
    <w:rsid w:val="48BD7026"/>
    <w:rsid w:val="48BE4289"/>
    <w:rsid w:val="48BE55DF"/>
    <w:rsid w:val="48BF6D15"/>
    <w:rsid w:val="48C26DE1"/>
    <w:rsid w:val="48C40614"/>
    <w:rsid w:val="48C447EC"/>
    <w:rsid w:val="48C657C3"/>
    <w:rsid w:val="48C74147"/>
    <w:rsid w:val="48C77176"/>
    <w:rsid w:val="48C865B6"/>
    <w:rsid w:val="48CA5233"/>
    <w:rsid w:val="48CE1926"/>
    <w:rsid w:val="48CF330A"/>
    <w:rsid w:val="48D179E6"/>
    <w:rsid w:val="48D46276"/>
    <w:rsid w:val="48D83A79"/>
    <w:rsid w:val="48E200C2"/>
    <w:rsid w:val="48E37CC0"/>
    <w:rsid w:val="48E73703"/>
    <w:rsid w:val="48E87515"/>
    <w:rsid w:val="48E96FE9"/>
    <w:rsid w:val="48EA2FCA"/>
    <w:rsid w:val="48EC70FA"/>
    <w:rsid w:val="48ED334A"/>
    <w:rsid w:val="48F26405"/>
    <w:rsid w:val="48FF2011"/>
    <w:rsid w:val="4903235A"/>
    <w:rsid w:val="490431AA"/>
    <w:rsid w:val="49060A57"/>
    <w:rsid w:val="490822B4"/>
    <w:rsid w:val="490E1F0B"/>
    <w:rsid w:val="490F5A67"/>
    <w:rsid w:val="49105C83"/>
    <w:rsid w:val="491853CD"/>
    <w:rsid w:val="49190DAC"/>
    <w:rsid w:val="491D554B"/>
    <w:rsid w:val="491E1D64"/>
    <w:rsid w:val="492046B6"/>
    <w:rsid w:val="492139EC"/>
    <w:rsid w:val="492A1C28"/>
    <w:rsid w:val="492C0CF3"/>
    <w:rsid w:val="492D1E5A"/>
    <w:rsid w:val="4932103E"/>
    <w:rsid w:val="49360C77"/>
    <w:rsid w:val="4937624A"/>
    <w:rsid w:val="49395296"/>
    <w:rsid w:val="493A7DEC"/>
    <w:rsid w:val="493B4D20"/>
    <w:rsid w:val="49452C61"/>
    <w:rsid w:val="49481BF5"/>
    <w:rsid w:val="494C1F90"/>
    <w:rsid w:val="49514121"/>
    <w:rsid w:val="4958300F"/>
    <w:rsid w:val="495C2CEF"/>
    <w:rsid w:val="495C467B"/>
    <w:rsid w:val="495E042C"/>
    <w:rsid w:val="495E430A"/>
    <w:rsid w:val="49630E76"/>
    <w:rsid w:val="4966062F"/>
    <w:rsid w:val="4967151A"/>
    <w:rsid w:val="49680C0B"/>
    <w:rsid w:val="49684F13"/>
    <w:rsid w:val="4968537E"/>
    <w:rsid w:val="49694B81"/>
    <w:rsid w:val="496B4CAB"/>
    <w:rsid w:val="496D2132"/>
    <w:rsid w:val="496D612E"/>
    <w:rsid w:val="496D67DB"/>
    <w:rsid w:val="4970553C"/>
    <w:rsid w:val="49720C34"/>
    <w:rsid w:val="49725FAE"/>
    <w:rsid w:val="49746D6D"/>
    <w:rsid w:val="49794663"/>
    <w:rsid w:val="497A7F08"/>
    <w:rsid w:val="498930DD"/>
    <w:rsid w:val="498C3862"/>
    <w:rsid w:val="498E0956"/>
    <w:rsid w:val="49900436"/>
    <w:rsid w:val="49906C6F"/>
    <w:rsid w:val="4991426E"/>
    <w:rsid w:val="49924533"/>
    <w:rsid w:val="499822F3"/>
    <w:rsid w:val="499E0DFB"/>
    <w:rsid w:val="49A00AF2"/>
    <w:rsid w:val="49A13392"/>
    <w:rsid w:val="49A65DFF"/>
    <w:rsid w:val="49A7076B"/>
    <w:rsid w:val="49A94205"/>
    <w:rsid w:val="49AA442E"/>
    <w:rsid w:val="49AC0921"/>
    <w:rsid w:val="49AF5F0A"/>
    <w:rsid w:val="49B14C80"/>
    <w:rsid w:val="49B37544"/>
    <w:rsid w:val="49B5174E"/>
    <w:rsid w:val="49B83ABC"/>
    <w:rsid w:val="49C11C8B"/>
    <w:rsid w:val="49C2256D"/>
    <w:rsid w:val="49C2613C"/>
    <w:rsid w:val="49CF670D"/>
    <w:rsid w:val="49D06C45"/>
    <w:rsid w:val="49D4537F"/>
    <w:rsid w:val="49D64715"/>
    <w:rsid w:val="49D84FD0"/>
    <w:rsid w:val="49D95FFC"/>
    <w:rsid w:val="49DB76BC"/>
    <w:rsid w:val="49E27CF9"/>
    <w:rsid w:val="49E32548"/>
    <w:rsid w:val="49E3304B"/>
    <w:rsid w:val="49E563E0"/>
    <w:rsid w:val="49E80FE0"/>
    <w:rsid w:val="49EA01D2"/>
    <w:rsid w:val="49EA29BF"/>
    <w:rsid w:val="49EE471E"/>
    <w:rsid w:val="49F01DD4"/>
    <w:rsid w:val="49F54FDE"/>
    <w:rsid w:val="49F612F8"/>
    <w:rsid w:val="49F64C19"/>
    <w:rsid w:val="49F73080"/>
    <w:rsid w:val="49F77E09"/>
    <w:rsid w:val="49F96717"/>
    <w:rsid w:val="49F96B84"/>
    <w:rsid w:val="49FA448B"/>
    <w:rsid w:val="49FA59E4"/>
    <w:rsid w:val="4A041FAB"/>
    <w:rsid w:val="4A0600FC"/>
    <w:rsid w:val="4A061562"/>
    <w:rsid w:val="4A093679"/>
    <w:rsid w:val="4A0C472E"/>
    <w:rsid w:val="4A1077AC"/>
    <w:rsid w:val="4A133DCF"/>
    <w:rsid w:val="4A144FFE"/>
    <w:rsid w:val="4A170A05"/>
    <w:rsid w:val="4A190D95"/>
    <w:rsid w:val="4A1C1CB8"/>
    <w:rsid w:val="4A1E4928"/>
    <w:rsid w:val="4A1F7599"/>
    <w:rsid w:val="4A2154EA"/>
    <w:rsid w:val="4A2507AD"/>
    <w:rsid w:val="4A253DB8"/>
    <w:rsid w:val="4A2852D9"/>
    <w:rsid w:val="4A2969A8"/>
    <w:rsid w:val="4A2C5719"/>
    <w:rsid w:val="4A3271A4"/>
    <w:rsid w:val="4A340701"/>
    <w:rsid w:val="4A344D79"/>
    <w:rsid w:val="4A351DEA"/>
    <w:rsid w:val="4A352C15"/>
    <w:rsid w:val="4A37146D"/>
    <w:rsid w:val="4A38477F"/>
    <w:rsid w:val="4A39339C"/>
    <w:rsid w:val="4A3A394D"/>
    <w:rsid w:val="4A3B076E"/>
    <w:rsid w:val="4A3B6501"/>
    <w:rsid w:val="4A3F19F2"/>
    <w:rsid w:val="4A404167"/>
    <w:rsid w:val="4A4056EF"/>
    <w:rsid w:val="4A412D35"/>
    <w:rsid w:val="4A43407E"/>
    <w:rsid w:val="4A462EC9"/>
    <w:rsid w:val="4A4840AD"/>
    <w:rsid w:val="4A485699"/>
    <w:rsid w:val="4A490E22"/>
    <w:rsid w:val="4A496F50"/>
    <w:rsid w:val="4A497822"/>
    <w:rsid w:val="4A4A2FEC"/>
    <w:rsid w:val="4A4C77EC"/>
    <w:rsid w:val="4A4E43CE"/>
    <w:rsid w:val="4A502659"/>
    <w:rsid w:val="4A515E72"/>
    <w:rsid w:val="4A5303DD"/>
    <w:rsid w:val="4A546E91"/>
    <w:rsid w:val="4A56681B"/>
    <w:rsid w:val="4A58161E"/>
    <w:rsid w:val="4A586BD0"/>
    <w:rsid w:val="4A595A49"/>
    <w:rsid w:val="4A59649E"/>
    <w:rsid w:val="4A5B1DE3"/>
    <w:rsid w:val="4A5B775B"/>
    <w:rsid w:val="4A5D00BE"/>
    <w:rsid w:val="4A612275"/>
    <w:rsid w:val="4A652EA7"/>
    <w:rsid w:val="4A67739D"/>
    <w:rsid w:val="4A685A6E"/>
    <w:rsid w:val="4A6959A4"/>
    <w:rsid w:val="4A6A17D1"/>
    <w:rsid w:val="4A6B090B"/>
    <w:rsid w:val="4A6B2F90"/>
    <w:rsid w:val="4A6B3FF5"/>
    <w:rsid w:val="4A6E077C"/>
    <w:rsid w:val="4A6E1FDB"/>
    <w:rsid w:val="4A6F2831"/>
    <w:rsid w:val="4A6F5565"/>
    <w:rsid w:val="4A714428"/>
    <w:rsid w:val="4A716588"/>
    <w:rsid w:val="4A757783"/>
    <w:rsid w:val="4A7A717B"/>
    <w:rsid w:val="4A7B4DE0"/>
    <w:rsid w:val="4A804742"/>
    <w:rsid w:val="4A8E3AA8"/>
    <w:rsid w:val="4A8E7539"/>
    <w:rsid w:val="4A8F430F"/>
    <w:rsid w:val="4A917FEF"/>
    <w:rsid w:val="4A924166"/>
    <w:rsid w:val="4A954783"/>
    <w:rsid w:val="4A963042"/>
    <w:rsid w:val="4A964F6E"/>
    <w:rsid w:val="4A97314F"/>
    <w:rsid w:val="4A9B0433"/>
    <w:rsid w:val="4A9B7B6A"/>
    <w:rsid w:val="4A9D41BB"/>
    <w:rsid w:val="4AA32BA3"/>
    <w:rsid w:val="4AA438DF"/>
    <w:rsid w:val="4AA87406"/>
    <w:rsid w:val="4AA94B56"/>
    <w:rsid w:val="4AAA2879"/>
    <w:rsid w:val="4AAA62AB"/>
    <w:rsid w:val="4AAF6ED6"/>
    <w:rsid w:val="4AB10DA0"/>
    <w:rsid w:val="4AB34B18"/>
    <w:rsid w:val="4AB44117"/>
    <w:rsid w:val="4AB534D8"/>
    <w:rsid w:val="4AB630CA"/>
    <w:rsid w:val="4AB815DF"/>
    <w:rsid w:val="4AB834B9"/>
    <w:rsid w:val="4AB86A5F"/>
    <w:rsid w:val="4ABA1F1F"/>
    <w:rsid w:val="4ABB5EC9"/>
    <w:rsid w:val="4ABD27A9"/>
    <w:rsid w:val="4ABD485F"/>
    <w:rsid w:val="4AC162B3"/>
    <w:rsid w:val="4AC2005C"/>
    <w:rsid w:val="4AC2024E"/>
    <w:rsid w:val="4AC86469"/>
    <w:rsid w:val="4AC942C6"/>
    <w:rsid w:val="4ACB1B22"/>
    <w:rsid w:val="4ACB6294"/>
    <w:rsid w:val="4ACE2FE6"/>
    <w:rsid w:val="4AD009E1"/>
    <w:rsid w:val="4ADC07D7"/>
    <w:rsid w:val="4ADC7B0F"/>
    <w:rsid w:val="4AE051B2"/>
    <w:rsid w:val="4AE117F1"/>
    <w:rsid w:val="4AE266C2"/>
    <w:rsid w:val="4AE514FE"/>
    <w:rsid w:val="4AE60448"/>
    <w:rsid w:val="4AE70FC9"/>
    <w:rsid w:val="4AEA5BCB"/>
    <w:rsid w:val="4AEB6A85"/>
    <w:rsid w:val="4AEC5C5F"/>
    <w:rsid w:val="4AF20DA1"/>
    <w:rsid w:val="4AF37F44"/>
    <w:rsid w:val="4AF4247F"/>
    <w:rsid w:val="4AF46FBD"/>
    <w:rsid w:val="4AF9506E"/>
    <w:rsid w:val="4AFB3F46"/>
    <w:rsid w:val="4AFE4BD2"/>
    <w:rsid w:val="4B022622"/>
    <w:rsid w:val="4B041EDE"/>
    <w:rsid w:val="4B04219E"/>
    <w:rsid w:val="4B0609EE"/>
    <w:rsid w:val="4B06733D"/>
    <w:rsid w:val="4B0753D1"/>
    <w:rsid w:val="4B077AC8"/>
    <w:rsid w:val="4B0A6AEE"/>
    <w:rsid w:val="4B0B4E45"/>
    <w:rsid w:val="4B0B63BE"/>
    <w:rsid w:val="4B0F6315"/>
    <w:rsid w:val="4B137B55"/>
    <w:rsid w:val="4B142D93"/>
    <w:rsid w:val="4B14585F"/>
    <w:rsid w:val="4B1B4341"/>
    <w:rsid w:val="4B1B4C24"/>
    <w:rsid w:val="4B2365CB"/>
    <w:rsid w:val="4B281707"/>
    <w:rsid w:val="4B2867BC"/>
    <w:rsid w:val="4B2A4DC1"/>
    <w:rsid w:val="4B35787E"/>
    <w:rsid w:val="4B393CB4"/>
    <w:rsid w:val="4B3950B1"/>
    <w:rsid w:val="4B3A52D9"/>
    <w:rsid w:val="4B3A55EB"/>
    <w:rsid w:val="4B3A62DE"/>
    <w:rsid w:val="4B3B3211"/>
    <w:rsid w:val="4B3C3AD2"/>
    <w:rsid w:val="4B3D6A1E"/>
    <w:rsid w:val="4B3E60F7"/>
    <w:rsid w:val="4B404F68"/>
    <w:rsid w:val="4B447C1D"/>
    <w:rsid w:val="4B4567AC"/>
    <w:rsid w:val="4B4749FB"/>
    <w:rsid w:val="4B475260"/>
    <w:rsid w:val="4B4A5C33"/>
    <w:rsid w:val="4B4E2736"/>
    <w:rsid w:val="4B504FC1"/>
    <w:rsid w:val="4B51347D"/>
    <w:rsid w:val="4B545A9E"/>
    <w:rsid w:val="4B5500BF"/>
    <w:rsid w:val="4B5529B9"/>
    <w:rsid w:val="4B5756B1"/>
    <w:rsid w:val="4B59704C"/>
    <w:rsid w:val="4B5D317A"/>
    <w:rsid w:val="4B5D354F"/>
    <w:rsid w:val="4B5F34D1"/>
    <w:rsid w:val="4B617B8F"/>
    <w:rsid w:val="4B632570"/>
    <w:rsid w:val="4B633440"/>
    <w:rsid w:val="4B640BD3"/>
    <w:rsid w:val="4B694466"/>
    <w:rsid w:val="4B696275"/>
    <w:rsid w:val="4B6A0F74"/>
    <w:rsid w:val="4B6E7823"/>
    <w:rsid w:val="4B6F6021"/>
    <w:rsid w:val="4B701DA1"/>
    <w:rsid w:val="4B70274B"/>
    <w:rsid w:val="4B7049EA"/>
    <w:rsid w:val="4B713120"/>
    <w:rsid w:val="4B757213"/>
    <w:rsid w:val="4B785BD7"/>
    <w:rsid w:val="4B7A5635"/>
    <w:rsid w:val="4B7C0C3B"/>
    <w:rsid w:val="4B7F4EF9"/>
    <w:rsid w:val="4B840C3B"/>
    <w:rsid w:val="4B8430A2"/>
    <w:rsid w:val="4B867714"/>
    <w:rsid w:val="4B881F74"/>
    <w:rsid w:val="4B894E08"/>
    <w:rsid w:val="4B8B18B8"/>
    <w:rsid w:val="4B8B7D11"/>
    <w:rsid w:val="4B8C101D"/>
    <w:rsid w:val="4B8C6F07"/>
    <w:rsid w:val="4B8D21D3"/>
    <w:rsid w:val="4B8D7EB7"/>
    <w:rsid w:val="4B8E10EC"/>
    <w:rsid w:val="4B9147D5"/>
    <w:rsid w:val="4B9479D2"/>
    <w:rsid w:val="4B992021"/>
    <w:rsid w:val="4B994F7D"/>
    <w:rsid w:val="4B9A52E1"/>
    <w:rsid w:val="4B9D11ED"/>
    <w:rsid w:val="4BA1719F"/>
    <w:rsid w:val="4BA206E8"/>
    <w:rsid w:val="4BA234C3"/>
    <w:rsid w:val="4BA75FF4"/>
    <w:rsid w:val="4BA91E76"/>
    <w:rsid w:val="4BAB747F"/>
    <w:rsid w:val="4BAD041D"/>
    <w:rsid w:val="4BAE3352"/>
    <w:rsid w:val="4BAE41C4"/>
    <w:rsid w:val="4BBB3E39"/>
    <w:rsid w:val="4BBC05D0"/>
    <w:rsid w:val="4BBE1EBE"/>
    <w:rsid w:val="4BBE5423"/>
    <w:rsid w:val="4BBF7F42"/>
    <w:rsid w:val="4BC54B7B"/>
    <w:rsid w:val="4BC64E59"/>
    <w:rsid w:val="4BC70ACF"/>
    <w:rsid w:val="4BC72484"/>
    <w:rsid w:val="4BD01923"/>
    <w:rsid w:val="4BD61A54"/>
    <w:rsid w:val="4BD63702"/>
    <w:rsid w:val="4BDB7582"/>
    <w:rsid w:val="4BDC3BFA"/>
    <w:rsid w:val="4BDD73BE"/>
    <w:rsid w:val="4BDE5CAF"/>
    <w:rsid w:val="4BDF7F17"/>
    <w:rsid w:val="4BE40D01"/>
    <w:rsid w:val="4BE527B6"/>
    <w:rsid w:val="4BE82540"/>
    <w:rsid w:val="4BEA1BE0"/>
    <w:rsid w:val="4BEC6F65"/>
    <w:rsid w:val="4BF158AC"/>
    <w:rsid w:val="4BF249EF"/>
    <w:rsid w:val="4BF274E8"/>
    <w:rsid w:val="4BF34DE4"/>
    <w:rsid w:val="4BF4524C"/>
    <w:rsid w:val="4BFC2D1F"/>
    <w:rsid w:val="4BFF23D9"/>
    <w:rsid w:val="4C021CC3"/>
    <w:rsid w:val="4C02634F"/>
    <w:rsid w:val="4C033121"/>
    <w:rsid w:val="4C053F26"/>
    <w:rsid w:val="4C062C4C"/>
    <w:rsid w:val="4C0774B1"/>
    <w:rsid w:val="4C095D52"/>
    <w:rsid w:val="4C0A5D5B"/>
    <w:rsid w:val="4C0B4D7C"/>
    <w:rsid w:val="4C0F3773"/>
    <w:rsid w:val="4C121C4E"/>
    <w:rsid w:val="4C124C75"/>
    <w:rsid w:val="4C13497A"/>
    <w:rsid w:val="4C1572A5"/>
    <w:rsid w:val="4C166604"/>
    <w:rsid w:val="4C16775E"/>
    <w:rsid w:val="4C1A4DC5"/>
    <w:rsid w:val="4C1A5988"/>
    <w:rsid w:val="4C1E463A"/>
    <w:rsid w:val="4C2019A2"/>
    <w:rsid w:val="4C221915"/>
    <w:rsid w:val="4C234E61"/>
    <w:rsid w:val="4C272607"/>
    <w:rsid w:val="4C2A0E0A"/>
    <w:rsid w:val="4C2B035D"/>
    <w:rsid w:val="4C2D4490"/>
    <w:rsid w:val="4C2D45E6"/>
    <w:rsid w:val="4C2D46C1"/>
    <w:rsid w:val="4C2F7281"/>
    <w:rsid w:val="4C35060F"/>
    <w:rsid w:val="4C3B00B8"/>
    <w:rsid w:val="4C3B08AC"/>
    <w:rsid w:val="4C3B4DC5"/>
    <w:rsid w:val="4C3C27CA"/>
    <w:rsid w:val="4C3C28EB"/>
    <w:rsid w:val="4C3C5CF9"/>
    <w:rsid w:val="4C3D6DDE"/>
    <w:rsid w:val="4C3E1DFE"/>
    <w:rsid w:val="4C4121EE"/>
    <w:rsid w:val="4C4206EE"/>
    <w:rsid w:val="4C470251"/>
    <w:rsid w:val="4C503EC4"/>
    <w:rsid w:val="4C534FE5"/>
    <w:rsid w:val="4C543E81"/>
    <w:rsid w:val="4C547C35"/>
    <w:rsid w:val="4C5B34A8"/>
    <w:rsid w:val="4C5C4D3B"/>
    <w:rsid w:val="4C5F7CE3"/>
    <w:rsid w:val="4C6042B6"/>
    <w:rsid w:val="4C652DAC"/>
    <w:rsid w:val="4C6840C6"/>
    <w:rsid w:val="4C705ED1"/>
    <w:rsid w:val="4C7329CC"/>
    <w:rsid w:val="4C7412D4"/>
    <w:rsid w:val="4C7539CD"/>
    <w:rsid w:val="4C7574F3"/>
    <w:rsid w:val="4C78681A"/>
    <w:rsid w:val="4C794DC8"/>
    <w:rsid w:val="4C7C7C27"/>
    <w:rsid w:val="4C8070E5"/>
    <w:rsid w:val="4C847504"/>
    <w:rsid w:val="4C8A22BA"/>
    <w:rsid w:val="4C8B329D"/>
    <w:rsid w:val="4C8D1559"/>
    <w:rsid w:val="4C8E7FF9"/>
    <w:rsid w:val="4C8F4A23"/>
    <w:rsid w:val="4C905F8A"/>
    <w:rsid w:val="4C92244F"/>
    <w:rsid w:val="4C935E71"/>
    <w:rsid w:val="4C941345"/>
    <w:rsid w:val="4C953EB8"/>
    <w:rsid w:val="4C971E23"/>
    <w:rsid w:val="4C9A4F81"/>
    <w:rsid w:val="4C9D5C14"/>
    <w:rsid w:val="4C9E5354"/>
    <w:rsid w:val="4C9E5F63"/>
    <w:rsid w:val="4CA045E5"/>
    <w:rsid w:val="4CA36B40"/>
    <w:rsid w:val="4CA52877"/>
    <w:rsid w:val="4CA90C1A"/>
    <w:rsid w:val="4CAA58CA"/>
    <w:rsid w:val="4CAB007B"/>
    <w:rsid w:val="4CAC3511"/>
    <w:rsid w:val="4CB1465B"/>
    <w:rsid w:val="4CB15087"/>
    <w:rsid w:val="4CB2210B"/>
    <w:rsid w:val="4CB6367A"/>
    <w:rsid w:val="4CB91EEF"/>
    <w:rsid w:val="4CBB0C14"/>
    <w:rsid w:val="4CBC62F3"/>
    <w:rsid w:val="4CC2070E"/>
    <w:rsid w:val="4CC50814"/>
    <w:rsid w:val="4CC621E6"/>
    <w:rsid w:val="4CC65F32"/>
    <w:rsid w:val="4CC72293"/>
    <w:rsid w:val="4CCB26F4"/>
    <w:rsid w:val="4CCD6DE2"/>
    <w:rsid w:val="4CCF550D"/>
    <w:rsid w:val="4CD20860"/>
    <w:rsid w:val="4CD3250B"/>
    <w:rsid w:val="4CD378A7"/>
    <w:rsid w:val="4CD44A33"/>
    <w:rsid w:val="4CD45940"/>
    <w:rsid w:val="4CD46DB5"/>
    <w:rsid w:val="4CD5053F"/>
    <w:rsid w:val="4CD631E8"/>
    <w:rsid w:val="4CD66CA7"/>
    <w:rsid w:val="4CD70974"/>
    <w:rsid w:val="4CD834BC"/>
    <w:rsid w:val="4CD91F47"/>
    <w:rsid w:val="4CDA200D"/>
    <w:rsid w:val="4CDC1E42"/>
    <w:rsid w:val="4CDD4AFA"/>
    <w:rsid w:val="4CE01248"/>
    <w:rsid w:val="4CE14CF8"/>
    <w:rsid w:val="4CE34515"/>
    <w:rsid w:val="4CEA1593"/>
    <w:rsid w:val="4CEC0E1A"/>
    <w:rsid w:val="4CF0581E"/>
    <w:rsid w:val="4CF10D76"/>
    <w:rsid w:val="4CF41E73"/>
    <w:rsid w:val="4CF431C6"/>
    <w:rsid w:val="4CF842A6"/>
    <w:rsid w:val="4CFC26CF"/>
    <w:rsid w:val="4CFF6771"/>
    <w:rsid w:val="4D017153"/>
    <w:rsid w:val="4D0312D9"/>
    <w:rsid w:val="4D0818BB"/>
    <w:rsid w:val="4D09154D"/>
    <w:rsid w:val="4D0A5905"/>
    <w:rsid w:val="4D0A5DFD"/>
    <w:rsid w:val="4D0C7E17"/>
    <w:rsid w:val="4D105B53"/>
    <w:rsid w:val="4D130CC6"/>
    <w:rsid w:val="4D140461"/>
    <w:rsid w:val="4D1630FF"/>
    <w:rsid w:val="4D1644ED"/>
    <w:rsid w:val="4D175E24"/>
    <w:rsid w:val="4D1B4BF6"/>
    <w:rsid w:val="4D203FBB"/>
    <w:rsid w:val="4D213AA1"/>
    <w:rsid w:val="4D225C9D"/>
    <w:rsid w:val="4D277D11"/>
    <w:rsid w:val="4D31349C"/>
    <w:rsid w:val="4D327BBD"/>
    <w:rsid w:val="4D3336E7"/>
    <w:rsid w:val="4D33440E"/>
    <w:rsid w:val="4D335102"/>
    <w:rsid w:val="4D372C30"/>
    <w:rsid w:val="4D385BBE"/>
    <w:rsid w:val="4D3B008D"/>
    <w:rsid w:val="4D3B7C13"/>
    <w:rsid w:val="4D3C0490"/>
    <w:rsid w:val="4D3D46B4"/>
    <w:rsid w:val="4D3F1540"/>
    <w:rsid w:val="4D3F3EC5"/>
    <w:rsid w:val="4D4023FC"/>
    <w:rsid w:val="4D417D5D"/>
    <w:rsid w:val="4D4346AB"/>
    <w:rsid w:val="4D456312"/>
    <w:rsid w:val="4D465F3F"/>
    <w:rsid w:val="4D470D94"/>
    <w:rsid w:val="4D4D33DC"/>
    <w:rsid w:val="4D510DF5"/>
    <w:rsid w:val="4D534F64"/>
    <w:rsid w:val="4D547016"/>
    <w:rsid w:val="4D550792"/>
    <w:rsid w:val="4D561FCC"/>
    <w:rsid w:val="4D57367B"/>
    <w:rsid w:val="4D5C1497"/>
    <w:rsid w:val="4D5D351C"/>
    <w:rsid w:val="4D5D486B"/>
    <w:rsid w:val="4D5F62AD"/>
    <w:rsid w:val="4D5F7C5F"/>
    <w:rsid w:val="4D6004EB"/>
    <w:rsid w:val="4D623558"/>
    <w:rsid w:val="4D625EA3"/>
    <w:rsid w:val="4D6A3B4A"/>
    <w:rsid w:val="4D6D00E1"/>
    <w:rsid w:val="4D6D07BE"/>
    <w:rsid w:val="4D734E06"/>
    <w:rsid w:val="4D760F05"/>
    <w:rsid w:val="4D7B7443"/>
    <w:rsid w:val="4D7E15E3"/>
    <w:rsid w:val="4D7E5B92"/>
    <w:rsid w:val="4D7F425C"/>
    <w:rsid w:val="4D83305E"/>
    <w:rsid w:val="4D8379E1"/>
    <w:rsid w:val="4D881330"/>
    <w:rsid w:val="4D8870EC"/>
    <w:rsid w:val="4D887799"/>
    <w:rsid w:val="4D89552B"/>
    <w:rsid w:val="4D8A700C"/>
    <w:rsid w:val="4D914560"/>
    <w:rsid w:val="4D936DC0"/>
    <w:rsid w:val="4D953873"/>
    <w:rsid w:val="4D9633F5"/>
    <w:rsid w:val="4D98268D"/>
    <w:rsid w:val="4D9D4A86"/>
    <w:rsid w:val="4D9F1E9C"/>
    <w:rsid w:val="4DA01984"/>
    <w:rsid w:val="4DA03989"/>
    <w:rsid w:val="4DA03DE0"/>
    <w:rsid w:val="4DA07269"/>
    <w:rsid w:val="4DA075DF"/>
    <w:rsid w:val="4DA108DD"/>
    <w:rsid w:val="4DA10DCC"/>
    <w:rsid w:val="4DA42174"/>
    <w:rsid w:val="4DA46DA9"/>
    <w:rsid w:val="4DA67B97"/>
    <w:rsid w:val="4DA91878"/>
    <w:rsid w:val="4DA9727B"/>
    <w:rsid w:val="4DAC153A"/>
    <w:rsid w:val="4DAD42D4"/>
    <w:rsid w:val="4DAF6889"/>
    <w:rsid w:val="4DB008A1"/>
    <w:rsid w:val="4DB33C45"/>
    <w:rsid w:val="4DB53794"/>
    <w:rsid w:val="4DB73EE1"/>
    <w:rsid w:val="4DBA720C"/>
    <w:rsid w:val="4DBF34BB"/>
    <w:rsid w:val="4DC31516"/>
    <w:rsid w:val="4DC37629"/>
    <w:rsid w:val="4DC379C8"/>
    <w:rsid w:val="4DC60AB0"/>
    <w:rsid w:val="4DC77369"/>
    <w:rsid w:val="4DCA027F"/>
    <w:rsid w:val="4DCA5748"/>
    <w:rsid w:val="4DCC3EE3"/>
    <w:rsid w:val="4DCF1D17"/>
    <w:rsid w:val="4DCF43F9"/>
    <w:rsid w:val="4DD56CB7"/>
    <w:rsid w:val="4DD67B3C"/>
    <w:rsid w:val="4DD81A50"/>
    <w:rsid w:val="4DDE110F"/>
    <w:rsid w:val="4DDE1B11"/>
    <w:rsid w:val="4DDF131F"/>
    <w:rsid w:val="4DDF296C"/>
    <w:rsid w:val="4DDF56E6"/>
    <w:rsid w:val="4DDF620A"/>
    <w:rsid w:val="4DE2094A"/>
    <w:rsid w:val="4DE27CBB"/>
    <w:rsid w:val="4DE862B7"/>
    <w:rsid w:val="4DEA4D58"/>
    <w:rsid w:val="4DEC6913"/>
    <w:rsid w:val="4DEE4AAC"/>
    <w:rsid w:val="4DF108D3"/>
    <w:rsid w:val="4DF20EE9"/>
    <w:rsid w:val="4DF258C5"/>
    <w:rsid w:val="4DF459EC"/>
    <w:rsid w:val="4DF50E41"/>
    <w:rsid w:val="4DF638CA"/>
    <w:rsid w:val="4DF81EF7"/>
    <w:rsid w:val="4DFD400B"/>
    <w:rsid w:val="4DFD467C"/>
    <w:rsid w:val="4DFE7A3F"/>
    <w:rsid w:val="4E00425E"/>
    <w:rsid w:val="4E033820"/>
    <w:rsid w:val="4E067D78"/>
    <w:rsid w:val="4E0A36A1"/>
    <w:rsid w:val="4E0C7B78"/>
    <w:rsid w:val="4E0E4E8E"/>
    <w:rsid w:val="4E1139D3"/>
    <w:rsid w:val="4E153B8F"/>
    <w:rsid w:val="4E187C02"/>
    <w:rsid w:val="4E191B24"/>
    <w:rsid w:val="4E1F16BB"/>
    <w:rsid w:val="4E1F6604"/>
    <w:rsid w:val="4E1F746F"/>
    <w:rsid w:val="4E210670"/>
    <w:rsid w:val="4E2178B4"/>
    <w:rsid w:val="4E235EB2"/>
    <w:rsid w:val="4E2717A7"/>
    <w:rsid w:val="4E2D6C0D"/>
    <w:rsid w:val="4E2E1F9D"/>
    <w:rsid w:val="4E38385A"/>
    <w:rsid w:val="4E383E4D"/>
    <w:rsid w:val="4E39697E"/>
    <w:rsid w:val="4E3A2992"/>
    <w:rsid w:val="4E3A65AA"/>
    <w:rsid w:val="4E3B0C44"/>
    <w:rsid w:val="4E3C79F0"/>
    <w:rsid w:val="4E40590C"/>
    <w:rsid w:val="4E407C61"/>
    <w:rsid w:val="4E411768"/>
    <w:rsid w:val="4E412B3C"/>
    <w:rsid w:val="4E431E42"/>
    <w:rsid w:val="4E45161B"/>
    <w:rsid w:val="4E481DE6"/>
    <w:rsid w:val="4E4A4614"/>
    <w:rsid w:val="4E4B4A61"/>
    <w:rsid w:val="4E4C770F"/>
    <w:rsid w:val="4E4D0D93"/>
    <w:rsid w:val="4E4E0961"/>
    <w:rsid w:val="4E4E2E4B"/>
    <w:rsid w:val="4E523A62"/>
    <w:rsid w:val="4E547417"/>
    <w:rsid w:val="4E55491C"/>
    <w:rsid w:val="4E5A1390"/>
    <w:rsid w:val="4E5A6797"/>
    <w:rsid w:val="4E5D4A9E"/>
    <w:rsid w:val="4E5D578C"/>
    <w:rsid w:val="4E616EAF"/>
    <w:rsid w:val="4E651D9F"/>
    <w:rsid w:val="4E68404D"/>
    <w:rsid w:val="4E69084F"/>
    <w:rsid w:val="4E6909AB"/>
    <w:rsid w:val="4E6B4E8F"/>
    <w:rsid w:val="4E720BFA"/>
    <w:rsid w:val="4E722C97"/>
    <w:rsid w:val="4E774183"/>
    <w:rsid w:val="4E7753C9"/>
    <w:rsid w:val="4E780A8E"/>
    <w:rsid w:val="4E79662F"/>
    <w:rsid w:val="4E7A3732"/>
    <w:rsid w:val="4E7D0A34"/>
    <w:rsid w:val="4E8110AE"/>
    <w:rsid w:val="4E814576"/>
    <w:rsid w:val="4E8A6E2E"/>
    <w:rsid w:val="4E8D742E"/>
    <w:rsid w:val="4E9017FB"/>
    <w:rsid w:val="4E9133C2"/>
    <w:rsid w:val="4E9278C7"/>
    <w:rsid w:val="4E95128F"/>
    <w:rsid w:val="4E9609D8"/>
    <w:rsid w:val="4E976B88"/>
    <w:rsid w:val="4E976DDA"/>
    <w:rsid w:val="4E9A4ADF"/>
    <w:rsid w:val="4E9B5612"/>
    <w:rsid w:val="4EA06582"/>
    <w:rsid w:val="4EA210B6"/>
    <w:rsid w:val="4EA47749"/>
    <w:rsid w:val="4EA540C7"/>
    <w:rsid w:val="4EA80374"/>
    <w:rsid w:val="4EAB36F5"/>
    <w:rsid w:val="4EAD036E"/>
    <w:rsid w:val="4EAD67FB"/>
    <w:rsid w:val="4EB2343B"/>
    <w:rsid w:val="4EB23E0D"/>
    <w:rsid w:val="4EB572DD"/>
    <w:rsid w:val="4EB714E3"/>
    <w:rsid w:val="4EB8131F"/>
    <w:rsid w:val="4EBA394A"/>
    <w:rsid w:val="4EBA61BF"/>
    <w:rsid w:val="4EBB103B"/>
    <w:rsid w:val="4EBB21ED"/>
    <w:rsid w:val="4EBE0941"/>
    <w:rsid w:val="4EC0494D"/>
    <w:rsid w:val="4EC252B8"/>
    <w:rsid w:val="4EC975A7"/>
    <w:rsid w:val="4ECF158C"/>
    <w:rsid w:val="4ED2349F"/>
    <w:rsid w:val="4ED2404F"/>
    <w:rsid w:val="4ED5629E"/>
    <w:rsid w:val="4ED65279"/>
    <w:rsid w:val="4EDA04FD"/>
    <w:rsid w:val="4EDF0C8E"/>
    <w:rsid w:val="4EE0460D"/>
    <w:rsid w:val="4EE37142"/>
    <w:rsid w:val="4EE427BE"/>
    <w:rsid w:val="4EE55CB4"/>
    <w:rsid w:val="4EE87066"/>
    <w:rsid w:val="4EED351C"/>
    <w:rsid w:val="4EF0679D"/>
    <w:rsid w:val="4EF15E85"/>
    <w:rsid w:val="4EF43716"/>
    <w:rsid w:val="4EF46E48"/>
    <w:rsid w:val="4EF5311D"/>
    <w:rsid w:val="4EF6708B"/>
    <w:rsid w:val="4EFA63DD"/>
    <w:rsid w:val="4EFC1754"/>
    <w:rsid w:val="4F000BB7"/>
    <w:rsid w:val="4F011AB4"/>
    <w:rsid w:val="4F0723AE"/>
    <w:rsid w:val="4F077120"/>
    <w:rsid w:val="4F077420"/>
    <w:rsid w:val="4F0B1B11"/>
    <w:rsid w:val="4F0C19C2"/>
    <w:rsid w:val="4F0D03A6"/>
    <w:rsid w:val="4F0D729B"/>
    <w:rsid w:val="4F1264A0"/>
    <w:rsid w:val="4F1311EB"/>
    <w:rsid w:val="4F155DA1"/>
    <w:rsid w:val="4F181904"/>
    <w:rsid w:val="4F2002FE"/>
    <w:rsid w:val="4F200857"/>
    <w:rsid w:val="4F214B14"/>
    <w:rsid w:val="4F226F94"/>
    <w:rsid w:val="4F246E76"/>
    <w:rsid w:val="4F2B2D81"/>
    <w:rsid w:val="4F2D7AA2"/>
    <w:rsid w:val="4F2E3815"/>
    <w:rsid w:val="4F2F131E"/>
    <w:rsid w:val="4F305223"/>
    <w:rsid w:val="4F33007E"/>
    <w:rsid w:val="4F3932D7"/>
    <w:rsid w:val="4F3D24C1"/>
    <w:rsid w:val="4F3E2D1A"/>
    <w:rsid w:val="4F3F06C7"/>
    <w:rsid w:val="4F413274"/>
    <w:rsid w:val="4F416ECA"/>
    <w:rsid w:val="4F4257BB"/>
    <w:rsid w:val="4F432427"/>
    <w:rsid w:val="4F4A0125"/>
    <w:rsid w:val="4F4E1275"/>
    <w:rsid w:val="4F4E246C"/>
    <w:rsid w:val="4F5015D8"/>
    <w:rsid w:val="4F506AFF"/>
    <w:rsid w:val="4F640EB7"/>
    <w:rsid w:val="4F651B83"/>
    <w:rsid w:val="4F666E60"/>
    <w:rsid w:val="4F687D8B"/>
    <w:rsid w:val="4F69538A"/>
    <w:rsid w:val="4F6B18E4"/>
    <w:rsid w:val="4F701847"/>
    <w:rsid w:val="4F704344"/>
    <w:rsid w:val="4F715718"/>
    <w:rsid w:val="4F723724"/>
    <w:rsid w:val="4F775837"/>
    <w:rsid w:val="4F7B0543"/>
    <w:rsid w:val="4F7C493A"/>
    <w:rsid w:val="4F7C5E20"/>
    <w:rsid w:val="4F7D0A19"/>
    <w:rsid w:val="4F7E0C6B"/>
    <w:rsid w:val="4F7E68DC"/>
    <w:rsid w:val="4F8007B8"/>
    <w:rsid w:val="4F823CAF"/>
    <w:rsid w:val="4F8545A9"/>
    <w:rsid w:val="4F88182B"/>
    <w:rsid w:val="4F883D68"/>
    <w:rsid w:val="4F890BD1"/>
    <w:rsid w:val="4F896420"/>
    <w:rsid w:val="4F8A6A95"/>
    <w:rsid w:val="4F90667E"/>
    <w:rsid w:val="4F915239"/>
    <w:rsid w:val="4F9247AA"/>
    <w:rsid w:val="4F931881"/>
    <w:rsid w:val="4F932A00"/>
    <w:rsid w:val="4F9379E5"/>
    <w:rsid w:val="4F941DEA"/>
    <w:rsid w:val="4F966D40"/>
    <w:rsid w:val="4F997D04"/>
    <w:rsid w:val="4F9A41AC"/>
    <w:rsid w:val="4F9E53D3"/>
    <w:rsid w:val="4F9E5794"/>
    <w:rsid w:val="4FA0045A"/>
    <w:rsid w:val="4FA01A7E"/>
    <w:rsid w:val="4FA0336A"/>
    <w:rsid w:val="4FA24AFE"/>
    <w:rsid w:val="4FA42CE3"/>
    <w:rsid w:val="4FA54E3F"/>
    <w:rsid w:val="4FA71D14"/>
    <w:rsid w:val="4FA739AE"/>
    <w:rsid w:val="4FA814AD"/>
    <w:rsid w:val="4FAC0D5C"/>
    <w:rsid w:val="4FB02A13"/>
    <w:rsid w:val="4FB5610B"/>
    <w:rsid w:val="4FBA2432"/>
    <w:rsid w:val="4FBC0F82"/>
    <w:rsid w:val="4FBF0E89"/>
    <w:rsid w:val="4FC13E0F"/>
    <w:rsid w:val="4FC42956"/>
    <w:rsid w:val="4FC930DE"/>
    <w:rsid w:val="4FCA6FCA"/>
    <w:rsid w:val="4FD07F1A"/>
    <w:rsid w:val="4FD16543"/>
    <w:rsid w:val="4FD41C9B"/>
    <w:rsid w:val="4FD63BE9"/>
    <w:rsid w:val="4FD651AF"/>
    <w:rsid w:val="4FD90D13"/>
    <w:rsid w:val="4FDC7709"/>
    <w:rsid w:val="4FDE12C9"/>
    <w:rsid w:val="4FE0699B"/>
    <w:rsid w:val="4FE2118B"/>
    <w:rsid w:val="4FE24556"/>
    <w:rsid w:val="4FE302A7"/>
    <w:rsid w:val="4FE66278"/>
    <w:rsid w:val="4FE83E28"/>
    <w:rsid w:val="4FE8618F"/>
    <w:rsid w:val="4FEA3F36"/>
    <w:rsid w:val="4FEB2956"/>
    <w:rsid w:val="4FEC0031"/>
    <w:rsid w:val="4FED287A"/>
    <w:rsid w:val="4FEE214E"/>
    <w:rsid w:val="4FEF4F6D"/>
    <w:rsid w:val="4FF36016"/>
    <w:rsid w:val="4FF5623F"/>
    <w:rsid w:val="4FF66D56"/>
    <w:rsid w:val="4FF72304"/>
    <w:rsid w:val="4FF820B6"/>
    <w:rsid w:val="4FFA22CD"/>
    <w:rsid w:val="4FFB6B98"/>
    <w:rsid w:val="4FFD0213"/>
    <w:rsid w:val="4FFD6E8D"/>
    <w:rsid w:val="4FFE2DD0"/>
    <w:rsid w:val="5000209B"/>
    <w:rsid w:val="5002303E"/>
    <w:rsid w:val="50042339"/>
    <w:rsid w:val="50066A18"/>
    <w:rsid w:val="500746CC"/>
    <w:rsid w:val="500845BA"/>
    <w:rsid w:val="500B26D3"/>
    <w:rsid w:val="500C722F"/>
    <w:rsid w:val="500D201B"/>
    <w:rsid w:val="500E7CB3"/>
    <w:rsid w:val="50106C35"/>
    <w:rsid w:val="50116434"/>
    <w:rsid w:val="50155E67"/>
    <w:rsid w:val="50182B29"/>
    <w:rsid w:val="50197AFD"/>
    <w:rsid w:val="501A2F43"/>
    <w:rsid w:val="501F4117"/>
    <w:rsid w:val="50225C06"/>
    <w:rsid w:val="50225C27"/>
    <w:rsid w:val="50226D78"/>
    <w:rsid w:val="50244E62"/>
    <w:rsid w:val="502664CE"/>
    <w:rsid w:val="502972BE"/>
    <w:rsid w:val="502C6B67"/>
    <w:rsid w:val="502C6D7A"/>
    <w:rsid w:val="502D37C2"/>
    <w:rsid w:val="50305557"/>
    <w:rsid w:val="503251C9"/>
    <w:rsid w:val="503366B1"/>
    <w:rsid w:val="503423CE"/>
    <w:rsid w:val="503623F5"/>
    <w:rsid w:val="503A68F9"/>
    <w:rsid w:val="503B5D4D"/>
    <w:rsid w:val="503D1EF2"/>
    <w:rsid w:val="50411D06"/>
    <w:rsid w:val="50416D67"/>
    <w:rsid w:val="50425261"/>
    <w:rsid w:val="50437DAC"/>
    <w:rsid w:val="5044391C"/>
    <w:rsid w:val="504C1A7A"/>
    <w:rsid w:val="504C4F4A"/>
    <w:rsid w:val="504D156B"/>
    <w:rsid w:val="504E22AB"/>
    <w:rsid w:val="50527E33"/>
    <w:rsid w:val="50565A3F"/>
    <w:rsid w:val="50572778"/>
    <w:rsid w:val="505C355C"/>
    <w:rsid w:val="505F4698"/>
    <w:rsid w:val="5065731F"/>
    <w:rsid w:val="50675E28"/>
    <w:rsid w:val="506930B2"/>
    <w:rsid w:val="506D009C"/>
    <w:rsid w:val="506D643B"/>
    <w:rsid w:val="50750402"/>
    <w:rsid w:val="50760E70"/>
    <w:rsid w:val="50777CD9"/>
    <w:rsid w:val="50795E11"/>
    <w:rsid w:val="50815BE9"/>
    <w:rsid w:val="50822916"/>
    <w:rsid w:val="50893A81"/>
    <w:rsid w:val="50893D76"/>
    <w:rsid w:val="508D2770"/>
    <w:rsid w:val="508E7A64"/>
    <w:rsid w:val="508F4628"/>
    <w:rsid w:val="508F4C29"/>
    <w:rsid w:val="508F6980"/>
    <w:rsid w:val="50915690"/>
    <w:rsid w:val="50942331"/>
    <w:rsid w:val="5098052D"/>
    <w:rsid w:val="509D6294"/>
    <w:rsid w:val="50A002AA"/>
    <w:rsid w:val="50A11673"/>
    <w:rsid w:val="50A7683B"/>
    <w:rsid w:val="50A8054F"/>
    <w:rsid w:val="50AB0EDB"/>
    <w:rsid w:val="50AD002F"/>
    <w:rsid w:val="50AE3399"/>
    <w:rsid w:val="50AE7E24"/>
    <w:rsid w:val="50B25AFE"/>
    <w:rsid w:val="50B360A6"/>
    <w:rsid w:val="50B574CA"/>
    <w:rsid w:val="50B66EDF"/>
    <w:rsid w:val="50B777FE"/>
    <w:rsid w:val="50BA29B0"/>
    <w:rsid w:val="50BF461C"/>
    <w:rsid w:val="50C030B9"/>
    <w:rsid w:val="50C26527"/>
    <w:rsid w:val="50C40098"/>
    <w:rsid w:val="50C45E89"/>
    <w:rsid w:val="50C57DE1"/>
    <w:rsid w:val="50C94994"/>
    <w:rsid w:val="50C95F49"/>
    <w:rsid w:val="50D86E25"/>
    <w:rsid w:val="50D92DFE"/>
    <w:rsid w:val="50D9374C"/>
    <w:rsid w:val="50DB3A9F"/>
    <w:rsid w:val="50DC3D92"/>
    <w:rsid w:val="50DC6C19"/>
    <w:rsid w:val="50DD078F"/>
    <w:rsid w:val="50DE26A1"/>
    <w:rsid w:val="50DE3FD3"/>
    <w:rsid w:val="50E41604"/>
    <w:rsid w:val="50EA3008"/>
    <w:rsid w:val="50EA5985"/>
    <w:rsid w:val="50EB742E"/>
    <w:rsid w:val="50F42C9D"/>
    <w:rsid w:val="50F47C38"/>
    <w:rsid w:val="50F92DAA"/>
    <w:rsid w:val="50F95961"/>
    <w:rsid w:val="50FB0C75"/>
    <w:rsid w:val="50FB3230"/>
    <w:rsid w:val="50FC6FB8"/>
    <w:rsid w:val="50FD0258"/>
    <w:rsid w:val="50FD4A77"/>
    <w:rsid w:val="50FE2865"/>
    <w:rsid w:val="50FF5DCE"/>
    <w:rsid w:val="51024F1D"/>
    <w:rsid w:val="5103019A"/>
    <w:rsid w:val="510505BD"/>
    <w:rsid w:val="5105358A"/>
    <w:rsid w:val="510A485B"/>
    <w:rsid w:val="510C31AF"/>
    <w:rsid w:val="511660E0"/>
    <w:rsid w:val="51175C79"/>
    <w:rsid w:val="51180D62"/>
    <w:rsid w:val="51186AEC"/>
    <w:rsid w:val="5118762C"/>
    <w:rsid w:val="511C1887"/>
    <w:rsid w:val="511F49A5"/>
    <w:rsid w:val="51242D2B"/>
    <w:rsid w:val="512444C7"/>
    <w:rsid w:val="512547E4"/>
    <w:rsid w:val="5126250F"/>
    <w:rsid w:val="512D40BB"/>
    <w:rsid w:val="512E4D91"/>
    <w:rsid w:val="512F3C09"/>
    <w:rsid w:val="51304656"/>
    <w:rsid w:val="51331035"/>
    <w:rsid w:val="51334E95"/>
    <w:rsid w:val="51361619"/>
    <w:rsid w:val="51363C93"/>
    <w:rsid w:val="51372784"/>
    <w:rsid w:val="51382F6A"/>
    <w:rsid w:val="513A390C"/>
    <w:rsid w:val="513E080F"/>
    <w:rsid w:val="513E4811"/>
    <w:rsid w:val="513E5034"/>
    <w:rsid w:val="51407E76"/>
    <w:rsid w:val="514149C6"/>
    <w:rsid w:val="514419EE"/>
    <w:rsid w:val="514563A8"/>
    <w:rsid w:val="514D4FD1"/>
    <w:rsid w:val="514E495F"/>
    <w:rsid w:val="514E7B4E"/>
    <w:rsid w:val="514F68B1"/>
    <w:rsid w:val="51510AF5"/>
    <w:rsid w:val="5153670D"/>
    <w:rsid w:val="5154509E"/>
    <w:rsid w:val="515661FD"/>
    <w:rsid w:val="515720C6"/>
    <w:rsid w:val="51592257"/>
    <w:rsid w:val="515B38E4"/>
    <w:rsid w:val="515C3915"/>
    <w:rsid w:val="515C717E"/>
    <w:rsid w:val="515E7847"/>
    <w:rsid w:val="51620F1A"/>
    <w:rsid w:val="51624C45"/>
    <w:rsid w:val="51633392"/>
    <w:rsid w:val="51646526"/>
    <w:rsid w:val="51665D79"/>
    <w:rsid w:val="51677F27"/>
    <w:rsid w:val="516A78AF"/>
    <w:rsid w:val="516F0DC0"/>
    <w:rsid w:val="517061BC"/>
    <w:rsid w:val="517110DD"/>
    <w:rsid w:val="51740F02"/>
    <w:rsid w:val="5174749E"/>
    <w:rsid w:val="51760C71"/>
    <w:rsid w:val="51790FEC"/>
    <w:rsid w:val="517A687E"/>
    <w:rsid w:val="517C041E"/>
    <w:rsid w:val="51825244"/>
    <w:rsid w:val="5183209B"/>
    <w:rsid w:val="5187476D"/>
    <w:rsid w:val="51883BC9"/>
    <w:rsid w:val="518A2508"/>
    <w:rsid w:val="518A7717"/>
    <w:rsid w:val="518B006C"/>
    <w:rsid w:val="518E3C92"/>
    <w:rsid w:val="5190381F"/>
    <w:rsid w:val="51907D74"/>
    <w:rsid w:val="5191410E"/>
    <w:rsid w:val="51975848"/>
    <w:rsid w:val="51983CE1"/>
    <w:rsid w:val="519D71F6"/>
    <w:rsid w:val="519E599B"/>
    <w:rsid w:val="51A02AD2"/>
    <w:rsid w:val="51A12B74"/>
    <w:rsid w:val="51A33E58"/>
    <w:rsid w:val="51A37EAC"/>
    <w:rsid w:val="51A53CA2"/>
    <w:rsid w:val="51AB74C8"/>
    <w:rsid w:val="51AC0F78"/>
    <w:rsid w:val="51AE6ED1"/>
    <w:rsid w:val="51B01DB1"/>
    <w:rsid w:val="51B062A7"/>
    <w:rsid w:val="51B12CCE"/>
    <w:rsid w:val="51B7313F"/>
    <w:rsid w:val="51B76D81"/>
    <w:rsid w:val="51BB4194"/>
    <w:rsid w:val="51BD002A"/>
    <w:rsid w:val="51BD67BF"/>
    <w:rsid w:val="51BF0246"/>
    <w:rsid w:val="51C17546"/>
    <w:rsid w:val="51C20239"/>
    <w:rsid w:val="51C23B48"/>
    <w:rsid w:val="51C35397"/>
    <w:rsid w:val="51C77F3A"/>
    <w:rsid w:val="51CA6798"/>
    <w:rsid w:val="51CB4BF4"/>
    <w:rsid w:val="51CC44C9"/>
    <w:rsid w:val="51CD27BF"/>
    <w:rsid w:val="51CD4204"/>
    <w:rsid w:val="51CF6AF7"/>
    <w:rsid w:val="51D0617A"/>
    <w:rsid w:val="51D15A96"/>
    <w:rsid w:val="51D45393"/>
    <w:rsid w:val="51D57581"/>
    <w:rsid w:val="51D63872"/>
    <w:rsid w:val="51D71885"/>
    <w:rsid w:val="51D93E93"/>
    <w:rsid w:val="51D9411B"/>
    <w:rsid w:val="51D94A0D"/>
    <w:rsid w:val="51D96E03"/>
    <w:rsid w:val="51DC63BF"/>
    <w:rsid w:val="51DF52A2"/>
    <w:rsid w:val="51DF5BBE"/>
    <w:rsid w:val="51DF6138"/>
    <w:rsid w:val="51E144AC"/>
    <w:rsid w:val="51E317F5"/>
    <w:rsid w:val="51E335B5"/>
    <w:rsid w:val="51E33F23"/>
    <w:rsid w:val="51E40EAE"/>
    <w:rsid w:val="51E7550B"/>
    <w:rsid w:val="51EA0732"/>
    <w:rsid w:val="51EA35BC"/>
    <w:rsid w:val="51F250DD"/>
    <w:rsid w:val="51F31140"/>
    <w:rsid w:val="51F313C1"/>
    <w:rsid w:val="51F501B0"/>
    <w:rsid w:val="51F7768D"/>
    <w:rsid w:val="51FA50B4"/>
    <w:rsid w:val="51FB00F1"/>
    <w:rsid w:val="51FC096B"/>
    <w:rsid w:val="51FF6982"/>
    <w:rsid w:val="52010C33"/>
    <w:rsid w:val="5204054C"/>
    <w:rsid w:val="52045C59"/>
    <w:rsid w:val="52050121"/>
    <w:rsid w:val="52062533"/>
    <w:rsid w:val="52082575"/>
    <w:rsid w:val="520B15F5"/>
    <w:rsid w:val="520C18DB"/>
    <w:rsid w:val="520C2464"/>
    <w:rsid w:val="520E083A"/>
    <w:rsid w:val="521225B3"/>
    <w:rsid w:val="52125CD0"/>
    <w:rsid w:val="52142EB3"/>
    <w:rsid w:val="52150606"/>
    <w:rsid w:val="5216155F"/>
    <w:rsid w:val="5217591A"/>
    <w:rsid w:val="52184B9C"/>
    <w:rsid w:val="521E33E5"/>
    <w:rsid w:val="522200EC"/>
    <w:rsid w:val="52233436"/>
    <w:rsid w:val="522428CB"/>
    <w:rsid w:val="522473C0"/>
    <w:rsid w:val="52254407"/>
    <w:rsid w:val="52264598"/>
    <w:rsid w:val="52293911"/>
    <w:rsid w:val="522A5B1E"/>
    <w:rsid w:val="522A5F3F"/>
    <w:rsid w:val="522D4311"/>
    <w:rsid w:val="522E0F28"/>
    <w:rsid w:val="5233310E"/>
    <w:rsid w:val="52374280"/>
    <w:rsid w:val="523D3C30"/>
    <w:rsid w:val="523E05B6"/>
    <w:rsid w:val="523F0C82"/>
    <w:rsid w:val="5240460E"/>
    <w:rsid w:val="5244074B"/>
    <w:rsid w:val="524424F9"/>
    <w:rsid w:val="524825AC"/>
    <w:rsid w:val="524840C7"/>
    <w:rsid w:val="524C0221"/>
    <w:rsid w:val="524F15CA"/>
    <w:rsid w:val="524F271A"/>
    <w:rsid w:val="52556FF6"/>
    <w:rsid w:val="525570A6"/>
    <w:rsid w:val="52564A73"/>
    <w:rsid w:val="525717A3"/>
    <w:rsid w:val="5257732D"/>
    <w:rsid w:val="52592E5E"/>
    <w:rsid w:val="525F19A5"/>
    <w:rsid w:val="5261406E"/>
    <w:rsid w:val="52635605"/>
    <w:rsid w:val="5266450D"/>
    <w:rsid w:val="526838A2"/>
    <w:rsid w:val="526863A7"/>
    <w:rsid w:val="52686A93"/>
    <w:rsid w:val="526A1249"/>
    <w:rsid w:val="526A1806"/>
    <w:rsid w:val="526A625C"/>
    <w:rsid w:val="526B5194"/>
    <w:rsid w:val="526E787F"/>
    <w:rsid w:val="526F3A1A"/>
    <w:rsid w:val="52702B4D"/>
    <w:rsid w:val="527425A8"/>
    <w:rsid w:val="52747C1E"/>
    <w:rsid w:val="52765304"/>
    <w:rsid w:val="52785D72"/>
    <w:rsid w:val="527B4B9F"/>
    <w:rsid w:val="527D7AF6"/>
    <w:rsid w:val="527F2616"/>
    <w:rsid w:val="528167A3"/>
    <w:rsid w:val="528228AF"/>
    <w:rsid w:val="528268DB"/>
    <w:rsid w:val="52836B8D"/>
    <w:rsid w:val="52860D64"/>
    <w:rsid w:val="528630D6"/>
    <w:rsid w:val="52881191"/>
    <w:rsid w:val="528D35CA"/>
    <w:rsid w:val="528D6E8D"/>
    <w:rsid w:val="528E018C"/>
    <w:rsid w:val="528E6977"/>
    <w:rsid w:val="52900ADC"/>
    <w:rsid w:val="5290400D"/>
    <w:rsid w:val="52910E16"/>
    <w:rsid w:val="52944B82"/>
    <w:rsid w:val="52994922"/>
    <w:rsid w:val="529C13C0"/>
    <w:rsid w:val="529E7E5B"/>
    <w:rsid w:val="529F21EC"/>
    <w:rsid w:val="529F5024"/>
    <w:rsid w:val="52A0174F"/>
    <w:rsid w:val="52A20857"/>
    <w:rsid w:val="52A25BF0"/>
    <w:rsid w:val="52A77342"/>
    <w:rsid w:val="52A91073"/>
    <w:rsid w:val="52AA1191"/>
    <w:rsid w:val="52AA6A85"/>
    <w:rsid w:val="52AB4326"/>
    <w:rsid w:val="52AB672D"/>
    <w:rsid w:val="52AD2162"/>
    <w:rsid w:val="52AF5825"/>
    <w:rsid w:val="52B070A5"/>
    <w:rsid w:val="52B07B43"/>
    <w:rsid w:val="52B36723"/>
    <w:rsid w:val="52B54FB1"/>
    <w:rsid w:val="52B64FD6"/>
    <w:rsid w:val="52B92CFC"/>
    <w:rsid w:val="52B97644"/>
    <w:rsid w:val="52BA1C2C"/>
    <w:rsid w:val="52BD15AF"/>
    <w:rsid w:val="52C03512"/>
    <w:rsid w:val="52C242BE"/>
    <w:rsid w:val="52C85117"/>
    <w:rsid w:val="52CA15D8"/>
    <w:rsid w:val="52CA3592"/>
    <w:rsid w:val="52CB27BD"/>
    <w:rsid w:val="52CC2D12"/>
    <w:rsid w:val="52D40A72"/>
    <w:rsid w:val="52D4675F"/>
    <w:rsid w:val="52D5379E"/>
    <w:rsid w:val="52DB294C"/>
    <w:rsid w:val="52DB3E99"/>
    <w:rsid w:val="52DC4D2F"/>
    <w:rsid w:val="52DD15B6"/>
    <w:rsid w:val="52DE7B50"/>
    <w:rsid w:val="52E678BD"/>
    <w:rsid w:val="52ED2B91"/>
    <w:rsid w:val="52ED4064"/>
    <w:rsid w:val="52EE1134"/>
    <w:rsid w:val="52F0338C"/>
    <w:rsid w:val="52F12470"/>
    <w:rsid w:val="52F4161F"/>
    <w:rsid w:val="52F7634E"/>
    <w:rsid w:val="52F76D73"/>
    <w:rsid w:val="52F77419"/>
    <w:rsid w:val="52FD1023"/>
    <w:rsid w:val="52FF4107"/>
    <w:rsid w:val="53002D4A"/>
    <w:rsid w:val="53007CE4"/>
    <w:rsid w:val="53016396"/>
    <w:rsid w:val="5302370E"/>
    <w:rsid w:val="53026D86"/>
    <w:rsid w:val="53064CC5"/>
    <w:rsid w:val="53074460"/>
    <w:rsid w:val="530B7185"/>
    <w:rsid w:val="530C2C7C"/>
    <w:rsid w:val="530C7AEE"/>
    <w:rsid w:val="53105CD8"/>
    <w:rsid w:val="53125C0F"/>
    <w:rsid w:val="5315539F"/>
    <w:rsid w:val="5319298A"/>
    <w:rsid w:val="531C1B41"/>
    <w:rsid w:val="5322137D"/>
    <w:rsid w:val="53224070"/>
    <w:rsid w:val="53231B61"/>
    <w:rsid w:val="532321E7"/>
    <w:rsid w:val="53247F40"/>
    <w:rsid w:val="532C7893"/>
    <w:rsid w:val="532F623E"/>
    <w:rsid w:val="53304673"/>
    <w:rsid w:val="53346D7C"/>
    <w:rsid w:val="533A6F86"/>
    <w:rsid w:val="533B744D"/>
    <w:rsid w:val="533C6805"/>
    <w:rsid w:val="533F2BE2"/>
    <w:rsid w:val="53400C86"/>
    <w:rsid w:val="53482C1D"/>
    <w:rsid w:val="53487D31"/>
    <w:rsid w:val="53493E66"/>
    <w:rsid w:val="534E10E1"/>
    <w:rsid w:val="5352763E"/>
    <w:rsid w:val="535624E4"/>
    <w:rsid w:val="53567752"/>
    <w:rsid w:val="535B3504"/>
    <w:rsid w:val="535C1095"/>
    <w:rsid w:val="535F6143"/>
    <w:rsid w:val="5360036E"/>
    <w:rsid w:val="53611292"/>
    <w:rsid w:val="53652E14"/>
    <w:rsid w:val="5365365B"/>
    <w:rsid w:val="53682217"/>
    <w:rsid w:val="53697FBD"/>
    <w:rsid w:val="536B3F7F"/>
    <w:rsid w:val="536F303C"/>
    <w:rsid w:val="53750B18"/>
    <w:rsid w:val="53767771"/>
    <w:rsid w:val="53782729"/>
    <w:rsid w:val="53787CC7"/>
    <w:rsid w:val="537B332B"/>
    <w:rsid w:val="537B337A"/>
    <w:rsid w:val="537C23AF"/>
    <w:rsid w:val="53800008"/>
    <w:rsid w:val="5381533E"/>
    <w:rsid w:val="538329E1"/>
    <w:rsid w:val="53865D3E"/>
    <w:rsid w:val="53866F06"/>
    <w:rsid w:val="53893B18"/>
    <w:rsid w:val="538957A8"/>
    <w:rsid w:val="538B1A36"/>
    <w:rsid w:val="538E5A38"/>
    <w:rsid w:val="53900A50"/>
    <w:rsid w:val="53915E02"/>
    <w:rsid w:val="53924528"/>
    <w:rsid w:val="539318BF"/>
    <w:rsid w:val="539375B9"/>
    <w:rsid w:val="539A37ED"/>
    <w:rsid w:val="539E2A7E"/>
    <w:rsid w:val="53A12A93"/>
    <w:rsid w:val="53A21C46"/>
    <w:rsid w:val="53A4105D"/>
    <w:rsid w:val="53A625BF"/>
    <w:rsid w:val="53AA5286"/>
    <w:rsid w:val="53B322AC"/>
    <w:rsid w:val="53B448E2"/>
    <w:rsid w:val="53B620A1"/>
    <w:rsid w:val="53B67427"/>
    <w:rsid w:val="53B67AD9"/>
    <w:rsid w:val="53B707B8"/>
    <w:rsid w:val="53BB6EA5"/>
    <w:rsid w:val="53C1342A"/>
    <w:rsid w:val="53C43282"/>
    <w:rsid w:val="53C630D7"/>
    <w:rsid w:val="53C7050A"/>
    <w:rsid w:val="53C855A6"/>
    <w:rsid w:val="53C91177"/>
    <w:rsid w:val="53CA67DF"/>
    <w:rsid w:val="53CD4FF0"/>
    <w:rsid w:val="53CE729B"/>
    <w:rsid w:val="53CF1097"/>
    <w:rsid w:val="53D1216F"/>
    <w:rsid w:val="53D13086"/>
    <w:rsid w:val="53D3787E"/>
    <w:rsid w:val="53D37884"/>
    <w:rsid w:val="53D8114B"/>
    <w:rsid w:val="53DA7B7C"/>
    <w:rsid w:val="53DB2C22"/>
    <w:rsid w:val="53DC2969"/>
    <w:rsid w:val="53DE32C9"/>
    <w:rsid w:val="53DE67AE"/>
    <w:rsid w:val="53DF60A5"/>
    <w:rsid w:val="53E13124"/>
    <w:rsid w:val="53E31DEE"/>
    <w:rsid w:val="53E33E4C"/>
    <w:rsid w:val="53E401EB"/>
    <w:rsid w:val="53E576F4"/>
    <w:rsid w:val="53E6374D"/>
    <w:rsid w:val="53E72CA8"/>
    <w:rsid w:val="53EC17E1"/>
    <w:rsid w:val="53ED51A4"/>
    <w:rsid w:val="53EE57AB"/>
    <w:rsid w:val="53F02939"/>
    <w:rsid w:val="53F1220D"/>
    <w:rsid w:val="53F66B3F"/>
    <w:rsid w:val="53FB39A4"/>
    <w:rsid w:val="54016E6F"/>
    <w:rsid w:val="5405267D"/>
    <w:rsid w:val="540F2205"/>
    <w:rsid w:val="5413010E"/>
    <w:rsid w:val="54156D80"/>
    <w:rsid w:val="541875C5"/>
    <w:rsid w:val="54196905"/>
    <w:rsid w:val="54200C60"/>
    <w:rsid w:val="54213B96"/>
    <w:rsid w:val="54233BB4"/>
    <w:rsid w:val="542720D3"/>
    <w:rsid w:val="542A405B"/>
    <w:rsid w:val="542B44BE"/>
    <w:rsid w:val="54307C7C"/>
    <w:rsid w:val="54310B98"/>
    <w:rsid w:val="54376F49"/>
    <w:rsid w:val="54387E3C"/>
    <w:rsid w:val="543D66A2"/>
    <w:rsid w:val="543F2E82"/>
    <w:rsid w:val="5443231D"/>
    <w:rsid w:val="544347CE"/>
    <w:rsid w:val="5447008C"/>
    <w:rsid w:val="5447010B"/>
    <w:rsid w:val="544A0165"/>
    <w:rsid w:val="544B69FD"/>
    <w:rsid w:val="54554AD2"/>
    <w:rsid w:val="54585878"/>
    <w:rsid w:val="545A123C"/>
    <w:rsid w:val="545E5F25"/>
    <w:rsid w:val="5460098D"/>
    <w:rsid w:val="54641834"/>
    <w:rsid w:val="54657FFE"/>
    <w:rsid w:val="54664C1D"/>
    <w:rsid w:val="54666ED4"/>
    <w:rsid w:val="546879A1"/>
    <w:rsid w:val="546923BA"/>
    <w:rsid w:val="546B0211"/>
    <w:rsid w:val="546C5404"/>
    <w:rsid w:val="546D25B9"/>
    <w:rsid w:val="546E2837"/>
    <w:rsid w:val="54705624"/>
    <w:rsid w:val="54713A83"/>
    <w:rsid w:val="547215B5"/>
    <w:rsid w:val="54721BDE"/>
    <w:rsid w:val="547258E8"/>
    <w:rsid w:val="547277F2"/>
    <w:rsid w:val="54731D5E"/>
    <w:rsid w:val="5474452E"/>
    <w:rsid w:val="5475198B"/>
    <w:rsid w:val="547605CB"/>
    <w:rsid w:val="54762A97"/>
    <w:rsid w:val="54797A3D"/>
    <w:rsid w:val="547C4647"/>
    <w:rsid w:val="547E281D"/>
    <w:rsid w:val="547E6A9D"/>
    <w:rsid w:val="54815538"/>
    <w:rsid w:val="5485229D"/>
    <w:rsid w:val="5487338B"/>
    <w:rsid w:val="5488280E"/>
    <w:rsid w:val="548902F3"/>
    <w:rsid w:val="548A7A28"/>
    <w:rsid w:val="548C5D77"/>
    <w:rsid w:val="548D23B5"/>
    <w:rsid w:val="548E3F00"/>
    <w:rsid w:val="548F2152"/>
    <w:rsid w:val="549164F5"/>
    <w:rsid w:val="5494017B"/>
    <w:rsid w:val="54954235"/>
    <w:rsid w:val="54973AC1"/>
    <w:rsid w:val="549A7E5C"/>
    <w:rsid w:val="549C6070"/>
    <w:rsid w:val="549D263F"/>
    <w:rsid w:val="549D612D"/>
    <w:rsid w:val="549E34B2"/>
    <w:rsid w:val="549E59AB"/>
    <w:rsid w:val="54A16951"/>
    <w:rsid w:val="54A279EC"/>
    <w:rsid w:val="54A5165D"/>
    <w:rsid w:val="54A55EFE"/>
    <w:rsid w:val="54AB5E48"/>
    <w:rsid w:val="54AB7FE8"/>
    <w:rsid w:val="54AF78BB"/>
    <w:rsid w:val="54B044D8"/>
    <w:rsid w:val="54B374CD"/>
    <w:rsid w:val="54B55CCD"/>
    <w:rsid w:val="54BB6EA1"/>
    <w:rsid w:val="54BC7E99"/>
    <w:rsid w:val="54BF3CF3"/>
    <w:rsid w:val="54C21A0A"/>
    <w:rsid w:val="54C33181"/>
    <w:rsid w:val="54C85745"/>
    <w:rsid w:val="54C86726"/>
    <w:rsid w:val="54C9302B"/>
    <w:rsid w:val="54CF141A"/>
    <w:rsid w:val="54CF49CE"/>
    <w:rsid w:val="54D13742"/>
    <w:rsid w:val="54D212A0"/>
    <w:rsid w:val="54D23FCC"/>
    <w:rsid w:val="54D60FE4"/>
    <w:rsid w:val="54D83006"/>
    <w:rsid w:val="54D93DB9"/>
    <w:rsid w:val="54DC2C7E"/>
    <w:rsid w:val="54DE6408"/>
    <w:rsid w:val="54DF1B08"/>
    <w:rsid w:val="54E11F6B"/>
    <w:rsid w:val="54E63D3C"/>
    <w:rsid w:val="54EA3ABF"/>
    <w:rsid w:val="54ED1EFC"/>
    <w:rsid w:val="54ED4244"/>
    <w:rsid w:val="54EE034D"/>
    <w:rsid w:val="54EF225E"/>
    <w:rsid w:val="54F178CE"/>
    <w:rsid w:val="54F25A9A"/>
    <w:rsid w:val="54F2721D"/>
    <w:rsid w:val="54F47297"/>
    <w:rsid w:val="54F63770"/>
    <w:rsid w:val="54F63824"/>
    <w:rsid w:val="54F63858"/>
    <w:rsid w:val="54FD031D"/>
    <w:rsid w:val="54FD2C4B"/>
    <w:rsid w:val="54FD38C6"/>
    <w:rsid w:val="55012A88"/>
    <w:rsid w:val="550964E4"/>
    <w:rsid w:val="55096920"/>
    <w:rsid w:val="5509729D"/>
    <w:rsid w:val="550A6CC7"/>
    <w:rsid w:val="550A71CC"/>
    <w:rsid w:val="550C42C2"/>
    <w:rsid w:val="550D751A"/>
    <w:rsid w:val="55102552"/>
    <w:rsid w:val="55113C51"/>
    <w:rsid w:val="55133372"/>
    <w:rsid w:val="55175935"/>
    <w:rsid w:val="55185DF1"/>
    <w:rsid w:val="551B1E29"/>
    <w:rsid w:val="551D5840"/>
    <w:rsid w:val="551E41AE"/>
    <w:rsid w:val="551E7AC7"/>
    <w:rsid w:val="552157BC"/>
    <w:rsid w:val="55230715"/>
    <w:rsid w:val="55276DEC"/>
    <w:rsid w:val="5528266A"/>
    <w:rsid w:val="552A7C1C"/>
    <w:rsid w:val="552C5AF2"/>
    <w:rsid w:val="55307906"/>
    <w:rsid w:val="55313209"/>
    <w:rsid w:val="553700F3"/>
    <w:rsid w:val="55394DAF"/>
    <w:rsid w:val="553E62DF"/>
    <w:rsid w:val="553F4DBE"/>
    <w:rsid w:val="55423196"/>
    <w:rsid w:val="55434CEF"/>
    <w:rsid w:val="55446FAE"/>
    <w:rsid w:val="554614EA"/>
    <w:rsid w:val="5548504E"/>
    <w:rsid w:val="554A2450"/>
    <w:rsid w:val="554F18E1"/>
    <w:rsid w:val="55500176"/>
    <w:rsid w:val="55531061"/>
    <w:rsid w:val="55580447"/>
    <w:rsid w:val="555C1F9C"/>
    <w:rsid w:val="555E6AE2"/>
    <w:rsid w:val="555E70BC"/>
    <w:rsid w:val="55634036"/>
    <w:rsid w:val="5566291F"/>
    <w:rsid w:val="55666781"/>
    <w:rsid w:val="55685B80"/>
    <w:rsid w:val="55690647"/>
    <w:rsid w:val="556B2EF0"/>
    <w:rsid w:val="556B42D2"/>
    <w:rsid w:val="556C4241"/>
    <w:rsid w:val="556C4322"/>
    <w:rsid w:val="556E5354"/>
    <w:rsid w:val="55730EB5"/>
    <w:rsid w:val="55755A30"/>
    <w:rsid w:val="55764A4B"/>
    <w:rsid w:val="557902A6"/>
    <w:rsid w:val="55792660"/>
    <w:rsid w:val="557C4801"/>
    <w:rsid w:val="55801362"/>
    <w:rsid w:val="55830B34"/>
    <w:rsid w:val="55843E2F"/>
    <w:rsid w:val="5587201A"/>
    <w:rsid w:val="55886961"/>
    <w:rsid w:val="55892621"/>
    <w:rsid w:val="55897297"/>
    <w:rsid w:val="558A62D9"/>
    <w:rsid w:val="558A79B4"/>
    <w:rsid w:val="558A7E86"/>
    <w:rsid w:val="558B492B"/>
    <w:rsid w:val="558B6849"/>
    <w:rsid w:val="558C3EAC"/>
    <w:rsid w:val="558C4A13"/>
    <w:rsid w:val="5590613C"/>
    <w:rsid w:val="55920D63"/>
    <w:rsid w:val="5595215A"/>
    <w:rsid w:val="55972E41"/>
    <w:rsid w:val="55993F93"/>
    <w:rsid w:val="55994B04"/>
    <w:rsid w:val="559A0F29"/>
    <w:rsid w:val="559B7683"/>
    <w:rsid w:val="559D14E3"/>
    <w:rsid w:val="55A257F6"/>
    <w:rsid w:val="55A35789"/>
    <w:rsid w:val="55A50889"/>
    <w:rsid w:val="55A54E5B"/>
    <w:rsid w:val="55A87C53"/>
    <w:rsid w:val="55AE4DDF"/>
    <w:rsid w:val="55AF2380"/>
    <w:rsid w:val="55B15BEC"/>
    <w:rsid w:val="55B17EA6"/>
    <w:rsid w:val="55B24C25"/>
    <w:rsid w:val="55B3276A"/>
    <w:rsid w:val="55B33FFB"/>
    <w:rsid w:val="55B575E1"/>
    <w:rsid w:val="55B70FAF"/>
    <w:rsid w:val="55B776A3"/>
    <w:rsid w:val="55B81234"/>
    <w:rsid w:val="55BA1A39"/>
    <w:rsid w:val="55BA31E4"/>
    <w:rsid w:val="55BB2795"/>
    <w:rsid w:val="55BC43ED"/>
    <w:rsid w:val="55BD2988"/>
    <w:rsid w:val="55BD541B"/>
    <w:rsid w:val="55BF1B49"/>
    <w:rsid w:val="55C359A2"/>
    <w:rsid w:val="55C5153F"/>
    <w:rsid w:val="55C573E7"/>
    <w:rsid w:val="55C746EB"/>
    <w:rsid w:val="55C97EB5"/>
    <w:rsid w:val="55CD0F14"/>
    <w:rsid w:val="55D02A22"/>
    <w:rsid w:val="55D10FCF"/>
    <w:rsid w:val="55D3521D"/>
    <w:rsid w:val="55D375C9"/>
    <w:rsid w:val="55D730FB"/>
    <w:rsid w:val="55D915FD"/>
    <w:rsid w:val="55DA2833"/>
    <w:rsid w:val="55DB7F64"/>
    <w:rsid w:val="55DC1EC0"/>
    <w:rsid w:val="55DC3DF7"/>
    <w:rsid w:val="55DC72ED"/>
    <w:rsid w:val="55DE5B46"/>
    <w:rsid w:val="55E22F46"/>
    <w:rsid w:val="55E357CF"/>
    <w:rsid w:val="55E50320"/>
    <w:rsid w:val="55E87D43"/>
    <w:rsid w:val="55F14746"/>
    <w:rsid w:val="55F33864"/>
    <w:rsid w:val="55F47AE1"/>
    <w:rsid w:val="55F572D5"/>
    <w:rsid w:val="55F64781"/>
    <w:rsid w:val="55FC4E7B"/>
    <w:rsid w:val="55FE048D"/>
    <w:rsid w:val="55FE7AE4"/>
    <w:rsid w:val="55FF79E4"/>
    <w:rsid w:val="5601079D"/>
    <w:rsid w:val="56010E2D"/>
    <w:rsid w:val="56076963"/>
    <w:rsid w:val="56077C78"/>
    <w:rsid w:val="560A22A2"/>
    <w:rsid w:val="560C3980"/>
    <w:rsid w:val="560C66E9"/>
    <w:rsid w:val="560D193C"/>
    <w:rsid w:val="560D4F20"/>
    <w:rsid w:val="560D58EA"/>
    <w:rsid w:val="560E37B5"/>
    <w:rsid w:val="56124497"/>
    <w:rsid w:val="56144F2D"/>
    <w:rsid w:val="56167A51"/>
    <w:rsid w:val="561D6DAD"/>
    <w:rsid w:val="561E1650"/>
    <w:rsid w:val="561F3061"/>
    <w:rsid w:val="56225CC3"/>
    <w:rsid w:val="56234E0D"/>
    <w:rsid w:val="5623744F"/>
    <w:rsid w:val="56245E5C"/>
    <w:rsid w:val="5626173A"/>
    <w:rsid w:val="56277DBE"/>
    <w:rsid w:val="562B7195"/>
    <w:rsid w:val="562E606D"/>
    <w:rsid w:val="563013F5"/>
    <w:rsid w:val="5630656B"/>
    <w:rsid w:val="563303F1"/>
    <w:rsid w:val="563310A7"/>
    <w:rsid w:val="563E16B7"/>
    <w:rsid w:val="564440FA"/>
    <w:rsid w:val="5647402F"/>
    <w:rsid w:val="564A2E0D"/>
    <w:rsid w:val="564C4139"/>
    <w:rsid w:val="56517A58"/>
    <w:rsid w:val="56517C14"/>
    <w:rsid w:val="56532423"/>
    <w:rsid w:val="565405C3"/>
    <w:rsid w:val="56575015"/>
    <w:rsid w:val="56576C9F"/>
    <w:rsid w:val="565809EA"/>
    <w:rsid w:val="56584A92"/>
    <w:rsid w:val="565934F5"/>
    <w:rsid w:val="565E5007"/>
    <w:rsid w:val="565F10DC"/>
    <w:rsid w:val="56632EE2"/>
    <w:rsid w:val="566555C3"/>
    <w:rsid w:val="56656A68"/>
    <w:rsid w:val="566A7DE5"/>
    <w:rsid w:val="56736A83"/>
    <w:rsid w:val="567463A5"/>
    <w:rsid w:val="56775352"/>
    <w:rsid w:val="56790B64"/>
    <w:rsid w:val="56793D42"/>
    <w:rsid w:val="567D2377"/>
    <w:rsid w:val="567F5C11"/>
    <w:rsid w:val="56844DE7"/>
    <w:rsid w:val="56845FF7"/>
    <w:rsid w:val="56854972"/>
    <w:rsid w:val="5688533E"/>
    <w:rsid w:val="568A4131"/>
    <w:rsid w:val="568B2EF3"/>
    <w:rsid w:val="568C7FE1"/>
    <w:rsid w:val="568E3143"/>
    <w:rsid w:val="568E6F78"/>
    <w:rsid w:val="568F39AD"/>
    <w:rsid w:val="56904E1B"/>
    <w:rsid w:val="56915E4F"/>
    <w:rsid w:val="5697353F"/>
    <w:rsid w:val="56996B67"/>
    <w:rsid w:val="569A10C6"/>
    <w:rsid w:val="569B34B6"/>
    <w:rsid w:val="569D433A"/>
    <w:rsid w:val="569F559C"/>
    <w:rsid w:val="56A05695"/>
    <w:rsid w:val="56A144D1"/>
    <w:rsid w:val="56A219F4"/>
    <w:rsid w:val="56A361F4"/>
    <w:rsid w:val="56A40989"/>
    <w:rsid w:val="56A83FC5"/>
    <w:rsid w:val="56AC5584"/>
    <w:rsid w:val="56AE4951"/>
    <w:rsid w:val="56AF0509"/>
    <w:rsid w:val="56B255D6"/>
    <w:rsid w:val="56B85A05"/>
    <w:rsid w:val="56BA502D"/>
    <w:rsid w:val="56BB584B"/>
    <w:rsid w:val="56BD2165"/>
    <w:rsid w:val="56BE43BF"/>
    <w:rsid w:val="56BE448A"/>
    <w:rsid w:val="56C16381"/>
    <w:rsid w:val="56C3688A"/>
    <w:rsid w:val="56CA1198"/>
    <w:rsid w:val="56CB0D39"/>
    <w:rsid w:val="56CB2AC1"/>
    <w:rsid w:val="56CB7D65"/>
    <w:rsid w:val="56CE7AE0"/>
    <w:rsid w:val="56D613D1"/>
    <w:rsid w:val="56DF7445"/>
    <w:rsid w:val="56E111C0"/>
    <w:rsid w:val="56E147BB"/>
    <w:rsid w:val="56E462A6"/>
    <w:rsid w:val="56E71563"/>
    <w:rsid w:val="56E7662D"/>
    <w:rsid w:val="56EA1345"/>
    <w:rsid w:val="56EB107B"/>
    <w:rsid w:val="56EE7E6C"/>
    <w:rsid w:val="56FD461C"/>
    <w:rsid w:val="56FE48A2"/>
    <w:rsid w:val="56FE5EA0"/>
    <w:rsid w:val="56FE63C1"/>
    <w:rsid w:val="5701284E"/>
    <w:rsid w:val="57053D4D"/>
    <w:rsid w:val="5708120A"/>
    <w:rsid w:val="570C3F68"/>
    <w:rsid w:val="570D015C"/>
    <w:rsid w:val="570F7D3A"/>
    <w:rsid w:val="57100CC5"/>
    <w:rsid w:val="571073F1"/>
    <w:rsid w:val="57116CFA"/>
    <w:rsid w:val="57123987"/>
    <w:rsid w:val="571C428A"/>
    <w:rsid w:val="571C5B32"/>
    <w:rsid w:val="571F09EB"/>
    <w:rsid w:val="571F2CD6"/>
    <w:rsid w:val="571F3CC0"/>
    <w:rsid w:val="572067B9"/>
    <w:rsid w:val="57232CBE"/>
    <w:rsid w:val="572603D5"/>
    <w:rsid w:val="57267EA1"/>
    <w:rsid w:val="5728326F"/>
    <w:rsid w:val="572A5534"/>
    <w:rsid w:val="572E3D04"/>
    <w:rsid w:val="57326FA3"/>
    <w:rsid w:val="573610C1"/>
    <w:rsid w:val="57371BA1"/>
    <w:rsid w:val="57374B04"/>
    <w:rsid w:val="573B0CC3"/>
    <w:rsid w:val="573B6A5F"/>
    <w:rsid w:val="573C4BAE"/>
    <w:rsid w:val="573C7521"/>
    <w:rsid w:val="573D1331"/>
    <w:rsid w:val="573D55F8"/>
    <w:rsid w:val="573F0B55"/>
    <w:rsid w:val="573F744F"/>
    <w:rsid w:val="5742003A"/>
    <w:rsid w:val="574474A9"/>
    <w:rsid w:val="57497CF6"/>
    <w:rsid w:val="574A6EF7"/>
    <w:rsid w:val="574B4509"/>
    <w:rsid w:val="574C46C8"/>
    <w:rsid w:val="574C6007"/>
    <w:rsid w:val="574D04B1"/>
    <w:rsid w:val="574F5069"/>
    <w:rsid w:val="575149BF"/>
    <w:rsid w:val="57521214"/>
    <w:rsid w:val="57574BD0"/>
    <w:rsid w:val="575A17C5"/>
    <w:rsid w:val="575A75F9"/>
    <w:rsid w:val="575B2A45"/>
    <w:rsid w:val="575C030D"/>
    <w:rsid w:val="575D0F89"/>
    <w:rsid w:val="575E1F2C"/>
    <w:rsid w:val="575E384A"/>
    <w:rsid w:val="575F1DB8"/>
    <w:rsid w:val="576123FF"/>
    <w:rsid w:val="576E1E57"/>
    <w:rsid w:val="576F1382"/>
    <w:rsid w:val="576F2396"/>
    <w:rsid w:val="576F75D6"/>
    <w:rsid w:val="577470E2"/>
    <w:rsid w:val="57765EAD"/>
    <w:rsid w:val="578209D0"/>
    <w:rsid w:val="5783385B"/>
    <w:rsid w:val="57833C22"/>
    <w:rsid w:val="578B4646"/>
    <w:rsid w:val="578E2A26"/>
    <w:rsid w:val="57951B6A"/>
    <w:rsid w:val="57960DF8"/>
    <w:rsid w:val="579C2777"/>
    <w:rsid w:val="579E0A26"/>
    <w:rsid w:val="57A012CB"/>
    <w:rsid w:val="57AA5307"/>
    <w:rsid w:val="57AB042D"/>
    <w:rsid w:val="57B0244C"/>
    <w:rsid w:val="57B179A7"/>
    <w:rsid w:val="57B32D00"/>
    <w:rsid w:val="57B41ECF"/>
    <w:rsid w:val="57B62E9B"/>
    <w:rsid w:val="57BB130E"/>
    <w:rsid w:val="57BB5136"/>
    <w:rsid w:val="57BC66EE"/>
    <w:rsid w:val="57BD5228"/>
    <w:rsid w:val="57C021F6"/>
    <w:rsid w:val="57C04359"/>
    <w:rsid w:val="57C41951"/>
    <w:rsid w:val="57C60FC0"/>
    <w:rsid w:val="57C61283"/>
    <w:rsid w:val="57C715DE"/>
    <w:rsid w:val="57C82807"/>
    <w:rsid w:val="57CB1825"/>
    <w:rsid w:val="57CE032A"/>
    <w:rsid w:val="57CE4696"/>
    <w:rsid w:val="57D16054"/>
    <w:rsid w:val="57D24EDD"/>
    <w:rsid w:val="57D279D0"/>
    <w:rsid w:val="57D3074A"/>
    <w:rsid w:val="57D368E2"/>
    <w:rsid w:val="57D4187A"/>
    <w:rsid w:val="57D471ED"/>
    <w:rsid w:val="57DC3B43"/>
    <w:rsid w:val="57DC722E"/>
    <w:rsid w:val="57DF5C98"/>
    <w:rsid w:val="57DF73CD"/>
    <w:rsid w:val="57E145F8"/>
    <w:rsid w:val="57E21FB3"/>
    <w:rsid w:val="57E73319"/>
    <w:rsid w:val="57E925A1"/>
    <w:rsid w:val="57EB0B13"/>
    <w:rsid w:val="57EF0676"/>
    <w:rsid w:val="57F31483"/>
    <w:rsid w:val="57F60DE5"/>
    <w:rsid w:val="57F611DA"/>
    <w:rsid w:val="57F677BE"/>
    <w:rsid w:val="57FA72E0"/>
    <w:rsid w:val="57FB2404"/>
    <w:rsid w:val="57FC6CFC"/>
    <w:rsid w:val="57FD7E8B"/>
    <w:rsid w:val="580115E8"/>
    <w:rsid w:val="580249E9"/>
    <w:rsid w:val="5805317A"/>
    <w:rsid w:val="58064FF3"/>
    <w:rsid w:val="5807204A"/>
    <w:rsid w:val="58081B6C"/>
    <w:rsid w:val="580B1F29"/>
    <w:rsid w:val="58134975"/>
    <w:rsid w:val="58184371"/>
    <w:rsid w:val="58187571"/>
    <w:rsid w:val="581A1A57"/>
    <w:rsid w:val="581B6C40"/>
    <w:rsid w:val="581B6E2E"/>
    <w:rsid w:val="581E6FF4"/>
    <w:rsid w:val="581F0BC7"/>
    <w:rsid w:val="58200166"/>
    <w:rsid w:val="58201A55"/>
    <w:rsid w:val="58256BEF"/>
    <w:rsid w:val="582F7AC9"/>
    <w:rsid w:val="58367000"/>
    <w:rsid w:val="58380669"/>
    <w:rsid w:val="583D57A2"/>
    <w:rsid w:val="584156FE"/>
    <w:rsid w:val="5842179A"/>
    <w:rsid w:val="584A337B"/>
    <w:rsid w:val="584C035A"/>
    <w:rsid w:val="585546F9"/>
    <w:rsid w:val="585731ED"/>
    <w:rsid w:val="58576637"/>
    <w:rsid w:val="585873D1"/>
    <w:rsid w:val="585A0CC9"/>
    <w:rsid w:val="58604FCC"/>
    <w:rsid w:val="58624EC4"/>
    <w:rsid w:val="5869726C"/>
    <w:rsid w:val="586C2FE8"/>
    <w:rsid w:val="586D7CB4"/>
    <w:rsid w:val="586D7CBD"/>
    <w:rsid w:val="58737A41"/>
    <w:rsid w:val="58745DB1"/>
    <w:rsid w:val="58753345"/>
    <w:rsid w:val="58771EE8"/>
    <w:rsid w:val="587B6256"/>
    <w:rsid w:val="587D3C36"/>
    <w:rsid w:val="587D6867"/>
    <w:rsid w:val="587F4474"/>
    <w:rsid w:val="58802216"/>
    <w:rsid w:val="58826EAA"/>
    <w:rsid w:val="58841D64"/>
    <w:rsid w:val="588B21E9"/>
    <w:rsid w:val="5890107C"/>
    <w:rsid w:val="58950FE4"/>
    <w:rsid w:val="58966B12"/>
    <w:rsid w:val="58994368"/>
    <w:rsid w:val="589A1626"/>
    <w:rsid w:val="589C7D7B"/>
    <w:rsid w:val="58A131C0"/>
    <w:rsid w:val="58A44AE8"/>
    <w:rsid w:val="58A67F27"/>
    <w:rsid w:val="58A72880"/>
    <w:rsid w:val="58AC1F45"/>
    <w:rsid w:val="58AD33DF"/>
    <w:rsid w:val="58B414AB"/>
    <w:rsid w:val="58B62FA4"/>
    <w:rsid w:val="58B669BD"/>
    <w:rsid w:val="58B857C8"/>
    <w:rsid w:val="58BD3346"/>
    <w:rsid w:val="58BD5F51"/>
    <w:rsid w:val="58C2134F"/>
    <w:rsid w:val="58C22F58"/>
    <w:rsid w:val="58C274E6"/>
    <w:rsid w:val="58C30224"/>
    <w:rsid w:val="58C3686E"/>
    <w:rsid w:val="58C54AE4"/>
    <w:rsid w:val="58C93F78"/>
    <w:rsid w:val="58CC05C9"/>
    <w:rsid w:val="58CC5411"/>
    <w:rsid w:val="58CD1A8E"/>
    <w:rsid w:val="58CD5A12"/>
    <w:rsid w:val="58D0761D"/>
    <w:rsid w:val="58D106B0"/>
    <w:rsid w:val="58D26B71"/>
    <w:rsid w:val="58D5534D"/>
    <w:rsid w:val="58DB2263"/>
    <w:rsid w:val="58E03D1F"/>
    <w:rsid w:val="58E1669A"/>
    <w:rsid w:val="58E3112F"/>
    <w:rsid w:val="58E473BB"/>
    <w:rsid w:val="58E60191"/>
    <w:rsid w:val="58E8050A"/>
    <w:rsid w:val="58EA1B68"/>
    <w:rsid w:val="58EA2FC1"/>
    <w:rsid w:val="58EA3ABC"/>
    <w:rsid w:val="58EB02D6"/>
    <w:rsid w:val="58EB1F20"/>
    <w:rsid w:val="58ED6AF8"/>
    <w:rsid w:val="58ED7028"/>
    <w:rsid w:val="58EE1D73"/>
    <w:rsid w:val="58F1639A"/>
    <w:rsid w:val="58F20907"/>
    <w:rsid w:val="58F2473F"/>
    <w:rsid w:val="58F262BA"/>
    <w:rsid w:val="58F319F1"/>
    <w:rsid w:val="58F333DB"/>
    <w:rsid w:val="58F60263"/>
    <w:rsid w:val="58F6207F"/>
    <w:rsid w:val="58F9767E"/>
    <w:rsid w:val="58FB5C14"/>
    <w:rsid w:val="58FC0378"/>
    <w:rsid w:val="58FE2A4A"/>
    <w:rsid w:val="59012EF2"/>
    <w:rsid w:val="59032E38"/>
    <w:rsid w:val="59033BCC"/>
    <w:rsid w:val="59033FC7"/>
    <w:rsid w:val="59070658"/>
    <w:rsid w:val="590857FD"/>
    <w:rsid w:val="590A4616"/>
    <w:rsid w:val="590F3634"/>
    <w:rsid w:val="5911237E"/>
    <w:rsid w:val="591250FF"/>
    <w:rsid w:val="59165AB7"/>
    <w:rsid w:val="591828AA"/>
    <w:rsid w:val="59197619"/>
    <w:rsid w:val="591A7A36"/>
    <w:rsid w:val="591B0D09"/>
    <w:rsid w:val="591B1767"/>
    <w:rsid w:val="591B6FDF"/>
    <w:rsid w:val="591C0479"/>
    <w:rsid w:val="591D03F8"/>
    <w:rsid w:val="591E0139"/>
    <w:rsid w:val="591F455F"/>
    <w:rsid w:val="59236801"/>
    <w:rsid w:val="59271318"/>
    <w:rsid w:val="59281ECE"/>
    <w:rsid w:val="592B7AB3"/>
    <w:rsid w:val="592F3F03"/>
    <w:rsid w:val="592F5CB1"/>
    <w:rsid w:val="5932680F"/>
    <w:rsid w:val="5932754F"/>
    <w:rsid w:val="59367E83"/>
    <w:rsid w:val="59376D99"/>
    <w:rsid w:val="593C3A8F"/>
    <w:rsid w:val="594054B0"/>
    <w:rsid w:val="59473EEC"/>
    <w:rsid w:val="594849C2"/>
    <w:rsid w:val="59496B60"/>
    <w:rsid w:val="594A2463"/>
    <w:rsid w:val="594A34CB"/>
    <w:rsid w:val="594C7071"/>
    <w:rsid w:val="59514AD6"/>
    <w:rsid w:val="59544F1D"/>
    <w:rsid w:val="59565FBE"/>
    <w:rsid w:val="5959230B"/>
    <w:rsid w:val="595B2DA4"/>
    <w:rsid w:val="595C557A"/>
    <w:rsid w:val="59601F5D"/>
    <w:rsid w:val="596456FA"/>
    <w:rsid w:val="59672814"/>
    <w:rsid w:val="59673267"/>
    <w:rsid w:val="59693A04"/>
    <w:rsid w:val="596C4915"/>
    <w:rsid w:val="596D421F"/>
    <w:rsid w:val="596E3AEE"/>
    <w:rsid w:val="59704135"/>
    <w:rsid w:val="59716EE6"/>
    <w:rsid w:val="59767E81"/>
    <w:rsid w:val="597810A7"/>
    <w:rsid w:val="597920C2"/>
    <w:rsid w:val="59794AB5"/>
    <w:rsid w:val="597F5808"/>
    <w:rsid w:val="5981563F"/>
    <w:rsid w:val="598303BF"/>
    <w:rsid w:val="598776B8"/>
    <w:rsid w:val="59880162"/>
    <w:rsid w:val="59885ABF"/>
    <w:rsid w:val="59886F22"/>
    <w:rsid w:val="598A38A9"/>
    <w:rsid w:val="598A60D3"/>
    <w:rsid w:val="598B024F"/>
    <w:rsid w:val="598B7A47"/>
    <w:rsid w:val="598C46B9"/>
    <w:rsid w:val="598D0C2A"/>
    <w:rsid w:val="598D3B49"/>
    <w:rsid w:val="598F3722"/>
    <w:rsid w:val="59952D1D"/>
    <w:rsid w:val="5996679D"/>
    <w:rsid w:val="599739DA"/>
    <w:rsid w:val="599928F5"/>
    <w:rsid w:val="599941D2"/>
    <w:rsid w:val="599E6E5A"/>
    <w:rsid w:val="599F462B"/>
    <w:rsid w:val="59A05C87"/>
    <w:rsid w:val="59A26628"/>
    <w:rsid w:val="59A652B8"/>
    <w:rsid w:val="59A75441"/>
    <w:rsid w:val="59A75A03"/>
    <w:rsid w:val="59AD1E67"/>
    <w:rsid w:val="59AD5765"/>
    <w:rsid w:val="59AE325F"/>
    <w:rsid w:val="59B434ED"/>
    <w:rsid w:val="59B4373D"/>
    <w:rsid w:val="59B57EC0"/>
    <w:rsid w:val="59B77A55"/>
    <w:rsid w:val="59B83981"/>
    <w:rsid w:val="59B879A8"/>
    <w:rsid w:val="59BD79BE"/>
    <w:rsid w:val="59BE0402"/>
    <w:rsid w:val="59C04779"/>
    <w:rsid w:val="59C2659B"/>
    <w:rsid w:val="59C71F31"/>
    <w:rsid w:val="59C831C7"/>
    <w:rsid w:val="59CA4151"/>
    <w:rsid w:val="59CB0B60"/>
    <w:rsid w:val="59CB386A"/>
    <w:rsid w:val="59CC095C"/>
    <w:rsid w:val="59CC16DF"/>
    <w:rsid w:val="59CF76E9"/>
    <w:rsid w:val="59D7385D"/>
    <w:rsid w:val="59DD01CE"/>
    <w:rsid w:val="59DF54CF"/>
    <w:rsid w:val="59E3448E"/>
    <w:rsid w:val="59E8469B"/>
    <w:rsid w:val="59EA6096"/>
    <w:rsid w:val="59EE2FE3"/>
    <w:rsid w:val="59EF2A2B"/>
    <w:rsid w:val="59F200E7"/>
    <w:rsid w:val="59F502D1"/>
    <w:rsid w:val="59F52B10"/>
    <w:rsid w:val="59F56814"/>
    <w:rsid w:val="59F64A21"/>
    <w:rsid w:val="59F93DD4"/>
    <w:rsid w:val="59FE0D6B"/>
    <w:rsid w:val="5A035DD8"/>
    <w:rsid w:val="5A065598"/>
    <w:rsid w:val="5A085202"/>
    <w:rsid w:val="5A0A7D37"/>
    <w:rsid w:val="5A0C043D"/>
    <w:rsid w:val="5A14270D"/>
    <w:rsid w:val="5A146460"/>
    <w:rsid w:val="5A146A69"/>
    <w:rsid w:val="5A162719"/>
    <w:rsid w:val="5A196281"/>
    <w:rsid w:val="5A1B6BC9"/>
    <w:rsid w:val="5A1D4FFF"/>
    <w:rsid w:val="5A206B85"/>
    <w:rsid w:val="5A2237E8"/>
    <w:rsid w:val="5A243AEA"/>
    <w:rsid w:val="5A2440E9"/>
    <w:rsid w:val="5A2458FF"/>
    <w:rsid w:val="5A26641C"/>
    <w:rsid w:val="5A2E4F99"/>
    <w:rsid w:val="5A306177"/>
    <w:rsid w:val="5A312CE9"/>
    <w:rsid w:val="5A331688"/>
    <w:rsid w:val="5A363604"/>
    <w:rsid w:val="5A410EDB"/>
    <w:rsid w:val="5A430775"/>
    <w:rsid w:val="5A472D24"/>
    <w:rsid w:val="5A474D22"/>
    <w:rsid w:val="5A491AA0"/>
    <w:rsid w:val="5A4A2CED"/>
    <w:rsid w:val="5A4C1AE6"/>
    <w:rsid w:val="5A4D0E7C"/>
    <w:rsid w:val="5A4F5726"/>
    <w:rsid w:val="5A5450ED"/>
    <w:rsid w:val="5A593FEF"/>
    <w:rsid w:val="5A5A61B6"/>
    <w:rsid w:val="5A5A6D5E"/>
    <w:rsid w:val="5A5E1FEA"/>
    <w:rsid w:val="5A600E43"/>
    <w:rsid w:val="5A606639"/>
    <w:rsid w:val="5A6307E3"/>
    <w:rsid w:val="5A640ACD"/>
    <w:rsid w:val="5A647BDD"/>
    <w:rsid w:val="5A653E16"/>
    <w:rsid w:val="5A68246D"/>
    <w:rsid w:val="5A68516B"/>
    <w:rsid w:val="5A6920C4"/>
    <w:rsid w:val="5A695FBC"/>
    <w:rsid w:val="5A6971CC"/>
    <w:rsid w:val="5A6B066E"/>
    <w:rsid w:val="5A6B5749"/>
    <w:rsid w:val="5A6F1123"/>
    <w:rsid w:val="5A707CF8"/>
    <w:rsid w:val="5A7203BF"/>
    <w:rsid w:val="5A72240C"/>
    <w:rsid w:val="5A745260"/>
    <w:rsid w:val="5A7757F2"/>
    <w:rsid w:val="5A7E1126"/>
    <w:rsid w:val="5A7E326A"/>
    <w:rsid w:val="5A7E64C6"/>
    <w:rsid w:val="5A7E778B"/>
    <w:rsid w:val="5A7F2533"/>
    <w:rsid w:val="5A804BB5"/>
    <w:rsid w:val="5A804DB1"/>
    <w:rsid w:val="5A81078E"/>
    <w:rsid w:val="5A8352AB"/>
    <w:rsid w:val="5A8354C5"/>
    <w:rsid w:val="5A8764B0"/>
    <w:rsid w:val="5A883321"/>
    <w:rsid w:val="5A8B5AA1"/>
    <w:rsid w:val="5A8E543C"/>
    <w:rsid w:val="5A9000EA"/>
    <w:rsid w:val="5A9162D4"/>
    <w:rsid w:val="5A927B27"/>
    <w:rsid w:val="5A94462B"/>
    <w:rsid w:val="5A976DF6"/>
    <w:rsid w:val="5A9917A0"/>
    <w:rsid w:val="5A9B405A"/>
    <w:rsid w:val="5A9D6C4B"/>
    <w:rsid w:val="5AA11F38"/>
    <w:rsid w:val="5AA1542E"/>
    <w:rsid w:val="5AA362FC"/>
    <w:rsid w:val="5AA438A4"/>
    <w:rsid w:val="5AA727C8"/>
    <w:rsid w:val="5AA75068"/>
    <w:rsid w:val="5AA920C0"/>
    <w:rsid w:val="5AA943B9"/>
    <w:rsid w:val="5AAA3849"/>
    <w:rsid w:val="5AAB25F3"/>
    <w:rsid w:val="5AAD3792"/>
    <w:rsid w:val="5AB02AB3"/>
    <w:rsid w:val="5AB360F0"/>
    <w:rsid w:val="5AB402E5"/>
    <w:rsid w:val="5AB8745D"/>
    <w:rsid w:val="5ABA05A0"/>
    <w:rsid w:val="5ABC0A58"/>
    <w:rsid w:val="5ABD4ACB"/>
    <w:rsid w:val="5ABE1750"/>
    <w:rsid w:val="5ABE7CD4"/>
    <w:rsid w:val="5AC15785"/>
    <w:rsid w:val="5AC27DF1"/>
    <w:rsid w:val="5AC35CDA"/>
    <w:rsid w:val="5AC37752"/>
    <w:rsid w:val="5AC507A8"/>
    <w:rsid w:val="5AC643F3"/>
    <w:rsid w:val="5AC70954"/>
    <w:rsid w:val="5AC754B2"/>
    <w:rsid w:val="5AC80E69"/>
    <w:rsid w:val="5ACB07E7"/>
    <w:rsid w:val="5ACB6058"/>
    <w:rsid w:val="5ACD4EDF"/>
    <w:rsid w:val="5ACE1292"/>
    <w:rsid w:val="5ACF4D54"/>
    <w:rsid w:val="5AD05272"/>
    <w:rsid w:val="5AD13379"/>
    <w:rsid w:val="5AD42691"/>
    <w:rsid w:val="5AD9144D"/>
    <w:rsid w:val="5ADF125F"/>
    <w:rsid w:val="5AE079E9"/>
    <w:rsid w:val="5AE2727C"/>
    <w:rsid w:val="5AE65FA4"/>
    <w:rsid w:val="5AE84E80"/>
    <w:rsid w:val="5AEB7C3F"/>
    <w:rsid w:val="5AED2284"/>
    <w:rsid w:val="5AED359F"/>
    <w:rsid w:val="5AF071B2"/>
    <w:rsid w:val="5AF449BC"/>
    <w:rsid w:val="5AF65623"/>
    <w:rsid w:val="5AF92C07"/>
    <w:rsid w:val="5AFA65BA"/>
    <w:rsid w:val="5AFA66BB"/>
    <w:rsid w:val="5AFC0DB5"/>
    <w:rsid w:val="5AFE162C"/>
    <w:rsid w:val="5AFF2755"/>
    <w:rsid w:val="5AFF7900"/>
    <w:rsid w:val="5B052ECD"/>
    <w:rsid w:val="5B0942E0"/>
    <w:rsid w:val="5B0B04C2"/>
    <w:rsid w:val="5B107F63"/>
    <w:rsid w:val="5B115943"/>
    <w:rsid w:val="5B130A88"/>
    <w:rsid w:val="5B136F0D"/>
    <w:rsid w:val="5B1610E2"/>
    <w:rsid w:val="5B173203"/>
    <w:rsid w:val="5B196A4F"/>
    <w:rsid w:val="5B1A7661"/>
    <w:rsid w:val="5B1E422A"/>
    <w:rsid w:val="5B21162A"/>
    <w:rsid w:val="5B220D59"/>
    <w:rsid w:val="5B220E4F"/>
    <w:rsid w:val="5B253521"/>
    <w:rsid w:val="5B281DA4"/>
    <w:rsid w:val="5B292D32"/>
    <w:rsid w:val="5B2A1C05"/>
    <w:rsid w:val="5B2D5C6E"/>
    <w:rsid w:val="5B305D11"/>
    <w:rsid w:val="5B340100"/>
    <w:rsid w:val="5B353327"/>
    <w:rsid w:val="5B363DC9"/>
    <w:rsid w:val="5B3803AA"/>
    <w:rsid w:val="5B392087"/>
    <w:rsid w:val="5B39559C"/>
    <w:rsid w:val="5B395FF2"/>
    <w:rsid w:val="5B3B02F9"/>
    <w:rsid w:val="5B3D472C"/>
    <w:rsid w:val="5B3E74E9"/>
    <w:rsid w:val="5B4236D2"/>
    <w:rsid w:val="5B431849"/>
    <w:rsid w:val="5B464699"/>
    <w:rsid w:val="5B476B0C"/>
    <w:rsid w:val="5B484284"/>
    <w:rsid w:val="5B496677"/>
    <w:rsid w:val="5B4B2FA9"/>
    <w:rsid w:val="5B4D7D73"/>
    <w:rsid w:val="5B4E22AD"/>
    <w:rsid w:val="5B4E69F7"/>
    <w:rsid w:val="5B50185C"/>
    <w:rsid w:val="5B5111C2"/>
    <w:rsid w:val="5B566DCF"/>
    <w:rsid w:val="5B58039D"/>
    <w:rsid w:val="5B5B58ED"/>
    <w:rsid w:val="5B5C4D56"/>
    <w:rsid w:val="5B5E0769"/>
    <w:rsid w:val="5B5F3FE0"/>
    <w:rsid w:val="5B6635D2"/>
    <w:rsid w:val="5B6649A8"/>
    <w:rsid w:val="5B666790"/>
    <w:rsid w:val="5B670F2F"/>
    <w:rsid w:val="5B696DAA"/>
    <w:rsid w:val="5B6B0121"/>
    <w:rsid w:val="5B6E1E5B"/>
    <w:rsid w:val="5B716782"/>
    <w:rsid w:val="5B721D76"/>
    <w:rsid w:val="5B740E9F"/>
    <w:rsid w:val="5B795E26"/>
    <w:rsid w:val="5B796246"/>
    <w:rsid w:val="5B796C60"/>
    <w:rsid w:val="5B7A26D4"/>
    <w:rsid w:val="5B7E1EDA"/>
    <w:rsid w:val="5B816936"/>
    <w:rsid w:val="5B821FB7"/>
    <w:rsid w:val="5B846BB5"/>
    <w:rsid w:val="5B872E33"/>
    <w:rsid w:val="5B874FE3"/>
    <w:rsid w:val="5B881BC9"/>
    <w:rsid w:val="5B890BB8"/>
    <w:rsid w:val="5B8A0037"/>
    <w:rsid w:val="5B8F75DA"/>
    <w:rsid w:val="5B957382"/>
    <w:rsid w:val="5B9A07BF"/>
    <w:rsid w:val="5B9A0DAD"/>
    <w:rsid w:val="5BA04EAF"/>
    <w:rsid w:val="5BA178D0"/>
    <w:rsid w:val="5BA2163C"/>
    <w:rsid w:val="5BA22B5E"/>
    <w:rsid w:val="5BA35FC4"/>
    <w:rsid w:val="5BA666BE"/>
    <w:rsid w:val="5BA80806"/>
    <w:rsid w:val="5BA86E03"/>
    <w:rsid w:val="5BAA01A0"/>
    <w:rsid w:val="5BAA4155"/>
    <w:rsid w:val="5BAA6FCA"/>
    <w:rsid w:val="5BAE65A3"/>
    <w:rsid w:val="5BB00305"/>
    <w:rsid w:val="5BB111C4"/>
    <w:rsid w:val="5BB26352"/>
    <w:rsid w:val="5BB54A4C"/>
    <w:rsid w:val="5BB63748"/>
    <w:rsid w:val="5BB901C5"/>
    <w:rsid w:val="5BB93F58"/>
    <w:rsid w:val="5BC138E9"/>
    <w:rsid w:val="5BC20565"/>
    <w:rsid w:val="5BC31C59"/>
    <w:rsid w:val="5BC503F6"/>
    <w:rsid w:val="5BC72870"/>
    <w:rsid w:val="5BC85F49"/>
    <w:rsid w:val="5BC93DEF"/>
    <w:rsid w:val="5BCA191C"/>
    <w:rsid w:val="5BCB09F8"/>
    <w:rsid w:val="5BCB3B16"/>
    <w:rsid w:val="5BCC2685"/>
    <w:rsid w:val="5BCC2A89"/>
    <w:rsid w:val="5BCE23FD"/>
    <w:rsid w:val="5BD01492"/>
    <w:rsid w:val="5BD054B3"/>
    <w:rsid w:val="5BD063AB"/>
    <w:rsid w:val="5BD23B1B"/>
    <w:rsid w:val="5BD32177"/>
    <w:rsid w:val="5BD577EA"/>
    <w:rsid w:val="5BD608AB"/>
    <w:rsid w:val="5BDA53BC"/>
    <w:rsid w:val="5BE14205"/>
    <w:rsid w:val="5BE6641E"/>
    <w:rsid w:val="5BE66A69"/>
    <w:rsid w:val="5BE71856"/>
    <w:rsid w:val="5BEB36EF"/>
    <w:rsid w:val="5BEF6725"/>
    <w:rsid w:val="5BF07762"/>
    <w:rsid w:val="5BF21397"/>
    <w:rsid w:val="5BF400C8"/>
    <w:rsid w:val="5BF45135"/>
    <w:rsid w:val="5BF52995"/>
    <w:rsid w:val="5BF644A6"/>
    <w:rsid w:val="5BF65596"/>
    <w:rsid w:val="5BF77B58"/>
    <w:rsid w:val="5BF90941"/>
    <w:rsid w:val="5C00520A"/>
    <w:rsid w:val="5C035759"/>
    <w:rsid w:val="5C052354"/>
    <w:rsid w:val="5C060F8D"/>
    <w:rsid w:val="5C0D322C"/>
    <w:rsid w:val="5C111486"/>
    <w:rsid w:val="5C1F1615"/>
    <w:rsid w:val="5C1F1B7E"/>
    <w:rsid w:val="5C2071E3"/>
    <w:rsid w:val="5C2102F7"/>
    <w:rsid w:val="5C277F17"/>
    <w:rsid w:val="5C293CA2"/>
    <w:rsid w:val="5C2B6B0F"/>
    <w:rsid w:val="5C2C13AF"/>
    <w:rsid w:val="5C310B19"/>
    <w:rsid w:val="5C39487B"/>
    <w:rsid w:val="5C3970B0"/>
    <w:rsid w:val="5C3B5D60"/>
    <w:rsid w:val="5C3D642E"/>
    <w:rsid w:val="5C426587"/>
    <w:rsid w:val="5C430E63"/>
    <w:rsid w:val="5C4469C4"/>
    <w:rsid w:val="5C456ECC"/>
    <w:rsid w:val="5C4747C8"/>
    <w:rsid w:val="5C4848F0"/>
    <w:rsid w:val="5C4A2E02"/>
    <w:rsid w:val="5C4D56EE"/>
    <w:rsid w:val="5C4E4426"/>
    <w:rsid w:val="5C5161A0"/>
    <w:rsid w:val="5C517D23"/>
    <w:rsid w:val="5C5858B3"/>
    <w:rsid w:val="5C5B5805"/>
    <w:rsid w:val="5C5B7A3E"/>
    <w:rsid w:val="5C5C7C60"/>
    <w:rsid w:val="5C5E7A19"/>
    <w:rsid w:val="5C60777C"/>
    <w:rsid w:val="5C622E3B"/>
    <w:rsid w:val="5C63487B"/>
    <w:rsid w:val="5C672D86"/>
    <w:rsid w:val="5C68128D"/>
    <w:rsid w:val="5C6A5252"/>
    <w:rsid w:val="5C6B50CC"/>
    <w:rsid w:val="5C6B70BE"/>
    <w:rsid w:val="5C6C2D78"/>
    <w:rsid w:val="5C6D6D02"/>
    <w:rsid w:val="5C6F2AB2"/>
    <w:rsid w:val="5C7010D6"/>
    <w:rsid w:val="5C7849B6"/>
    <w:rsid w:val="5C794329"/>
    <w:rsid w:val="5C7A02EE"/>
    <w:rsid w:val="5C7E583D"/>
    <w:rsid w:val="5C802AFE"/>
    <w:rsid w:val="5C806452"/>
    <w:rsid w:val="5C82121E"/>
    <w:rsid w:val="5C8615A3"/>
    <w:rsid w:val="5C867977"/>
    <w:rsid w:val="5C872D11"/>
    <w:rsid w:val="5C8D2C8D"/>
    <w:rsid w:val="5C8E085F"/>
    <w:rsid w:val="5C8E37E8"/>
    <w:rsid w:val="5C945E53"/>
    <w:rsid w:val="5C966557"/>
    <w:rsid w:val="5C980D5F"/>
    <w:rsid w:val="5C983610"/>
    <w:rsid w:val="5C983F92"/>
    <w:rsid w:val="5C9A42ED"/>
    <w:rsid w:val="5C9C0BDD"/>
    <w:rsid w:val="5C9D6B2F"/>
    <w:rsid w:val="5C9F2BFB"/>
    <w:rsid w:val="5C9F3979"/>
    <w:rsid w:val="5CA657C6"/>
    <w:rsid w:val="5CA70CAD"/>
    <w:rsid w:val="5CA77BBA"/>
    <w:rsid w:val="5CA9311F"/>
    <w:rsid w:val="5CAA20C5"/>
    <w:rsid w:val="5CAE5C26"/>
    <w:rsid w:val="5CB9723C"/>
    <w:rsid w:val="5CBB37C9"/>
    <w:rsid w:val="5CBB5367"/>
    <w:rsid w:val="5CBD15DC"/>
    <w:rsid w:val="5CBE7E90"/>
    <w:rsid w:val="5CBF38C1"/>
    <w:rsid w:val="5CBF3B18"/>
    <w:rsid w:val="5CC04E72"/>
    <w:rsid w:val="5CC44940"/>
    <w:rsid w:val="5CC65D30"/>
    <w:rsid w:val="5CC7766E"/>
    <w:rsid w:val="5CD364E5"/>
    <w:rsid w:val="5CD36869"/>
    <w:rsid w:val="5CD37C6F"/>
    <w:rsid w:val="5CD4709E"/>
    <w:rsid w:val="5CD93794"/>
    <w:rsid w:val="5CDA3D22"/>
    <w:rsid w:val="5CDA5423"/>
    <w:rsid w:val="5CE07B62"/>
    <w:rsid w:val="5CE358C4"/>
    <w:rsid w:val="5CE62401"/>
    <w:rsid w:val="5CE628CD"/>
    <w:rsid w:val="5CF27950"/>
    <w:rsid w:val="5CF35677"/>
    <w:rsid w:val="5CF618F6"/>
    <w:rsid w:val="5CF77DE8"/>
    <w:rsid w:val="5CF84E4A"/>
    <w:rsid w:val="5CFC455F"/>
    <w:rsid w:val="5CFF2D73"/>
    <w:rsid w:val="5D001E8C"/>
    <w:rsid w:val="5D010C9E"/>
    <w:rsid w:val="5D02306E"/>
    <w:rsid w:val="5D053C43"/>
    <w:rsid w:val="5D055003"/>
    <w:rsid w:val="5D070CBE"/>
    <w:rsid w:val="5D080599"/>
    <w:rsid w:val="5D0B68CD"/>
    <w:rsid w:val="5D0C2717"/>
    <w:rsid w:val="5D0F4B44"/>
    <w:rsid w:val="5D101D20"/>
    <w:rsid w:val="5D11373F"/>
    <w:rsid w:val="5D1337AF"/>
    <w:rsid w:val="5D1A02D5"/>
    <w:rsid w:val="5D1A0A26"/>
    <w:rsid w:val="5D1B3001"/>
    <w:rsid w:val="5D1F1F71"/>
    <w:rsid w:val="5D1F2E91"/>
    <w:rsid w:val="5D214711"/>
    <w:rsid w:val="5D214C80"/>
    <w:rsid w:val="5D22456D"/>
    <w:rsid w:val="5D230EEE"/>
    <w:rsid w:val="5D2678A8"/>
    <w:rsid w:val="5D2825FA"/>
    <w:rsid w:val="5D290CB1"/>
    <w:rsid w:val="5D2A034C"/>
    <w:rsid w:val="5D2D53C2"/>
    <w:rsid w:val="5D3000F7"/>
    <w:rsid w:val="5D305A9A"/>
    <w:rsid w:val="5D315D72"/>
    <w:rsid w:val="5D3226C4"/>
    <w:rsid w:val="5D3240B7"/>
    <w:rsid w:val="5D325D70"/>
    <w:rsid w:val="5D334DC5"/>
    <w:rsid w:val="5D346D99"/>
    <w:rsid w:val="5D3C2EB6"/>
    <w:rsid w:val="5D3E5D64"/>
    <w:rsid w:val="5D3F75E0"/>
    <w:rsid w:val="5D421C2D"/>
    <w:rsid w:val="5D474299"/>
    <w:rsid w:val="5D474B38"/>
    <w:rsid w:val="5D4A2A18"/>
    <w:rsid w:val="5D4A3214"/>
    <w:rsid w:val="5D4D1D6B"/>
    <w:rsid w:val="5D4F4507"/>
    <w:rsid w:val="5D4F477B"/>
    <w:rsid w:val="5D504B1D"/>
    <w:rsid w:val="5D50649D"/>
    <w:rsid w:val="5D5073BF"/>
    <w:rsid w:val="5D56302D"/>
    <w:rsid w:val="5D57681B"/>
    <w:rsid w:val="5D593EFE"/>
    <w:rsid w:val="5D597BE1"/>
    <w:rsid w:val="5D5C1428"/>
    <w:rsid w:val="5D5F475B"/>
    <w:rsid w:val="5D61153D"/>
    <w:rsid w:val="5D6145D1"/>
    <w:rsid w:val="5D6212E4"/>
    <w:rsid w:val="5D626D83"/>
    <w:rsid w:val="5D637340"/>
    <w:rsid w:val="5D690DED"/>
    <w:rsid w:val="5D697ADA"/>
    <w:rsid w:val="5D6E585B"/>
    <w:rsid w:val="5D736925"/>
    <w:rsid w:val="5D774822"/>
    <w:rsid w:val="5D776912"/>
    <w:rsid w:val="5D7B411A"/>
    <w:rsid w:val="5D7B6B9D"/>
    <w:rsid w:val="5D7C2EC3"/>
    <w:rsid w:val="5D7D0E04"/>
    <w:rsid w:val="5D82002F"/>
    <w:rsid w:val="5D8412FE"/>
    <w:rsid w:val="5D852624"/>
    <w:rsid w:val="5D883BE2"/>
    <w:rsid w:val="5D895438"/>
    <w:rsid w:val="5D8A5157"/>
    <w:rsid w:val="5D8A5B40"/>
    <w:rsid w:val="5D8B4BB4"/>
    <w:rsid w:val="5D946CAF"/>
    <w:rsid w:val="5D967607"/>
    <w:rsid w:val="5D9767D7"/>
    <w:rsid w:val="5D9A2CF9"/>
    <w:rsid w:val="5D9A3508"/>
    <w:rsid w:val="5D9B48C6"/>
    <w:rsid w:val="5DA131F9"/>
    <w:rsid w:val="5DA54639"/>
    <w:rsid w:val="5DA63F16"/>
    <w:rsid w:val="5DAA7226"/>
    <w:rsid w:val="5DAC7C40"/>
    <w:rsid w:val="5DAE07E0"/>
    <w:rsid w:val="5DAE4948"/>
    <w:rsid w:val="5DAE6171"/>
    <w:rsid w:val="5DAE62EB"/>
    <w:rsid w:val="5DAF31E4"/>
    <w:rsid w:val="5DB35BA3"/>
    <w:rsid w:val="5DB41C71"/>
    <w:rsid w:val="5DBA65BA"/>
    <w:rsid w:val="5DBD1170"/>
    <w:rsid w:val="5DBD312F"/>
    <w:rsid w:val="5DC02488"/>
    <w:rsid w:val="5DC418D3"/>
    <w:rsid w:val="5DC64821"/>
    <w:rsid w:val="5DC6763D"/>
    <w:rsid w:val="5DC940CF"/>
    <w:rsid w:val="5DCD2650"/>
    <w:rsid w:val="5DCD78D6"/>
    <w:rsid w:val="5DCF037C"/>
    <w:rsid w:val="5DD0040A"/>
    <w:rsid w:val="5DD07AA2"/>
    <w:rsid w:val="5DD9490A"/>
    <w:rsid w:val="5DDA54AB"/>
    <w:rsid w:val="5DDF7A18"/>
    <w:rsid w:val="5DE00A24"/>
    <w:rsid w:val="5DE057CC"/>
    <w:rsid w:val="5DE06A2B"/>
    <w:rsid w:val="5DE13CF1"/>
    <w:rsid w:val="5DE155FE"/>
    <w:rsid w:val="5DE234A1"/>
    <w:rsid w:val="5DEA566A"/>
    <w:rsid w:val="5DEB0B1F"/>
    <w:rsid w:val="5DED025E"/>
    <w:rsid w:val="5DF03535"/>
    <w:rsid w:val="5DF3677E"/>
    <w:rsid w:val="5DF41277"/>
    <w:rsid w:val="5DF45E4A"/>
    <w:rsid w:val="5DF55C0C"/>
    <w:rsid w:val="5DFA1EFF"/>
    <w:rsid w:val="5DFE3BC7"/>
    <w:rsid w:val="5DFF53B0"/>
    <w:rsid w:val="5E027E45"/>
    <w:rsid w:val="5E0667FA"/>
    <w:rsid w:val="5E075FCE"/>
    <w:rsid w:val="5E085301"/>
    <w:rsid w:val="5E0F28DC"/>
    <w:rsid w:val="5E1051F6"/>
    <w:rsid w:val="5E134FBF"/>
    <w:rsid w:val="5E153096"/>
    <w:rsid w:val="5E155F44"/>
    <w:rsid w:val="5E1B2650"/>
    <w:rsid w:val="5E1C3A1A"/>
    <w:rsid w:val="5E1C7A06"/>
    <w:rsid w:val="5E213564"/>
    <w:rsid w:val="5E240D28"/>
    <w:rsid w:val="5E242985"/>
    <w:rsid w:val="5E254802"/>
    <w:rsid w:val="5E257A61"/>
    <w:rsid w:val="5E275B5B"/>
    <w:rsid w:val="5E276B3B"/>
    <w:rsid w:val="5E303078"/>
    <w:rsid w:val="5E310D38"/>
    <w:rsid w:val="5E31202C"/>
    <w:rsid w:val="5E324A59"/>
    <w:rsid w:val="5E3256FB"/>
    <w:rsid w:val="5E3637BD"/>
    <w:rsid w:val="5E363C2D"/>
    <w:rsid w:val="5E375860"/>
    <w:rsid w:val="5E3B32B6"/>
    <w:rsid w:val="5E3F1EBF"/>
    <w:rsid w:val="5E3F43B9"/>
    <w:rsid w:val="5E423028"/>
    <w:rsid w:val="5E42388D"/>
    <w:rsid w:val="5E48511F"/>
    <w:rsid w:val="5E4B1AA5"/>
    <w:rsid w:val="5E4C3112"/>
    <w:rsid w:val="5E4E4E2C"/>
    <w:rsid w:val="5E512B92"/>
    <w:rsid w:val="5E522D1B"/>
    <w:rsid w:val="5E563E37"/>
    <w:rsid w:val="5E582391"/>
    <w:rsid w:val="5E5A4111"/>
    <w:rsid w:val="5E5B0D49"/>
    <w:rsid w:val="5E5C0067"/>
    <w:rsid w:val="5E632496"/>
    <w:rsid w:val="5E6A6B27"/>
    <w:rsid w:val="5E6E4A22"/>
    <w:rsid w:val="5E6E5485"/>
    <w:rsid w:val="5E71290D"/>
    <w:rsid w:val="5E751704"/>
    <w:rsid w:val="5E7610E0"/>
    <w:rsid w:val="5E7748C3"/>
    <w:rsid w:val="5E7D74BF"/>
    <w:rsid w:val="5E7F1733"/>
    <w:rsid w:val="5E8171CA"/>
    <w:rsid w:val="5E82469D"/>
    <w:rsid w:val="5E832B06"/>
    <w:rsid w:val="5E843B76"/>
    <w:rsid w:val="5E8720EC"/>
    <w:rsid w:val="5E8A0714"/>
    <w:rsid w:val="5E8B2048"/>
    <w:rsid w:val="5E8B74DF"/>
    <w:rsid w:val="5E8D2110"/>
    <w:rsid w:val="5E8D5EC5"/>
    <w:rsid w:val="5E920165"/>
    <w:rsid w:val="5E926631"/>
    <w:rsid w:val="5E9413B1"/>
    <w:rsid w:val="5E955651"/>
    <w:rsid w:val="5E965CDE"/>
    <w:rsid w:val="5E973AD8"/>
    <w:rsid w:val="5E9A3D47"/>
    <w:rsid w:val="5E9B59C1"/>
    <w:rsid w:val="5E9D399A"/>
    <w:rsid w:val="5E9E5920"/>
    <w:rsid w:val="5E9F325D"/>
    <w:rsid w:val="5EA155E9"/>
    <w:rsid w:val="5EA44A4C"/>
    <w:rsid w:val="5EA66427"/>
    <w:rsid w:val="5EA778D5"/>
    <w:rsid w:val="5EA95482"/>
    <w:rsid w:val="5EAA1036"/>
    <w:rsid w:val="5EAD35D8"/>
    <w:rsid w:val="5EB34972"/>
    <w:rsid w:val="5EB51667"/>
    <w:rsid w:val="5EB5567A"/>
    <w:rsid w:val="5EB72C44"/>
    <w:rsid w:val="5EB841FD"/>
    <w:rsid w:val="5EB93684"/>
    <w:rsid w:val="5EBD6726"/>
    <w:rsid w:val="5EBE5FB4"/>
    <w:rsid w:val="5EC65EC8"/>
    <w:rsid w:val="5EC967A0"/>
    <w:rsid w:val="5ECA6BE1"/>
    <w:rsid w:val="5ECD4CEC"/>
    <w:rsid w:val="5ED51F5D"/>
    <w:rsid w:val="5ED655C6"/>
    <w:rsid w:val="5ED719B5"/>
    <w:rsid w:val="5EDB4B19"/>
    <w:rsid w:val="5EDB706A"/>
    <w:rsid w:val="5EDD038E"/>
    <w:rsid w:val="5EDF5723"/>
    <w:rsid w:val="5EE50791"/>
    <w:rsid w:val="5EE558A9"/>
    <w:rsid w:val="5EE8409F"/>
    <w:rsid w:val="5EEA3B06"/>
    <w:rsid w:val="5EEA47D4"/>
    <w:rsid w:val="5EED462A"/>
    <w:rsid w:val="5EED5D0D"/>
    <w:rsid w:val="5EEF085B"/>
    <w:rsid w:val="5EF06876"/>
    <w:rsid w:val="5EF277D6"/>
    <w:rsid w:val="5EF36C5F"/>
    <w:rsid w:val="5EF5009E"/>
    <w:rsid w:val="5EFC2393"/>
    <w:rsid w:val="5EFC3644"/>
    <w:rsid w:val="5EFD3C67"/>
    <w:rsid w:val="5EFE669F"/>
    <w:rsid w:val="5F0003C7"/>
    <w:rsid w:val="5F01308C"/>
    <w:rsid w:val="5F02757E"/>
    <w:rsid w:val="5F033EDF"/>
    <w:rsid w:val="5F0377A6"/>
    <w:rsid w:val="5F041862"/>
    <w:rsid w:val="5F045845"/>
    <w:rsid w:val="5F09720F"/>
    <w:rsid w:val="5F0A17B4"/>
    <w:rsid w:val="5F0D2E9F"/>
    <w:rsid w:val="5F0E0747"/>
    <w:rsid w:val="5F0F5EEE"/>
    <w:rsid w:val="5F10561E"/>
    <w:rsid w:val="5F1355B7"/>
    <w:rsid w:val="5F184205"/>
    <w:rsid w:val="5F184681"/>
    <w:rsid w:val="5F1868E3"/>
    <w:rsid w:val="5F1A44C3"/>
    <w:rsid w:val="5F1B5C36"/>
    <w:rsid w:val="5F1B7BC1"/>
    <w:rsid w:val="5F1D38C7"/>
    <w:rsid w:val="5F1F1E7A"/>
    <w:rsid w:val="5F2044D7"/>
    <w:rsid w:val="5F210753"/>
    <w:rsid w:val="5F2D640F"/>
    <w:rsid w:val="5F2F172B"/>
    <w:rsid w:val="5F302D37"/>
    <w:rsid w:val="5F310BD2"/>
    <w:rsid w:val="5F311690"/>
    <w:rsid w:val="5F337A7C"/>
    <w:rsid w:val="5F394AB3"/>
    <w:rsid w:val="5F3C48D6"/>
    <w:rsid w:val="5F3D56BF"/>
    <w:rsid w:val="5F3E2226"/>
    <w:rsid w:val="5F437681"/>
    <w:rsid w:val="5F440F7B"/>
    <w:rsid w:val="5F444CED"/>
    <w:rsid w:val="5F456B97"/>
    <w:rsid w:val="5F497583"/>
    <w:rsid w:val="5F4A38F5"/>
    <w:rsid w:val="5F4F51F7"/>
    <w:rsid w:val="5F5172EC"/>
    <w:rsid w:val="5F522D1C"/>
    <w:rsid w:val="5F584A86"/>
    <w:rsid w:val="5F587CE5"/>
    <w:rsid w:val="5F5A4D1E"/>
    <w:rsid w:val="5F5C2106"/>
    <w:rsid w:val="5F5F5A93"/>
    <w:rsid w:val="5F5F5B96"/>
    <w:rsid w:val="5F5F6CDD"/>
    <w:rsid w:val="5F6036E2"/>
    <w:rsid w:val="5F604CF1"/>
    <w:rsid w:val="5F6124C8"/>
    <w:rsid w:val="5F643B2F"/>
    <w:rsid w:val="5F663C3B"/>
    <w:rsid w:val="5F687D8C"/>
    <w:rsid w:val="5F6C06CD"/>
    <w:rsid w:val="5F6E69C0"/>
    <w:rsid w:val="5F6F76E0"/>
    <w:rsid w:val="5F706C1D"/>
    <w:rsid w:val="5F706E79"/>
    <w:rsid w:val="5F756E75"/>
    <w:rsid w:val="5F78767D"/>
    <w:rsid w:val="5F7B3481"/>
    <w:rsid w:val="5F7C7F6C"/>
    <w:rsid w:val="5F7E361C"/>
    <w:rsid w:val="5F8610E1"/>
    <w:rsid w:val="5F8742F4"/>
    <w:rsid w:val="5F8D60FA"/>
    <w:rsid w:val="5F8E2B12"/>
    <w:rsid w:val="5F911049"/>
    <w:rsid w:val="5F921228"/>
    <w:rsid w:val="5F922AF7"/>
    <w:rsid w:val="5F923A1E"/>
    <w:rsid w:val="5F933257"/>
    <w:rsid w:val="5F9365C0"/>
    <w:rsid w:val="5F9846C4"/>
    <w:rsid w:val="5F9C0086"/>
    <w:rsid w:val="5F9D0692"/>
    <w:rsid w:val="5FAA6B1A"/>
    <w:rsid w:val="5FAB005C"/>
    <w:rsid w:val="5FAC4E95"/>
    <w:rsid w:val="5FAD027F"/>
    <w:rsid w:val="5FB00011"/>
    <w:rsid w:val="5FB05BF1"/>
    <w:rsid w:val="5FB51706"/>
    <w:rsid w:val="5FB634CE"/>
    <w:rsid w:val="5FB721C2"/>
    <w:rsid w:val="5FB95B3B"/>
    <w:rsid w:val="5FC21ACC"/>
    <w:rsid w:val="5FC34BF5"/>
    <w:rsid w:val="5FC44C79"/>
    <w:rsid w:val="5FCB6790"/>
    <w:rsid w:val="5FCC02E3"/>
    <w:rsid w:val="5FCC5B5D"/>
    <w:rsid w:val="5FD406B0"/>
    <w:rsid w:val="5FD41360"/>
    <w:rsid w:val="5FDA392D"/>
    <w:rsid w:val="5FDD0D1D"/>
    <w:rsid w:val="5FDF3C8F"/>
    <w:rsid w:val="5FE050B7"/>
    <w:rsid w:val="5FE65A03"/>
    <w:rsid w:val="5FE700D2"/>
    <w:rsid w:val="5FEB0C35"/>
    <w:rsid w:val="5FEB3E35"/>
    <w:rsid w:val="5FEB45D7"/>
    <w:rsid w:val="5FEC6135"/>
    <w:rsid w:val="5FF361CD"/>
    <w:rsid w:val="5FF52A4D"/>
    <w:rsid w:val="5FF71341"/>
    <w:rsid w:val="5FFB4D58"/>
    <w:rsid w:val="60000645"/>
    <w:rsid w:val="6001624F"/>
    <w:rsid w:val="600229CB"/>
    <w:rsid w:val="600339F4"/>
    <w:rsid w:val="60052EA6"/>
    <w:rsid w:val="60070DEB"/>
    <w:rsid w:val="600D00F9"/>
    <w:rsid w:val="600D04E8"/>
    <w:rsid w:val="600D7A6A"/>
    <w:rsid w:val="600E5D3D"/>
    <w:rsid w:val="6010589B"/>
    <w:rsid w:val="60107C59"/>
    <w:rsid w:val="601414B7"/>
    <w:rsid w:val="60144204"/>
    <w:rsid w:val="601739B4"/>
    <w:rsid w:val="601807F2"/>
    <w:rsid w:val="60193524"/>
    <w:rsid w:val="601A7ECC"/>
    <w:rsid w:val="601B0D3D"/>
    <w:rsid w:val="601B5687"/>
    <w:rsid w:val="60242D27"/>
    <w:rsid w:val="60255639"/>
    <w:rsid w:val="602E4264"/>
    <w:rsid w:val="60303FE6"/>
    <w:rsid w:val="60344180"/>
    <w:rsid w:val="603845C9"/>
    <w:rsid w:val="603916E9"/>
    <w:rsid w:val="60391BF8"/>
    <w:rsid w:val="603A64AC"/>
    <w:rsid w:val="603D02B1"/>
    <w:rsid w:val="603E2B7B"/>
    <w:rsid w:val="603F1B3F"/>
    <w:rsid w:val="604036C2"/>
    <w:rsid w:val="604062C8"/>
    <w:rsid w:val="60432042"/>
    <w:rsid w:val="60457DC8"/>
    <w:rsid w:val="60484551"/>
    <w:rsid w:val="6048697F"/>
    <w:rsid w:val="604B0652"/>
    <w:rsid w:val="604B786C"/>
    <w:rsid w:val="60500660"/>
    <w:rsid w:val="60516A03"/>
    <w:rsid w:val="605304DD"/>
    <w:rsid w:val="605808D1"/>
    <w:rsid w:val="605909CD"/>
    <w:rsid w:val="60591544"/>
    <w:rsid w:val="605E4622"/>
    <w:rsid w:val="605F72FE"/>
    <w:rsid w:val="606366C4"/>
    <w:rsid w:val="60637609"/>
    <w:rsid w:val="606476EC"/>
    <w:rsid w:val="60662A92"/>
    <w:rsid w:val="606A60D6"/>
    <w:rsid w:val="60703D98"/>
    <w:rsid w:val="60705135"/>
    <w:rsid w:val="60717A77"/>
    <w:rsid w:val="60791F08"/>
    <w:rsid w:val="60795A64"/>
    <w:rsid w:val="607A52D7"/>
    <w:rsid w:val="607C0157"/>
    <w:rsid w:val="607C0BFD"/>
    <w:rsid w:val="607D26E6"/>
    <w:rsid w:val="607D7595"/>
    <w:rsid w:val="607F1104"/>
    <w:rsid w:val="608452C7"/>
    <w:rsid w:val="60854409"/>
    <w:rsid w:val="608978AE"/>
    <w:rsid w:val="608D7341"/>
    <w:rsid w:val="608D79CD"/>
    <w:rsid w:val="608E2820"/>
    <w:rsid w:val="609035D2"/>
    <w:rsid w:val="60914702"/>
    <w:rsid w:val="60933C87"/>
    <w:rsid w:val="609950A7"/>
    <w:rsid w:val="609C7C52"/>
    <w:rsid w:val="60A12FC8"/>
    <w:rsid w:val="60A30D33"/>
    <w:rsid w:val="60A3105F"/>
    <w:rsid w:val="60AD3C24"/>
    <w:rsid w:val="60AD5A1D"/>
    <w:rsid w:val="60AF592A"/>
    <w:rsid w:val="60B03FD1"/>
    <w:rsid w:val="60B13528"/>
    <w:rsid w:val="60B54720"/>
    <w:rsid w:val="60BA5E4E"/>
    <w:rsid w:val="60BC54D7"/>
    <w:rsid w:val="60C24C7D"/>
    <w:rsid w:val="60C369EF"/>
    <w:rsid w:val="60C46BF1"/>
    <w:rsid w:val="60C51A44"/>
    <w:rsid w:val="60C53EF9"/>
    <w:rsid w:val="60C608FA"/>
    <w:rsid w:val="60C77E34"/>
    <w:rsid w:val="60CA112C"/>
    <w:rsid w:val="60CB1D4F"/>
    <w:rsid w:val="60CF776F"/>
    <w:rsid w:val="60D208F8"/>
    <w:rsid w:val="60D33189"/>
    <w:rsid w:val="60D83B61"/>
    <w:rsid w:val="60D90309"/>
    <w:rsid w:val="60DC352F"/>
    <w:rsid w:val="60DE4E5B"/>
    <w:rsid w:val="60DF4B65"/>
    <w:rsid w:val="60E15F62"/>
    <w:rsid w:val="60E202C9"/>
    <w:rsid w:val="60E455D3"/>
    <w:rsid w:val="60E478C2"/>
    <w:rsid w:val="60EB4BB4"/>
    <w:rsid w:val="60EE45A0"/>
    <w:rsid w:val="60F22803"/>
    <w:rsid w:val="60F26779"/>
    <w:rsid w:val="60FA6DA8"/>
    <w:rsid w:val="60FC3CBD"/>
    <w:rsid w:val="60FD712D"/>
    <w:rsid w:val="61000438"/>
    <w:rsid w:val="610066B0"/>
    <w:rsid w:val="6103033E"/>
    <w:rsid w:val="61057C92"/>
    <w:rsid w:val="610712C2"/>
    <w:rsid w:val="61091751"/>
    <w:rsid w:val="610D2F91"/>
    <w:rsid w:val="610D6016"/>
    <w:rsid w:val="610E0F55"/>
    <w:rsid w:val="610E726B"/>
    <w:rsid w:val="61121430"/>
    <w:rsid w:val="61157076"/>
    <w:rsid w:val="6117667E"/>
    <w:rsid w:val="61183B43"/>
    <w:rsid w:val="6118527D"/>
    <w:rsid w:val="61194603"/>
    <w:rsid w:val="611B0061"/>
    <w:rsid w:val="611B3008"/>
    <w:rsid w:val="611C2DAB"/>
    <w:rsid w:val="611F545A"/>
    <w:rsid w:val="612214D4"/>
    <w:rsid w:val="612260FC"/>
    <w:rsid w:val="61271964"/>
    <w:rsid w:val="612A15DE"/>
    <w:rsid w:val="612B4534"/>
    <w:rsid w:val="612C62FC"/>
    <w:rsid w:val="613338C6"/>
    <w:rsid w:val="61355732"/>
    <w:rsid w:val="61373F61"/>
    <w:rsid w:val="613A5A30"/>
    <w:rsid w:val="613F29BD"/>
    <w:rsid w:val="61445080"/>
    <w:rsid w:val="614566A3"/>
    <w:rsid w:val="61461009"/>
    <w:rsid w:val="614A0A06"/>
    <w:rsid w:val="614B7978"/>
    <w:rsid w:val="614C5D29"/>
    <w:rsid w:val="614E1862"/>
    <w:rsid w:val="614E679D"/>
    <w:rsid w:val="61524356"/>
    <w:rsid w:val="615314D3"/>
    <w:rsid w:val="61544E8B"/>
    <w:rsid w:val="61580285"/>
    <w:rsid w:val="61596203"/>
    <w:rsid w:val="615A0DD7"/>
    <w:rsid w:val="615A3AE7"/>
    <w:rsid w:val="615A547D"/>
    <w:rsid w:val="615B2093"/>
    <w:rsid w:val="615D1622"/>
    <w:rsid w:val="615F410A"/>
    <w:rsid w:val="615F4536"/>
    <w:rsid w:val="61625804"/>
    <w:rsid w:val="61631873"/>
    <w:rsid w:val="61671250"/>
    <w:rsid w:val="61684538"/>
    <w:rsid w:val="61685F28"/>
    <w:rsid w:val="616A5521"/>
    <w:rsid w:val="61734B20"/>
    <w:rsid w:val="61744613"/>
    <w:rsid w:val="617531E4"/>
    <w:rsid w:val="61764EF5"/>
    <w:rsid w:val="6178501D"/>
    <w:rsid w:val="618253BF"/>
    <w:rsid w:val="618662C9"/>
    <w:rsid w:val="61896233"/>
    <w:rsid w:val="618A184E"/>
    <w:rsid w:val="618C70FB"/>
    <w:rsid w:val="618D6C58"/>
    <w:rsid w:val="618F1492"/>
    <w:rsid w:val="61904FB5"/>
    <w:rsid w:val="61914C49"/>
    <w:rsid w:val="61941DCF"/>
    <w:rsid w:val="6195598C"/>
    <w:rsid w:val="61967E62"/>
    <w:rsid w:val="61983F01"/>
    <w:rsid w:val="61984F09"/>
    <w:rsid w:val="619B0D13"/>
    <w:rsid w:val="61A055A6"/>
    <w:rsid w:val="61A1062B"/>
    <w:rsid w:val="61A22298"/>
    <w:rsid w:val="61A331C0"/>
    <w:rsid w:val="61A6005D"/>
    <w:rsid w:val="61A6151D"/>
    <w:rsid w:val="61A779C5"/>
    <w:rsid w:val="61A84853"/>
    <w:rsid w:val="61A86601"/>
    <w:rsid w:val="61AB60F1"/>
    <w:rsid w:val="61AD53E6"/>
    <w:rsid w:val="61AF2B80"/>
    <w:rsid w:val="61AF4555"/>
    <w:rsid w:val="61B338A5"/>
    <w:rsid w:val="61B71F4A"/>
    <w:rsid w:val="61B75310"/>
    <w:rsid w:val="61BA15ED"/>
    <w:rsid w:val="61BA3B0D"/>
    <w:rsid w:val="61BA6334"/>
    <w:rsid w:val="61C2416A"/>
    <w:rsid w:val="61C2618A"/>
    <w:rsid w:val="61C26191"/>
    <w:rsid w:val="61C42923"/>
    <w:rsid w:val="61C53B64"/>
    <w:rsid w:val="61C73AC6"/>
    <w:rsid w:val="61C73EC7"/>
    <w:rsid w:val="61C8094F"/>
    <w:rsid w:val="61CA23DB"/>
    <w:rsid w:val="61CB406E"/>
    <w:rsid w:val="61CB6D29"/>
    <w:rsid w:val="61CD2B63"/>
    <w:rsid w:val="61D3141A"/>
    <w:rsid w:val="61D3416A"/>
    <w:rsid w:val="61D42C5D"/>
    <w:rsid w:val="61D4389A"/>
    <w:rsid w:val="61D44032"/>
    <w:rsid w:val="61D873F7"/>
    <w:rsid w:val="61D905AA"/>
    <w:rsid w:val="61E13E41"/>
    <w:rsid w:val="61E16318"/>
    <w:rsid w:val="61E2028C"/>
    <w:rsid w:val="61E442AA"/>
    <w:rsid w:val="61E56867"/>
    <w:rsid w:val="61EA52A7"/>
    <w:rsid w:val="61ED31B7"/>
    <w:rsid w:val="61EE478D"/>
    <w:rsid w:val="61EF2B08"/>
    <w:rsid w:val="61F27527"/>
    <w:rsid w:val="61F5464E"/>
    <w:rsid w:val="61F812BA"/>
    <w:rsid w:val="61FA5382"/>
    <w:rsid w:val="61FD5BE5"/>
    <w:rsid w:val="61FE1785"/>
    <w:rsid w:val="61FE3D2D"/>
    <w:rsid w:val="61FF5E42"/>
    <w:rsid w:val="620049D9"/>
    <w:rsid w:val="6201417D"/>
    <w:rsid w:val="62042DB2"/>
    <w:rsid w:val="62052816"/>
    <w:rsid w:val="620558EF"/>
    <w:rsid w:val="62085BF9"/>
    <w:rsid w:val="62095901"/>
    <w:rsid w:val="620E4F80"/>
    <w:rsid w:val="620F1AC2"/>
    <w:rsid w:val="620F2DC5"/>
    <w:rsid w:val="62153DAB"/>
    <w:rsid w:val="6215693D"/>
    <w:rsid w:val="621A516D"/>
    <w:rsid w:val="621B3277"/>
    <w:rsid w:val="622837C2"/>
    <w:rsid w:val="622F70AC"/>
    <w:rsid w:val="62334279"/>
    <w:rsid w:val="62362902"/>
    <w:rsid w:val="62387336"/>
    <w:rsid w:val="62394D36"/>
    <w:rsid w:val="623A317F"/>
    <w:rsid w:val="623A3A90"/>
    <w:rsid w:val="623F601C"/>
    <w:rsid w:val="62404510"/>
    <w:rsid w:val="62405AE7"/>
    <w:rsid w:val="6241679F"/>
    <w:rsid w:val="62441C37"/>
    <w:rsid w:val="62455BC6"/>
    <w:rsid w:val="62460143"/>
    <w:rsid w:val="624B5DEB"/>
    <w:rsid w:val="624D6F8B"/>
    <w:rsid w:val="6250464E"/>
    <w:rsid w:val="62510233"/>
    <w:rsid w:val="62521140"/>
    <w:rsid w:val="62522C07"/>
    <w:rsid w:val="62530A27"/>
    <w:rsid w:val="62545B00"/>
    <w:rsid w:val="62560D57"/>
    <w:rsid w:val="625819FC"/>
    <w:rsid w:val="625935EA"/>
    <w:rsid w:val="6263626F"/>
    <w:rsid w:val="62652FDF"/>
    <w:rsid w:val="62670BEE"/>
    <w:rsid w:val="62697583"/>
    <w:rsid w:val="626F1700"/>
    <w:rsid w:val="62725521"/>
    <w:rsid w:val="62740BD9"/>
    <w:rsid w:val="627452CA"/>
    <w:rsid w:val="62756ABD"/>
    <w:rsid w:val="62761C16"/>
    <w:rsid w:val="6276506A"/>
    <w:rsid w:val="62765B01"/>
    <w:rsid w:val="6276767F"/>
    <w:rsid w:val="62767B12"/>
    <w:rsid w:val="62797302"/>
    <w:rsid w:val="627E06A3"/>
    <w:rsid w:val="627E2341"/>
    <w:rsid w:val="62804A1B"/>
    <w:rsid w:val="62832EED"/>
    <w:rsid w:val="62864D31"/>
    <w:rsid w:val="62866696"/>
    <w:rsid w:val="62872640"/>
    <w:rsid w:val="628A3EAF"/>
    <w:rsid w:val="628A3F58"/>
    <w:rsid w:val="628F0282"/>
    <w:rsid w:val="62922806"/>
    <w:rsid w:val="629251F3"/>
    <w:rsid w:val="6293048D"/>
    <w:rsid w:val="629306B1"/>
    <w:rsid w:val="629400FE"/>
    <w:rsid w:val="62944307"/>
    <w:rsid w:val="629730B2"/>
    <w:rsid w:val="6298778C"/>
    <w:rsid w:val="629E17B2"/>
    <w:rsid w:val="62A52B40"/>
    <w:rsid w:val="62A636A5"/>
    <w:rsid w:val="62A83BBF"/>
    <w:rsid w:val="62AD6087"/>
    <w:rsid w:val="62AF3138"/>
    <w:rsid w:val="62B26586"/>
    <w:rsid w:val="62B346E3"/>
    <w:rsid w:val="62B96DA7"/>
    <w:rsid w:val="62BD79F2"/>
    <w:rsid w:val="62C27451"/>
    <w:rsid w:val="62C366DE"/>
    <w:rsid w:val="62C46477"/>
    <w:rsid w:val="62C6392D"/>
    <w:rsid w:val="62C65769"/>
    <w:rsid w:val="62C679DC"/>
    <w:rsid w:val="62CC19CB"/>
    <w:rsid w:val="62CE197C"/>
    <w:rsid w:val="62D4232E"/>
    <w:rsid w:val="62D707DA"/>
    <w:rsid w:val="62D70D8B"/>
    <w:rsid w:val="62DA457E"/>
    <w:rsid w:val="62DF2CCD"/>
    <w:rsid w:val="62DF2DAC"/>
    <w:rsid w:val="62E14A13"/>
    <w:rsid w:val="62E278F0"/>
    <w:rsid w:val="62E41631"/>
    <w:rsid w:val="62E52870"/>
    <w:rsid w:val="62E57C9D"/>
    <w:rsid w:val="62E80C3B"/>
    <w:rsid w:val="62E95F23"/>
    <w:rsid w:val="62EC2F80"/>
    <w:rsid w:val="62EC7086"/>
    <w:rsid w:val="62EE58D6"/>
    <w:rsid w:val="62F01DB1"/>
    <w:rsid w:val="62F172A0"/>
    <w:rsid w:val="62F178A6"/>
    <w:rsid w:val="62F709FD"/>
    <w:rsid w:val="62F72765"/>
    <w:rsid w:val="62F75885"/>
    <w:rsid w:val="62F87114"/>
    <w:rsid w:val="62FA2343"/>
    <w:rsid w:val="62FA539B"/>
    <w:rsid w:val="62FC4201"/>
    <w:rsid w:val="62FC6756"/>
    <w:rsid w:val="62FD4C4C"/>
    <w:rsid w:val="62FE4CCB"/>
    <w:rsid w:val="6302147E"/>
    <w:rsid w:val="630344C4"/>
    <w:rsid w:val="63096C02"/>
    <w:rsid w:val="630A156E"/>
    <w:rsid w:val="630B7A71"/>
    <w:rsid w:val="630C067C"/>
    <w:rsid w:val="630F3D48"/>
    <w:rsid w:val="63107BB4"/>
    <w:rsid w:val="631109C5"/>
    <w:rsid w:val="63185A08"/>
    <w:rsid w:val="63192E0C"/>
    <w:rsid w:val="63206EBA"/>
    <w:rsid w:val="63271B97"/>
    <w:rsid w:val="632930C7"/>
    <w:rsid w:val="632E3308"/>
    <w:rsid w:val="632E61A9"/>
    <w:rsid w:val="633401B5"/>
    <w:rsid w:val="63340B15"/>
    <w:rsid w:val="63363302"/>
    <w:rsid w:val="633B2111"/>
    <w:rsid w:val="633B21C4"/>
    <w:rsid w:val="633B6B23"/>
    <w:rsid w:val="633B6D5C"/>
    <w:rsid w:val="634074AC"/>
    <w:rsid w:val="63426A4F"/>
    <w:rsid w:val="6344015C"/>
    <w:rsid w:val="6344457F"/>
    <w:rsid w:val="634828E0"/>
    <w:rsid w:val="6349077F"/>
    <w:rsid w:val="634B37FD"/>
    <w:rsid w:val="634C5949"/>
    <w:rsid w:val="634D6EB8"/>
    <w:rsid w:val="634E55B2"/>
    <w:rsid w:val="634E7D0E"/>
    <w:rsid w:val="634F552E"/>
    <w:rsid w:val="6352490E"/>
    <w:rsid w:val="6355591D"/>
    <w:rsid w:val="635729FB"/>
    <w:rsid w:val="635A0549"/>
    <w:rsid w:val="63605CC1"/>
    <w:rsid w:val="636143DE"/>
    <w:rsid w:val="636422C5"/>
    <w:rsid w:val="636435D1"/>
    <w:rsid w:val="63655B2E"/>
    <w:rsid w:val="6365692C"/>
    <w:rsid w:val="636656C1"/>
    <w:rsid w:val="636B429F"/>
    <w:rsid w:val="636B7E47"/>
    <w:rsid w:val="636D3540"/>
    <w:rsid w:val="636E23AC"/>
    <w:rsid w:val="636F3392"/>
    <w:rsid w:val="63764269"/>
    <w:rsid w:val="63774160"/>
    <w:rsid w:val="637A0F4E"/>
    <w:rsid w:val="637B062F"/>
    <w:rsid w:val="637E4D6C"/>
    <w:rsid w:val="637F5A12"/>
    <w:rsid w:val="637F6691"/>
    <w:rsid w:val="63814591"/>
    <w:rsid w:val="63883663"/>
    <w:rsid w:val="638B5D8E"/>
    <w:rsid w:val="638B6E3D"/>
    <w:rsid w:val="638C5AAE"/>
    <w:rsid w:val="638F0C9F"/>
    <w:rsid w:val="63905008"/>
    <w:rsid w:val="6394743A"/>
    <w:rsid w:val="63960CAF"/>
    <w:rsid w:val="63962EF1"/>
    <w:rsid w:val="6398223D"/>
    <w:rsid w:val="639B00D4"/>
    <w:rsid w:val="639F7E25"/>
    <w:rsid w:val="63A325FF"/>
    <w:rsid w:val="63A52F28"/>
    <w:rsid w:val="63A63014"/>
    <w:rsid w:val="63AC46B1"/>
    <w:rsid w:val="63AE0DDC"/>
    <w:rsid w:val="63AE4E9C"/>
    <w:rsid w:val="63B16210"/>
    <w:rsid w:val="63B22663"/>
    <w:rsid w:val="63B60564"/>
    <w:rsid w:val="63BE035D"/>
    <w:rsid w:val="63BE387F"/>
    <w:rsid w:val="63C2147D"/>
    <w:rsid w:val="63C37CFD"/>
    <w:rsid w:val="63C6290F"/>
    <w:rsid w:val="63C757F2"/>
    <w:rsid w:val="63C809BA"/>
    <w:rsid w:val="63CF5425"/>
    <w:rsid w:val="63D15BD6"/>
    <w:rsid w:val="63D640D5"/>
    <w:rsid w:val="63D7250C"/>
    <w:rsid w:val="63D7507F"/>
    <w:rsid w:val="63DE4BCB"/>
    <w:rsid w:val="63DF498E"/>
    <w:rsid w:val="63E12610"/>
    <w:rsid w:val="63E578FA"/>
    <w:rsid w:val="63F3424F"/>
    <w:rsid w:val="63F35B2D"/>
    <w:rsid w:val="63F37E66"/>
    <w:rsid w:val="63F41D5A"/>
    <w:rsid w:val="63F46DF5"/>
    <w:rsid w:val="63F70276"/>
    <w:rsid w:val="63FB499B"/>
    <w:rsid w:val="63FC7F35"/>
    <w:rsid w:val="63FD5206"/>
    <w:rsid w:val="63FE643A"/>
    <w:rsid w:val="64004BC9"/>
    <w:rsid w:val="640108C1"/>
    <w:rsid w:val="64012268"/>
    <w:rsid w:val="64037CE0"/>
    <w:rsid w:val="64044533"/>
    <w:rsid w:val="640577AA"/>
    <w:rsid w:val="640A246C"/>
    <w:rsid w:val="6413655D"/>
    <w:rsid w:val="641511DC"/>
    <w:rsid w:val="64183E42"/>
    <w:rsid w:val="6418486F"/>
    <w:rsid w:val="641B5F59"/>
    <w:rsid w:val="641C0C74"/>
    <w:rsid w:val="641C3F0F"/>
    <w:rsid w:val="641D5BC9"/>
    <w:rsid w:val="641F0D93"/>
    <w:rsid w:val="641F5D9A"/>
    <w:rsid w:val="64202598"/>
    <w:rsid w:val="64215A29"/>
    <w:rsid w:val="64234F0C"/>
    <w:rsid w:val="64263C89"/>
    <w:rsid w:val="64264B74"/>
    <w:rsid w:val="642772EA"/>
    <w:rsid w:val="64290EC7"/>
    <w:rsid w:val="643035E0"/>
    <w:rsid w:val="6439023C"/>
    <w:rsid w:val="64396FDB"/>
    <w:rsid w:val="643E4BB4"/>
    <w:rsid w:val="643E4FFA"/>
    <w:rsid w:val="643F1191"/>
    <w:rsid w:val="64415463"/>
    <w:rsid w:val="64427F70"/>
    <w:rsid w:val="64443065"/>
    <w:rsid w:val="6447572F"/>
    <w:rsid w:val="64476852"/>
    <w:rsid w:val="644A0710"/>
    <w:rsid w:val="644C3705"/>
    <w:rsid w:val="644F0B9E"/>
    <w:rsid w:val="644F256F"/>
    <w:rsid w:val="6454612A"/>
    <w:rsid w:val="64577C49"/>
    <w:rsid w:val="645D3A66"/>
    <w:rsid w:val="646709F5"/>
    <w:rsid w:val="646905C6"/>
    <w:rsid w:val="6469394B"/>
    <w:rsid w:val="646B0587"/>
    <w:rsid w:val="646D014C"/>
    <w:rsid w:val="647034FD"/>
    <w:rsid w:val="6470717E"/>
    <w:rsid w:val="6471199B"/>
    <w:rsid w:val="647A3C9A"/>
    <w:rsid w:val="647E55ED"/>
    <w:rsid w:val="647F3052"/>
    <w:rsid w:val="647F7084"/>
    <w:rsid w:val="64807A8D"/>
    <w:rsid w:val="64841AE8"/>
    <w:rsid w:val="64844AB5"/>
    <w:rsid w:val="64882A45"/>
    <w:rsid w:val="648B3393"/>
    <w:rsid w:val="649015CE"/>
    <w:rsid w:val="6490653C"/>
    <w:rsid w:val="6493734C"/>
    <w:rsid w:val="64961F03"/>
    <w:rsid w:val="64963088"/>
    <w:rsid w:val="649671FC"/>
    <w:rsid w:val="6497295D"/>
    <w:rsid w:val="649842D8"/>
    <w:rsid w:val="649B3937"/>
    <w:rsid w:val="649B41FB"/>
    <w:rsid w:val="649B7C8C"/>
    <w:rsid w:val="64A008E9"/>
    <w:rsid w:val="64A51B53"/>
    <w:rsid w:val="64AD1798"/>
    <w:rsid w:val="64AE2795"/>
    <w:rsid w:val="64B0441C"/>
    <w:rsid w:val="64B11A19"/>
    <w:rsid w:val="64B234DE"/>
    <w:rsid w:val="64B474BB"/>
    <w:rsid w:val="64B5674E"/>
    <w:rsid w:val="64B83B41"/>
    <w:rsid w:val="64C12E3D"/>
    <w:rsid w:val="64C3263B"/>
    <w:rsid w:val="64C3433C"/>
    <w:rsid w:val="64C47F0B"/>
    <w:rsid w:val="64C55843"/>
    <w:rsid w:val="64C65FB7"/>
    <w:rsid w:val="64C71F0C"/>
    <w:rsid w:val="64C73931"/>
    <w:rsid w:val="64CC6AAA"/>
    <w:rsid w:val="64CD5283"/>
    <w:rsid w:val="64CD5412"/>
    <w:rsid w:val="64CE3403"/>
    <w:rsid w:val="64CF0E9F"/>
    <w:rsid w:val="64CF6F1D"/>
    <w:rsid w:val="64D05E18"/>
    <w:rsid w:val="64D11B6D"/>
    <w:rsid w:val="64D172D5"/>
    <w:rsid w:val="64D3042A"/>
    <w:rsid w:val="64D35BEE"/>
    <w:rsid w:val="64D80473"/>
    <w:rsid w:val="64DC1621"/>
    <w:rsid w:val="64DC6E68"/>
    <w:rsid w:val="64DE0A83"/>
    <w:rsid w:val="64DE0EEA"/>
    <w:rsid w:val="64DF21D3"/>
    <w:rsid w:val="64E00514"/>
    <w:rsid w:val="64E031FE"/>
    <w:rsid w:val="64E6136D"/>
    <w:rsid w:val="64E71D35"/>
    <w:rsid w:val="64E7516C"/>
    <w:rsid w:val="64E93F2D"/>
    <w:rsid w:val="64EB54F3"/>
    <w:rsid w:val="64ED13B9"/>
    <w:rsid w:val="64EF39DB"/>
    <w:rsid w:val="64EF7B34"/>
    <w:rsid w:val="64F92141"/>
    <w:rsid w:val="64FA4D8E"/>
    <w:rsid w:val="64FB4E58"/>
    <w:rsid w:val="64FC629F"/>
    <w:rsid w:val="64FD06F4"/>
    <w:rsid w:val="64FD79FA"/>
    <w:rsid w:val="65035962"/>
    <w:rsid w:val="650469B5"/>
    <w:rsid w:val="65062FEE"/>
    <w:rsid w:val="650760C0"/>
    <w:rsid w:val="650A3A1C"/>
    <w:rsid w:val="650D2431"/>
    <w:rsid w:val="650D5C00"/>
    <w:rsid w:val="650E17AA"/>
    <w:rsid w:val="650F6D0F"/>
    <w:rsid w:val="65111714"/>
    <w:rsid w:val="65112DC5"/>
    <w:rsid w:val="6511735E"/>
    <w:rsid w:val="65121208"/>
    <w:rsid w:val="65130C60"/>
    <w:rsid w:val="65167037"/>
    <w:rsid w:val="65172730"/>
    <w:rsid w:val="6518417D"/>
    <w:rsid w:val="651E2A25"/>
    <w:rsid w:val="6520670D"/>
    <w:rsid w:val="65222ABD"/>
    <w:rsid w:val="652C2181"/>
    <w:rsid w:val="65323121"/>
    <w:rsid w:val="653503F0"/>
    <w:rsid w:val="65360650"/>
    <w:rsid w:val="65362593"/>
    <w:rsid w:val="653A08E7"/>
    <w:rsid w:val="653E7E40"/>
    <w:rsid w:val="6544756B"/>
    <w:rsid w:val="6546476F"/>
    <w:rsid w:val="654823D2"/>
    <w:rsid w:val="65484D1D"/>
    <w:rsid w:val="65497E54"/>
    <w:rsid w:val="654A317C"/>
    <w:rsid w:val="65507F4B"/>
    <w:rsid w:val="65517CA3"/>
    <w:rsid w:val="65535996"/>
    <w:rsid w:val="655531C9"/>
    <w:rsid w:val="655A74FE"/>
    <w:rsid w:val="655C6080"/>
    <w:rsid w:val="655D79D7"/>
    <w:rsid w:val="655F349E"/>
    <w:rsid w:val="6561037C"/>
    <w:rsid w:val="6563422D"/>
    <w:rsid w:val="65654809"/>
    <w:rsid w:val="65672200"/>
    <w:rsid w:val="656762D2"/>
    <w:rsid w:val="6568263F"/>
    <w:rsid w:val="6568351E"/>
    <w:rsid w:val="65760466"/>
    <w:rsid w:val="657669A1"/>
    <w:rsid w:val="65767176"/>
    <w:rsid w:val="65783810"/>
    <w:rsid w:val="657945C4"/>
    <w:rsid w:val="65797191"/>
    <w:rsid w:val="657A0717"/>
    <w:rsid w:val="657A1EB4"/>
    <w:rsid w:val="657A7794"/>
    <w:rsid w:val="657E328A"/>
    <w:rsid w:val="65834A4B"/>
    <w:rsid w:val="65861BBE"/>
    <w:rsid w:val="65866965"/>
    <w:rsid w:val="65871FA9"/>
    <w:rsid w:val="65874F1A"/>
    <w:rsid w:val="658E2387"/>
    <w:rsid w:val="659730A4"/>
    <w:rsid w:val="659761E9"/>
    <w:rsid w:val="65992506"/>
    <w:rsid w:val="659B227C"/>
    <w:rsid w:val="659C09D2"/>
    <w:rsid w:val="65A0748A"/>
    <w:rsid w:val="65A60784"/>
    <w:rsid w:val="65A6720C"/>
    <w:rsid w:val="65A85C35"/>
    <w:rsid w:val="65AB443B"/>
    <w:rsid w:val="65AD1853"/>
    <w:rsid w:val="65AD3E69"/>
    <w:rsid w:val="65B17F5C"/>
    <w:rsid w:val="65B37B6B"/>
    <w:rsid w:val="65B46C84"/>
    <w:rsid w:val="65B5760E"/>
    <w:rsid w:val="65B6452B"/>
    <w:rsid w:val="65BA2A6F"/>
    <w:rsid w:val="65BB3421"/>
    <w:rsid w:val="65BC78CA"/>
    <w:rsid w:val="65BD1D3A"/>
    <w:rsid w:val="65BD2897"/>
    <w:rsid w:val="65C028F8"/>
    <w:rsid w:val="65C1481F"/>
    <w:rsid w:val="65C15E1D"/>
    <w:rsid w:val="65C64768"/>
    <w:rsid w:val="65C677E8"/>
    <w:rsid w:val="65C77081"/>
    <w:rsid w:val="65C92439"/>
    <w:rsid w:val="65CB1F2E"/>
    <w:rsid w:val="65CC61D2"/>
    <w:rsid w:val="65CE206E"/>
    <w:rsid w:val="65D25B2A"/>
    <w:rsid w:val="65D33811"/>
    <w:rsid w:val="65D43FE4"/>
    <w:rsid w:val="65D53F2B"/>
    <w:rsid w:val="65DA5CA5"/>
    <w:rsid w:val="65DB65E0"/>
    <w:rsid w:val="65DC2242"/>
    <w:rsid w:val="65DD0410"/>
    <w:rsid w:val="65DD41BA"/>
    <w:rsid w:val="65DF78DF"/>
    <w:rsid w:val="65E01D55"/>
    <w:rsid w:val="65E31FB7"/>
    <w:rsid w:val="65E55562"/>
    <w:rsid w:val="65E80507"/>
    <w:rsid w:val="65E8135C"/>
    <w:rsid w:val="65EC492B"/>
    <w:rsid w:val="65EE6C2D"/>
    <w:rsid w:val="65F16686"/>
    <w:rsid w:val="65F30AC8"/>
    <w:rsid w:val="65F43840"/>
    <w:rsid w:val="65FA4B93"/>
    <w:rsid w:val="66011055"/>
    <w:rsid w:val="66012B7C"/>
    <w:rsid w:val="66040798"/>
    <w:rsid w:val="66054503"/>
    <w:rsid w:val="6609041E"/>
    <w:rsid w:val="660B0A09"/>
    <w:rsid w:val="660B39A2"/>
    <w:rsid w:val="660C581C"/>
    <w:rsid w:val="66112040"/>
    <w:rsid w:val="66143192"/>
    <w:rsid w:val="66153739"/>
    <w:rsid w:val="661B5562"/>
    <w:rsid w:val="661E0A02"/>
    <w:rsid w:val="66215782"/>
    <w:rsid w:val="66217C22"/>
    <w:rsid w:val="66217C5B"/>
    <w:rsid w:val="66223AAA"/>
    <w:rsid w:val="6623307E"/>
    <w:rsid w:val="66237EF1"/>
    <w:rsid w:val="66244E14"/>
    <w:rsid w:val="66286B98"/>
    <w:rsid w:val="66385589"/>
    <w:rsid w:val="663E5BD9"/>
    <w:rsid w:val="663F1E8D"/>
    <w:rsid w:val="66410DD2"/>
    <w:rsid w:val="66416B48"/>
    <w:rsid w:val="6643346D"/>
    <w:rsid w:val="66441F86"/>
    <w:rsid w:val="664467F5"/>
    <w:rsid w:val="66471C61"/>
    <w:rsid w:val="664A1078"/>
    <w:rsid w:val="664A2C66"/>
    <w:rsid w:val="664B3966"/>
    <w:rsid w:val="664D4EFB"/>
    <w:rsid w:val="664D7110"/>
    <w:rsid w:val="664E0540"/>
    <w:rsid w:val="664E2A43"/>
    <w:rsid w:val="66501CE1"/>
    <w:rsid w:val="66516A6F"/>
    <w:rsid w:val="665250A7"/>
    <w:rsid w:val="66547671"/>
    <w:rsid w:val="66551352"/>
    <w:rsid w:val="66560FC4"/>
    <w:rsid w:val="665805B9"/>
    <w:rsid w:val="665A0669"/>
    <w:rsid w:val="665B5EF5"/>
    <w:rsid w:val="665C4B2D"/>
    <w:rsid w:val="666119B4"/>
    <w:rsid w:val="66615795"/>
    <w:rsid w:val="66646526"/>
    <w:rsid w:val="66663A66"/>
    <w:rsid w:val="666B5F7E"/>
    <w:rsid w:val="666C1BC7"/>
    <w:rsid w:val="666C2272"/>
    <w:rsid w:val="666C76DC"/>
    <w:rsid w:val="667024B8"/>
    <w:rsid w:val="66703C6C"/>
    <w:rsid w:val="66705306"/>
    <w:rsid w:val="667424EC"/>
    <w:rsid w:val="66761648"/>
    <w:rsid w:val="667F18FA"/>
    <w:rsid w:val="66801336"/>
    <w:rsid w:val="66812B1B"/>
    <w:rsid w:val="6682230C"/>
    <w:rsid w:val="66844D27"/>
    <w:rsid w:val="66873C3C"/>
    <w:rsid w:val="668D0564"/>
    <w:rsid w:val="668F5FE1"/>
    <w:rsid w:val="66900036"/>
    <w:rsid w:val="66901552"/>
    <w:rsid w:val="669645BE"/>
    <w:rsid w:val="66974173"/>
    <w:rsid w:val="669873B1"/>
    <w:rsid w:val="66990A8B"/>
    <w:rsid w:val="66990F9E"/>
    <w:rsid w:val="669C7693"/>
    <w:rsid w:val="669D59E2"/>
    <w:rsid w:val="66A158E3"/>
    <w:rsid w:val="66A95D6D"/>
    <w:rsid w:val="66AD298E"/>
    <w:rsid w:val="66AD51A8"/>
    <w:rsid w:val="66B320EC"/>
    <w:rsid w:val="66B32D25"/>
    <w:rsid w:val="66B45C92"/>
    <w:rsid w:val="66B91C99"/>
    <w:rsid w:val="66BF6E87"/>
    <w:rsid w:val="66C05E59"/>
    <w:rsid w:val="66C34E0F"/>
    <w:rsid w:val="66C457E2"/>
    <w:rsid w:val="66C844F4"/>
    <w:rsid w:val="66C9376D"/>
    <w:rsid w:val="66CC4B93"/>
    <w:rsid w:val="66CC4F83"/>
    <w:rsid w:val="66D54A6E"/>
    <w:rsid w:val="66DF632E"/>
    <w:rsid w:val="66E83666"/>
    <w:rsid w:val="66ED0894"/>
    <w:rsid w:val="66EE1818"/>
    <w:rsid w:val="66EF4C1A"/>
    <w:rsid w:val="66F2031E"/>
    <w:rsid w:val="66F34D19"/>
    <w:rsid w:val="66F53A2C"/>
    <w:rsid w:val="66F62DB9"/>
    <w:rsid w:val="66F66B28"/>
    <w:rsid w:val="66F8396C"/>
    <w:rsid w:val="66FC7B91"/>
    <w:rsid w:val="67006EA4"/>
    <w:rsid w:val="670C09E6"/>
    <w:rsid w:val="670F2241"/>
    <w:rsid w:val="67135D4C"/>
    <w:rsid w:val="6716400D"/>
    <w:rsid w:val="671901F0"/>
    <w:rsid w:val="671936ED"/>
    <w:rsid w:val="671A6954"/>
    <w:rsid w:val="671D0CBA"/>
    <w:rsid w:val="671E23D4"/>
    <w:rsid w:val="672152D2"/>
    <w:rsid w:val="67217A05"/>
    <w:rsid w:val="672227AA"/>
    <w:rsid w:val="67241AF4"/>
    <w:rsid w:val="672A6514"/>
    <w:rsid w:val="672F065C"/>
    <w:rsid w:val="672F19D4"/>
    <w:rsid w:val="673023C6"/>
    <w:rsid w:val="67324A9B"/>
    <w:rsid w:val="67333C5A"/>
    <w:rsid w:val="6734328B"/>
    <w:rsid w:val="6736315B"/>
    <w:rsid w:val="67385D9F"/>
    <w:rsid w:val="673D141D"/>
    <w:rsid w:val="673E5ED7"/>
    <w:rsid w:val="6742424D"/>
    <w:rsid w:val="67435426"/>
    <w:rsid w:val="67440E7F"/>
    <w:rsid w:val="674A58D3"/>
    <w:rsid w:val="674C7FB8"/>
    <w:rsid w:val="674E196C"/>
    <w:rsid w:val="674F77E2"/>
    <w:rsid w:val="67510AA5"/>
    <w:rsid w:val="67514B4B"/>
    <w:rsid w:val="6752516E"/>
    <w:rsid w:val="67526872"/>
    <w:rsid w:val="67555626"/>
    <w:rsid w:val="675821F3"/>
    <w:rsid w:val="67587A12"/>
    <w:rsid w:val="675C1890"/>
    <w:rsid w:val="675E59B4"/>
    <w:rsid w:val="675F603C"/>
    <w:rsid w:val="67685A78"/>
    <w:rsid w:val="67687F81"/>
    <w:rsid w:val="67696213"/>
    <w:rsid w:val="676A7F74"/>
    <w:rsid w:val="676E5ACB"/>
    <w:rsid w:val="67722BCB"/>
    <w:rsid w:val="67761BFC"/>
    <w:rsid w:val="677635A3"/>
    <w:rsid w:val="67772A8A"/>
    <w:rsid w:val="677C4EF5"/>
    <w:rsid w:val="677E090D"/>
    <w:rsid w:val="67802A9B"/>
    <w:rsid w:val="67834E56"/>
    <w:rsid w:val="67864AA7"/>
    <w:rsid w:val="6786629E"/>
    <w:rsid w:val="6787260F"/>
    <w:rsid w:val="678D6E65"/>
    <w:rsid w:val="679172C1"/>
    <w:rsid w:val="679346E8"/>
    <w:rsid w:val="67935CEE"/>
    <w:rsid w:val="67944424"/>
    <w:rsid w:val="679B0729"/>
    <w:rsid w:val="679C05E1"/>
    <w:rsid w:val="679D3FBC"/>
    <w:rsid w:val="679E7678"/>
    <w:rsid w:val="679F3720"/>
    <w:rsid w:val="67A109E9"/>
    <w:rsid w:val="67A21D44"/>
    <w:rsid w:val="67A719A6"/>
    <w:rsid w:val="67A84C61"/>
    <w:rsid w:val="67A8663B"/>
    <w:rsid w:val="67A90688"/>
    <w:rsid w:val="67A944E5"/>
    <w:rsid w:val="67A94C09"/>
    <w:rsid w:val="67AA4DFE"/>
    <w:rsid w:val="67AA7354"/>
    <w:rsid w:val="67AF0037"/>
    <w:rsid w:val="67AF488B"/>
    <w:rsid w:val="67B01266"/>
    <w:rsid w:val="67B064DE"/>
    <w:rsid w:val="67B728BE"/>
    <w:rsid w:val="67BA6C65"/>
    <w:rsid w:val="67BC6077"/>
    <w:rsid w:val="67C13322"/>
    <w:rsid w:val="67C27CF0"/>
    <w:rsid w:val="67C5345F"/>
    <w:rsid w:val="67C87AE6"/>
    <w:rsid w:val="67CB6909"/>
    <w:rsid w:val="67CB7EBB"/>
    <w:rsid w:val="67CD2CDA"/>
    <w:rsid w:val="67D04899"/>
    <w:rsid w:val="67D15D12"/>
    <w:rsid w:val="67D2243E"/>
    <w:rsid w:val="67D270D7"/>
    <w:rsid w:val="67D31141"/>
    <w:rsid w:val="67D67EB7"/>
    <w:rsid w:val="67D715C5"/>
    <w:rsid w:val="67D72B0C"/>
    <w:rsid w:val="67DC1687"/>
    <w:rsid w:val="67DE0C7E"/>
    <w:rsid w:val="67DE3046"/>
    <w:rsid w:val="67DF5410"/>
    <w:rsid w:val="67E22141"/>
    <w:rsid w:val="67E263CD"/>
    <w:rsid w:val="67E6159D"/>
    <w:rsid w:val="67E76C7B"/>
    <w:rsid w:val="67E868A8"/>
    <w:rsid w:val="67EA7B14"/>
    <w:rsid w:val="67EC6242"/>
    <w:rsid w:val="67ED51EA"/>
    <w:rsid w:val="67F2606F"/>
    <w:rsid w:val="67F272B2"/>
    <w:rsid w:val="67F36643"/>
    <w:rsid w:val="67F706AE"/>
    <w:rsid w:val="67F94922"/>
    <w:rsid w:val="67FB4A40"/>
    <w:rsid w:val="680271E9"/>
    <w:rsid w:val="68036C5D"/>
    <w:rsid w:val="68040FF7"/>
    <w:rsid w:val="680B6E15"/>
    <w:rsid w:val="680F2A8D"/>
    <w:rsid w:val="68180651"/>
    <w:rsid w:val="681863CB"/>
    <w:rsid w:val="681A078E"/>
    <w:rsid w:val="681A14FB"/>
    <w:rsid w:val="681C6920"/>
    <w:rsid w:val="682154E0"/>
    <w:rsid w:val="68226AAF"/>
    <w:rsid w:val="6823559B"/>
    <w:rsid w:val="68275655"/>
    <w:rsid w:val="6828636C"/>
    <w:rsid w:val="68313F74"/>
    <w:rsid w:val="6837248C"/>
    <w:rsid w:val="68372554"/>
    <w:rsid w:val="68374315"/>
    <w:rsid w:val="683C3B36"/>
    <w:rsid w:val="683C6D4C"/>
    <w:rsid w:val="683E228E"/>
    <w:rsid w:val="684227FA"/>
    <w:rsid w:val="684761D0"/>
    <w:rsid w:val="68491C94"/>
    <w:rsid w:val="684B2112"/>
    <w:rsid w:val="684B3FF1"/>
    <w:rsid w:val="68514991"/>
    <w:rsid w:val="68516960"/>
    <w:rsid w:val="68534F8A"/>
    <w:rsid w:val="68556C0B"/>
    <w:rsid w:val="685A2F66"/>
    <w:rsid w:val="685C67CA"/>
    <w:rsid w:val="685C7A21"/>
    <w:rsid w:val="685E1B5B"/>
    <w:rsid w:val="68637B81"/>
    <w:rsid w:val="6868391F"/>
    <w:rsid w:val="686C3523"/>
    <w:rsid w:val="686D1DBA"/>
    <w:rsid w:val="686D5EAE"/>
    <w:rsid w:val="68753DDA"/>
    <w:rsid w:val="687650DE"/>
    <w:rsid w:val="687D0383"/>
    <w:rsid w:val="687D5BD1"/>
    <w:rsid w:val="687E6A35"/>
    <w:rsid w:val="68877C38"/>
    <w:rsid w:val="688A5347"/>
    <w:rsid w:val="688A7775"/>
    <w:rsid w:val="688E1AD0"/>
    <w:rsid w:val="6890647C"/>
    <w:rsid w:val="68921063"/>
    <w:rsid w:val="689302C4"/>
    <w:rsid w:val="68945DA5"/>
    <w:rsid w:val="689535D6"/>
    <w:rsid w:val="68965B0D"/>
    <w:rsid w:val="689755D7"/>
    <w:rsid w:val="68995BA8"/>
    <w:rsid w:val="689B00B2"/>
    <w:rsid w:val="689C154A"/>
    <w:rsid w:val="689C21E6"/>
    <w:rsid w:val="689F17AD"/>
    <w:rsid w:val="689F6FE4"/>
    <w:rsid w:val="68A00C2E"/>
    <w:rsid w:val="68A11110"/>
    <w:rsid w:val="68A45AEB"/>
    <w:rsid w:val="68A570B3"/>
    <w:rsid w:val="68AA4390"/>
    <w:rsid w:val="68B172C1"/>
    <w:rsid w:val="68B30560"/>
    <w:rsid w:val="68B43AAC"/>
    <w:rsid w:val="68B71674"/>
    <w:rsid w:val="68BC5E22"/>
    <w:rsid w:val="68C12FE5"/>
    <w:rsid w:val="68C159A0"/>
    <w:rsid w:val="68C25282"/>
    <w:rsid w:val="68C424B0"/>
    <w:rsid w:val="68C67E89"/>
    <w:rsid w:val="68C831EC"/>
    <w:rsid w:val="68CA7642"/>
    <w:rsid w:val="68CB60EF"/>
    <w:rsid w:val="68CB7079"/>
    <w:rsid w:val="68CB71D7"/>
    <w:rsid w:val="68CD3557"/>
    <w:rsid w:val="68CE34E8"/>
    <w:rsid w:val="68CE6272"/>
    <w:rsid w:val="68D47E36"/>
    <w:rsid w:val="68D67D20"/>
    <w:rsid w:val="68D75276"/>
    <w:rsid w:val="68DA4E72"/>
    <w:rsid w:val="68E63D07"/>
    <w:rsid w:val="68E85E7D"/>
    <w:rsid w:val="68E94B2A"/>
    <w:rsid w:val="68EF6C14"/>
    <w:rsid w:val="68F147C7"/>
    <w:rsid w:val="68F30B42"/>
    <w:rsid w:val="68F32A6C"/>
    <w:rsid w:val="68F46CCD"/>
    <w:rsid w:val="68F63C18"/>
    <w:rsid w:val="68F757A3"/>
    <w:rsid w:val="68FD6917"/>
    <w:rsid w:val="68FE0BE2"/>
    <w:rsid w:val="69041138"/>
    <w:rsid w:val="69064D97"/>
    <w:rsid w:val="690A194F"/>
    <w:rsid w:val="690A49E1"/>
    <w:rsid w:val="690C59D4"/>
    <w:rsid w:val="691354B5"/>
    <w:rsid w:val="69177F08"/>
    <w:rsid w:val="691B0685"/>
    <w:rsid w:val="691D0BF6"/>
    <w:rsid w:val="692076B7"/>
    <w:rsid w:val="69220F2C"/>
    <w:rsid w:val="69264D59"/>
    <w:rsid w:val="69271DEF"/>
    <w:rsid w:val="6929758B"/>
    <w:rsid w:val="692A6E73"/>
    <w:rsid w:val="692B5B9F"/>
    <w:rsid w:val="692C128D"/>
    <w:rsid w:val="692E48DF"/>
    <w:rsid w:val="692F3001"/>
    <w:rsid w:val="693158E9"/>
    <w:rsid w:val="693722EF"/>
    <w:rsid w:val="693736F8"/>
    <w:rsid w:val="69373A62"/>
    <w:rsid w:val="69385577"/>
    <w:rsid w:val="693B25E8"/>
    <w:rsid w:val="693B68DE"/>
    <w:rsid w:val="693C4154"/>
    <w:rsid w:val="693C5E38"/>
    <w:rsid w:val="693D608E"/>
    <w:rsid w:val="693E59C1"/>
    <w:rsid w:val="69413507"/>
    <w:rsid w:val="69432DF4"/>
    <w:rsid w:val="69436CA4"/>
    <w:rsid w:val="694460B1"/>
    <w:rsid w:val="69472BA3"/>
    <w:rsid w:val="694757AA"/>
    <w:rsid w:val="694875A9"/>
    <w:rsid w:val="695673C7"/>
    <w:rsid w:val="69570B62"/>
    <w:rsid w:val="69595884"/>
    <w:rsid w:val="69607549"/>
    <w:rsid w:val="69613397"/>
    <w:rsid w:val="6962035A"/>
    <w:rsid w:val="69633294"/>
    <w:rsid w:val="6963375C"/>
    <w:rsid w:val="6964291F"/>
    <w:rsid w:val="69655E58"/>
    <w:rsid w:val="69682994"/>
    <w:rsid w:val="69682C82"/>
    <w:rsid w:val="696848C8"/>
    <w:rsid w:val="696B4BAD"/>
    <w:rsid w:val="696F64BE"/>
    <w:rsid w:val="697003AA"/>
    <w:rsid w:val="69701E69"/>
    <w:rsid w:val="69703BC9"/>
    <w:rsid w:val="69714447"/>
    <w:rsid w:val="69714455"/>
    <w:rsid w:val="697306E3"/>
    <w:rsid w:val="69740947"/>
    <w:rsid w:val="69760515"/>
    <w:rsid w:val="69770802"/>
    <w:rsid w:val="69770ECF"/>
    <w:rsid w:val="697D60E9"/>
    <w:rsid w:val="697E1FC2"/>
    <w:rsid w:val="698038F5"/>
    <w:rsid w:val="6981492E"/>
    <w:rsid w:val="69826B70"/>
    <w:rsid w:val="69887ED3"/>
    <w:rsid w:val="698C7D12"/>
    <w:rsid w:val="69910426"/>
    <w:rsid w:val="69937B96"/>
    <w:rsid w:val="69942882"/>
    <w:rsid w:val="69950B27"/>
    <w:rsid w:val="6995540B"/>
    <w:rsid w:val="699555A9"/>
    <w:rsid w:val="69991DA4"/>
    <w:rsid w:val="699C5868"/>
    <w:rsid w:val="69A0360A"/>
    <w:rsid w:val="69A04DC6"/>
    <w:rsid w:val="69A351EB"/>
    <w:rsid w:val="69A37A01"/>
    <w:rsid w:val="69A6083C"/>
    <w:rsid w:val="69A70F71"/>
    <w:rsid w:val="69A723CE"/>
    <w:rsid w:val="69A76802"/>
    <w:rsid w:val="69A853DA"/>
    <w:rsid w:val="69AB5B4C"/>
    <w:rsid w:val="69AB66E0"/>
    <w:rsid w:val="69B14164"/>
    <w:rsid w:val="69B20A23"/>
    <w:rsid w:val="69B457CC"/>
    <w:rsid w:val="69B8095C"/>
    <w:rsid w:val="69B8382D"/>
    <w:rsid w:val="69B865D1"/>
    <w:rsid w:val="69B96058"/>
    <w:rsid w:val="69BC2571"/>
    <w:rsid w:val="69BD10B7"/>
    <w:rsid w:val="69BE0F21"/>
    <w:rsid w:val="69BE2AF7"/>
    <w:rsid w:val="69BE3E7E"/>
    <w:rsid w:val="69BF671F"/>
    <w:rsid w:val="69BF7361"/>
    <w:rsid w:val="69C43401"/>
    <w:rsid w:val="69C4384F"/>
    <w:rsid w:val="69C51DEE"/>
    <w:rsid w:val="69C81A2B"/>
    <w:rsid w:val="69C82377"/>
    <w:rsid w:val="69CB0051"/>
    <w:rsid w:val="69CB1B55"/>
    <w:rsid w:val="69D63AA5"/>
    <w:rsid w:val="69D652FF"/>
    <w:rsid w:val="69DA6DED"/>
    <w:rsid w:val="69DC48BF"/>
    <w:rsid w:val="69DD2D1E"/>
    <w:rsid w:val="69E44176"/>
    <w:rsid w:val="69E53792"/>
    <w:rsid w:val="69E71869"/>
    <w:rsid w:val="69E72A54"/>
    <w:rsid w:val="69E74548"/>
    <w:rsid w:val="69EA190A"/>
    <w:rsid w:val="69EE0380"/>
    <w:rsid w:val="69F172A6"/>
    <w:rsid w:val="69F41ADF"/>
    <w:rsid w:val="69F47932"/>
    <w:rsid w:val="69F617B6"/>
    <w:rsid w:val="69FB0968"/>
    <w:rsid w:val="69FD25AD"/>
    <w:rsid w:val="69FE1366"/>
    <w:rsid w:val="69FE3C02"/>
    <w:rsid w:val="6A011429"/>
    <w:rsid w:val="6A030E83"/>
    <w:rsid w:val="6A046441"/>
    <w:rsid w:val="6A0A4CBE"/>
    <w:rsid w:val="6A0A5B37"/>
    <w:rsid w:val="6A0B4AE1"/>
    <w:rsid w:val="6A0E1A82"/>
    <w:rsid w:val="6A1275B4"/>
    <w:rsid w:val="6A137B0F"/>
    <w:rsid w:val="6A137C8E"/>
    <w:rsid w:val="6A164C3B"/>
    <w:rsid w:val="6A173F0C"/>
    <w:rsid w:val="6A192019"/>
    <w:rsid w:val="6A192A8F"/>
    <w:rsid w:val="6A1A571E"/>
    <w:rsid w:val="6A1F1B14"/>
    <w:rsid w:val="6A1F47C6"/>
    <w:rsid w:val="6A245222"/>
    <w:rsid w:val="6A2A7F36"/>
    <w:rsid w:val="6A2B29F4"/>
    <w:rsid w:val="6A2C3FE6"/>
    <w:rsid w:val="6A312858"/>
    <w:rsid w:val="6A340932"/>
    <w:rsid w:val="6A3423AD"/>
    <w:rsid w:val="6A3752CF"/>
    <w:rsid w:val="6A3819C7"/>
    <w:rsid w:val="6A393DC1"/>
    <w:rsid w:val="6A3D6994"/>
    <w:rsid w:val="6A3E324C"/>
    <w:rsid w:val="6A426272"/>
    <w:rsid w:val="6A443C2C"/>
    <w:rsid w:val="6A445A2D"/>
    <w:rsid w:val="6A45133C"/>
    <w:rsid w:val="6A465781"/>
    <w:rsid w:val="6A4A6EE1"/>
    <w:rsid w:val="6A5666A4"/>
    <w:rsid w:val="6A5857C5"/>
    <w:rsid w:val="6A6055BA"/>
    <w:rsid w:val="6A60588B"/>
    <w:rsid w:val="6A612B76"/>
    <w:rsid w:val="6A620B6E"/>
    <w:rsid w:val="6A627569"/>
    <w:rsid w:val="6A636C60"/>
    <w:rsid w:val="6A644B23"/>
    <w:rsid w:val="6A65261F"/>
    <w:rsid w:val="6A6B29DE"/>
    <w:rsid w:val="6A6E7743"/>
    <w:rsid w:val="6A710AF9"/>
    <w:rsid w:val="6A72158D"/>
    <w:rsid w:val="6A722B1A"/>
    <w:rsid w:val="6A736FDE"/>
    <w:rsid w:val="6A745D50"/>
    <w:rsid w:val="6A771266"/>
    <w:rsid w:val="6A7728F5"/>
    <w:rsid w:val="6A782150"/>
    <w:rsid w:val="6A7852B3"/>
    <w:rsid w:val="6A792F88"/>
    <w:rsid w:val="6A7A7482"/>
    <w:rsid w:val="6A7B1BD2"/>
    <w:rsid w:val="6A7C0641"/>
    <w:rsid w:val="6A7C3991"/>
    <w:rsid w:val="6A846E25"/>
    <w:rsid w:val="6A875E5A"/>
    <w:rsid w:val="6A8A212B"/>
    <w:rsid w:val="6A8A65EA"/>
    <w:rsid w:val="6A8B15FE"/>
    <w:rsid w:val="6A922E3C"/>
    <w:rsid w:val="6A96225F"/>
    <w:rsid w:val="6A964C22"/>
    <w:rsid w:val="6A973F58"/>
    <w:rsid w:val="6A991CF8"/>
    <w:rsid w:val="6A9D6B43"/>
    <w:rsid w:val="6A9F5E33"/>
    <w:rsid w:val="6AA05F7B"/>
    <w:rsid w:val="6AA21874"/>
    <w:rsid w:val="6AA7186A"/>
    <w:rsid w:val="6AAA7359"/>
    <w:rsid w:val="6AAE6E7F"/>
    <w:rsid w:val="6AAF5B9C"/>
    <w:rsid w:val="6AAF7226"/>
    <w:rsid w:val="6AB01AFE"/>
    <w:rsid w:val="6ABA73A5"/>
    <w:rsid w:val="6ABB21CF"/>
    <w:rsid w:val="6ABB29B6"/>
    <w:rsid w:val="6ABB2F34"/>
    <w:rsid w:val="6ABC12C9"/>
    <w:rsid w:val="6ABC2E2B"/>
    <w:rsid w:val="6ABE5EDA"/>
    <w:rsid w:val="6AC15689"/>
    <w:rsid w:val="6AC2187C"/>
    <w:rsid w:val="6AC72BE2"/>
    <w:rsid w:val="6AC75F1C"/>
    <w:rsid w:val="6AC9044B"/>
    <w:rsid w:val="6ACA70CA"/>
    <w:rsid w:val="6ACE2B02"/>
    <w:rsid w:val="6ACE333B"/>
    <w:rsid w:val="6AD27384"/>
    <w:rsid w:val="6AD55474"/>
    <w:rsid w:val="6AD953B2"/>
    <w:rsid w:val="6ADD18AF"/>
    <w:rsid w:val="6AE14695"/>
    <w:rsid w:val="6AE27490"/>
    <w:rsid w:val="6AE42B05"/>
    <w:rsid w:val="6AE72C9A"/>
    <w:rsid w:val="6AEA6D47"/>
    <w:rsid w:val="6AEA768F"/>
    <w:rsid w:val="6AEE2425"/>
    <w:rsid w:val="6AEF02D9"/>
    <w:rsid w:val="6AEF6F36"/>
    <w:rsid w:val="6AF503DD"/>
    <w:rsid w:val="6AF66E19"/>
    <w:rsid w:val="6AF74E98"/>
    <w:rsid w:val="6AF87761"/>
    <w:rsid w:val="6AF9068A"/>
    <w:rsid w:val="6AF93EDC"/>
    <w:rsid w:val="6AFB1503"/>
    <w:rsid w:val="6AFB6578"/>
    <w:rsid w:val="6AFF7DFB"/>
    <w:rsid w:val="6B04748B"/>
    <w:rsid w:val="6B047D0E"/>
    <w:rsid w:val="6B0730A9"/>
    <w:rsid w:val="6B0C60A0"/>
    <w:rsid w:val="6B102542"/>
    <w:rsid w:val="6B110DFB"/>
    <w:rsid w:val="6B1831C9"/>
    <w:rsid w:val="6B1E3DB8"/>
    <w:rsid w:val="6B284827"/>
    <w:rsid w:val="6B2B07AC"/>
    <w:rsid w:val="6B2B3C46"/>
    <w:rsid w:val="6B2C44D9"/>
    <w:rsid w:val="6B303A0D"/>
    <w:rsid w:val="6B30525E"/>
    <w:rsid w:val="6B331D5A"/>
    <w:rsid w:val="6B354EA1"/>
    <w:rsid w:val="6B3601F6"/>
    <w:rsid w:val="6B36396E"/>
    <w:rsid w:val="6B386181"/>
    <w:rsid w:val="6B3B3956"/>
    <w:rsid w:val="6B3D1D7D"/>
    <w:rsid w:val="6B3E76AB"/>
    <w:rsid w:val="6B4072EC"/>
    <w:rsid w:val="6B41317B"/>
    <w:rsid w:val="6B434174"/>
    <w:rsid w:val="6B4743FB"/>
    <w:rsid w:val="6B482C03"/>
    <w:rsid w:val="6B4D3DF9"/>
    <w:rsid w:val="6B4E3C3E"/>
    <w:rsid w:val="6B514DEB"/>
    <w:rsid w:val="6B535549"/>
    <w:rsid w:val="6B541BAC"/>
    <w:rsid w:val="6B57403D"/>
    <w:rsid w:val="6B576206"/>
    <w:rsid w:val="6B5C7B78"/>
    <w:rsid w:val="6B5D2B24"/>
    <w:rsid w:val="6B5D524B"/>
    <w:rsid w:val="6B60617F"/>
    <w:rsid w:val="6B636FCF"/>
    <w:rsid w:val="6B643095"/>
    <w:rsid w:val="6B656D04"/>
    <w:rsid w:val="6B661015"/>
    <w:rsid w:val="6B662461"/>
    <w:rsid w:val="6B6C5A40"/>
    <w:rsid w:val="6B6D31F5"/>
    <w:rsid w:val="6B6E0C8A"/>
    <w:rsid w:val="6B6E4362"/>
    <w:rsid w:val="6B6F3CF0"/>
    <w:rsid w:val="6B721A2E"/>
    <w:rsid w:val="6B726040"/>
    <w:rsid w:val="6B740A78"/>
    <w:rsid w:val="6B7858DD"/>
    <w:rsid w:val="6B79096F"/>
    <w:rsid w:val="6B7B592D"/>
    <w:rsid w:val="6B7E6477"/>
    <w:rsid w:val="6B7F000D"/>
    <w:rsid w:val="6B8532D0"/>
    <w:rsid w:val="6B8575C7"/>
    <w:rsid w:val="6B877F1E"/>
    <w:rsid w:val="6B893398"/>
    <w:rsid w:val="6B8A3B52"/>
    <w:rsid w:val="6B8B0531"/>
    <w:rsid w:val="6B8C0433"/>
    <w:rsid w:val="6B8D1A28"/>
    <w:rsid w:val="6B91024E"/>
    <w:rsid w:val="6B913033"/>
    <w:rsid w:val="6B91640E"/>
    <w:rsid w:val="6B926667"/>
    <w:rsid w:val="6B9440EE"/>
    <w:rsid w:val="6B972731"/>
    <w:rsid w:val="6B9B29AB"/>
    <w:rsid w:val="6B9D4CFC"/>
    <w:rsid w:val="6BA15BB3"/>
    <w:rsid w:val="6BA22F1C"/>
    <w:rsid w:val="6BA37E8B"/>
    <w:rsid w:val="6BA4117F"/>
    <w:rsid w:val="6BA47470"/>
    <w:rsid w:val="6BA478BF"/>
    <w:rsid w:val="6BA92512"/>
    <w:rsid w:val="6BAA424E"/>
    <w:rsid w:val="6BAB36D6"/>
    <w:rsid w:val="6BAD1135"/>
    <w:rsid w:val="6BB20EE1"/>
    <w:rsid w:val="6BB40298"/>
    <w:rsid w:val="6BB43A78"/>
    <w:rsid w:val="6BB67DDA"/>
    <w:rsid w:val="6BB74362"/>
    <w:rsid w:val="6BBA1953"/>
    <w:rsid w:val="6BBA39A0"/>
    <w:rsid w:val="6BBE48D0"/>
    <w:rsid w:val="6BC156A9"/>
    <w:rsid w:val="6BC41639"/>
    <w:rsid w:val="6BC45B00"/>
    <w:rsid w:val="6BC5087E"/>
    <w:rsid w:val="6BC85CDB"/>
    <w:rsid w:val="6BC9465E"/>
    <w:rsid w:val="6BCB3A6F"/>
    <w:rsid w:val="6BCC180E"/>
    <w:rsid w:val="6BCD4F1D"/>
    <w:rsid w:val="6BD421FB"/>
    <w:rsid w:val="6BD86BD3"/>
    <w:rsid w:val="6BD9501C"/>
    <w:rsid w:val="6BDD77EF"/>
    <w:rsid w:val="6BE10B01"/>
    <w:rsid w:val="6BE135B1"/>
    <w:rsid w:val="6BE566A3"/>
    <w:rsid w:val="6BE621FD"/>
    <w:rsid w:val="6BE623B1"/>
    <w:rsid w:val="6BE76533"/>
    <w:rsid w:val="6BE92581"/>
    <w:rsid w:val="6BEC131E"/>
    <w:rsid w:val="6BEC17E0"/>
    <w:rsid w:val="6BEC5C84"/>
    <w:rsid w:val="6BF2244E"/>
    <w:rsid w:val="6BF62933"/>
    <w:rsid w:val="6BF70AA4"/>
    <w:rsid w:val="6BFB0862"/>
    <w:rsid w:val="6BFB1931"/>
    <w:rsid w:val="6BFE752A"/>
    <w:rsid w:val="6C04123C"/>
    <w:rsid w:val="6C0415EA"/>
    <w:rsid w:val="6C066D46"/>
    <w:rsid w:val="6C0A1F08"/>
    <w:rsid w:val="6C0D198A"/>
    <w:rsid w:val="6C0D4FD2"/>
    <w:rsid w:val="6C10202B"/>
    <w:rsid w:val="6C134F3A"/>
    <w:rsid w:val="6C14057F"/>
    <w:rsid w:val="6C141700"/>
    <w:rsid w:val="6C152FFB"/>
    <w:rsid w:val="6C1846C3"/>
    <w:rsid w:val="6C193232"/>
    <w:rsid w:val="6C1A28E8"/>
    <w:rsid w:val="6C1A3D5C"/>
    <w:rsid w:val="6C1C69EA"/>
    <w:rsid w:val="6C1F3B6F"/>
    <w:rsid w:val="6C1F3C14"/>
    <w:rsid w:val="6C203884"/>
    <w:rsid w:val="6C206754"/>
    <w:rsid w:val="6C217F1E"/>
    <w:rsid w:val="6C227A3D"/>
    <w:rsid w:val="6C24779E"/>
    <w:rsid w:val="6C247C9B"/>
    <w:rsid w:val="6C2529B4"/>
    <w:rsid w:val="6C266478"/>
    <w:rsid w:val="6C280780"/>
    <w:rsid w:val="6C291378"/>
    <w:rsid w:val="6C2C4961"/>
    <w:rsid w:val="6C313D91"/>
    <w:rsid w:val="6C3307B8"/>
    <w:rsid w:val="6C3355BB"/>
    <w:rsid w:val="6C3644DD"/>
    <w:rsid w:val="6C3766C8"/>
    <w:rsid w:val="6C376743"/>
    <w:rsid w:val="6C393E5A"/>
    <w:rsid w:val="6C3B43DB"/>
    <w:rsid w:val="6C3B593E"/>
    <w:rsid w:val="6C3D0549"/>
    <w:rsid w:val="6C3D1A26"/>
    <w:rsid w:val="6C3E6038"/>
    <w:rsid w:val="6C404075"/>
    <w:rsid w:val="6C46251B"/>
    <w:rsid w:val="6C467142"/>
    <w:rsid w:val="6C4A6F8C"/>
    <w:rsid w:val="6C4C07A6"/>
    <w:rsid w:val="6C4C227F"/>
    <w:rsid w:val="6C512124"/>
    <w:rsid w:val="6C547050"/>
    <w:rsid w:val="6C554FE6"/>
    <w:rsid w:val="6C562104"/>
    <w:rsid w:val="6C5844F7"/>
    <w:rsid w:val="6C595CE3"/>
    <w:rsid w:val="6C5B0912"/>
    <w:rsid w:val="6C5D347A"/>
    <w:rsid w:val="6C5F0204"/>
    <w:rsid w:val="6C5F62E3"/>
    <w:rsid w:val="6C63799B"/>
    <w:rsid w:val="6C64492D"/>
    <w:rsid w:val="6C657721"/>
    <w:rsid w:val="6C6755E2"/>
    <w:rsid w:val="6C686BCA"/>
    <w:rsid w:val="6C687ECB"/>
    <w:rsid w:val="6C697186"/>
    <w:rsid w:val="6C6A5333"/>
    <w:rsid w:val="6C6D1394"/>
    <w:rsid w:val="6C6D1F4C"/>
    <w:rsid w:val="6C6E0F52"/>
    <w:rsid w:val="6C7015C9"/>
    <w:rsid w:val="6C7257DB"/>
    <w:rsid w:val="6C734AB1"/>
    <w:rsid w:val="6C73671C"/>
    <w:rsid w:val="6C7863DA"/>
    <w:rsid w:val="6C7A7601"/>
    <w:rsid w:val="6C804E81"/>
    <w:rsid w:val="6C811ECD"/>
    <w:rsid w:val="6C871E45"/>
    <w:rsid w:val="6C875967"/>
    <w:rsid w:val="6C877007"/>
    <w:rsid w:val="6C8B3F42"/>
    <w:rsid w:val="6C8C0BEF"/>
    <w:rsid w:val="6C8D35FF"/>
    <w:rsid w:val="6C8E7588"/>
    <w:rsid w:val="6C907AE1"/>
    <w:rsid w:val="6C927276"/>
    <w:rsid w:val="6C936CF1"/>
    <w:rsid w:val="6C947E59"/>
    <w:rsid w:val="6C9946E3"/>
    <w:rsid w:val="6CA56865"/>
    <w:rsid w:val="6CA60509"/>
    <w:rsid w:val="6CA60555"/>
    <w:rsid w:val="6CA8129D"/>
    <w:rsid w:val="6CAB6D21"/>
    <w:rsid w:val="6CAD0C46"/>
    <w:rsid w:val="6CAD4760"/>
    <w:rsid w:val="6CAD5295"/>
    <w:rsid w:val="6CAD6163"/>
    <w:rsid w:val="6CAE33AA"/>
    <w:rsid w:val="6CB21DF4"/>
    <w:rsid w:val="6CB2311B"/>
    <w:rsid w:val="6CB247CA"/>
    <w:rsid w:val="6CB32DCF"/>
    <w:rsid w:val="6CB60DFF"/>
    <w:rsid w:val="6CB93BF6"/>
    <w:rsid w:val="6CBC6C8D"/>
    <w:rsid w:val="6CBE604B"/>
    <w:rsid w:val="6CBE6BDD"/>
    <w:rsid w:val="6CC0135A"/>
    <w:rsid w:val="6CC03FA5"/>
    <w:rsid w:val="6CC04E53"/>
    <w:rsid w:val="6CC32034"/>
    <w:rsid w:val="6CC64255"/>
    <w:rsid w:val="6CC91B21"/>
    <w:rsid w:val="6CCB5BD8"/>
    <w:rsid w:val="6CCD6208"/>
    <w:rsid w:val="6CCF38D1"/>
    <w:rsid w:val="6CD02A9C"/>
    <w:rsid w:val="6CD04FB7"/>
    <w:rsid w:val="6CD26717"/>
    <w:rsid w:val="6CD30F6A"/>
    <w:rsid w:val="6CD32DFA"/>
    <w:rsid w:val="6CD34DD9"/>
    <w:rsid w:val="6CD6140A"/>
    <w:rsid w:val="6CDA2C8B"/>
    <w:rsid w:val="6CDA381E"/>
    <w:rsid w:val="6CDC55F3"/>
    <w:rsid w:val="6CDC7229"/>
    <w:rsid w:val="6CDD0F7C"/>
    <w:rsid w:val="6CDE580C"/>
    <w:rsid w:val="6CDE6B99"/>
    <w:rsid w:val="6CDE7BDB"/>
    <w:rsid w:val="6CE040C9"/>
    <w:rsid w:val="6CE46C19"/>
    <w:rsid w:val="6CE55F10"/>
    <w:rsid w:val="6CEB7E0F"/>
    <w:rsid w:val="6CF40367"/>
    <w:rsid w:val="6CF937CD"/>
    <w:rsid w:val="6CF938E3"/>
    <w:rsid w:val="6CFA6290"/>
    <w:rsid w:val="6CFB6145"/>
    <w:rsid w:val="6CFC22A6"/>
    <w:rsid w:val="6CFD63EA"/>
    <w:rsid w:val="6CFF076D"/>
    <w:rsid w:val="6D025C00"/>
    <w:rsid w:val="6D0C77E1"/>
    <w:rsid w:val="6D0D76CF"/>
    <w:rsid w:val="6D0F210D"/>
    <w:rsid w:val="6D0F31C1"/>
    <w:rsid w:val="6D0F5047"/>
    <w:rsid w:val="6D0F6510"/>
    <w:rsid w:val="6D1030E0"/>
    <w:rsid w:val="6D144965"/>
    <w:rsid w:val="6D150B49"/>
    <w:rsid w:val="6D152D5A"/>
    <w:rsid w:val="6D174FA6"/>
    <w:rsid w:val="6D1B21E6"/>
    <w:rsid w:val="6D1B6391"/>
    <w:rsid w:val="6D1C3ECA"/>
    <w:rsid w:val="6D1E6306"/>
    <w:rsid w:val="6D216A4E"/>
    <w:rsid w:val="6D21706A"/>
    <w:rsid w:val="6D217DF7"/>
    <w:rsid w:val="6D232F09"/>
    <w:rsid w:val="6D2531FB"/>
    <w:rsid w:val="6D285DA7"/>
    <w:rsid w:val="6D2B12F2"/>
    <w:rsid w:val="6D2B7858"/>
    <w:rsid w:val="6D38138D"/>
    <w:rsid w:val="6D3A7838"/>
    <w:rsid w:val="6D3C02FA"/>
    <w:rsid w:val="6D3C137B"/>
    <w:rsid w:val="6D3F4926"/>
    <w:rsid w:val="6D3F4CF8"/>
    <w:rsid w:val="6D43341D"/>
    <w:rsid w:val="6D454DDF"/>
    <w:rsid w:val="6D471AFC"/>
    <w:rsid w:val="6D486847"/>
    <w:rsid w:val="6D4E1849"/>
    <w:rsid w:val="6D50072C"/>
    <w:rsid w:val="6D505F53"/>
    <w:rsid w:val="6D526D68"/>
    <w:rsid w:val="6D53198A"/>
    <w:rsid w:val="6D535407"/>
    <w:rsid w:val="6D597880"/>
    <w:rsid w:val="6D5B0D70"/>
    <w:rsid w:val="6D5B61B4"/>
    <w:rsid w:val="6D5C49EC"/>
    <w:rsid w:val="6D5D1CB9"/>
    <w:rsid w:val="6D5E1D7E"/>
    <w:rsid w:val="6D6002F8"/>
    <w:rsid w:val="6D603861"/>
    <w:rsid w:val="6D631A86"/>
    <w:rsid w:val="6D651093"/>
    <w:rsid w:val="6D6F4C52"/>
    <w:rsid w:val="6D714693"/>
    <w:rsid w:val="6D71550E"/>
    <w:rsid w:val="6D725CAD"/>
    <w:rsid w:val="6D736BFB"/>
    <w:rsid w:val="6D740373"/>
    <w:rsid w:val="6D7718FD"/>
    <w:rsid w:val="6D780BDA"/>
    <w:rsid w:val="6D786A9A"/>
    <w:rsid w:val="6D795D0B"/>
    <w:rsid w:val="6D7E50BB"/>
    <w:rsid w:val="6D7E5B2D"/>
    <w:rsid w:val="6D841B12"/>
    <w:rsid w:val="6D854656"/>
    <w:rsid w:val="6D8C1EF3"/>
    <w:rsid w:val="6D8C5028"/>
    <w:rsid w:val="6D904AEB"/>
    <w:rsid w:val="6D905BAC"/>
    <w:rsid w:val="6D91724A"/>
    <w:rsid w:val="6D923EB5"/>
    <w:rsid w:val="6D935429"/>
    <w:rsid w:val="6D947A8E"/>
    <w:rsid w:val="6D950BCD"/>
    <w:rsid w:val="6D9679F2"/>
    <w:rsid w:val="6D9C2574"/>
    <w:rsid w:val="6D9C483B"/>
    <w:rsid w:val="6D9C53C9"/>
    <w:rsid w:val="6D9D5739"/>
    <w:rsid w:val="6D9E735D"/>
    <w:rsid w:val="6DA002AA"/>
    <w:rsid w:val="6DA02D00"/>
    <w:rsid w:val="6DA20C33"/>
    <w:rsid w:val="6DA40CAD"/>
    <w:rsid w:val="6DA503D6"/>
    <w:rsid w:val="6DA60FAE"/>
    <w:rsid w:val="6DA7670B"/>
    <w:rsid w:val="6DAF64BC"/>
    <w:rsid w:val="6DB02A67"/>
    <w:rsid w:val="6DB03EC5"/>
    <w:rsid w:val="6DB04363"/>
    <w:rsid w:val="6DB92DB6"/>
    <w:rsid w:val="6DBA115E"/>
    <w:rsid w:val="6DBA3856"/>
    <w:rsid w:val="6DBB3338"/>
    <w:rsid w:val="6DBE0F5A"/>
    <w:rsid w:val="6DBF02A1"/>
    <w:rsid w:val="6DC335C4"/>
    <w:rsid w:val="6DC55759"/>
    <w:rsid w:val="6DC6048F"/>
    <w:rsid w:val="6DC71831"/>
    <w:rsid w:val="6DC81DD9"/>
    <w:rsid w:val="6DC92387"/>
    <w:rsid w:val="6DC937C7"/>
    <w:rsid w:val="6DCA1381"/>
    <w:rsid w:val="6DCA6677"/>
    <w:rsid w:val="6DCD19D5"/>
    <w:rsid w:val="6DCE3893"/>
    <w:rsid w:val="6DCF13B9"/>
    <w:rsid w:val="6DD21CC6"/>
    <w:rsid w:val="6DD3162A"/>
    <w:rsid w:val="6DD329AF"/>
    <w:rsid w:val="6DD55213"/>
    <w:rsid w:val="6DD76303"/>
    <w:rsid w:val="6DD8047D"/>
    <w:rsid w:val="6DD90A25"/>
    <w:rsid w:val="6DDA7B3D"/>
    <w:rsid w:val="6DDB4155"/>
    <w:rsid w:val="6DDC7D12"/>
    <w:rsid w:val="6DDD0CA0"/>
    <w:rsid w:val="6DE079C4"/>
    <w:rsid w:val="6DE244ED"/>
    <w:rsid w:val="6DE74955"/>
    <w:rsid w:val="6DE773CE"/>
    <w:rsid w:val="6DE8250C"/>
    <w:rsid w:val="6DE82D69"/>
    <w:rsid w:val="6DE94229"/>
    <w:rsid w:val="6DE9521B"/>
    <w:rsid w:val="6DEC4F8E"/>
    <w:rsid w:val="6DED1E9E"/>
    <w:rsid w:val="6DED6D6C"/>
    <w:rsid w:val="6DEE1609"/>
    <w:rsid w:val="6DEE2830"/>
    <w:rsid w:val="6DF33E04"/>
    <w:rsid w:val="6DF40EF6"/>
    <w:rsid w:val="6DF57D3F"/>
    <w:rsid w:val="6DFF41F9"/>
    <w:rsid w:val="6E004504"/>
    <w:rsid w:val="6E041063"/>
    <w:rsid w:val="6E0411A2"/>
    <w:rsid w:val="6E0650E8"/>
    <w:rsid w:val="6E066E18"/>
    <w:rsid w:val="6E096FCA"/>
    <w:rsid w:val="6E0B0869"/>
    <w:rsid w:val="6E101892"/>
    <w:rsid w:val="6E101E7F"/>
    <w:rsid w:val="6E12748C"/>
    <w:rsid w:val="6E142BDD"/>
    <w:rsid w:val="6E166A24"/>
    <w:rsid w:val="6E190291"/>
    <w:rsid w:val="6E1F7012"/>
    <w:rsid w:val="6E213C1F"/>
    <w:rsid w:val="6E226390"/>
    <w:rsid w:val="6E23323D"/>
    <w:rsid w:val="6E23412A"/>
    <w:rsid w:val="6E243C68"/>
    <w:rsid w:val="6E257D5C"/>
    <w:rsid w:val="6E262220"/>
    <w:rsid w:val="6E263F47"/>
    <w:rsid w:val="6E2875F5"/>
    <w:rsid w:val="6E2913C5"/>
    <w:rsid w:val="6E2B7690"/>
    <w:rsid w:val="6E2D4150"/>
    <w:rsid w:val="6E2D6970"/>
    <w:rsid w:val="6E322DD0"/>
    <w:rsid w:val="6E3308F6"/>
    <w:rsid w:val="6E3A2604"/>
    <w:rsid w:val="6E3A2850"/>
    <w:rsid w:val="6E426BB8"/>
    <w:rsid w:val="6E460D67"/>
    <w:rsid w:val="6E477955"/>
    <w:rsid w:val="6E4B797D"/>
    <w:rsid w:val="6E4C0015"/>
    <w:rsid w:val="6E4E6782"/>
    <w:rsid w:val="6E550134"/>
    <w:rsid w:val="6E5613BA"/>
    <w:rsid w:val="6E57245F"/>
    <w:rsid w:val="6E575734"/>
    <w:rsid w:val="6E586071"/>
    <w:rsid w:val="6E591D19"/>
    <w:rsid w:val="6E5E5145"/>
    <w:rsid w:val="6E5F2463"/>
    <w:rsid w:val="6E63639B"/>
    <w:rsid w:val="6E6C5200"/>
    <w:rsid w:val="6E6E0613"/>
    <w:rsid w:val="6E6E15D0"/>
    <w:rsid w:val="6E7B0189"/>
    <w:rsid w:val="6E7B3EB9"/>
    <w:rsid w:val="6E802433"/>
    <w:rsid w:val="6E8307B2"/>
    <w:rsid w:val="6E87758A"/>
    <w:rsid w:val="6E8914C7"/>
    <w:rsid w:val="6E897EC6"/>
    <w:rsid w:val="6E8F4DEE"/>
    <w:rsid w:val="6E9016C2"/>
    <w:rsid w:val="6E920769"/>
    <w:rsid w:val="6E9370B4"/>
    <w:rsid w:val="6E9D3265"/>
    <w:rsid w:val="6E9E0FA4"/>
    <w:rsid w:val="6E9E3165"/>
    <w:rsid w:val="6EA03BF9"/>
    <w:rsid w:val="6EA1166F"/>
    <w:rsid w:val="6EA13866"/>
    <w:rsid w:val="6EA61EC7"/>
    <w:rsid w:val="6EA81D9B"/>
    <w:rsid w:val="6EA877F6"/>
    <w:rsid w:val="6EAA3E8C"/>
    <w:rsid w:val="6EAA42D5"/>
    <w:rsid w:val="6EAA717E"/>
    <w:rsid w:val="6EAA75F5"/>
    <w:rsid w:val="6EAB1944"/>
    <w:rsid w:val="6EAB370C"/>
    <w:rsid w:val="6EAF5787"/>
    <w:rsid w:val="6EB068AD"/>
    <w:rsid w:val="6EB15904"/>
    <w:rsid w:val="6EB57067"/>
    <w:rsid w:val="6EB97189"/>
    <w:rsid w:val="6EBA01DD"/>
    <w:rsid w:val="6EBA212C"/>
    <w:rsid w:val="6EBE438F"/>
    <w:rsid w:val="6EC2210B"/>
    <w:rsid w:val="6EC30C29"/>
    <w:rsid w:val="6ECC59DB"/>
    <w:rsid w:val="6ECF0460"/>
    <w:rsid w:val="6ED43E48"/>
    <w:rsid w:val="6ED86971"/>
    <w:rsid w:val="6ED87C5A"/>
    <w:rsid w:val="6EE17329"/>
    <w:rsid w:val="6EE73748"/>
    <w:rsid w:val="6EE92F78"/>
    <w:rsid w:val="6EEB5419"/>
    <w:rsid w:val="6EEC7F58"/>
    <w:rsid w:val="6EF33610"/>
    <w:rsid w:val="6EF42AB9"/>
    <w:rsid w:val="6EF47CF8"/>
    <w:rsid w:val="6EF51C52"/>
    <w:rsid w:val="6EF84C4E"/>
    <w:rsid w:val="6EFB2687"/>
    <w:rsid w:val="6EFB5997"/>
    <w:rsid w:val="6EFC7F8C"/>
    <w:rsid w:val="6EFE27C8"/>
    <w:rsid w:val="6EFE57CF"/>
    <w:rsid w:val="6EFF7A38"/>
    <w:rsid w:val="6F047AFA"/>
    <w:rsid w:val="6F141579"/>
    <w:rsid w:val="6F1427D0"/>
    <w:rsid w:val="6F173B21"/>
    <w:rsid w:val="6F1C1D33"/>
    <w:rsid w:val="6F213E96"/>
    <w:rsid w:val="6F2162AD"/>
    <w:rsid w:val="6F21735E"/>
    <w:rsid w:val="6F225398"/>
    <w:rsid w:val="6F2427DC"/>
    <w:rsid w:val="6F261E0A"/>
    <w:rsid w:val="6F262633"/>
    <w:rsid w:val="6F27734B"/>
    <w:rsid w:val="6F2C2227"/>
    <w:rsid w:val="6F2F1677"/>
    <w:rsid w:val="6F317AFA"/>
    <w:rsid w:val="6F337E20"/>
    <w:rsid w:val="6F3620D6"/>
    <w:rsid w:val="6F375B24"/>
    <w:rsid w:val="6F377AB2"/>
    <w:rsid w:val="6F383D77"/>
    <w:rsid w:val="6F395838"/>
    <w:rsid w:val="6F41100E"/>
    <w:rsid w:val="6F4C0279"/>
    <w:rsid w:val="6F507A70"/>
    <w:rsid w:val="6F517643"/>
    <w:rsid w:val="6F53480C"/>
    <w:rsid w:val="6F546741"/>
    <w:rsid w:val="6F5573F3"/>
    <w:rsid w:val="6F576F47"/>
    <w:rsid w:val="6F5A1BCA"/>
    <w:rsid w:val="6F5D0C3A"/>
    <w:rsid w:val="6F5D24E7"/>
    <w:rsid w:val="6F6152EA"/>
    <w:rsid w:val="6F643052"/>
    <w:rsid w:val="6F655EA3"/>
    <w:rsid w:val="6F6561F1"/>
    <w:rsid w:val="6F6774B0"/>
    <w:rsid w:val="6F687DCA"/>
    <w:rsid w:val="6F6A79BE"/>
    <w:rsid w:val="6F70020A"/>
    <w:rsid w:val="6F7220E2"/>
    <w:rsid w:val="6F740B4F"/>
    <w:rsid w:val="6F761296"/>
    <w:rsid w:val="6F7667C2"/>
    <w:rsid w:val="6F782521"/>
    <w:rsid w:val="6F7A1FD3"/>
    <w:rsid w:val="6F7B021B"/>
    <w:rsid w:val="6F7B0ED4"/>
    <w:rsid w:val="6F7C24E4"/>
    <w:rsid w:val="6F807A08"/>
    <w:rsid w:val="6F834209"/>
    <w:rsid w:val="6F843023"/>
    <w:rsid w:val="6F845F94"/>
    <w:rsid w:val="6F8610D7"/>
    <w:rsid w:val="6F89444B"/>
    <w:rsid w:val="6F8A0C6D"/>
    <w:rsid w:val="6F8A5598"/>
    <w:rsid w:val="6F8A68D9"/>
    <w:rsid w:val="6F8B1C41"/>
    <w:rsid w:val="6F8E5C5E"/>
    <w:rsid w:val="6F92247E"/>
    <w:rsid w:val="6F9251A5"/>
    <w:rsid w:val="6F931576"/>
    <w:rsid w:val="6F972345"/>
    <w:rsid w:val="6F98160B"/>
    <w:rsid w:val="6F99429F"/>
    <w:rsid w:val="6F9F067D"/>
    <w:rsid w:val="6F9F22AE"/>
    <w:rsid w:val="6F9F4B83"/>
    <w:rsid w:val="6FA2720A"/>
    <w:rsid w:val="6FA438E2"/>
    <w:rsid w:val="6FA63E02"/>
    <w:rsid w:val="6FA659D5"/>
    <w:rsid w:val="6FA77BC2"/>
    <w:rsid w:val="6FA8452B"/>
    <w:rsid w:val="6FAA038F"/>
    <w:rsid w:val="6FAA7E11"/>
    <w:rsid w:val="6FAC69C9"/>
    <w:rsid w:val="6FAE1691"/>
    <w:rsid w:val="6FB06E24"/>
    <w:rsid w:val="6FB75AFA"/>
    <w:rsid w:val="6FB96F27"/>
    <w:rsid w:val="6FBB69BD"/>
    <w:rsid w:val="6FBC2674"/>
    <w:rsid w:val="6FBC4559"/>
    <w:rsid w:val="6FBD184F"/>
    <w:rsid w:val="6FC350D6"/>
    <w:rsid w:val="6FC52F14"/>
    <w:rsid w:val="6FC65356"/>
    <w:rsid w:val="6FC80E23"/>
    <w:rsid w:val="6FCA6403"/>
    <w:rsid w:val="6FD33308"/>
    <w:rsid w:val="6FD4186A"/>
    <w:rsid w:val="6FD85142"/>
    <w:rsid w:val="6FDE2DFF"/>
    <w:rsid w:val="6FDF49A4"/>
    <w:rsid w:val="6FE225CF"/>
    <w:rsid w:val="6FE41453"/>
    <w:rsid w:val="6FE7350F"/>
    <w:rsid w:val="6FEA04B3"/>
    <w:rsid w:val="6FEC0191"/>
    <w:rsid w:val="6FEC31D7"/>
    <w:rsid w:val="6FEC50F0"/>
    <w:rsid w:val="6FEC6252"/>
    <w:rsid w:val="6FEE5A4D"/>
    <w:rsid w:val="6FEF434E"/>
    <w:rsid w:val="6FF30003"/>
    <w:rsid w:val="6FF31BA4"/>
    <w:rsid w:val="6FF36A83"/>
    <w:rsid w:val="6FF50A41"/>
    <w:rsid w:val="6FFB27F7"/>
    <w:rsid w:val="6FFD6B0D"/>
    <w:rsid w:val="6FFE3F0B"/>
    <w:rsid w:val="6FFE41C9"/>
    <w:rsid w:val="70067AB7"/>
    <w:rsid w:val="70075057"/>
    <w:rsid w:val="700838FC"/>
    <w:rsid w:val="70084890"/>
    <w:rsid w:val="700A021D"/>
    <w:rsid w:val="700A68E0"/>
    <w:rsid w:val="700B49E3"/>
    <w:rsid w:val="700B560D"/>
    <w:rsid w:val="700F4BE8"/>
    <w:rsid w:val="70107C7D"/>
    <w:rsid w:val="70165BB3"/>
    <w:rsid w:val="70176DA3"/>
    <w:rsid w:val="70194A23"/>
    <w:rsid w:val="701B7A6A"/>
    <w:rsid w:val="7021194D"/>
    <w:rsid w:val="70217DF3"/>
    <w:rsid w:val="70221C74"/>
    <w:rsid w:val="7022593B"/>
    <w:rsid w:val="7023568B"/>
    <w:rsid w:val="70237DFC"/>
    <w:rsid w:val="702C7281"/>
    <w:rsid w:val="702E755F"/>
    <w:rsid w:val="702F44C6"/>
    <w:rsid w:val="7032050F"/>
    <w:rsid w:val="70346DD1"/>
    <w:rsid w:val="70356258"/>
    <w:rsid w:val="7038393C"/>
    <w:rsid w:val="703B5EA2"/>
    <w:rsid w:val="703F294C"/>
    <w:rsid w:val="7040378C"/>
    <w:rsid w:val="70406CA2"/>
    <w:rsid w:val="7041017C"/>
    <w:rsid w:val="70427DDE"/>
    <w:rsid w:val="70432B65"/>
    <w:rsid w:val="704345F2"/>
    <w:rsid w:val="704509D8"/>
    <w:rsid w:val="70474FF0"/>
    <w:rsid w:val="704A656A"/>
    <w:rsid w:val="704C0E9C"/>
    <w:rsid w:val="704C75AB"/>
    <w:rsid w:val="704C7CFF"/>
    <w:rsid w:val="704D7532"/>
    <w:rsid w:val="705270CC"/>
    <w:rsid w:val="70531B59"/>
    <w:rsid w:val="70534323"/>
    <w:rsid w:val="7056175A"/>
    <w:rsid w:val="70563009"/>
    <w:rsid w:val="70567897"/>
    <w:rsid w:val="70591A96"/>
    <w:rsid w:val="705C5BDE"/>
    <w:rsid w:val="705D689B"/>
    <w:rsid w:val="705E7EF3"/>
    <w:rsid w:val="70600E9E"/>
    <w:rsid w:val="706409C8"/>
    <w:rsid w:val="70641DD7"/>
    <w:rsid w:val="706475A4"/>
    <w:rsid w:val="70685EEE"/>
    <w:rsid w:val="706A4B0B"/>
    <w:rsid w:val="7071142A"/>
    <w:rsid w:val="70716BB6"/>
    <w:rsid w:val="70722B88"/>
    <w:rsid w:val="707268B4"/>
    <w:rsid w:val="70731ABA"/>
    <w:rsid w:val="70734190"/>
    <w:rsid w:val="70761FC0"/>
    <w:rsid w:val="707767E8"/>
    <w:rsid w:val="707C3902"/>
    <w:rsid w:val="70801A72"/>
    <w:rsid w:val="7081584F"/>
    <w:rsid w:val="708248D2"/>
    <w:rsid w:val="7084366B"/>
    <w:rsid w:val="70864BBB"/>
    <w:rsid w:val="708A21B8"/>
    <w:rsid w:val="708E18D1"/>
    <w:rsid w:val="70910AFD"/>
    <w:rsid w:val="7092196A"/>
    <w:rsid w:val="709655E1"/>
    <w:rsid w:val="7096647D"/>
    <w:rsid w:val="709723BF"/>
    <w:rsid w:val="70991387"/>
    <w:rsid w:val="70995C06"/>
    <w:rsid w:val="709B2A06"/>
    <w:rsid w:val="709C4154"/>
    <w:rsid w:val="709D3F09"/>
    <w:rsid w:val="709E14E5"/>
    <w:rsid w:val="709F1592"/>
    <w:rsid w:val="709F54BC"/>
    <w:rsid w:val="70A00859"/>
    <w:rsid w:val="70A701DF"/>
    <w:rsid w:val="70A703CB"/>
    <w:rsid w:val="70A908D0"/>
    <w:rsid w:val="70AF2E5E"/>
    <w:rsid w:val="70B0491F"/>
    <w:rsid w:val="70B15C97"/>
    <w:rsid w:val="70B32D94"/>
    <w:rsid w:val="70B62C92"/>
    <w:rsid w:val="70BA3679"/>
    <w:rsid w:val="70C4289C"/>
    <w:rsid w:val="70CC493B"/>
    <w:rsid w:val="70CD6084"/>
    <w:rsid w:val="70CF0AA5"/>
    <w:rsid w:val="70D018DE"/>
    <w:rsid w:val="70D2097D"/>
    <w:rsid w:val="70D61938"/>
    <w:rsid w:val="70D729F8"/>
    <w:rsid w:val="70D76B7F"/>
    <w:rsid w:val="70D92A87"/>
    <w:rsid w:val="70DB4EA5"/>
    <w:rsid w:val="70E20CF6"/>
    <w:rsid w:val="70E21D10"/>
    <w:rsid w:val="70E23B9C"/>
    <w:rsid w:val="70E256D4"/>
    <w:rsid w:val="70E310FB"/>
    <w:rsid w:val="70E41C7C"/>
    <w:rsid w:val="70E518D3"/>
    <w:rsid w:val="70E60EF4"/>
    <w:rsid w:val="70E84C6C"/>
    <w:rsid w:val="70EB412E"/>
    <w:rsid w:val="70EC2953"/>
    <w:rsid w:val="70EE021E"/>
    <w:rsid w:val="70EE0E41"/>
    <w:rsid w:val="70F030B4"/>
    <w:rsid w:val="70F070A9"/>
    <w:rsid w:val="70F24266"/>
    <w:rsid w:val="70F614BE"/>
    <w:rsid w:val="70F7114F"/>
    <w:rsid w:val="70F8664E"/>
    <w:rsid w:val="70FA159B"/>
    <w:rsid w:val="70FA7507"/>
    <w:rsid w:val="70FD5ECD"/>
    <w:rsid w:val="70FF5454"/>
    <w:rsid w:val="70FF7179"/>
    <w:rsid w:val="71017E23"/>
    <w:rsid w:val="71023F4F"/>
    <w:rsid w:val="71035C4A"/>
    <w:rsid w:val="710A087F"/>
    <w:rsid w:val="710B4915"/>
    <w:rsid w:val="710B5FC2"/>
    <w:rsid w:val="710E632B"/>
    <w:rsid w:val="710F42F6"/>
    <w:rsid w:val="710F7F59"/>
    <w:rsid w:val="71123A97"/>
    <w:rsid w:val="711315BD"/>
    <w:rsid w:val="711578C6"/>
    <w:rsid w:val="71174B71"/>
    <w:rsid w:val="71176A7A"/>
    <w:rsid w:val="71181367"/>
    <w:rsid w:val="711845DB"/>
    <w:rsid w:val="711D17EB"/>
    <w:rsid w:val="711E6578"/>
    <w:rsid w:val="711F132F"/>
    <w:rsid w:val="71207A66"/>
    <w:rsid w:val="7121017E"/>
    <w:rsid w:val="71212001"/>
    <w:rsid w:val="712379D9"/>
    <w:rsid w:val="71250C78"/>
    <w:rsid w:val="71282716"/>
    <w:rsid w:val="712C58BD"/>
    <w:rsid w:val="712F7BBF"/>
    <w:rsid w:val="71305D8B"/>
    <w:rsid w:val="713170E0"/>
    <w:rsid w:val="71320219"/>
    <w:rsid w:val="71324139"/>
    <w:rsid w:val="713325E7"/>
    <w:rsid w:val="71334804"/>
    <w:rsid w:val="71357785"/>
    <w:rsid w:val="71365D2C"/>
    <w:rsid w:val="71382563"/>
    <w:rsid w:val="713D5775"/>
    <w:rsid w:val="713F755C"/>
    <w:rsid w:val="714000ED"/>
    <w:rsid w:val="714241E5"/>
    <w:rsid w:val="71434224"/>
    <w:rsid w:val="714826ED"/>
    <w:rsid w:val="714A15DE"/>
    <w:rsid w:val="714A6941"/>
    <w:rsid w:val="714B4A14"/>
    <w:rsid w:val="715074FC"/>
    <w:rsid w:val="71521DDB"/>
    <w:rsid w:val="71537C26"/>
    <w:rsid w:val="7154518F"/>
    <w:rsid w:val="715471FF"/>
    <w:rsid w:val="71554A87"/>
    <w:rsid w:val="71587AF1"/>
    <w:rsid w:val="71593826"/>
    <w:rsid w:val="715C0C4B"/>
    <w:rsid w:val="71653EF9"/>
    <w:rsid w:val="71656C7A"/>
    <w:rsid w:val="716B1927"/>
    <w:rsid w:val="716B4677"/>
    <w:rsid w:val="716D54B8"/>
    <w:rsid w:val="71715931"/>
    <w:rsid w:val="71724EA3"/>
    <w:rsid w:val="717571C4"/>
    <w:rsid w:val="717958C4"/>
    <w:rsid w:val="71795B48"/>
    <w:rsid w:val="717A225D"/>
    <w:rsid w:val="717A7B0B"/>
    <w:rsid w:val="717B7709"/>
    <w:rsid w:val="717E2049"/>
    <w:rsid w:val="717F3EA1"/>
    <w:rsid w:val="717F4A6F"/>
    <w:rsid w:val="71826417"/>
    <w:rsid w:val="71830D56"/>
    <w:rsid w:val="71836343"/>
    <w:rsid w:val="71880473"/>
    <w:rsid w:val="718A48F4"/>
    <w:rsid w:val="718B02F8"/>
    <w:rsid w:val="718B1D57"/>
    <w:rsid w:val="718D6CD6"/>
    <w:rsid w:val="718F2D5C"/>
    <w:rsid w:val="718F50E7"/>
    <w:rsid w:val="71931B97"/>
    <w:rsid w:val="71935449"/>
    <w:rsid w:val="719454B4"/>
    <w:rsid w:val="71961DF1"/>
    <w:rsid w:val="71996D87"/>
    <w:rsid w:val="719D1B13"/>
    <w:rsid w:val="719E7794"/>
    <w:rsid w:val="71A00E39"/>
    <w:rsid w:val="71A54D44"/>
    <w:rsid w:val="71A82C64"/>
    <w:rsid w:val="71AA04A8"/>
    <w:rsid w:val="71AD0705"/>
    <w:rsid w:val="71B019A9"/>
    <w:rsid w:val="71B0340B"/>
    <w:rsid w:val="71B04088"/>
    <w:rsid w:val="71B41378"/>
    <w:rsid w:val="71B51597"/>
    <w:rsid w:val="71B902AE"/>
    <w:rsid w:val="71BF23B4"/>
    <w:rsid w:val="71C50B1D"/>
    <w:rsid w:val="71C87B39"/>
    <w:rsid w:val="71CD2E33"/>
    <w:rsid w:val="71D06600"/>
    <w:rsid w:val="71D22560"/>
    <w:rsid w:val="71D364F8"/>
    <w:rsid w:val="71D6610B"/>
    <w:rsid w:val="71D67277"/>
    <w:rsid w:val="71D82D05"/>
    <w:rsid w:val="71D91A0D"/>
    <w:rsid w:val="71D92E1F"/>
    <w:rsid w:val="71DD5C75"/>
    <w:rsid w:val="71E15A1A"/>
    <w:rsid w:val="71E15CF2"/>
    <w:rsid w:val="71E249FE"/>
    <w:rsid w:val="71E411EA"/>
    <w:rsid w:val="71E46A8B"/>
    <w:rsid w:val="71EB477D"/>
    <w:rsid w:val="71EB7678"/>
    <w:rsid w:val="71EC2C30"/>
    <w:rsid w:val="71EC7725"/>
    <w:rsid w:val="71EF7233"/>
    <w:rsid w:val="71F246CB"/>
    <w:rsid w:val="71F34B40"/>
    <w:rsid w:val="71F64A5F"/>
    <w:rsid w:val="71FE61FE"/>
    <w:rsid w:val="71FE7C1D"/>
    <w:rsid w:val="7200428D"/>
    <w:rsid w:val="720102CE"/>
    <w:rsid w:val="720844F2"/>
    <w:rsid w:val="720C669E"/>
    <w:rsid w:val="720D3B74"/>
    <w:rsid w:val="72111FA0"/>
    <w:rsid w:val="7213566D"/>
    <w:rsid w:val="7214013D"/>
    <w:rsid w:val="7215409D"/>
    <w:rsid w:val="72184D61"/>
    <w:rsid w:val="721916A4"/>
    <w:rsid w:val="721A45E7"/>
    <w:rsid w:val="721E4C1D"/>
    <w:rsid w:val="72203C6A"/>
    <w:rsid w:val="72247F7A"/>
    <w:rsid w:val="722673D7"/>
    <w:rsid w:val="72273572"/>
    <w:rsid w:val="72285A59"/>
    <w:rsid w:val="722A7270"/>
    <w:rsid w:val="722C731F"/>
    <w:rsid w:val="722E6207"/>
    <w:rsid w:val="72301B7F"/>
    <w:rsid w:val="723574F8"/>
    <w:rsid w:val="723C0DC9"/>
    <w:rsid w:val="723C1B6E"/>
    <w:rsid w:val="723D2B41"/>
    <w:rsid w:val="7240054A"/>
    <w:rsid w:val="72410307"/>
    <w:rsid w:val="72424DFF"/>
    <w:rsid w:val="72427A30"/>
    <w:rsid w:val="72447D4A"/>
    <w:rsid w:val="72461273"/>
    <w:rsid w:val="724677C6"/>
    <w:rsid w:val="724A4E0A"/>
    <w:rsid w:val="72535265"/>
    <w:rsid w:val="7255325A"/>
    <w:rsid w:val="725C0590"/>
    <w:rsid w:val="725D2E05"/>
    <w:rsid w:val="72610818"/>
    <w:rsid w:val="72630D48"/>
    <w:rsid w:val="726340A9"/>
    <w:rsid w:val="7264448D"/>
    <w:rsid w:val="72656FEF"/>
    <w:rsid w:val="726847C1"/>
    <w:rsid w:val="726B348F"/>
    <w:rsid w:val="726B4A63"/>
    <w:rsid w:val="726B664F"/>
    <w:rsid w:val="726C3BA6"/>
    <w:rsid w:val="726C637A"/>
    <w:rsid w:val="726F76FE"/>
    <w:rsid w:val="7270316B"/>
    <w:rsid w:val="72722BD5"/>
    <w:rsid w:val="72761E80"/>
    <w:rsid w:val="727650C5"/>
    <w:rsid w:val="72787644"/>
    <w:rsid w:val="72792D8F"/>
    <w:rsid w:val="727B4168"/>
    <w:rsid w:val="727E1E90"/>
    <w:rsid w:val="727E494D"/>
    <w:rsid w:val="727E58A3"/>
    <w:rsid w:val="727F1CD3"/>
    <w:rsid w:val="727F6B8F"/>
    <w:rsid w:val="728107A2"/>
    <w:rsid w:val="72814444"/>
    <w:rsid w:val="72852E3E"/>
    <w:rsid w:val="72854876"/>
    <w:rsid w:val="728805C7"/>
    <w:rsid w:val="728A0F20"/>
    <w:rsid w:val="7290582A"/>
    <w:rsid w:val="729404A3"/>
    <w:rsid w:val="72941487"/>
    <w:rsid w:val="729C5C98"/>
    <w:rsid w:val="72A53B15"/>
    <w:rsid w:val="72A70E9B"/>
    <w:rsid w:val="72A74CCC"/>
    <w:rsid w:val="72A74DA2"/>
    <w:rsid w:val="72AC5C21"/>
    <w:rsid w:val="72AC739F"/>
    <w:rsid w:val="72AD6342"/>
    <w:rsid w:val="72AF256E"/>
    <w:rsid w:val="72B31BBE"/>
    <w:rsid w:val="72B33007"/>
    <w:rsid w:val="72B41815"/>
    <w:rsid w:val="72B61031"/>
    <w:rsid w:val="72B63212"/>
    <w:rsid w:val="72B7679A"/>
    <w:rsid w:val="72B841A8"/>
    <w:rsid w:val="72BC5340"/>
    <w:rsid w:val="72BE42A1"/>
    <w:rsid w:val="72BF5DCE"/>
    <w:rsid w:val="72C3391E"/>
    <w:rsid w:val="72C929CB"/>
    <w:rsid w:val="72CA0DDB"/>
    <w:rsid w:val="72CB0CBA"/>
    <w:rsid w:val="72CD2576"/>
    <w:rsid w:val="72CD63CA"/>
    <w:rsid w:val="72CE375B"/>
    <w:rsid w:val="72CE7FD9"/>
    <w:rsid w:val="72D01C64"/>
    <w:rsid w:val="72D03C09"/>
    <w:rsid w:val="72D13618"/>
    <w:rsid w:val="72D54E06"/>
    <w:rsid w:val="72D6665A"/>
    <w:rsid w:val="72DB63E6"/>
    <w:rsid w:val="72E069D5"/>
    <w:rsid w:val="72E31A7F"/>
    <w:rsid w:val="72EB09F5"/>
    <w:rsid w:val="72EC1839"/>
    <w:rsid w:val="72EE485D"/>
    <w:rsid w:val="72EF4D23"/>
    <w:rsid w:val="72F622F8"/>
    <w:rsid w:val="72F823F7"/>
    <w:rsid w:val="72F9172D"/>
    <w:rsid w:val="72FB1214"/>
    <w:rsid w:val="72FB419C"/>
    <w:rsid w:val="72FD0725"/>
    <w:rsid w:val="72FD0C77"/>
    <w:rsid w:val="72FD37C7"/>
    <w:rsid w:val="730A27E8"/>
    <w:rsid w:val="730E4969"/>
    <w:rsid w:val="7312072A"/>
    <w:rsid w:val="73125281"/>
    <w:rsid w:val="732059F3"/>
    <w:rsid w:val="73211152"/>
    <w:rsid w:val="732138ED"/>
    <w:rsid w:val="73227A28"/>
    <w:rsid w:val="732358FA"/>
    <w:rsid w:val="7326263B"/>
    <w:rsid w:val="732A0E7E"/>
    <w:rsid w:val="732B1EA5"/>
    <w:rsid w:val="732D042D"/>
    <w:rsid w:val="733149CA"/>
    <w:rsid w:val="73314AE5"/>
    <w:rsid w:val="733154FD"/>
    <w:rsid w:val="7333172D"/>
    <w:rsid w:val="73355CA4"/>
    <w:rsid w:val="73385D25"/>
    <w:rsid w:val="733B0037"/>
    <w:rsid w:val="733D51F7"/>
    <w:rsid w:val="733E63C7"/>
    <w:rsid w:val="733F3C43"/>
    <w:rsid w:val="734118FC"/>
    <w:rsid w:val="73435538"/>
    <w:rsid w:val="73474D0A"/>
    <w:rsid w:val="7349511C"/>
    <w:rsid w:val="73496D58"/>
    <w:rsid w:val="734A2FB1"/>
    <w:rsid w:val="73510AAE"/>
    <w:rsid w:val="7351583E"/>
    <w:rsid w:val="73523982"/>
    <w:rsid w:val="7352438C"/>
    <w:rsid w:val="735416C5"/>
    <w:rsid w:val="73563746"/>
    <w:rsid w:val="73566808"/>
    <w:rsid w:val="73577F70"/>
    <w:rsid w:val="735B0E68"/>
    <w:rsid w:val="735C4550"/>
    <w:rsid w:val="735F6A5A"/>
    <w:rsid w:val="73612AB3"/>
    <w:rsid w:val="736730DE"/>
    <w:rsid w:val="736E281F"/>
    <w:rsid w:val="736E5FDF"/>
    <w:rsid w:val="7371080C"/>
    <w:rsid w:val="73762968"/>
    <w:rsid w:val="737916E2"/>
    <w:rsid w:val="73791E51"/>
    <w:rsid w:val="737E06D8"/>
    <w:rsid w:val="737F108D"/>
    <w:rsid w:val="738202EA"/>
    <w:rsid w:val="7382257D"/>
    <w:rsid w:val="738340E1"/>
    <w:rsid w:val="73841B7D"/>
    <w:rsid w:val="738451FD"/>
    <w:rsid w:val="73862B10"/>
    <w:rsid w:val="73870A44"/>
    <w:rsid w:val="7387584F"/>
    <w:rsid w:val="73883643"/>
    <w:rsid w:val="738A025C"/>
    <w:rsid w:val="738A1F6F"/>
    <w:rsid w:val="738A6E56"/>
    <w:rsid w:val="738D046B"/>
    <w:rsid w:val="738F7DF5"/>
    <w:rsid w:val="739202CD"/>
    <w:rsid w:val="73940819"/>
    <w:rsid w:val="73945A3A"/>
    <w:rsid w:val="73951CD0"/>
    <w:rsid w:val="739555A1"/>
    <w:rsid w:val="73977FF3"/>
    <w:rsid w:val="73986151"/>
    <w:rsid w:val="739906A8"/>
    <w:rsid w:val="739B1405"/>
    <w:rsid w:val="739C15D5"/>
    <w:rsid w:val="739D3F28"/>
    <w:rsid w:val="73A235B7"/>
    <w:rsid w:val="73A2518E"/>
    <w:rsid w:val="73A75F77"/>
    <w:rsid w:val="73A91C00"/>
    <w:rsid w:val="73B50073"/>
    <w:rsid w:val="73B75952"/>
    <w:rsid w:val="73BA6509"/>
    <w:rsid w:val="73BC6C57"/>
    <w:rsid w:val="73BE7002"/>
    <w:rsid w:val="73C24B7B"/>
    <w:rsid w:val="73C3551C"/>
    <w:rsid w:val="73C419D1"/>
    <w:rsid w:val="73C67A51"/>
    <w:rsid w:val="73C77B7D"/>
    <w:rsid w:val="73CF44F2"/>
    <w:rsid w:val="73D25578"/>
    <w:rsid w:val="73D35E3F"/>
    <w:rsid w:val="73D6788F"/>
    <w:rsid w:val="73D834C2"/>
    <w:rsid w:val="73D907F8"/>
    <w:rsid w:val="73E0158D"/>
    <w:rsid w:val="73E34247"/>
    <w:rsid w:val="73E4233D"/>
    <w:rsid w:val="73E551F9"/>
    <w:rsid w:val="73E56171"/>
    <w:rsid w:val="73E574E7"/>
    <w:rsid w:val="73E645F0"/>
    <w:rsid w:val="73E762B5"/>
    <w:rsid w:val="73E8136B"/>
    <w:rsid w:val="73E849EA"/>
    <w:rsid w:val="73F172A4"/>
    <w:rsid w:val="73F173A1"/>
    <w:rsid w:val="73F47FBE"/>
    <w:rsid w:val="73F52F58"/>
    <w:rsid w:val="73F738FA"/>
    <w:rsid w:val="73F7548B"/>
    <w:rsid w:val="73F82A82"/>
    <w:rsid w:val="73F94197"/>
    <w:rsid w:val="73FB0538"/>
    <w:rsid w:val="73FC433B"/>
    <w:rsid w:val="73FF215F"/>
    <w:rsid w:val="740274B3"/>
    <w:rsid w:val="7406311F"/>
    <w:rsid w:val="74066559"/>
    <w:rsid w:val="741152AF"/>
    <w:rsid w:val="741152F6"/>
    <w:rsid w:val="7413153C"/>
    <w:rsid w:val="741532CB"/>
    <w:rsid w:val="74157FB0"/>
    <w:rsid w:val="741C5747"/>
    <w:rsid w:val="741E2CD4"/>
    <w:rsid w:val="74220F06"/>
    <w:rsid w:val="742316C0"/>
    <w:rsid w:val="74240BA4"/>
    <w:rsid w:val="74295325"/>
    <w:rsid w:val="742F092C"/>
    <w:rsid w:val="743231FE"/>
    <w:rsid w:val="7434552D"/>
    <w:rsid w:val="743D0480"/>
    <w:rsid w:val="743E5408"/>
    <w:rsid w:val="743E68F4"/>
    <w:rsid w:val="744604A2"/>
    <w:rsid w:val="744A55E9"/>
    <w:rsid w:val="744F16AA"/>
    <w:rsid w:val="744F4031"/>
    <w:rsid w:val="744F6048"/>
    <w:rsid w:val="74517E73"/>
    <w:rsid w:val="745356AA"/>
    <w:rsid w:val="74564CE9"/>
    <w:rsid w:val="745758CF"/>
    <w:rsid w:val="745B7555"/>
    <w:rsid w:val="745E5245"/>
    <w:rsid w:val="74604B41"/>
    <w:rsid w:val="7461437A"/>
    <w:rsid w:val="74630A22"/>
    <w:rsid w:val="746A3F46"/>
    <w:rsid w:val="746C2AF0"/>
    <w:rsid w:val="746E4529"/>
    <w:rsid w:val="7470334C"/>
    <w:rsid w:val="74714F78"/>
    <w:rsid w:val="74721583"/>
    <w:rsid w:val="74723937"/>
    <w:rsid w:val="74723CD4"/>
    <w:rsid w:val="74750F4A"/>
    <w:rsid w:val="74766A15"/>
    <w:rsid w:val="747733B4"/>
    <w:rsid w:val="747B1953"/>
    <w:rsid w:val="747B4A03"/>
    <w:rsid w:val="74801FE8"/>
    <w:rsid w:val="748301D9"/>
    <w:rsid w:val="74831A09"/>
    <w:rsid w:val="74841BAA"/>
    <w:rsid w:val="748A2F0E"/>
    <w:rsid w:val="748B0F9F"/>
    <w:rsid w:val="748B6945"/>
    <w:rsid w:val="748E0444"/>
    <w:rsid w:val="748E0B9F"/>
    <w:rsid w:val="748E486E"/>
    <w:rsid w:val="748F797F"/>
    <w:rsid w:val="749146D4"/>
    <w:rsid w:val="74914F36"/>
    <w:rsid w:val="7494181E"/>
    <w:rsid w:val="74941EE8"/>
    <w:rsid w:val="74943D46"/>
    <w:rsid w:val="749546C1"/>
    <w:rsid w:val="74963716"/>
    <w:rsid w:val="749852CE"/>
    <w:rsid w:val="74995A93"/>
    <w:rsid w:val="749A3D03"/>
    <w:rsid w:val="749B23FE"/>
    <w:rsid w:val="749E3909"/>
    <w:rsid w:val="74A00A94"/>
    <w:rsid w:val="74A2163E"/>
    <w:rsid w:val="74A35AD2"/>
    <w:rsid w:val="74A67894"/>
    <w:rsid w:val="74AC40BA"/>
    <w:rsid w:val="74B04D93"/>
    <w:rsid w:val="74B05785"/>
    <w:rsid w:val="74B60700"/>
    <w:rsid w:val="74B7525B"/>
    <w:rsid w:val="74B84134"/>
    <w:rsid w:val="74B90F64"/>
    <w:rsid w:val="74BA2F2F"/>
    <w:rsid w:val="74BA5061"/>
    <w:rsid w:val="74BE6F1F"/>
    <w:rsid w:val="74BF3873"/>
    <w:rsid w:val="74C23FE6"/>
    <w:rsid w:val="74C87039"/>
    <w:rsid w:val="74CA6436"/>
    <w:rsid w:val="74CE6E1B"/>
    <w:rsid w:val="74CF04E3"/>
    <w:rsid w:val="74D12301"/>
    <w:rsid w:val="74D4691D"/>
    <w:rsid w:val="74DB6492"/>
    <w:rsid w:val="74DC0DCF"/>
    <w:rsid w:val="74DC4AE7"/>
    <w:rsid w:val="74DE7264"/>
    <w:rsid w:val="74DF7503"/>
    <w:rsid w:val="74E029AB"/>
    <w:rsid w:val="74E15273"/>
    <w:rsid w:val="74E21D58"/>
    <w:rsid w:val="74E22A99"/>
    <w:rsid w:val="74E625C1"/>
    <w:rsid w:val="74E769CA"/>
    <w:rsid w:val="74E91A55"/>
    <w:rsid w:val="74EB2361"/>
    <w:rsid w:val="74EE6B21"/>
    <w:rsid w:val="74F0089C"/>
    <w:rsid w:val="74F17D71"/>
    <w:rsid w:val="74F22DE4"/>
    <w:rsid w:val="74F52CEE"/>
    <w:rsid w:val="74F61EF7"/>
    <w:rsid w:val="74FA4800"/>
    <w:rsid w:val="750171DE"/>
    <w:rsid w:val="75025865"/>
    <w:rsid w:val="75044EBF"/>
    <w:rsid w:val="75080416"/>
    <w:rsid w:val="750832F0"/>
    <w:rsid w:val="75093E8C"/>
    <w:rsid w:val="750B36B6"/>
    <w:rsid w:val="750E792E"/>
    <w:rsid w:val="75117037"/>
    <w:rsid w:val="75146794"/>
    <w:rsid w:val="75192005"/>
    <w:rsid w:val="751B3FA5"/>
    <w:rsid w:val="751D6173"/>
    <w:rsid w:val="751F1F06"/>
    <w:rsid w:val="75202B6D"/>
    <w:rsid w:val="75214109"/>
    <w:rsid w:val="75221025"/>
    <w:rsid w:val="7522497D"/>
    <w:rsid w:val="75236C1C"/>
    <w:rsid w:val="75236F60"/>
    <w:rsid w:val="75252A74"/>
    <w:rsid w:val="75293375"/>
    <w:rsid w:val="752C4724"/>
    <w:rsid w:val="752E0178"/>
    <w:rsid w:val="752E1DB2"/>
    <w:rsid w:val="752E26D2"/>
    <w:rsid w:val="75303842"/>
    <w:rsid w:val="75312805"/>
    <w:rsid w:val="75351F35"/>
    <w:rsid w:val="75406C77"/>
    <w:rsid w:val="75414E92"/>
    <w:rsid w:val="7542274E"/>
    <w:rsid w:val="754271ED"/>
    <w:rsid w:val="7543530A"/>
    <w:rsid w:val="75457D5F"/>
    <w:rsid w:val="75460AA2"/>
    <w:rsid w:val="754C793B"/>
    <w:rsid w:val="754F7C5E"/>
    <w:rsid w:val="75502261"/>
    <w:rsid w:val="7551059D"/>
    <w:rsid w:val="755723C0"/>
    <w:rsid w:val="75585CE5"/>
    <w:rsid w:val="75590636"/>
    <w:rsid w:val="755B2BFF"/>
    <w:rsid w:val="755C4FB2"/>
    <w:rsid w:val="755E33ED"/>
    <w:rsid w:val="75612764"/>
    <w:rsid w:val="75621BFB"/>
    <w:rsid w:val="7562390F"/>
    <w:rsid w:val="75625DC7"/>
    <w:rsid w:val="756407B8"/>
    <w:rsid w:val="756448D5"/>
    <w:rsid w:val="756455CA"/>
    <w:rsid w:val="75651E68"/>
    <w:rsid w:val="7568259B"/>
    <w:rsid w:val="7569544F"/>
    <w:rsid w:val="756A43AC"/>
    <w:rsid w:val="756A5FD2"/>
    <w:rsid w:val="756B5481"/>
    <w:rsid w:val="756B5B0A"/>
    <w:rsid w:val="756F6B45"/>
    <w:rsid w:val="7571035B"/>
    <w:rsid w:val="75723C02"/>
    <w:rsid w:val="757265FA"/>
    <w:rsid w:val="7573307B"/>
    <w:rsid w:val="75753BC4"/>
    <w:rsid w:val="757607D4"/>
    <w:rsid w:val="757638AF"/>
    <w:rsid w:val="757B430D"/>
    <w:rsid w:val="758414FC"/>
    <w:rsid w:val="75856417"/>
    <w:rsid w:val="75893763"/>
    <w:rsid w:val="75897E43"/>
    <w:rsid w:val="758B4E41"/>
    <w:rsid w:val="758E602F"/>
    <w:rsid w:val="758F68AB"/>
    <w:rsid w:val="75905F0F"/>
    <w:rsid w:val="7593045C"/>
    <w:rsid w:val="75947D98"/>
    <w:rsid w:val="75965492"/>
    <w:rsid w:val="75974D76"/>
    <w:rsid w:val="759B028F"/>
    <w:rsid w:val="759B447B"/>
    <w:rsid w:val="759C5178"/>
    <w:rsid w:val="759E549C"/>
    <w:rsid w:val="759F2CA9"/>
    <w:rsid w:val="75A12FF5"/>
    <w:rsid w:val="75AD491D"/>
    <w:rsid w:val="75AF2696"/>
    <w:rsid w:val="75B24CB5"/>
    <w:rsid w:val="75B45878"/>
    <w:rsid w:val="75B56F8D"/>
    <w:rsid w:val="75B80847"/>
    <w:rsid w:val="75B84A83"/>
    <w:rsid w:val="75B94ADA"/>
    <w:rsid w:val="75BB344E"/>
    <w:rsid w:val="75BC4064"/>
    <w:rsid w:val="75BF0832"/>
    <w:rsid w:val="75BF33A1"/>
    <w:rsid w:val="75C02C10"/>
    <w:rsid w:val="75C72C88"/>
    <w:rsid w:val="75C75F96"/>
    <w:rsid w:val="75CE1F56"/>
    <w:rsid w:val="75CF3404"/>
    <w:rsid w:val="75CF63FA"/>
    <w:rsid w:val="75D15EE9"/>
    <w:rsid w:val="75D2652D"/>
    <w:rsid w:val="75D46696"/>
    <w:rsid w:val="75D97C9F"/>
    <w:rsid w:val="75DC0A5A"/>
    <w:rsid w:val="75DC4367"/>
    <w:rsid w:val="75E01ADB"/>
    <w:rsid w:val="75E16212"/>
    <w:rsid w:val="75E72891"/>
    <w:rsid w:val="75E7781D"/>
    <w:rsid w:val="75EA7718"/>
    <w:rsid w:val="75ED055F"/>
    <w:rsid w:val="75EE70DA"/>
    <w:rsid w:val="75EF4FE4"/>
    <w:rsid w:val="75F137A0"/>
    <w:rsid w:val="75F24127"/>
    <w:rsid w:val="75F31A02"/>
    <w:rsid w:val="75F31BB5"/>
    <w:rsid w:val="75F57C88"/>
    <w:rsid w:val="75F63020"/>
    <w:rsid w:val="75F700C8"/>
    <w:rsid w:val="75FB1BA2"/>
    <w:rsid w:val="75FC0EDE"/>
    <w:rsid w:val="75FE4404"/>
    <w:rsid w:val="760225CB"/>
    <w:rsid w:val="7604186E"/>
    <w:rsid w:val="7606402D"/>
    <w:rsid w:val="7607306C"/>
    <w:rsid w:val="76087D2E"/>
    <w:rsid w:val="760D44E5"/>
    <w:rsid w:val="76111F59"/>
    <w:rsid w:val="7611226C"/>
    <w:rsid w:val="76114C30"/>
    <w:rsid w:val="76172156"/>
    <w:rsid w:val="76172173"/>
    <w:rsid w:val="76183FEA"/>
    <w:rsid w:val="76184C3D"/>
    <w:rsid w:val="761A3ED1"/>
    <w:rsid w:val="76245DA0"/>
    <w:rsid w:val="762C4033"/>
    <w:rsid w:val="762C74A4"/>
    <w:rsid w:val="76316828"/>
    <w:rsid w:val="76321D7F"/>
    <w:rsid w:val="76386226"/>
    <w:rsid w:val="763A5A94"/>
    <w:rsid w:val="763B4860"/>
    <w:rsid w:val="763C20C6"/>
    <w:rsid w:val="763F6371"/>
    <w:rsid w:val="76402E54"/>
    <w:rsid w:val="76425525"/>
    <w:rsid w:val="764365CD"/>
    <w:rsid w:val="764C5991"/>
    <w:rsid w:val="764D0BB1"/>
    <w:rsid w:val="764E40A0"/>
    <w:rsid w:val="764F425E"/>
    <w:rsid w:val="765410DC"/>
    <w:rsid w:val="765C06A8"/>
    <w:rsid w:val="765C7235"/>
    <w:rsid w:val="765D748A"/>
    <w:rsid w:val="765D75BE"/>
    <w:rsid w:val="765F5AC3"/>
    <w:rsid w:val="76620578"/>
    <w:rsid w:val="766C3F79"/>
    <w:rsid w:val="76742AFE"/>
    <w:rsid w:val="76754330"/>
    <w:rsid w:val="7679191E"/>
    <w:rsid w:val="767D2672"/>
    <w:rsid w:val="767D3C54"/>
    <w:rsid w:val="767F52EC"/>
    <w:rsid w:val="76811494"/>
    <w:rsid w:val="76814F7E"/>
    <w:rsid w:val="76852DBE"/>
    <w:rsid w:val="76854A2B"/>
    <w:rsid w:val="76860B20"/>
    <w:rsid w:val="76870A83"/>
    <w:rsid w:val="768711BA"/>
    <w:rsid w:val="76876A9D"/>
    <w:rsid w:val="76891C21"/>
    <w:rsid w:val="768A574B"/>
    <w:rsid w:val="768B5754"/>
    <w:rsid w:val="768F0793"/>
    <w:rsid w:val="769151D8"/>
    <w:rsid w:val="769175E6"/>
    <w:rsid w:val="76930E4F"/>
    <w:rsid w:val="76934B4A"/>
    <w:rsid w:val="76964BB4"/>
    <w:rsid w:val="76967E0B"/>
    <w:rsid w:val="769D2054"/>
    <w:rsid w:val="76A11EF7"/>
    <w:rsid w:val="76A153DD"/>
    <w:rsid w:val="76A6568A"/>
    <w:rsid w:val="76A74DB4"/>
    <w:rsid w:val="76A90849"/>
    <w:rsid w:val="76AD2A2B"/>
    <w:rsid w:val="76AE7DF9"/>
    <w:rsid w:val="76B04E30"/>
    <w:rsid w:val="76B108FA"/>
    <w:rsid w:val="76B75C42"/>
    <w:rsid w:val="76BD5F73"/>
    <w:rsid w:val="76BD64F6"/>
    <w:rsid w:val="76BF36E4"/>
    <w:rsid w:val="76C13738"/>
    <w:rsid w:val="76C172EB"/>
    <w:rsid w:val="76C45F1F"/>
    <w:rsid w:val="76C6183A"/>
    <w:rsid w:val="76C6761D"/>
    <w:rsid w:val="76C93DAD"/>
    <w:rsid w:val="76CC3C68"/>
    <w:rsid w:val="76D1106D"/>
    <w:rsid w:val="76D4716C"/>
    <w:rsid w:val="76DA2DD8"/>
    <w:rsid w:val="76DA3EFA"/>
    <w:rsid w:val="76DA6EE3"/>
    <w:rsid w:val="76DB2C94"/>
    <w:rsid w:val="76DB57AE"/>
    <w:rsid w:val="76DD22E5"/>
    <w:rsid w:val="76DE22EF"/>
    <w:rsid w:val="76DF570D"/>
    <w:rsid w:val="76E02766"/>
    <w:rsid w:val="76E63E04"/>
    <w:rsid w:val="76E84E44"/>
    <w:rsid w:val="76EA38D0"/>
    <w:rsid w:val="76EA5103"/>
    <w:rsid w:val="76ED06DF"/>
    <w:rsid w:val="76EF0A96"/>
    <w:rsid w:val="76F03EAC"/>
    <w:rsid w:val="76F27AF1"/>
    <w:rsid w:val="76F375C7"/>
    <w:rsid w:val="76F4312F"/>
    <w:rsid w:val="76F94B56"/>
    <w:rsid w:val="76FA2695"/>
    <w:rsid w:val="76FD3591"/>
    <w:rsid w:val="76FD607C"/>
    <w:rsid w:val="76FE76D9"/>
    <w:rsid w:val="76FF26EA"/>
    <w:rsid w:val="7700003B"/>
    <w:rsid w:val="77013C28"/>
    <w:rsid w:val="77055487"/>
    <w:rsid w:val="770A659C"/>
    <w:rsid w:val="770C6CB6"/>
    <w:rsid w:val="770F2516"/>
    <w:rsid w:val="771216A4"/>
    <w:rsid w:val="7715419C"/>
    <w:rsid w:val="771858D9"/>
    <w:rsid w:val="771D0B74"/>
    <w:rsid w:val="771F05FE"/>
    <w:rsid w:val="771F44DD"/>
    <w:rsid w:val="77204CA3"/>
    <w:rsid w:val="77240874"/>
    <w:rsid w:val="77252DC8"/>
    <w:rsid w:val="77263F5E"/>
    <w:rsid w:val="7729274A"/>
    <w:rsid w:val="772A2D65"/>
    <w:rsid w:val="772A617C"/>
    <w:rsid w:val="772A7E3A"/>
    <w:rsid w:val="772B09CF"/>
    <w:rsid w:val="772C700F"/>
    <w:rsid w:val="772D19E6"/>
    <w:rsid w:val="772E3F0A"/>
    <w:rsid w:val="77307C43"/>
    <w:rsid w:val="773133BA"/>
    <w:rsid w:val="7731598F"/>
    <w:rsid w:val="77327229"/>
    <w:rsid w:val="77337DB3"/>
    <w:rsid w:val="77343FB7"/>
    <w:rsid w:val="77344B8C"/>
    <w:rsid w:val="77382002"/>
    <w:rsid w:val="7739227A"/>
    <w:rsid w:val="773A553E"/>
    <w:rsid w:val="773D0A9C"/>
    <w:rsid w:val="773D14A0"/>
    <w:rsid w:val="773F050B"/>
    <w:rsid w:val="773F35F9"/>
    <w:rsid w:val="774122A1"/>
    <w:rsid w:val="77413786"/>
    <w:rsid w:val="774166EC"/>
    <w:rsid w:val="77421B16"/>
    <w:rsid w:val="774A2515"/>
    <w:rsid w:val="774B15EC"/>
    <w:rsid w:val="774B3572"/>
    <w:rsid w:val="77507B1C"/>
    <w:rsid w:val="775101ED"/>
    <w:rsid w:val="77522081"/>
    <w:rsid w:val="77531D45"/>
    <w:rsid w:val="775349E3"/>
    <w:rsid w:val="775371CA"/>
    <w:rsid w:val="775A30A6"/>
    <w:rsid w:val="775D061E"/>
    <w:rsid w:val="775D17E4"/>
    <w:rsid w:val="775E29FC"/>
    <w:rsid w:val="77603953"/>
    <w:rsid w:val="776055C1"/>
    <w:rsid w:val="77605FE9"/>
    <w:rsid w:val="7763012A"/>
    <w:rsid w:val="776364ED"/>
    <w:rsid w:val="77657459"/>
    <w:rsid w:val="77660698"/>
    <w:rsid w:val="776A35E9"/>
    <w:rsid w:val="777146AF"/>
    <w:rsid w:val="777262A2"/>
    <w:rsid w:val="77767B77"/>
    <w:rsid w:val="77785980"/>
    <w:rsid w:val="777C172C"/>
    <w:rsid w:val="777F464C"/>
    <w:rsid w:val="77843214"/>
    <w:rsid w:val="77870B8C"/>
    <w:rsid w:val="77891FF2"/>
    <w:rsid w:val="77893033"/>
    <w:rsid w:val="778C04F4"/>
    <w:rsid w:val="778E39F3"/>
    <w:rsid w:val="778F54B4"/>
    <w:rsid w:val="77905B25"/>
    <w:rsid w:val="77921045"/>
    <w:rsid w:val="7792753E"/>
    <w:rsid w:val="77933736"/>
    <w:rsid w:val="77941F67"/>
    <w:rsid w:val="77990DE2"/>
    <w:rsid w:val="779B65AF"/>
    <w:rsid w:val="779E3E19"/>
    <w:rsid w:val="779F0772"/>
    <w:rsid w:val="77A0530B"/>
    <w:rsid w:val="77A06B65"/>
    <w:rsid w:val="77A12854"/>
    <w:rsid w:val="77A51828"/>
    <w:rsid w:val="77AB535D"/>
    <w:rsid w:val="77AC2888"/>
    <w:rsid w:val="77AD76E0"/>
    <w:rsid w:val="77B04E9D"/>
    <w:rsid w:val="77B63F5B"/>
    <w:rsid w:val="77B71E44"/>
    <w:rsid w:val="77B87AF8"/>
    <w:rsid w:val="77B925E2"/>
    <w:rsid w:val="77BB7427"/>
    <w:rsid w:val="77BE5C3B"/>
    <w:rsid w:val="77BF0A5B"/>
    <w:rsid w:val="77C040B7"/>
    <w:rsid w:val="77C24FE8"/>
    <w:rsid w:val="77C50C44"/>
    <w:rsid w:val="77C81A19"/>
    <w:rsid w:val="77CA42D1"/>
    <w:rsid w:val="77CA5182"/>
    <w:rsid w:val="77CD7C89"/>
    <w:rsid w:val="77CF0ACA"/>
    <w:rsid w:val="77D2784C"/>
    <w:rsid w:val="77D31AA6"/>
    <w:rsid w:val="77D42317"/>
    <w:rsid w:val="77D62C56"/>
    <w:rsid w:val="77D674A2"/>
    <w:rsid w:val="77DA21DF"/>
    <w:rsid w:val="77DB2C31"/>
    <w:rsid w:val="77DB5B2C"/>
    <w:rsid w:val="77E925CE"/>
    <w:rsid w:val="77F26D9D"/>
    <w:rsid w:val="77F41372"/>
    <w:rsid w:val="77F44A8C"/>
    <w:rsid w:val="77F622D5"/>
    <w:rsid w:val="77F64168"/>
    <w:rsid w:val="77F67B0E"/>
    <w:rsid w:val="77F74564"/>
    <w:rsid w:val="77FC3CC3"/>
    <w:rsid w:val="77FD060D"/>
    <w:rsid w:val="77FD0C9E"/>
    <w:rsid w:val="78012EC6"/>
    <w:rsid w:val="7801409D"/>
    <w:rsid w:val="7802407A"/>
    <w:rsid w:val="780337B5"/>
    <w:rsid w:val="780438D8"/>
    <w:rsid w:val="78067681"/>
    <w:rsid w:val="780738FE"/>
    <w:rsid w:val="780D301F"/>
    <w:rsid w:val="780E6561"/>
    <w:rsid w:val="780F7EA2"/>
    <w:rsid w:val="78120095"/>
    <w:rsid w:val="78124D2A"/>
    <w:rsid w:val="7814490B"/>
    <w:rsid w:val="7816448D"/>
    <w:rsid w:val="78190F2E"/>
    <w:rsid w:val="781C5758"/>
    <w:rsid w:val="781E3427"/>
    <w:rsid w:val="78254572"/>
    <w:rsid w:val="78263C4E"/>
    <w:rsid w:val="782B6464"/>
    <w:rsid w:val="782B7B33"/>
    <w:rsid w:val="782C550F"/>
    <w:rsid w:val="782E0DA9"/>
    <w:rsid w:val="782E1DA6"/>
    <w:rsid w:val="782F637D"/>
    <w:rsid w:val="78303E19"/>
    <w:rsid w:val="78312FCB"/>
    <w:rsid w:val="78353345"/>
    <w:rsid w:val="78355D3A"/>
    <w:rsid w:val="78357A80"/>
    <w:rsid w:val="783E1079"/>
    <w:rsid w:val="783F171D"/>
    <w:rsid w:val="784521AC"/>
    <w:rsid w:val="78465607"/>
    <w:rsid w:val="78473A4A"/>
    <w:rsid w:val="7847639C"/>
    <w:rsid w:val="7849132B"/>
    <w:rsid w:val="784B1DCC"/>
    <w:rsid w:val="784C54A1"/>
    <w:rsid w:val="784E4C68"/>
    <w:rsid w:val="78514392"/>
    <w:rsid w:val="785228C1"/>
    <w:rsid w:val="785441B0"/>
    <w:rsid w:val="78570A1A"/>
    <w:rsid w:val="785905FF"/>
    <w:rsid w:val="785C369F"/>
    <w:rsid w:val="78607832"/>
    <w:rsid w:val="78650867"/>
    <w:rsid w:val="78657C71"/>
    <w:rsid w:val="786923E9"/>
    <w:rsid w:val="786B4791"/>
    <w:rsid w:val="786C42A5"/>
    <w:rsid w:val="786F544D"/>
    <w:rsid w:val="787004C1"/>
    <w:rsid w:val="78747D99"/>
    <w:rsid w:val="78764F14"/>
    <w:rsid w:val="78781E2B"/>
    <w:rsid w:val="7879097E"/>
    <w:rsid w:val="787A24C1"/>
    <w:rsid w:val="787C3199"/>
    <w:rsid w:val="787C425C"/>
    <w:rsid w:val="787E0851"/>
    <w:rsid w:val="787F3067"/>
    <w:rsid w:val="7883224F"/>
    <w:rsid w:val="78874F47"/>
    <w:rsid w:val="7887731D"/>
    <w:rsid w:val="788A08ED"/>
    <w:rsid w:val="788E174A"/>
    <w:rsid w:val="789165CB"/>
    <w:rsid w:val="78967F9A"/>
    <w:rsid w:val="789754C1"/>
    <w:rsid w:val="78992B93"/>
    <w:rsid w:val="789A0D74"/>
    <w:rsid w:val="78A32F12"/>
    <w:rsid w:val="78A467A4"/>
    <w:rsid w:val="78A50E04"/>
    <w:rsid w:val="78AA6FC5"/>
    <w:rsid w:val="78AC073D"/>
    <w:rsid w:val="78AE1040"/>
    <w:rsid w:val="78AF3562"/>
    <w:rsid w:val="78B3413D"/>
    <w:rsid w:val="78B36A8C"/>
    <w:rsid w:val="78B82F8A"/>
    <w:rsid w:val="78B904E0"/>
    <w:rsid w:val="78B90C7E"/>
    <w:rsid w:val="78BA61E9"/>
    <w:rsid w:val="78BF3DC3"/>
    <w:rsid w:val="78BF6C7E"/>
    <w:rsid w:val="78C44BA9"/>
    <w:rsid w:val="78C60AED"/>
    <w:rsid w:val="78C77BBB"/>
    <w:rsid w:val="78C83712"/>
    <w:rsid w:val="78C8740A"/>
    <w:rsid w:val="78C9262E"/>
    <w:rsid w:val="78CB6C53"/>
    <w:rsid w:val="78CD788A"/>
    <w:rsid w:val="78D11731"/>
    <w:rsid w:val="78D21DF9"/>
    <w:rsid w:val="78D26661"/>
    <w:rsid w:val="78D765A1"/>
    <w:rsid w:val="78DC2C86"/>
    <w:rsid w:val="78DD23E5"/>
    <w:rsid w:val="78DF2222"/>
    <w:rsid w:val="78E0616E"/>
    <w:rsid w:val="78E74F0D"/>
    <w:rsid w:val="78F10436"/>
    <w:rsid w:val="78F3747D"/>
    <w:rsid w:val="78F57682"/>
    <w:rsid w:val="78F61FA0"/>
    <w:rsid w:val="78F70BBA"/>
    <w:rsid w:val="78F767CF"/>
    <w:rsid w:val="78F779F6"/>
    <w:rsid w:val="78F82E0B"/>
    <w:rsid w:val="78F846AC"/>
    <w:rsid w:val="78F95D3F"/>
    <w:rsid w:val="78FE2E43"/>
    <w:rsid w:val="79081442"/>
    <w:rsid w:val="790B0342"/>
    <w:rsid w:val="790C34C1"/>
    <w:rsid w:val="790E36ED"/>
    <w:rsid w:val="79111FF4"/>
    <w:rsid w:val="79114CED"/>
    <w:rsid w:val="7911749B"/>
    <w:rsid w:val="79126366"/>
    <w:rsid w:val="79165EB4"/>
    <w:rsid w:val="79180F29"/>
    <w:rsid w:val="791D5C8B"/>
    <w:rsid w:val="79201A5C"/>
    <w:rsid w:val="79214040"/>
    <w:rsid w:val="79224F29"/>
    <w:rsid w:val="79250EE8"/>
    <w:rsid w:val="79255DDC"/>
    <w:rsid w:val="79256C3D"/>
    <w:rsid w:val="792A11DF"/>
    <w:rsid w:val="792C3E82"/>
    <w:rsid w:val="792D3278"/>
    <w:rsid w:val="79314DE3"/>
    <w:rsid w:val="79327AC6"/>
    <w:rsid w:val="7936053E"/>
    <w:rsid w:val="7936125C"/>
    <w:rsid w:val="793917DD"/>
    <w:rsid w:val="793E4C00"/>
    <w:rsid w:val="793F191F"/>
    <w:rsid w:val="79475550"/>
    <w:rsid w:val="794908E6"/>
    <w:rsid w:val="79492C90"/>
    <w:rsid w:val="794952B4"/>
    <w:rsid w:val="794A4997"/>
    <w:rsid w:val="794B3D32"/>
    <w:rsid w:val="794C472A"/>
    <w:rsid w:val="794D1C41"/>
    <w:rsid w:val="794E4254"/>
    <w:rsid w:val="794F5B2D"/>
    <w:rsid w:val="79515378"/>
    <w:rsid w:val="795554A1"/>
    <w:rsid w:val="79571A35"/>
    <w:rsid w:val="7958121B"/>
    <w:rsid w:val="79594CC0"/>
    <w:rsid w:val="795C2AC0"/>
    <w:rsid w:val="795C36BD"/>
    <w:rsid w:val="795C539C"/>
    <w:rsid w:val="795F32F8"/>
    <w:rsid w:val="796030B9"/>
    <w:rsid w:val="7963305C"/>
    <w:rsid w:val="796646AE"/>
    <w:rsid w:val="7967054A"/>
    <w:rsid w:val="796802B6"/>
    <w:rsid w:val="79680FAD"/>
    <w:rsid w:val="79697C27"/>
    <w:rsid w:val="796D1A81"/>
    <w:rsid w:val="796D6B08"/>
    <w:rsid w:val="79711576"/>
    <w:rsid w:val="79712F0F"/>
    <w:rsid w:val="79720D4F"/>
    <w:rsid w:val="797E5BF4"/>
    <w:rsid w:val="798203B7"/>
    <w:rsid w:val="79891574"/>
    <w:rsid w:val="798E08B9"/>
    <w:rsid w:val="798F6E12"/>
    <w:rsid w:val="79935239"/>
    <w:rsid w:val="79975C82"/>
    <w:rsid w:val="79990DCB"/>
    <w:rsid w:val="799E5FAD"/>
    <w:rsid w:val="79A0378D"/>
    <w:rsid w:val="79A23982"/>
    <w:rsid w:val="79A31DB1"/>
    <w:rsid w:val="79A837DE"/>
    <w:rsid w:val="79A86426"/>
    <w:rsid w:val="79AE763B"/>
    <w:rsid w:val="79B074FD"/>
    <w:rsid w:val="79B138D8"/>
    <w:rsid w:val="79B30877"/>
    <w:rsid w:val="79B3213D"/>
    <w:rsid w:val="79B43DF5"/>
    <w:rsid w:val="79B47474"/>
    <w:rsid w:val="79B770D9"/>
    <w:rsid w:val="79BA5004"/>
    <w:rsid w:val="79BA65B6"/>
    <w:rsid w:val="79BD47BC"/>
    <w:rsid w:val="79BD6A5B"/>
    <w:rsid w:val="79C0795A"/>
    <w:rsid w:val="79C14EE5"/>
    <w:rsid w:val="79C37A47"/>
    <w:rsid w:val="79C5066F"/>
    <w:rsid w:val="79C60E35"/>
    <w:rsid w:val="79C71973"/>
    <w:rsid w:val="79C73257"/>
    <w:rsid w:val="79C957A6"/>
    <w:rsid w:val="79CB4FDA"/>
    <w:rsid w:val="79CC194A"/>
    <w:rsid w:val="79D22354"/>
    <w:rsid w:val="79D23DA1"/>
    <w:rsid w:val="79D47570"/>
    <w:rsid w:val="79D5003D"/>
    <w:rsid w:val="79D53669"/>
    <w:rsid w:val="79D73EE8"/>
    <w:rsid w:val="79D83B25"/>
    <w:rsid w:val="79DA03A2"/>
    <w:rsid w:val="79DA4DFE"/>
    <w:rsid w:val="79E35D83"/>
    <w:rsid w:val="79E37F0E"/>
    <w:rsid w:val="79E72F16"/>
    <w:rsid w:val="79EC1158"/>
    <w:rsid w:val="79EE017E"/>
    <w:rsid w:val="79EE77DD"/>
    <w:rsid w:val="79F03042"/>
    <w:rsid w:val="79F04E25"/>
    <w:rsid w:val="79F16B38"/>
    <w:rsid w:val="79F467AA"/>
    <w:rsid w:val="79F90AE6"/>
    <w:rsid w:val="79FB318B"/>
    <w:rsid w:val="79FC301B"/>
    <w:rsid w:val="79FD2AF0"/>
    <w:rsid w:val="79FE0F53"/>
    <w:rsid w:val="79FF0C15"/>
    <w:rsid w:val="7A012AAE"/>
    <w:rsid w:val="7A020A45"/>
    <w:rsid w:val="7A054E98"/>
    <w:rsid w:val="7A0673CA"/>
    <w:rsid w:val="7A0A667B"/>
    <w:rsid w:val="7A0E70F7"/>
    <w:rsid w:val="7A0F1346"/>
    <w:rsid w:val="7A1018F7"/>
    <w:rsid w:val="7A10226A"/>
    <w:rsid w:val="7A103074"/>
    <w:rsid w:val="7A103B7E"/>
    <w:rsid w:val="7A15030E"/>
    <w:rsid w:val="7A1632EE"/>
    <w:rsid w:val="7A1A7B9D"/>
    <w:rsid w:val="7A1F0753"/>
    <w:rsid w:val="7A1F16D9"/>
    <w:rsid w:val="7A201BFE"/>
    <w:rsid w:val="7A206000"/>
    <w:rsid w:val="7A2209E9"/>
    <w:rsid w:val="7A2238C4"/>
    <w:rsid w:val="7A232735"/>
    <w:rsid w:val="7A250999"/>
    <w:rsid w:val="7A2769CC"/>
    <w:rsid w:val="7A2878A3"/>
    <w:rsid w:val="7A2A5674"/>
    <w:rsid w:val="7A2A7E71"/>
    <w:rsid w:val="7A2B436C"/>
    <w:rsid w:val="7A316C8E"/>
    <w:rsid w:val="7A36661F"/>
    <w:rsid w:val="7A3945A5"/>
    <w:rsid w:val="7A3A6269"/>
    <w:rsid w:val="7A3B08B1"/>
    <w:rsid w:val="7A3D1049"/>
    <w:rsid w:val="7A412B1E"/>
    <w:rsid w:val="7A4A5A54"/>
    <w:rsid w:val="7A4B27AD"/>
    <w:rsid w:val="7A4B5179"/>
    <w:rsid w:val="7A4C67B4"/>
    <w:rsid w:val="7A514655"/>
    <w:rsid w:val="7A515F35"/>
    <w:rsid w:val="7A527CB8"/>
    <w:rsid w:val="7A5302F6"/>
    <w:rsid w:val="7A532453"/>
    <w:rsid w:val="7A53531F"/>
    <w:rsid w:val="7A555B8B"/>
    <w:rsid w:val="7A586EC5"/>
    <w:rsid w:val="7A590988"/>
    <w:rsid w:val="7A5F79DA"/>
    <w:rsid w:val="7A615F4E"/>
    <w:rsid w:val="7A636BE6"/>
    <w:rsid w:val="7A675B06"/>
    <w:rsid w:val="7A680D72"/>
    <w:rsid w:val="7A6A185A"/>
    <w:rsid w:val="7A78141B"/>
    <w:rsid w:val="7A7D7BA3"/>
    <w:rsid w:val="7A7E13D2"/>
    <w:rsid w:val="7A830CC2"/>
    <w:rsid w:val="7A834E30"/>
    <w:rsid w:val="7A8548CF"/>
    <w:rsid w:val="7A865D09"/>
    <w:rsid w:val="7A884BE6"/>
    <w:rsid w:val="7A8B7D11"/>
    <w:rsid w:val="7A8C0822"/>
    <w:rsid w:val="7A8F2ACE"/>
    <w:rsid w:val="7A966027"/>
    <w:rsid w:val="7A971EF0"/>
    <w:rsid w:val="7A975B5C"/>
    <w:rsid w:val="7A991C2D"/>
    <w:rsid w:val="7A9B2B07"/>
    <w:rsid w:val="7A9B32C7"/>
    <w:rsid w:val="7A9B4CFF"/>
    <w:rsid w:val="7A9D3B0A"/>
    <w:rsid w:val="7A9D73BE"/>
    <w:rsid w:val="7A9E1040"/>
    <w:rsid w:val="7A9F7914"/>
    <w:rsid w:val="7AA068DE"/>
    <w:rsid w:val="7AA35A50"/>
    <w:rsid w:val="7AA6799B"/>
    <w:rsid w:val="7AAA5B1D"/>
    <w:rsid w:val="7AAB70DF"/>
    <w:rsid w:val="7AAC14BD"/>
    <w:rsid w:val="7AAD3B66"/>
    <w:rsid w:val="7AAD65F9"/>
    <w:rsid w:val="7AB05235"/>
    <w:rsid w:val="7AB1418A"/>
    <w:rsid w:val="7AB26A40"/>
    <w:rsid w:val="7AB33C35"/>
    <w:rsid w:val="7AB34A68"/>
    <w:rsid w:val="7AB74B31"/>
    <w:rsid w:val="7AB80E8D"/>
    <w:rsid w:val="7ABB6D01"/>
    <w:rsid w:val="7ABC6CB1"/>
    <w:rsid w:val="7ABE576E"/>
    <w:rsid w:val="7ABF29F6"/>
    <w:rsid w:val="7AC03110"/>
    <w:rsid w:val="7AC102DE"/>
    <w:rsid w:val="7AC15FEB"/>
    <w:rsid w:val="7AC30D01"/>
    <w:rsid w:val="7AC41B51"/>
    <w:rsid w:val="7AC42E22"/>
    <w:rsid w:val="7AC652D1"/>
    <w:rsid w:val="7ACA3B56"/>
    <w:rsid w:val="7ACC0332"/>
    <w:rsid w:val="7ACD1BD9"/>
    <w:rsid w:val="7ACE3BBA"/>
    <w:rsid w:val="7ACF682E"/>
    <w:rsid w:val="7AD403AB"/>
    <w:rsid w:val="7ADB1017"/>
    <w:rsid w:val="7ADC277B"/>
    <w:rsid w:val="7ADC45FF"/>
    <w:rsid w:val="7ADE6C2D"/>
    <w:rsid w:val="7AE37552"/>
    <w:rsid w:val="7AE600D4"/>
    <w:rsid w:val="7AE6239C"/>
    <w:rsid w:val="7AE82902"/>
    <w:rsid w:val="7AE84A70"/>
    <w:rsid w:val="7AEB6773"/>
    <w:rsid w:val="7AF46BF0"/>
    <w:rsid w:val="7AF63277"/>
    <w:rsid w:val="7AF87765"/>
    <w:rsid w:val="7AFA2F2B"/>
    <w:rsid w:val="7AFB5B0C"/>
    <w:rsid w:val="7AFF28EF"/>
    <w:rsid w:val="7AFF7F3C"/>
    <w:rsid w:val="7B000E04"/>
    <w:rsid w:val="7B01073A"/>
    <w:rsid w:val="7B0107E4"/>
    <w:rsid w:val="7B0176DD"/>
    <w:rsid w:val="7B0A369A"/>
    <w:rsid w:val="7B0D7C49"/>
    <w:rsid w:val="7B160A36"/>
    <w:rsid w:val="7B162114"/>
    <w:rsid w:val="7B162A2E"/>
    <w:rsid w:val="7B173F55"/>
    <w:rsid w:val="7B180AE0"/>
    <w:rsid w:val="7B18743C"/>
    <w:rsid w:val="7B187EFC"/>
    <w:rsid w:val="7B19558F"/>
    <w:rsid w:val="7B1B08BB"/>
    <w:rsid w:val="7B1F4C86"/>
    <w:rsid w:val="7B1F522D"/>
    <w:rsid w:val="7B203496"/>
    <w:rsid w:val="7B206849"/>
    <w:rsid w:val="7B24107E"/>
    <w:rsid w:val="7B2554E1"/>
    <w:rsid w:val="7B287415"/>
    <w:rsid w:val="7B293828"/>
    <w:rsid w:val="7B2A1F06"/>
    <w:rsid w:val="7B2A2353"/>
    <w:rsid w:val="7B2D14CE"/>
    <w:rsid w:val="7B2D47A2"/>
    <w:rsid w:val="7B2D6B12"/>
    <w:rsid w:val="7B313EA6"/>
    <w:rsid w:val="7B315065"/>
    <w:rsid w:val="7B386909"/>
    <w:rsid w:val="7B390765"/>
    <w:rsid w:val="7B3A02B1"/>
    <w:rsid w:val="7B3B7497"/>
    <w:rsid w:val="7B3C7138"/>
    <w:rsid w:val="7B3E14CB"/>
    <w:rsid w:val="7B4033AA"/>
    <w:rsid w:val="7B406488"/>
    <w:rsid w:val="7B4212C2"/>
    <w:rsid w:val="7B436C90"/>
    <w:rsid w:val="7B467343"/>
    <w:rsid w:val="7B4721F1"/>
    <w:rsid w:val="7B4858EF"/>
    <w:rsid w:val="7B49583B"/>
    <w:rsid w:val="7B4C3513"/>
    <w:rsid w:val="7B540894"/>
    <w:rsid w:val="7B543724"/>
    <w:rsid w:val="7B556304"/>
    <w:rsid w:val="7B563B3A"/>
    <w:rsid w:val="7B590181"/>
    <w:rsid w:val="7B5B06F2"/>
    <w:rsid w:val="7B5B24DE"/>
    <w:rsid w:val="7B5D6101"/>
    <w:rsid w:val="7B5F6A2E"/>
    <w:rsid w:val="7B6068BA"/>
    <w:rsid w:val="7B6538AF"/>
    <w:rsid w:val="7B664636"/>
    <w:rsid w:val="7B6733C2"/>
    <w:rsid w:val="7B675116"/>
    <w:rsid w:val="7B693B49"/>
    <w:rsid w:val="7B6A334D"/>
    <w:rsid w:val="7B6B3413"/>
    <w:rsid w:val="7B6B4480"/>
    <w:rsid w:val="7B6D0537"/>
    <w:rsid w:val="7B6F0D71"/>
    <w:rsid w:val="7B6F43E0"/>
    <w:rsid w:val="7B710B51"/>
    <w:rsid w:val="7B74151C"/>
    <w:rsid w:val="7B746FE0"/>
    <w:rsid w:val="7B756E12"/>
    <w:rsid w:val="7B784CA3"/>
    <w:rsid w:val="7B785ED2"/>
    <w:rsid w:val="7B7D0EC0"/>
    <w:rsid w:val="7B800D11"/>
    <w:rsid w:val="7B832796"/>
    <w:rsid w:val="7B862222"/>
    <w:rsid w:val="7B8639D6"/>
    <w:rsid w:val="7B8D3026"/>
    <w:rsid w:val="7B8E11C4"/>
    <w:rsid w:val="7B922415"/>
    <w:rsid w:val="7B931B1E"/>
    <w:rsid w:val="7B965A61"/>
    <w:rsid w:val="7B974E8D"/>
    <w:rsid w:val="7BAA017F"/>
    <w:rsid w:val="7BAB44B9"/>
    <w:rsid w:val="7BAE59A0"/>
    <w:rsid w:val="7BB240FE"/>
    <w:rsid w:val="7BB30220"/>
    <w:rsid w:val="7BB46B2A"/>
    <w:rsid w:val="7BB47348"/>
    <w:rsid w:val="7BB5209F"/>
    <w:rsid w:val="7BB6348A"/>
    <w:rsid w:val="7BB90714"/>
    <w:rsid w:val="7BBA6B3E"/>
    <w:rsid w:val="7BBB612A"/>
    <w:rsid w:val="7BBD0AA3"/>
    <w:rsid w:val="7BBE33AF"/>
    <w:rsid w:val="7BBF77C9"/>
    <w:rsid w:val="7BC0230B"/>
    <w:rsid w:val="7BC05110"/>
    <w:rsid w:val="7BCF4073"/>
    <w:rsid w:val="7BD03F15"/>
    <w:rsid w:val="7BD219A4"/>
    <w:rsid w:val="7BD30D64"/>
    <w:rsid w:val="7BD61478"/>
    <w:rsid w:val="7BD65D57"/>
    <w:rsid w:val="7BDE4D38"/>
    <w:rsid w:val="7BDF5107"/>
    <w:rsid w:val="7BE0245D"/>
    <w:rsid w:val="7BE1284E"/>
    <w:rsid w:val="7BE32690"/>
    <w:rsid w:val="7BE47A05"/>
    <w:rsid w:val="7BE761B9"/>
    <w:rsid w:val="7BE93008"/>
    <w:rsid w:val="7BEF7EF0"/>
    <w:rsid w:val="7BF01926"/>
    <w:rsid w:val="7BF071D0"/>
    <w:rsid w:val="7BF75B10"/>
    <w:rsid w:val="7BFB6490"/>
    <w:rsid w:val="7BFC3424"/>
    <w:rsid w:val="7BFD7185"/>
    <w:rsid w:val="7BFE2EB9"/>
    <w:rsid w:val="7BFE37E7"/>
    <w:rsid w:val="7C032B40"/>
    <w:rsid w:val="7C0408DF"/>
    <w:rsid w:val="7C046492"/>
    <w:rsid w:val="7C07001C"/>
    <w:rsid w:val="7C0845FB"/>
    <w:rsid w:val="7C090CD4"/>
    <w:rsid w:val="7C0A651A"/>
    <w:rsid w:val="7C0C60A6"/>
    <w:rsid w:val="7C0D3D8D"/>
    <w:rsid w:val="7C0E3205"/>
    <w:rsid w:val="7C0F42A3"/>
    <w:rsid w:val="7C0F7A46"/>
    <w:rsid w:val="7C1178E4"/>
    <w:rsid w:val="7C206370"/>
    <w:rsid w:val="7C247D1C"/>
    <w:rsid w:val="7C2A4537"/>
    <w:rsid w:val="7C2C77D8"/>
    <w:rsid w:val="7C2E048F"/>
    <w:rsid w:val="7C322FEC"/>
    <w:rsid w:val="7C3425FA"/>
    <w:rsid w:val="7C344BBC"/>
    <w:rsid w:val="7C36333C"/>
    <w:rsid w:val="7C39475E"/>
    <w:rsid w:val="7C3B11CE"/>
    <w:rsid w:val="7C3F7D5F"/>
    <w:rsid w:val="7C443616"/>
    <w:rsid w:val="7C4518D8"/>
    <w:rsid w:val="7C470328"/>
    <w:rsid w:val="7C4A2DCC"/>
    <w:rsid w:val="7C4C7F25"/>
    <w:rsid w:val="7C5121FE"/>
    <w:rsid w:val="7C554CEE"/>
    <w:rsid w:val="7C597C1D"/>
    <w:rsid w:val="7C5A3002"/>
    <w:rsid w:val="7C5F1C0F"/>
    <w:rsid w:val="7C60616F"/>
    <w:rsid w:val="7C626A3B"/>
    <w:rsid w:val="7C63164A"/>
    <w:rsid w:val="7C633001"/>
    <w:rsid w:val="7C6333F8"/>
    <w:rsid w:val="7C6C0F80"/>
    <w:rsid w:val="7C700A64"/>
    <w:rsid w:val="7C714238"/>
    <w:rsid w:val="7C75137E"/>
    <w:rsid w:val="7C752E54"/>
    <w:rsid w:val="7C773BEC"/>
    <w:rsid w:val="7C7C2689"/>
    <w:rsid w:val="7C7C7AA4"/>
    <w:rsid w:val="7C7D6E65"/>
    <w:rsid w:val="7C7E1B27"/>
    <w:rsid w:val="7C7E25CE"/>
    <w:rsid w:val="7C7F110C"/>
    <w:rsid w:val="7C7F528B"/>
    <w:rsid w:val="7C8021ED"/>
    <w:rsid w:val="7C830F6F"/>
    <w:rsid w:val="7C8377EA"/>
    <w:rsid w:val="7C853C74"/>
    <w:rsid w:val="7C903872"/>
    <w:rsid w:val="7C940919"/>
    <w:rsid w:val="7C975D33"/>
    <w:rsid w:val="7C9B4988"/>
    <w:rsid w:val="7C9C0429"/>
    <w:rsid w:val="7C9D4828"/>
    <w:rsid w:val="7C9D55FD"/>
    <w:rsid w:val="7C9E1CA9"/>
    <w:rsid w:val="7C9F764F"/>
    <w:rsid w:val="7CA017E2"/>
    <w:rsid w:val="7CA11533"/>
    <w:rsid w:val="7CA23AC9"/>
    <w:rsid w:val="7CA35CCE"/>
    <w:rsid w:val="7CA40064"/>
    <w:rsid w:val="7CA4481B"/>
    <w:rsid w:val="7CA5395C"/>
    <w:rsid w:val="7CA73E64"/>
    <w:rsid w:val="7CA83244"/>
    <w:rsid w:val="7CAB080F"/>
    <w:rsid w:val="7CAF2532"/>
    <w:rsid w:val="7CB07A71"/>
    <w:rsid w:val="7CB742F1"/>
    <w:rsid w:val="7CB80F01"/>
    <w:rsid w:val="7CBA7AC5"/>
    <w:rsid w:val="7CBF476B"/>
    <w:rsid w:val="7CC3636C"/>
    <w:rsid w:val="7CC56C67"/>
    <w:rsid w:val="7CCA40D3"/>
    <w:rsid w:val="7CD10FDF"/>
    <w:rsid w:val="7CD47766"/>
    <w:rsid w:val="7CD5540F"/>
    <w:rsid w:val="7CD648E5"/>
    <w:rsid w:val="7CD8666C"/>
    <w:rsid w:val="7CD876B0"/>
    <w:rsid w:val="7CD93074"/>
    <w:rsid w:val="7CDB2C44"/>
    <w:rsid w:val="7CDB5685"/>
    <w:rsid w:val="7CDC2473"/>
    <w:rsid w:val="7CDD764F"/>
    <w:rsid w:val="7CE14219"/>
    <w:rsid w:val="7CE229CE"/>
    <w:rsid w:val="7CE22E51"/>
    <w:rsid w:val="7CE23153"/>
    <w:rsid w:val="7CE42C65"/>
    <w:rsid w:val="7CE438D4"/>
    <w:rsid w:val="7CE44F8C"/>
    <w:rsid w:val="7CE66CBD"/>
    <w:rsid w:val="7CE72A44"/>
    <w:rsid w:val="7CE740B7"/>
    <w:rsid w:val="7CE74405"/>
    <w:rsid w:val="7CEB4806"/>
    <w:rsid w:val="7CEC2D49"/>
    <w:rsid w:val="7CEC315C"/>
    <w:rsid w:val="7CF01BAA"/>
    <w:rsid w:val="7CF21DFD"/>
    <w:rsid w:val="7CF339E9"/>
    <w:rsid w:val="7CF74B99"/>
    <w:rsid w:val="7CF75535"/>
    <w:rsid w:val="7CFA577A"/>
    <w:rsid w:val="7D066B20"/>
    <w:rsid w:val="7D0C34C4"/>
    <w:rsid w:val="7D142EDC"/>
    <w:rsid w:val="7D1454C2"/>
    <w:rsid w:val="7D1459D9"/>
    <w:rsid w:val="7D177E49"/>
    <w:rsid w:val="7D1901EC"/>
    <w:rsid w:val="7D1B3CD3"/>
    <w:rsid w:val="7D1C4E08"/>
    <w:rsid w:val="7D1D4074"/>
    <w:rsid w:val="7D1F10DA"/>
    <w:rsid w:val="7D20218A"/>
    <w:rsid w:val="7D225563"/>
    <w:rsid w:val="7D2755D3"/>
    <w:rsid w:val="7D286E00"/>
    <w:rsid w:val="7D29509B"/>
    <w:rsid w:val="7D295860"/>
    <w:rsid w:val="7D295F33"/>
    <w:rsid w:val="7D2C1626"/>
    <w:rsid w:val="7D334F31"/>
    <w:rsid w:val="7D355458"/>
    <w:rsid w:val="7D373E87"/>
    <w:rsid w:val="7D3C438E"/>
    <w:rsid w:val="7D3D633F"/>
    <w:rsid w:val="7D40322B"/>
    <w:rsid w:val="7D403F44"/>
    <w:rsid w:val="7D404077"/>
    <w:rsid w:val="7D407AD5"/>
    <w:rsid w:val="7D433490"/>
    <w:rsid w:val="7D4354FB"/>
    <w:rsid w:val="7D440511"/>
    <w:rsid w:val="7D44147C"/>
    <w:rsid w:val="7D457F80"/>
    <w:rsid w:val="7D486033"/>
    <w:rsid w:val="7D494865"/>
    <w:rsid w:val="7D4A161C"/>
    <w:rsid w:val="7D4D7A41"/>
    <w:rsid w:val="7D4E06EC"/>
    <w:rsid w:val="7D4E6A29"/>
    <w:rsid w:val="7D502F03"/>
    <w:rsid w:val="7D506FD5"/>
    <w:rsid w:val="7D562E50"/>
    <w:rsid w:val="7D5832B6"/>
    <w:rsid w:val="7D5B650A"/>
    <w:rsid w:val="7D5C485A"/>
    <w:rsid w:val="7D617217"/>
    <w:rsid w:val="7D621FC9"/>
    <w:rsid w:val="7D6507AA"/>
    <w:rsid w:val="7D65367A"/>
    <w:rsid w:val="7D6E599A"/>
    <w:rsid w:val="7D702A21"/>
    <w:rsid w:val="7D703355"/>
    <w:rsid w:val="7D71362F"/>
    <w:rsid w:val="7D736739"/>
    <w:rsid w:val="7D740712"/>
    <w:rsid w:val="7D74093B"/>
    <w:rsid w:val="7D75315D"/>
    <w:rsid w:val="7D780CF3"/>
    <w:rsid w:val="7D7A61D1"/>
    <w:rsid w:val="7D7F420B"/>
    <w:rsid w:val="7D7F7EE1"/>
    <w:rsid w:val="7D815F3D"/>
    <w:rsid w:val="7D841963"/>
    <w:rsid w:val="7D8454D5"/>
    <w:rsid w:val="7D86081A"/>
    <w:rsid w:val="7D883A7B"/>
    <w:rsid w:val="7D8B69FE"/>
    <w:rsid w:val="7D931E06"/>
    <w:rsid w:val="7D940026"/>
    <w:rsid w:val="7D944B7E"/>
    <w:rsid w:val="7D97456A"/>
    <w:rsid w:val="7D98032B"/>
    <w:rsid w:val="7D987C71"/>
    <w:rsid w:val="7D9A56EA"/>
    <w:rsid w:val="7D9B1703"/>
    <w:rsid w:val="7D9F66B2"/>
    <w:rsid w:val="7DA20226"/>
    <w:rsid w:val="7DA42730"/>
    <w:rsid w:val="7DA65327"/>
    <w:rsid w:val="7DAB0257"/>
    <w:rsid w:val="7DAD14BB"/>
    <w:rsid w:val="7DAD50D3"/>
    <w:rsid w:val="7DAF65CD"/>
    <w:rsid w:val="7DB12990"/>
    <w:rsid w:val="7DB163E5"/>
    <w:rsid w:val="7DB2787D"/>
    <w:rsid w:val="7DB30D57"/>
    <w:rsid w:val="7DB50915"/>
    <w:rsid w:val="7DB57F48"/>
    <w:rsid w:val="7DB60B3B"/>
    <w:rsid w:val="7DB82287"/>
    <w:rsid w:val="7DB867EA"/>
    <w:rsid w:val="7DB96AA4"/>
    <w:rsid w:val="7DBF0623"/>
    <w:rsid w:val="7DBF2392"/>
    <w:rsid w:val="7DC118A0"/>
    <w:rsid w:val="7DC16610"/>
    <w:rsid w:val="7DC3599B"/>
    <w:rsid w:val="7DC42F97"/>
    <w:rsid w:val="7DC45A9D"/>
    <w:rsid w:val="7DC516E4"/>
    <w:rsid w:val="7DC6777B"/>
    <w:rsid w:val="7DC81032"/>
    <w:rsid w:val="7DC97F11"/>
    <w:rsid w:val="7DCC2447"/>
    <w:rsid w:val="7DCE0BBE"/>
    <w:rsid w:val="7DCF5A97"/>
    <w:rsid w:val="7DD005DC"/>
    <w:rsid w:val="7DD04D70"/>
    <w:rsid w:val="7DD0637E"/>
    <w:rsid w:val="7DD1739F"/>
    <w:rsid w:val="7DD536C7"/>
    <w:rsid w:val="7DD719DF"/>
    <w:rsid w:val="7DD71F11"/>
    <w:rsid w:val="7DD72D0C"/>
    <w:rsid w:val="7DDD542C"/>
    <w:rsid w:val="7DDE0221"/>
    <w:rsid w:val="7DDE0236"/>
    <w:rsid w:val="7DE03F5E"/>
    <w:rsid w:val="7DE16CE6"/>
    <w:rsid w:val="7DE20C95"/>
    <w:rsid w:val="7DE2236E"/>
    <w:rsid w:val="7DE255CA"/>
    <w:rsid w:val="7DE86867"/>
    <w:rsid w:val="7DE91468"/>
    <w:rsid w:val="7DEF4CE2"/>
    <w:rsid w:val="7DF01B30"/>
    <w:rsid w:val="7DF03FD0"/>
    <w:rsid w:val="7DF30508"/>
    <w:rsid w:val="7DF56D21"/>
    <w:rsid w:val="7DF873F9"/>
    <w:rsid w:val="7DFA1736"/>
    <w:rsid w:val="7DFA22A1"/>
    <w:rsid w:val="7DFA33B5"/>
    <w:rsid w:val="7DFA7DD0"/>
    <w:rsid w:val="7DFB289C"/>
    <w:rsid w:val="7DFC1A6A"/>
    <w:rsid w:val="7DFC329F"/>
    <w:rsid w:val="7DFF6AC2"/>
    <w:rsid w:val="7E001C90"/>
    <w:rsid w:val="7E0571A6"/>
    <w:rsid w:val="7E062367"/>
    <w:rsid w:val="7E07423B"/>
    <w:rsid w:val="7E087DC7"/>
    <w:rsid w:val="7E0C3F13"/>
    <w:rsid w:val="7E0E2B5F"/>
    <w:rsid w:val="7E0E3E48"/>
    <w:rsid w:val="7E1063BF"/>
    <w:rsid w:val="7E1911EE"/>
    <w:rsid w:val="7E1959AC"/>
    <w:rsid w:val="7E1B1577"/>
    <w:rsid w:val="7E1B1778"/>
    <w:rsid w:val="7E1C72EC"/>
    <w:rsid w:val="7E1F6E98"/>
    <w:rsid w:val="7E21059D"/>
    <w:rsid w:val="7E2123F8"/>
    <w:rsid w:val="7E234ADD"/>
    <w:rsid w:val="7E2450FC"/>
    <w:rsid w:val="7E2475B9"/>
    <w:rsid w:val="7E262151"/>
    <w:rsid w:val="7E271334"/>
    <w:rsid w:val="7E2A1A97"/>
    <w:rsid w:val="7E31452F"/>
    <w:rsid w:val="7E332DDA"/>
    <w:rsid w:val="7E343993"/>
    <w:rsid w:val="7E344EB8"/>
    <w:rsid w:val="7E370997"/>
    <w:rsid w:val="7E3C1D57"/>
    <w:rsid w:val="7E3E1D09"/>
    <w:rsid w:val="7E3F5F82"/>
    <w:rsid w:val="7E3F60E7"/>
    <w:rsid w:val="7E411E11"/>
    <w:rsid w:val="7E421FB6"/>
    <w:rsid w:val="7E42226E"/>
    <w:rsid w:val="7E470587"/>
    <w:rsid w:val="7E4707B0"/>
    <w:rsid w:val="7E476C38"/>
    <w:rsid w:val="7E484CF4"/>
    <w:rsid w:val="7E493093"/>
    <w:rsid w:val="7E4E29EA"/>
    <w:rsid w:val="7E4E3F9D"/>
    <w:rsid w:val="7E4E5586"/>
    <w:rsid w:val="7E54148C"/>
    <w:rsid w:val="7E544499"/>
    <w:rsid w:val="7E556ED3"/>
    <w:rsid w:val="7E581B92"/>
    <w:rsid w:val="7E5D25FD"/>
    <w:rsid w:val="7E5E0E5D"/>
    <w:rsid w:val="7E5E516E"/>
    <w:rsid w:val="7E5F306E"/>
    <w:rsid w:val="7E667EE7"/>
    <w:rsid w:val="7E684271"/>
    <w:rsid w:val="7E68519C"/>
    <w:rsid w:val="7E6A7B68"/>
    <w:rsid w:val="7E6C0F2B"/>
    <w:rsid w:val="7E6F3784"/>
    <w:rsid w:val="7E701D3B"/>
    <w:rsid w:val="7E70634B"/>
    <w:rsid w:val="7E740948"/>
    <w:rsid w:val="7E7517AA"/>
    <w:rsid w:val="7E752DA4"/>
    <w:rsid w:val="7E7A2B10"/>
    <w:rsid w:val="7E7A5A75"/>
    <w:rsid w:val="7E7F078A"/>
    <w:rsid w:val="7E7F749B"/>
    <w:rsid w:val="7E867993"/>
    <w:rsid w:val="7E895572"/>
    <w:rsid w:val="7E8C6765"/>
    <w:rsid w:val="7E8C7C43"/>
    <w:rsid w:val="7E8E69B3"/>
    <w:rsid w:val="7E952D05"/>
    <w:rsid w:val="7E9671CA"/>
    <w:rsid w:val="7E9802A2"/>
    <w:rsid w:val="7E9C4357"/>
    <w:rsid w:val="7E9E1FA9"/>
    <w:rsid w:val="7E9F3F0F"/>
    <w:rsid w:val="7E9F7B60"/>
    <w:rsid w:val="7EA92A71"/>
    <w:rsid w:val="7EAA7132"/>
    <w:rsid w:val="7EAB5D96"/>
    <w:rsid w:val="7EAC1F35"/>
    <w:rsid w:val="7EAD2F58"/>
    <w:rsid w:val="7EAE2680"/>
    <w:rsid w:val="7EAF01FB"/>
    <w:rsid w:val="7EAF0A13"/>
    <w:rsid w:val="7EAF78B2"/>
    <w:rsid w:val="7EB32E18"/>
    <w:rsid w:val="7EB46C20"/>
    <w:rsid w:val="7EB47B3A"/>
    <w:rsid w:val="7EB51F05"/>
    <w:rsid w:val="7EB64061"/>
    <w:rsid w:val="7EB82F68"/>
    <w:rsid w:val="7EBC29DF"/>
    <w:rsid w:val="7EBD42FA"/>
    <w:rsid w:val="7EBD5D4E"/>
    <w:rsid w:val="7EBE301E"/>
    <w:rsid w:val="7EBE5570"/>
    <w:rsid w:val="7EC30260"/>
    <w:rsid w:val="7EC66EEC"/>
    <w:rsid w:val="7EC6736C"/>
    <w:rsid w:val="7EC738C7"/>
    <w:rsid w:val="7EC75901"/>
    <w:rsid w:val="7ECE1EF0"/>
    <w:rsid w:val="7ECF6615"/>
    <w:rsid w:val="7ED16E96"/>
    <w:rsid w:val="7ED25180"/>
    <w:rsid w:val="7ED52ADF"/>
    <w:rsid w:val="7ED7425D"/>
    <w:rsid w:val="7ED93414"/>
    <w:rsid w:val="7EDA4076"/>
    <w:rsid w:val="7EDA5AC8"/>
    <w:rsid w:val="7EDC6A88"/>
    <w:rsid w:val="7EDE26D0"/>
    <w:rsid w:val="7EE046BE"/>
    <w:rsid w:val="7EE12B47"/>
    <w:rsid w:val="7EE238D9"/>
    <w:rsid w:val="7EE275B9"/>
    <w:rsid w:val="7EE67070"/>
    <w:rsid w:val="7EE76613"/>
    <w:rsid w:val="7EE7679E"/>
    <w:rsid w:val="7EE8460E"/>
    <w:rsid w:val="7EE97719"/>
    <w:rsid w:val="7EEA2EB6"/>
    <w:rsid w:val="7EEB6748"/>
    <w:rsid w:val="7EEC2027"/>
    <w:rsid w:val="7EED4BDD"/>
    <w:rsid w:val="7EF778DA"/>
    <w:rsid w:val="7EFD260E"/>
    <w:rsid w:val="7EFD5A89"/>
    <w:rsid w:val="7EFF407E"/>
    <w:rsid w:val="7F00208D"/>
    <w:rsid w:val="7F014EDE"/>
    <w:rsid w:val="7F083B4B"/>
    <w:rsid w:val="7F0906FE"/>
    <w:rsid w:val="7F0A2634"/>
    <w:rsid w:val="7F0F3770"/>
    <w:rsid w:val="7F1629D0"/>
    <w:rsid w:val="7F171259"/>
    <w:rsid w:val="7F1869C8"/>
    <w:rsid w:val="7F19741A"/>
    <w:rsid w:val="7F1B6549"/>
    <w:rsid w:val="7F1C5781"/>
    <w:rsid w:val="7F1F6E49"/>
    <w:rsid w:val="7F271D16"/>
    <w:rsid w:val="7F2847FF"/>
    <w:rsid w:val="7F297BB6"/>
    <w:rsid w:val="7F2A14B1"/>
    <w:rsid w:val="7F312200"/>
    <w:rsid w:val="7F354FEE"/>
    <w:rsid w:val="7F372393"/>
    <w:rsid w:val="7F385071"/>
    <w:rsid w:val="7F39098D"/>
    <w:rsid w:val="7F3C0F84"/>
    <w:rsid w:val="7F443766"/>
    <w:rsid w:val="7F4505C6"/>
    <w:rsid w:val="7F460148"/>
    <w:rsid w:val="7F461B74"/>
    <w:rsid w:val="7F4662B3"/>
    <w:rsid w:val="7F482B9F"/>
    <w:rsid w:val="7F48314A"/>
    <w:rsid w:val="7F485714"/>
    <w:rsid w:val="7F495922"/>
    <w:rsid w:val="7F51190C"/>
    <w:rsid w:val="7F5173DA"/>
    <w:rsid w:val="7F536912"/>
    <w:rsid w:val="7F552F6B"/>
    <w:rsid w:val="7F566D93"/>
    <w:rsid w:val="7F57046F"/>
    <w:rsid w:val="7F574ACF"/>
    <w:rsid w:val="7F591665"/>
    <w:rsid w:val="7F5B7051"/>
    <w:rsid w:val="7F5B742C"/>
    <w:rsid w:val="7F6362A1"/>
    <w:rsid w:val="7F656613"/>
    <w:rsid w:val="7F667B91"/>
    <w:rsid w:val="7F67119C"/>
    <w:rsid w:val="7F673200"/>
    <w:rsid w:val="7F69706B"/>
    <w:rsid w:val="7F6A22A5"/>
    <w:rsid w:val="7F6B3469"/>
    <w:rsid w:val="7F6D1676"/>
    <w:rsid w:val="7F6F0306"/>
    <w:rsid w:val="7F724B33"/>
    <w:rsid w:val="7F76017C"/>
    <w:rsid w:val="7F76226D"/>
    <w:rsid w:val="7F7803D9"/>
    <w:rsid w:val="7F7903CB"/>
    <w:rsid w:val="7F793930"/>
    <w:rsid w:val="7F7A6D9F"/>
    <w:rsid w:val="7F7E7710"/>
    <w:rsid w:val="7F83545A"/>
    <w:rsid w:val="7F870B00"/>
    <w:rsid w:val="7F87446A"/>
    <w:rsid w:val="7F8755F1"/>
    <w:rsid w:val="7F886244"/>
    <w:rsid w:val="7F892C34"/>
    <w:rsid w:val="7F8A6CBB"/>
    <w:rsid w:val="7F8C5DEC"/>
    <w:rsid w:val="7F8F4D08"/>
    <w:rsid w:val="7F975B48"/>
    <w:rsid w:val="7F994D52"/>
    <w:rsid w:val="7FA158BC"/>
    <w:rsid w:val="7FA33674"/>
    <w:rsid w:val="7FA470C9"/>
    <w:rsid w:val="7FA55E46"/>
    <w:rsid w:val="7FA56AEC"/>
    <w:rsid w:val="7FA87FC7"/>
    <w:rsid w:val="7FA90EAA"/>
    <w:rsid w:val="7FAA6EEF"/>
    <w:rsid w:val="7FAD386E"/>
    <w:rsid w:val="7FAE3307"/>
    <w:rsid w:val="7FB228A7"/>
    <w:rsid w:val="7FB23D10"/>
    <w:rsid w:val="7FB44ADD"/>
    <w:rsid w:val="7FB50890"/>
    <w:rsid w:val="7FB52398"/>
    <w:rsid w:val="7FB64B17"/>
    <w:rsid w:val="7FB80ED5"/>
    <w:rsid w:val="7FB96999"/>
    <w:rsid w:val="7FBF66DA"/>
    <w:rsid w:val="7FC45C1E"/>
    <w:rsid w:val="7FCE4C12"/>
    <w:rsid w:val="7FD064D0"/>
    <w:rsid w:val="7FD57254"/>
    <w:rsid w:val="7FD67945"/>
    <w:rsid w:val="7FD7465C"/>
    <w:rsid w:val="7FD876B0"/>
    <w:rsid w:val="7FD90F52"/>
    <w:rsid w:val="7FE123EE"/>
    <w:rsid w:val="7FE26DF3"/>
    <w:rsid w:val="7FE3784E"/>
    <w:rsid w:val="7FE40DB7"/>
    <w:rsid w:val="7FE45FB7"/>
    <w:rsid w:val="7FE57EAE"/>
    <w:rsid w:val="7FE6206F"/>
    <w:rsid w:val="7FEA1170"/>
    <w:rsid w:val="7FEB1526"/>
    <w:rsid w:val="7FF04C8E"/>
    <w:rsid w:val="7FF73015"/>
    <w:rsid w:val="7FFE4439"/>
    <w:rsid w:val="7FFF0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qFormat="1" w:unhideWhenUsed="0" w:uiPriority="0" w:semiHidden="0"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autoRedefine/>
    <w:qFormat/>
    <w:uiPriority w:val="0"/>
    <w:pPr>
      <w:keepNext/>
      <w:keepLines/>
      <w:spacing w:line="240" w:lineRule="auto"/>
      <w:jc w:val="center"/>
      <w:outlineLvl w:val="0"/>
    </w:pPr>
    <w:rPr>
      <w:rFonts w:ascii="Arial" w:hAnsi="Arial" w:eastAsia="黑体"/>
      <w:bCs/>
      <w:kern w:val="44"/>
      <w:sz w:val="32"/>
      <w:szCs w:val="44"/>
    </w:rPr>
  </w:style>
  <w:style w:type="paragraph" w:styleId="4">
    <w:name w:val="heading 2"/>
    <w:basedOn w:val="2"/>
    <w:next w:val="1"/>
    <w:autoRedefine/>
    <w:unhideWhenUsed/>
    <w:qFormat/>
    <w:uiPriority w:val="9"/>
    <w:pPr>
      <w:keepNext/>
      <w:jc w:val="center"/>
      <w:outlineLvl w:val="1"/>
    </w:pPr>
    <w:rPr>
      <w:rFonts w:ascii="楷体_GB2312" w:eastAsia="楷体_GB2312"/>
      <w:sz w:val="24"/>
    </w:rPr>
  </w:style>
  <w:style w:type="paragraph" w:styleId="5">
    <w:name w:val="heading 3"/>
    <w:basedOn w:val="4"/>
    <w:next w:val="1"/>
    <w:autoRedefine/>
    <w:unhideWhenUsed/>
    <w:qFormat/>
    <w:uiPriority w:val="9"/>
    <w:pPr>
      <w:spacing w:beforeAutospacing="1" w:afterAutospacing="1"/>
      <w:jc w:val="left"/>
      <w:outlineLvl w:val="2"/>
    </w:pPr>
    <w:rPr>
      <w:rFonts w:hint="eastAsia" w:ascii="宋体" w:hAnsi="宋体" w:eastAsia="宋体" w:cs="Times New Roman"/>
      <w:kern w:val="0"/>
      <w:sz w:val="27"/>
      <w:szCs w:val="27"/>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3">
    <w:name w:val="Title"/>
    <w:basedOn w:val="1"/>
    <w:autoRedefine/>
    <w:qFormat/>
    <w:uiPriority w:val="0"/>
    <w:pPr>
      <w:spacing w:before="240" w:after="60"/>
      <w:jc w:val="center"/>
      <w:outlineLvl w:val="0"/>
    </w:pPr>
    <w:rPr>
      <w:rFonts w:ascii="Arial" w:hAnsi="Arial"/>
      <w:b/>
      <w:sz w:val="32"/>
    </w:rPr>
  </w:style>
  <w:style w:type="paragraph" w:styleId="6">
    <w:name w:val="List 3"/>
    <w:basedOn w:val="1"/>
    <w:autoRedefine/>
    <w:qFormat/>
    <w:uiPriority w:val="0"/>
    <w:pPr>
      <w:ind w:left="100" w:leftChars="400" w:hanging="200" w:hangingChars="200"/>
    </w:pPr>
    <w:rPr>
      <w:rFonts w:ascii="仿宋_GB2312" w:hAnsi="宋体" w:eastAsia="仿宋_GB2312" w:cs="宋体"/>
      <w:color w:val="000000"/>
      <w:kern w:val="0"/>
      <w:sz w:val="30"/>
      <w:szCs w:val="30"/>
    </w:rPr>
  </w:style>
  <w:style w:type="paragraph" w:styleId="7">
    <w:name w:val="annotation text"/>
    <w:basedOn w:val="1"/>
    <w:autoRedefine/>
    <w:qFormat/>
    <w:uiPriority w:val="0"/>
    <w:pPr>
      <w:jc w:val="left"/>
    </w:pPr>
  </w:style>
  <w:style w:type="paragraph" w:styleId="8">
    <w:name w:val="Body Text 3"/>
    <w:basedOn w:val="1"/>
    <w:autoRedefine/>
    <w:unhideWhenUsed/>
    <w:qFormat/>
    <w:uiPriority w:val="99"/>
    <w:pPr>
      <w:spacing w:line="500" w:lineRule="exact"/>
    </w:pPr>
    <w:rPr>
      <w:rFonts w:ascii="Arial" w:hAnsi="Arial" w:cs="Arial"/>
      <w:bCs/>
      <w:kern w:val="0"/>
      <w:sz w:val="24"/>
      <w:szCs w:val="27"/>
    </w:rPr>
  </w:style>
  <w:style w:type="paragraph" w:styleId="9">
    <w:name w:val="Body Text"/>
    <w:basedOn w:val="1"/>
    <w:autoRedefine/>
    <w:unhideWhenUsed/>
    <w:qFormat/>
    <w:uiPriority w:val="99"/>
    <w:pPr>
      <w:spacing w:line="360" w:lineRule="auto"/>
    </w:pPr>
    <w:rPr>
      <w:rFonts w:ascii="宋体" w:hAnsi="宋体"/>
      <w:sz w:val="24"/>
    </w:rPr>
  </w:style>
  <w:style w:type="paragraph" w:styleId="10">
    <w:name w:val="Body Text Indent"/>
    <w:basedOn w:val="1"/>
    <w:autoRedefine/>
    <w:unhideWhenUsed/>
    <w:qFormat/>
    <w:uiPriority w:val="99"/>
    <w:pPr>
      <w:spacing w:line="440" w:lineRule="exact"/>
      <w:ind w:left="630" w:leftChars="300"/>
    </w:pPr>
    <w:rPr>
      <w:rFonts w:ascii="楷体_GB2312" w:hAnsi="宋体" w:eastAsia="楷体_GB2312"/>
      <w:sz w:val="24"/>
    </w:rPr>
  </w:style>
  <w:style w:type="paragraph" w:styleId="11">
    <w:name w:val="List 2"/>
    <w:basedOn w:val="1"/>
    <w:autoRedefine/>
    <w:qFormat/>
    <w:uiPriority w:val="0"/>
    <w:pPr>
      <w:ind w:left="100" w:leftChars="200" w:hanging="200" w:hangingChars="200"/>
    </w:pPr>
    <w:rPr>
      <w:rFonts w:ascii="仿宋_GB2312" w:hAnsi="宋体" w:eastAsia="仿宋_GB2312" w:cs="宋体"/>
      <w:color w:val="000000"/>
      <w:kern w:val="0"/>
      <w:sz w:val="30"/>
      <w:szCs w:val="30"/>
    </w:rPr>
  </w:style>
  <w:style w:type="paragraph" w:styleId="12">
    <w:name w:val="List Continue"/>
    <w:basedOn w:val="1"/>
    <w:autoRedefine/>
    <w:qFormat/>
    <w:uiPriority w:val="0"/>
    <w:pPr>
      <w:spacing w:after="120"/>
      <w:ind w:left="420" w:leftChars="200"/>
    </w:pPr>
    <w:rPr>
      <w:rFonts w:ascii="仿宋_GB2312" w:hAnsi="宋体" w:eastAsia="仿宋_GB2312" w:cs="宋体"/>
      <w:color w:val="000000"/>
      <w:kern w:val="0"/>
      <w:sz w:val="30"/>
      <w:szCs w:val="30"/>
    </w:rPr>
  </w:style>
  <w:style w:type="paragraph" w:styleId="13">
    <w:name w:val="Block Text"/>
    <w:basedOn w:val="1"/>
    <w:autoRedefine/>
    <w:unhideWhenUsed/>
    <w:qFormat/>
    <w:uiPriority w:val="99"/>
    <w:pPr>
      <w:autoSpaceDE w:val="0"/>
      <w:autoSpaceDN w:val="0"/>
      <w:adjustRightInd w:val="0"/>
      <w:spacing w:line="440" w:lineRule="exact"/>
      <w:ind w:left="1050" w:right="-7" w:hanging="1050"/>
    </w:pPr>
    <w:rPr>
      <w:rFonts w:ascii="楷体_GB2312" w:eastAsia="楷体_GB2312"/>
      <w:color w:val="000000"/>
      <w:sz w:val="24"/>
      <w:lang w:val="zh-CN"/>
    </w:rPr>
  </w:style>
  <w:style w:type="paragraph" w:styleId="14">
    <w:name w:val="Plain Text"/>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15">
    <w:name w:val="Date"/>
    <w:basedOn w:val="1"/>
    <w:next w:val="1"/>
    <w:link w:val="39"/>
    <w:autoRedefine/>
    <w:unhideWhenUsed/>
    <w:qFormat/>
    <w:uiPriority w:val="99"/>
    <w:pPr>
      <w:ind w:left="100" w:leftChars="2500"/>
    </w:pPr>
  </w:style>
  <w:style w:type="paragraph" w:styleId="16">
    <w:name w:val="Body Text Indent 2"/>
    <w:basedOn w:val="1"/>
    <w:autoRedefine/>
    <w:unhideWhenUsed/>
    <w:qFormat/>
    <w:uiPriority w:val="99"/>
    <w:pPr>
      <w:spacing w:line="440" w:lineRule="exact"/>
      <w:ind w:left="598" w:leftChars="285"/>
    </w:pPr>
    <w:rPr>
      <w:rFonts w:ascii="楷体_GB2312" w:hAnsi="宋体" w:eastAsia="楷体_GB2312"/>
      <w:sz w:val="24"/>
    </w:rPr>
  </w:style>
  <w:style w:type="paragraph" w:styleId="17">
    <w:name w:val="Balloon Text"/>
    <w:basedOn w:val="1"/>
    <w:link w:val="37"/>
    <w:autoRedefine/>
    <w:unhideWhenUsed/>
    <w:qFormat/>
    <w:uiPriority w:val="99"/>
    <w:rPr>
      <w:sz w:val="18"/>
      <w:szCs w:val="18"/>
    </w:rPr>
  </w:style>
  <w:style w:type="paragraph" w:styleId="18">
    <w:name w:val="footer"/>
    <w:basedOn w:val="1"/>
    <w:link w:val="35"/>
    <w:autoRedefine/>
    <w:unhideWhenUsed/>
    <w:qFormat/>
    <w:uiPriority w:val="99"/>
    <w:pPr>
      <w:tabs>
        <w:tab w:val="center" w:pos="4153"/>
        <w:tab w:val="right" w:pos="8306"/>
      </w:tabs>
      <w:snapToGrid w:val="0"/>
      <w:jc w:val="left"/>
    </w:pPr>
    <w:rPr>
      <w:sz w:val="18"/>
      <w:szCs w:val="18"/>
    </w:rPr>
  </w:style>
  <w:style w:type="paragraph" w:styleId="19">
    <w:name w:val="header"/>
    <w:basedOn w:val="1"/>
    <w:link w:val="3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List"/>
    <w:basedOn w:val="1"/>
    <w:autoRedefine/>
    <w:qFormat/>
    <w:uiPriority w:val="0"/>
    <w:pPr>
      <w:ind w:left="200" w:hanging="200" w:hangingChars="200"/>
    </w:pPr>
    <w:rPr>
      <w:rFonts w:ascii="仿宋_GB2312" w:hAnsi="宋体" w:eastAsia="仿宋_GB2312" w:cs="宋体"/>
      <w:color w:val="000000"/>
      <w:kern w:val="0"/>
      <w:sz w:val="30"/>
      <w:szCs w:val="30"/>
    </w:rPr>
  </w:style>
  <w:style w:type="paragraph" w:styleId="21">
    <w:name w:val="Body Text Indent 3"/>
    <w:basedOn w:val="1"/>
    <w:autoRedefine/>
    <w:unhideWhenUsed/>
    <w:qFormat/>
    <w:uiPriority w:val="99"/>
    <w:pPr>
      <w:spacing w:line="360" w:lineRule="auto"/>
      <w:ind w:left="1560"/>
    </w:pPr>
    <w:rPr>
      <w:rFonts w:ascii="宋体" w:hAnsi="宋体"/>
      <w:sz w:val="24"/>
    </w:rPr>
  </w:style>
  <w:style w:type="paragraph" w:styleId="22">
    <w:name w:val="Body Text 2"/>
    <w:basedOn w:val="1"/>
    <w:autoRedefine/>
    <w:unhideWhenUsed/>
    <w:qFormat/>
    <w:uiPriority w:val="99"/>
    <w:pPr>
      <w:spacing w:line="440" w:lineRule="exact"/>
      <w:ind w:right="25" w:rightChars="12"/>
    </w:pPr>
    <w:rPr>
      <w:rFonts w:ascii="楷体_GB2312" w:eastAsia="楷体_GB2312"/>
      <w:sz w:val="24"/>
    </w:rPr>
  </w:style>
  <w:style w:type="paragraph" w:styleId="23">
    <w:name w:val="List Continue 2"/>
    <w:basedOn w:val="1"/>
    <w:autoRedefine/>
    <w:qFormat/>
    <w:uiPriority w:val="0"/>
    <w:pPr>
      <w:spacing w:after="120"/>
      <w:ind w:left="840" w:leftChars="400"/>
    </w:pPr>
    <w:rPr>
      <w:rFonts w:ascii="仿宋_GB2312" w:hAnsi="宋体" w:eastAsia="仿宋_GB2312" w:cs="宋体"/>
      <w:color w:val="000000"/>
      <w:kern w:val="0"/>
      <w:sz w:val="30"/>
      <w:szCs w:val="30"/>
    </w:rPr>
  </w:style>
  <w:style w:type="paragraph" w:styleId="24">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5">
    <w:name w:val="Body Text First Indent"/>
    <w:basedOn w:val="9"/>
    <w:autoRedefine/>
    <w:qFormat/>
    <w:uiPriority w:val="0"/>
    <w:pPr>
      <w:ind w:firstLine="420" w:firstLineChars="100"/>
    </w:pPr>
    <w:rPr>
      <w:rFonts w:cs="Times New Roman"/>
    </w:rPr>
  </w:style>
  <w:style w:type="paragraph" w:styleId="26">
    <w:name w:val="Body Text First Indent 2"/>
    <w:basedOn w:val="10"/>
    <w:autoRedefine/>
    <w:qFormat/>
    <w:uiPriority w:val="0"/>
    <w:pPr>
      <w:widowControl w:val="0"/>
      <w:spacing w:before="0" w:beforeLines="0" w:afterLines="0" w:line="240" w:lineRule="auto"/>
      <w:ind w:left="420" w:leftChars="200" w:firstLine="420"/>
      <w:jc w:val="both"/>
    </w:pPr>
    <w:rPr>
      <w:rFonts w:ascii="仿宋_GB2312" w:eastAsia="仿宋_GB2312"/>
      <w:sz w:val="30"/>
      <w:szCs w:val="30"/>
    </w:rPr>
  </w:style>
  <w:style w:type="table" w:styleId="28">
    <w:name w:val="Table Grid"/>
    <w:basedOn w:val="27"/>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0">
    <w:name w:val="Strong"/>
    <w:basedOn w:val="29"/>
    <w:autoRedefine/>
    <w:qFormat/>
    <w:uiPriority w:val="22"/>
    <w:rPr>
      <w:b/>
    </w:rPr>
  </w:style>
  <w:style w:type="character" w:styleId="31">
    <w:name w:val="page number"/>
    <w:basedOn w:val="29"/>
    <w:autoRedefine/>
    <w:unhideWhenUsed/>
    <w:qFormat/>
    <w:uiPriority w:val="99"/>
  </w:style>
  <w:style w:type="character" w:styleId="32">
    <w:name w:val="Hyperlink"/>
    <w:basedOn w:val="29"/>
    <w:autoRedefine/>
    <w:unhideWhenUsed/>
    <w:qFormat/>
    <w:uiPriority w:val="99"/>
    <w:rPr>
      <w:color w:val="0000FF" w:themeColor="hyperlink"/>
      <w:u w:val="single"/>
      <w14:textFill>
        <w14:solidFill>
          <w14:schemeClr w14:val="hlink"/>
        </w14:solidFill>
      </w14:textFill>
    </w:rPr>
  </w:style>
  <w:style w:type="paragraph" w:customStyle="1" w:styleId="33">
    <w:name w:val="TOC1"/>
    <w:basedOn w:val="1"/>
    <w:next w:val="1"/>
    <w:autoRedefine/>
    <w:qFormat/>
    <w:uiPriority w:val="99"/>
    <w:pPr>
      <w:snapToGrid w:val="0"/>
      <w:spacing w:line="640" w:lineRule="exact"/>
      <w:ind w:firstLine="705"/>
    </w:pPr>
    <w:rPr>
      <w:rFonts w:ascii="仿宋_GB2312" w:eastAsia="仿宋_GB2312"/>
      <w:color w:val="000000"/>
      <w:sz w:val="36"/>
      <w:szCs w:val="36"/>
    </w:rPr>
  </w:style>
  <w:style w:type="character" w:customStyle="1" w:styleId="34">
    <w:name w:val="页眉 字符"/>
    <w:basedOn w:val="29"/>
    <w:link w:val="19"/>
    <w:autoRedefine/>
    <w:qFormat/>
    <w:uiPriority w:val="99"/>
    <w:rPr>
      <w:sz w:val="18"/>
      <w:szCs w:val="18"/>
    </w:rPr>
  </w:style>
  <w:style w:type="character" w:customStyle="1" w:styleId="35">
    <w:name w:val="页脚 字符"/>
    <w:basedOn w:val="29"/>
    <w:link w:val="18"/>
    <w:autoRedefine/>
    <w:qFormat/>
    <w:uiPriority w:val="99"/>
    <w:rPr>
      <w:sz w:val="18"/>
      <w:szCs w:val="18"/>
    </w:rPr>
  </w:style>
  <w:style w:type="paragraph" w:customStyle="1" w:styleId="36">
    <w:name w:val="列表段落1"/>
    <w:basedOn w:val="1"/>
    <w:autoRedefine/>
    <w:qFormat/>
    <w:uiPriority w:val="34"/>
    <w:pPr>
      <w:ind w:firstLine="420" w:firstLineChars="200"/>
    </w:pPr>
  </w:style>
  <w:style w:type="character" w:customStyle="1" w:styleId="37">
    <w:name w:val="批注框文本 字符"/>
    <w:basedOn w:val="29"/>
    <w:link w:val="17"/>
    <w:autoRedefine/>
    <w:qFormat/>
    <w:uiPriority w:val="99"/>
    <w:rPr>
      <w:sz w:val="18"/>
      <w:szCs w:val="18"/>
    </w:rPr>
  </w:style>
  <w:style w:type="paragraph" w:customStyle="1" w:styleId="38">
    <w:name w:val="列出段落1"/>
    <w:basedOn w:val="1"/>
    <w:autoRedefine/>
    <w:qFormat/>
    <w:uiPriority w:val="34"/>
    <w:pPr>
      <w:ind w:firstLine="420" w:firstLineChars="200"/>
    </w:pPr>
  </w:style>
  <w:style w:type="character" w:customStyle="1" w:styleId="39">
    <w:name w:val="日期 字符"/>
    <w:basedOn w:val="29"/>
    <w:link w:val="15"/>
    <w:autoRedefine/>
    <w:semiHidden/>
    <w:qFormat/>
    <w:uiPriority w:val="99"/>
  </w:style>
  <w:style w:type="paragraph" w:customStyle="1" w:styleId="40">
    <w:name w:val="List Paragraph1"/>
    <w:basedOn w:val="1"/>
    <w:autoRedefine/>
    <w:qFormat/>
    <w:uiPriority w:val="0"/>
    <w:pPr>
      <w:ind w:firstLine="420" w:firstLineChars="200"/>
    </w:pPr>
    <w:rPr>
      <w:rFonts w:ascii="Calibri" w:hAnsi="Calibri" w:eastAsia="宋体" w:cs="Times New Roman"/>
    </w:rPr>
  </w:style>
  <w:style w:type="character" w:customStyle="1" w:styleId="41">
    <w:name w:val="text2"/>
    <w:basedOn w:val="29"/>
    <w:autoRedefine/>
    <w:qFormat/>
    <w:uiPriority w:val="0"/>
  </w:style>
  <w:style w:type="paragraph" w:customStyle="1" w:styleId="42">
    <w:name w:val="标准"/>
    <w:basedOn w:val="1"/>
    <w:autoRedefine/>
    <w:qFormat/>
    <w:uiPriority w:val="0"/>
    <w:pPr>
      <w:adjustRightInd w:val="0"/>
      <w:spacing w:before="120" w:after="120" w:line="312" w:lineRule="atLeast"/>
      <w:textAlignment w:val="baseline"/>
    </w:pPr>
    <w:rPr>
      <w:rFonts w:ascii="宋体"/>
      <w:kern w:val="0"/>
      <w:szCs w:val="20"/>
    </w:rPr>
  </w:style>
  <w:style w:type="paragraph" w:styleId="43">
    <w:name w:val="List Paragraph"/>
    <w:basedOn w:val="1"/>
    <w:autoRedefine/>
    <w:qFormat/>
    <w:uiPriority w:val="34"/>
    <w:pPr>
      <w:widowControl w:val="0"/>
      <w:adjustRightInd/>
      <w:snapToGrid/>
      <w:spacing w:after="0"/>
      <w:ind w:firstLine="420" w:firstLineChars="200"/>
      <w:jc w:val="both"/>
    </w:pPr>
    <w:rPr>
      <w:rFonts w:asciiTheme="minorHAnsi" w:hAnsiTheme="minorHAnsi" w:eastAsiaTheme="minorEastAsia"/>
      <w:kern w:val="2"/>
      <w:sz w:val="21"/>
    </w:rPr>
  </w:style>
  <w:style w:type="character" w:customStyle="1" w:styleId="44">
    <w:name w:val="apple-converted-space"/>
    <w:basedOn w:val="29"/>
    <w:autoRedefine/>
    <w:qFormat/>
    <w:uiPriority w:val="0"/>
  </w:style>
  <w:style w:type="character" w:customStyle="1" w:styleId="45">
    <w:name w:val="fontstyle01"/>
    <w:basedOn w:val="29"/>
    <w:autoRedefine/>
    <w:qFormat/>
    <w:uiPriority w:val="0"/>
    <w:rPr>
      <w:rFonts w:ascii="宋体" w:hAnsi="宋体" w:eastAsia="宋体" w:cs="宋体"/>
      <w:color w:val="000000"/>
      <w:sz w:val="22"/>
      <w:szCs w:val="22"/>
    </w:rPr>
  </w:style>
  <w:style w:type="paragraph" w:customStyle="1" w:styleId="46">
    <w:name w:val="正文文本1"/>
    <w:basedOn w:val="1"/>
    <w:autoRedefine/>
    <w:qFormat/>
    <w:uiPriority w:val="0"/>
    <w:pPr>
      <w:shd w:val="clear" w:color="auto" w:fill="FFFFFF"/>
      <w:spacing w:line="444" w:lineRule="auto"/>
      <w:ind w:firstLine="400"/>
    </w:pPr>
    <w:rPr>
      <w:rFonts w:ascii="黑体" w:hAnsi="黑体" w:eastAsia="黑体" w:cs="黑体"/>
      <w:sz w:val="22"/>
      <w:szCs w:val="22"/>
      <w:lang w:val="zh-TW" w:eastAsia="zh-TW" w:bidi="zh-TW"/>
    </w:rPr>
  </w:style>
  <w:style w:type="paragraph" w:customStyle="1" w:styleId="47">
    <w:name w:val="其他"/>
    <w:basedOn w:val="1"/>
    <w:autoRedefine/>
    <w:qFormat/>
    <w:uiPriority w:val="0"/>
    <w:pPr>
      <w:shd w:val="clear" w:color="auto" w:fill="FFFFFF"/>
      <w:spacing w:line="444" w:lineRule="auto"/>
      <w:ind w:firstLine="400"/>
    </w:pPr>
    <w:rPr>
      <w:rFonts w:ascii="黑体" w:hAnsi="黑体" w:eastAsia="黑体" w:cs="黑体"/>
      <w:sz w:val="22"/>
      <w:szCs w:val="22"/>
      <w:lang w:val="zh-TW" w:eastAsia="zh-TW" w:bidi="zh-TW"/>
    </w:rPr>
  </w:style>
  <w:style w:type="paragraph" w:customStyle="1" w:styleId="48">
    <w:name w:val="标题 #2"/>
    <w:basedOn w:val="1"/>
    <w:autoRedefine/>
    <w:qFormat/>
    <w:uiPriority w:val="0"/>
    <w:pPr>
      <w:shd w:val="clear" w:color="auto" w:fill="FFFFFF"/>
      <w:spacing w:after="30"/>
      <w:outlineLvl w:val="1"/>
    </w:pPr>
    <w:rPr>
      <w:rFonts w:ascii="黑体" w:hAnsi="黑体" w:eastAsia="黑体" w:cs="黑体"/>
      <w:sz w:val="28"/>
      <w:szCs w:val="28"/>
      <w:lang w:val="zh-TW" w:eastAsia="zh-TW" w:bidi="zh-TW"/>
    </w:rPr>
  </w:style>
  <w:style w:type="paragraph" w:customStyle="1" w:styleId="49">
    <w:name w:val="Default"/>
    <w:qFormat/>
    <w:uiPriority w:val="0"/>
    <w:pPr>
      <w:widowControl w:val="0"/>
      <w:autoSpaceDE w:val="0"/>
      <w:autoSpaceDN w:val="0"/>
      <w:adjustRightInd w:val="0"/>
    </w:pPr>
    <w:rPr>
      <w:rFonts w:ascii="..ì." w:hAnsi="Times New Roman" w:eastAsia="..ì." w:cs="..ì."/>
      <w:color w:val="000000"/>
      <w:sz w:val="24"/>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47.xml"/><Relationship Id="rId98" Type="http://schemas.openxmlformats.org/officeDocument/2006/relationships/header" Target="header50.xml"/><Relationship Id="rId97" Type="http://schemas.openxmlformats.org/officeDocument/2006/relationships/footer" Target="footer46.xml"/><Relationship Id="rId96" Type="http://schemas.openxmlformats.org/officeDocument/2006/relationships/header" Target="header49.xml"/><Relationship Id="rId95" Type="http://schemas.openxmlformats.org/officeDocument/2006/relationships/footer" Target="footer45.xml"/><Relationship Id="rId94" Type="http://schemas.openxmlformats.org/officeDocument/2006/relationships/header" Target="header48.xml"/><Relationship Id="rId93" Type="http://schemas.openxmlformats.org/officeDocument/2006/relationships/footer" Target="footer44.xml"/><Relationship Id="rId92" Type="http://schemas.openxmlformats.org/officeDocument/2006/relationships/header" Target="header47.xml"/><Relationship Id="rId91" Type="http://schemas.openxmlformats.org/officeDocument/2006/relationships/footer" Target="footer43.xml"/><Relationship Id="rId90" Type="http://schemas.openxmlformats.org/officeDocument/2006/relationships/header" Target="header46.xml"/><Relationship Id="rId9" Type="http://schemas.openxmlformats.org/officeDocument/2006/relationships/footer" Target="footer4.xml"/><Relationship Id="rId89" Type="http://schemas.openxmlformats.org/officeDocument/2006/relationships/footer" Target="footer42.xml"/><Relationship Id="rId88" Type="http://schemas.openxmlformats.org/officeDocument/2006/relationships/header" Target="header45.xml"/><Relationship Id="rId87" Type="http://schemas.openxmlformats.org/officeDocument/2006/relationships/footer" Target="footer41.xml"/><Relationship Id="rId86" Type="http://schemas.openxmlformats.org/officeDocument/2006/relationships/header" Target="header44.xml"/><Relationship Id="rId85" Type="http://schemas.openxmlformats.org/officeDocument/2006/relationships/header" Target="header43.xml"/><Relationship Id="rId84" Type="http://schemas.openxmlformats.org/officeDocument/2006/relationships/footer" Target="footer40.xml"/><Relationship Id="rId83" Type="http://schemas.openxmlformats.org/officeDocument/2006/relationships/header" Target="header42.xml"/><Relationship Id="rId82" Type="http://schemas.openxmlformats.org/officeDocument/2006/relationships/footer" Target="footer39.xml"/><Relationship Id="rId81" Type="http://schemas.openxmlformats.org/officeDocument/2006/relationships/header" Target="header41.xml"/><Relationship Id="rId80" Type="http://schemas.openxmlformats.org/officeDocument/2006/relationships/footer" Target="footer38.xml"/><Relationship Id="rId8" Type="http://schemas.openxmlformats.org/officeDocument/2006/relationships/footer" Target="footer3.xml"/><Relationship Id="rId79" Type="http://schemas.openxmlformats.org/officeDocument/2006/relationships/header" Target="header40.xml"/><Relationship Id="rId78" Type="http://schemas.openxmlformats.org/officeDocument/2006/relationships/footer" Target="footer37.xml"/><Relationship Id="rId77" Type="http://schemas.openxmlformats.org/officeDocument/2006/relationships/header" Target="header39.xml"/><Relationship Id="rId76" Type="http://schemas.openxmlformats.org/officeDocument/2006/relationships/header" Target="header38.xml"/><Relationship Id="rId75" Type="http://schemas.openxmlformats.org/officeDocument/2006/relationships/footer" Target="footer36.xml"/><Relationship Id="rId74" Type="http://schemas.openxmlformats.org/officeDocument/2006/relationships/header" Target="header37.xml"/><Relationship Id="rId73" Type="http://schemas.openxmlformats.org/officeDocument/2006/relationships/footer" Target="footer35.xml"/><Relationship Id="rId72" Type="http://schemas.openxmlformats.org/officeDocument/2006/relationships/header" Target="header36.xml"/><Relationship Id="rId71" Type="http://schemas.openxmlformats.org/officeDocument/2006/relationships/header" Target="header35.xml"/><Relationship Id="rId70" Type="http://schemas.openxmlformats.org/officeDocument/2006/relationships/footer" Target="footer34.xml"/><Relationship Id="rId7" Type="http://schemas.openxmlformats.org/officeDocument/2006/relationships/footer" Target="footer2.xml"/><Relationship Id="rId69" Type="http://schemas.openxmlformats.org/officeDocument/2006/relationships/header" Target="header34.xml"/><Relationship Id="rId68" Type="http://schemas.openxmlformats.org/officeDocument/2006/relationships/header" Target="header33.xml"/><Relationship Id="rId67" Type="http://schemas.openxmlformats.org/officeDocument/2006/relationships/footer" Target="footer33.xml"/><Relationship Id="rId66" Type="http://schemas.openxmlformats.org/officeDocument/2006/relationships/header" Target="header32.xml"/><Relationship Id="rId65" Type="http://schemas.openxmlformats.org/officeDocument/2006/relationships/footer" Target="footer32.xml"/><Relationship Id="rId64" Type="http://schemas.openxmlformats.org/officeDocument/2006/relationships/header" Target="header31.xml"/><Relationship Id="rId63" Type="http://schemas.openxmlformats.org/officeDocument/2006/relationships/footer" Target="footer31.xml"/><Relationship Id="rId62" Type="http://schemas.openxmlformats.org/officeDocument/2006/relationships/header" Target="header30.xml"/><Relationship Id="rId61" Type="http://schemas.openxmlformats.org/officeDocument/2006/relationships/footer" Target="footer30.xml"/><Relationship Id="rId60" Type="http://schemas.openxmlformats.org/officeDocument/2006/relationships/header" Target="header29.xml"/><Relationship Id="rId6" Type="http://schemas.openxmlformats.org/officeDocument/2006/relationships/footer" Target="footer1.xml"/><Relationship Id="rId59" Type="http://schemas.openxmlformats.org/officeDocument/2006/relationships/header" Target="header28.xml"/><Relationship Id="rId58" Type="http://schemas.openxmlformats.org/officeDocument/2006/relationships/footer" Target="footer29.xml"/><Relationship Id="rId57" Type="http://schemas.openxmlformats.org/officeDocument/2006/relationships/header" Target="header27.xml"/><Relationship Id="rId56" Type="http://schemas.openxmlformats.org/officeDocument/2006/relationships/footer" Target="footer28.xml"/><Relationship Id="rId55" Type="http://schemas.openxmlformats.org/officeDocument/2006/relationships/header" Target="header26.xml"/><Relationship Id="rId54" Type="http://schemas.openxmlformats.org/officeDocument/2006/relationships/footer" Target="footer27.xml"/><Relationship Id="rId53" Type="http://schemas.openxmlformats.org/officeDocument/2006/relationships/header" Target="header25.xml"/><Relationship Id="rId52" Type="http://schemas.openxmlformats.org/officeDocument/2006/relationships/footer" Target="footer26.xml"/><Relationship Id="rId51" Type="http://schemas.openxmlformats.org/officeDocument/2006/relationships/header" Target="header24.xml"/><Relationship Id="rId50" Type="http://schemas.openxmlformats.org/officeDocument/2006/relationships/footer" Target="footer25.xml"/><Relationship Id="rId5" Type="http://schemas.openxmlformats.org/officeDocument/2006/relationships/header" Target="header3.xml"/><Relationship Id="rId49" Type="http://schemas.openxmlformats.org/officeDocument/2006/relationships/header" Target="header23.xml"/><Relationship Id="rId48" Type="http://schemas.openxmlformats.org/officeDocument/2006/relationships/footer" Target="footer24.xml"/><Relationship Id="rId47" Type="http://schemas.openxmlformats.org/officeDocument/2006/relationships/header" Target="header22.xml"/><Relationship Id="rId46" Type="http://schemas.openxmlformats.org/officeDocument/2006/relationships/footer" Target="footer23.xml"/><Relationship Id="rId45" Type="http://schemas.openxmlformats.org/officeDocument/2006/relationships/header" Target="header21.xml"/><Relationship Id="rId44" Type="http://schemas.openxmlformats.org/officeDocument/2006/relationships/footer" Target="footer22.xml"/><Relationship Id="rId43" Type="http://schemas.openxmlformats.org/officeDocument/2006/relationships/header" Target="header20.xml"/><Relationship Id="rId42" Type="http://schemas.openxmlformats.org/officeDocument/2006/relationships/footer" Target="footer21.xml"/><Relationship Id="rId41" Type="http://schemas.openxmlformats.org/officeDocument/2006/relationships/header" Target="header19.xml"/><Relationship Id="rId40" Type="http://schemas.openxmlformats.org/officeDocument/2006/relationships/footer" Target="footer20.xml"/><Relationship Id="rId4" Type="http://schemas.openxmlformats.org/officeDocument/2006/relationships/header" Target="header2.xml"/><Relationship Id="rId39" Type="http://schemas.openxmlformats.org/officeDocument/2006/relationships/header" Target="header18.xml"/><Relationship Id="rId38" Type="http://schemas.openxmlformats.org/officeDocument/2006/relationships/footer" Target="footer19.xml"/><Relationship Id="rId37" Type="http://schemas.openxmlformats.org/officeDocument/2006/relationships/header" Target="header17.xml"/><Relationship Id="rId36" Type="http://schemas.openxmlformats.org/officeDocument/2006/relationships/footer" Target="footer18.xml"/><Relationship Id="rId35" Type="http://schemas.openxmlformats.org/officeDocument/2006/relationships/header" Target="header16.xml"/><Relationship Id="rId34" Type="http://schemas.openxmlformats.org/officeDocument/2006/relationships/footer" Target="footer17.xml"/><Relationship Id="rId33" Type="http://schemas.openxmlformats.org/officeDocument/2006/relationships/header" Target="header15.xml"/><Relationship Id="rId32" Type="http://schemas.openxmlformats.org/officeDocument/2006/relationships/footer" Target="footer16.xml"/><Relationship Id="rId31" Type="http://schemas.openxmlformats.org/officeDocument/2006/relationships/header" Target="header14.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header" Target="header13.xml"/><Relationship Id="rId28" Type="http://schemas.openxmlformats.org/officeDocument/2006/relationships/footer" Target="footer14.xml"/><Relationship Id="rId27" Type="http://schemas.openxmlformats.org/officeDocument/2006/relationships/header" Target="header12.xml"/><Relationship Id="rId26" Type="http://schemas.openxmlformats.org/officeDocument/2006/relationships/footer" Target="footer13.xml"/><Relationship Id="rId25" Type="http://schemas.openxmlformats.org/officeDocument/2006/relationships/header" Target="header11.xml"/><Relationship Id="rId24" Type="http://schemas.openxmlformats.org/officeDocument/2006/relationships/header" Target="header10.xml"/><Relationship Id="rId23" Type="http://schemas.openxmlformats.org/officeDocument/2006/relationships/footer" Target="footer12.xml"/><Relationship Id="rId226" Type="http://schemas.openxmlformats.org/officeDocument/2006/relationships/fontTable" Target="fontTable.xml"/><Relationship Id="rId225" Type="http://schemas.openxmlformats.org/officeDocument/2006/relationships/customXml" Target="../customXml/item2.xml"/><Relationship Id="rId224" Type="http://schemas.openxmlformats.org/officeDocument/2006/relationships/numbering" Target="numbering.xml"/><Relationship Id="rId223" Type="http://schemas.openxmlformats.org/officeDocument/2006/relationships/customXml" Target="../customXml/item1.xml"/><Relationship Id="rId222" Type="http://schemas.openxmlformats.org/officeDocument/2006/relationships/image" Target="media/image2.png"/><Relationship Id="rId221" Type="http://schemas.openxmlformats.org/officeDocument/2006/relationships/theme" Target="theme/theme1.xml"/><Relationship Id="rId220" Type="http://schemas.openxmlformats.org/officeDocument/2006/relationships/footer" Target="footer108.xml"/><Relationship Id="rId22" Type="http://schemas.openxmlformats.org/officeDocument/2006/relationships/header" Target="header9.xml"/><Relationship Id="rId219" Type="http://schemas.openxmlformats.org/officeDocument/2006/relationships/header" Target="header110.xml"/><Relationship Id="rId218" Type="http://schemas.openxmlformats.org/officeDocument/2006/relationships/header" Target="header109.xml"/><Relationship Id="rId217" Type="http://schemas.openxmlformats.org/officeDocument/2006/relationships/footer" Target="footer107.xml"/><Relationship Id="rId216" Type="http://schemas.openxmlformats.org/officeDocument/2006/relationships/header" Target="header108.xml"/><Relationship Id="rId215" Type="http://schemas.openxmlformats.org/officeDocument/2006/relationships/footer" Target="footer106.xml"/><Relationship Id="rId214" Type="http://schemas.openxmlformats.org/officeDocument/2006/relationships/header" Target="header107.xml"/><Relationship Id="rId213" Type="http://schemas.openxmlformats.org/officeDocument/2006/relationships/footer" Target="footer105.xml"/><Relationship Id="rId212" Type="http://schemas.openxmlformats.org/officeDocument/2006/relationships/header" Target="header106.xml"/><Relationship Id="rId211" Type="http://schemas.openxmlformats.org/officeDocument/2006/relationships/footer" Target="footer104.xml"/><Relationship Id="rId210" Type="http://schemas.openxmlformats.org/officeDocument/2006/relationships/header" Target="header105.xml"/><Relationship Id="rId21" Type="http://schemas.openxmlformats.org/officeDocument/2006/relationships/footer" Target="footer11.xml"/><Relationship Id="rId209" Type="http://schemas.openxmlformats.org/officeDocument/2006/relationships/footer" Target="footer103.xml"/><Relationship Id="rId208" Type="http://schemas.openxmlformats.org/officeDocument/2006/relationships/header" Target="header104.xml"/><Relationship Id="rId207" Type="http://schemas.openxmlformats.org/officeDocument/2006/relationships/footer" Target="footer102.xml"/><Relationship Id="rId206" Type="http://schemas.openxmlformats.org/officeDocument/2006/relationships/header" Target="header103.xml"/><Relationship Id="rId205" Type="http://schemas.openxmlformats.org/officeDocument/2006/relationships/footer" Target="footer101.xml"/><Relationship Id="rId204" Type="http://schemas.openxmlformats.org/officeDocument/2006/relationships/header" Target="header102.xml"/><Relationship Id="rId203" Type="http://schemas.openxmlformats.org/officeDocument/2006/relationships/footer" Target="footer100.xml"/><Relationship Id="rId202" Type="http://schemas.openxmlformats.org/officeDocument/2006/relationships/header" Target="header101.xml"/><Relationship Id="rId201" Type="http://schemas.openxmlformats.org/officeDocument/2006/relationships/footer" Target="footer99.xml"/><Relationship Id="rId200" Type="http://schemas.openxmlformats.org/officeDocument/2006/relationships/header" Target="header100.xml"/><Relationship Id="rId20" Type="http://schemas.openxmlformats.org/officeDocument/2006/relationships/header" Target="header8.xml"/><Relationship Id="rId2" Type="http://schemas.openxmlformats.org/officeDocument/2006/relationships/settings" Target="settings.xml"/><Relationship Id="rId199" Type="http://schemas.openxmlformats.org/officeDocument/2006/relationships/footer" Target="footer98.xml"/><Relationship Id="rId198" Type="http://schemas.openxmlformats.org/officeDocument/2006/relationships/header" Target="header99.xml"/><Relationship Id="rId197" Type="http://schemas.openxmlformats.org/officeDocument/2006/relationships/footer" Target="footer97.xml"/><Relationship Id="rId196" Type="http://schemas.openxmlformats.org/officeDocument/2006/relationships/header" Target="header98.xml"/><Relationship Id="rId195" Type="http://schemas.openxmlformats.org/officeDocument/2006/relationships/footer" Target="footer96.xml"/><Relationship Id="rId194" Type="http://schemas.openxmlformats.org/officeDocument/2006/relationships/header" Target="header97.xml"/><Relationship Id="rId193" Type="http://schemas.openxmlformats.org/officeDocument/2006/relationships/footer" Target="footer95.xml"/><Relationship Id="rId192" Type="http://schemas.openxmlformats.org/officeDocument/2006/relationships/header" Target="header96.xml"/><Relationship Id="rId191" Type="http://schemas.openxmlformats.org/officeDocument/2006/relationships/footer" Target="footer94.xml"/><Relationship Id="rId190" Type="http://schemas.openxmlformats.org/officeDocument/2006/relationships/header" Target="header95.xml"/><Relationship Id="rId19" Type="http://schemas.openxmlformats.org/officeDocument/2006/relationships/footer" Target="footer10.xml"/><Relationship Id="rId189" Type="http://schemas.openxmlformats.org/officeDocument/2006/relationships/footer" Target="footer93.xml"/><Relationship Id="rId188" Type="http://schemas.openxmlformats.org/officeDocument/2006/relationships/header" Target="header94.xml"/><Relationship Id="rId187" Type="http://schemas.openxmlformats.org/officeDocument/2006/relationships/footer" Target="footer92.xml"/><Relationship Id="rId186" Type="http://schemas.openxmlformats.org/officeDocument/2006/relationships/header" Target="header93.xml"/><Relationship Id="rId185" Type="http://schemas.openxmlformats.org/officeDocument/2006/relationships/footer" Target="footer91.xml"/><Relationship Id="rId184" Type="http://schemas.openxmlformats.org/officeDocument/2006/relationships/header" Target="header92.xml"/><Relationship Id="rId183" Type="http://schemas.openxmlformats.org/officeDocument/2006/relationships/footer" Target="footer90.xml"/><Relationship Id="rId182" Type="http://schemas.openxmlformats.org/officeDocument/2006/relationships/header" Target="header91.xml"/><Relationship Id="rId181" Type="http://schemas.openxmlformats.org/officeDocument/2006/relationships/footer" Target="footer89.xml"/><Relationship Id="rId180" Type="http://schemas.openxmlformats.org/officeDocument/2006/relationships/header" Target="header90.xml"/><Relationship Id="rId18" Type="http://schemas.openxmlformats.org/officeDocument/2006/relationships/header" Target="header7.xml"/><Relationship Id="rId179" Type="http://schemas.openxmlformats.org/officeDocument/2006/relationships/footer" Target="footer88.xml"/><Relationship Id="rId178" Type="http://schemas.openxmlformats.org/officeDocument/2006/relationships/header" Target="header89.xml"/><Relationship Id="rId177" Type="http://schemas.openxmlformats.org/officeDocument/2006/relationships/footer" Target="footer87.xml"/><Relationship Id="rId176" Type="http://schemas.openxmlformats.org/officeDocument/2006/relationships/header" Target="header88.xml"/><Relationship Id="rId175" Type="http://schemas.openxmlformats.org/officeDocument/2006/relationships/footer" Target="footer86.xml"/><Relationship Id="rId174" Type="http://schemas.openxmlformats.org/officeDocument/2006/relationships/header" Target="header87.xml"/><Relationship Id="rId173" Type="http://schemas.openxmlformats.org/officeDocument/2006/relationships/footer" Target="footer85.xml"/><Relationship Id="rId172" Type="http://schemas.openxmlformats.org/officeDocument/2006/relationships/header" Target="header86.xml"/><Relationship Id="rId171" Type="http://schemas.openxmlformats.org/officeDocument/2006/relationships/footer" Target="footer84.xml"/><Relationship Id="rId170" Type="http://schemas.openxmlformats.org/officeDocument/2006/relationships/header" Target="header85.xml"/><Relationship Id="rId17" Type="http://schemas.openxmlformats.org/officeDocument/2006/relationships/footer" Target="footer9.xml"/><Relationship Id="rId169" Type="http://schemas.openxmlformats.org/officeDocument/2006/relationships/footer" Target="footer83.xml"/><Relationship Id="rId168" Type="http://schemas.openxmlformats.org/officeDocument/2006/relationships/header" Target="header84.xml"/><Relationship Id="rId167" Type="http://schemas.openxmlformats.org/officeDocument/2006/relationships/footer" Target="footer82.xml"/><Relationship Id="rId166" Type="http://schemas.openxmlformats.org/officeDocument/2006/relationships/header" Target="header83.xml"/><Relationship Id="rId165" Type="http://schemas.openxmlformats.org/officeDocument/2006/relationships/footer" Target="footer81.xml"/><Relationship Id="rId164" Type="http://schemas.openxmlformats.org/officeDocument/2006/relationships/header" Target="header82.xml"/><Relationship Id="rId163" Type="http://schemas.openxmlformats.org/officeDocument/2006/relationships/footer" Target="footer80.xml"/><Relationship Id="rId162" Type="http://schemas.openxmlformats.org/officeDocument/2006/relationships/header" Target="header81.xml"/><Relationship Id="rId161" Type="http://schemas.openxmlformats.org/officeDocument/2006/relationships/footer" Target="footer79.xml"/><Relationship Id="rId160" Type="http://schemas.openxmlformats.org/officeDocument/2006/relationships/header" Target="header80.xml"/><Relationship Id="rId16" Type="http://schemas.openxmlformats.org/officeDocument/2006/relationships/header" Target="header6.xml"/><Relationship Id="rId159" Type="http://schemas.openxmlformats.org/officeDocument/2006/relationships/footer" Target="footer78.xml"/><Relationship Id="rId158" Type="http://schemas.openxmlformats.org/officeDocument/2006/relationships/header" Target="header79.xml"/><Relationship Id="rId157" Type="http://schemas.openxmlformats.org/officeDocument/2006/relationships/footer" Target="footer77.xml"/><Relationship Id="rId156" Type="http://schemas.openxmlformats.org/officeDocument/2006/relationships/header" Target="header78.xml"/><Relationship Id="rId155" Type="http://schemas.openxmlformats.org/officeDocument/2006/relationships/footer" Target="footer76.xml"/><Relationship Id="rId154" Type="http://schemas.openxmlformats.org/officeDocument/2006/relationships/header" Target="header77.xml"/><Relationship Id="rId153" Type="http://schemas.openxmlformats.org/officeDocument/2006/relationships/footer" Target="footer75.xml"/><Relationship Id="rId152" Type="http://schemas.openxmlformats.org/officeDocument/2006/relationships/header" Target="header76.xml"/><Relationship Id="rId151" Type="http://schemas.openxmlformats.org/officeDocument/2006/relationships/footer" Target="footer74.xml"/><Relationship Id="rId150" Type="http://schemas.openxmlformats.org/officeDocument/2006/relationships/header" Target="header75.xml"/><Relationship Id="rId15" Type="http://schemas.openxmlformats.org/officeDocument/2006/relationships/footer" Target="footer8.xml"/><Relationship Id="rId149" Type="http://schemas.openxmlformats.org/officeDocument/2006/relationships/footer" Target="footer73.xml"/><Relationship Id="rId148" Type="http://schemas.openxmlformats.org/officeDocument/2006/relationships/header" Target="header74.xml"/><Relationship Id="rId147" Type="http://schemas.openxmlformats.org/officeDocument/2006/relationships/footer" Target="footer72.xml"/><Relationship Id="rId146" Type="http://schemas.openxmlformats.org/officeDocument/2006/relationships/header" Target="header73.xml"/><Relationship Id="rId145" Type="http://schemas.openxmlformats.org/officeDocument/2006/relationships/footer" Target="footer71.xml"/><Relationship Id="rId144" Type="http://schemas.openxmlformats.org/officeDocument/2006/relationships/footer" Target="footer70.xml"/><Relationship Id="rId143" Type="http://schemas.openxmlformats.org/officeDocument/2006/relationships/header" Target="header72.xml"/><Relationship Id="rId142" Type="http://schemas.openxmlformats.org/officeDocument/2006/relationships/footer" Target="footer69.xml"/><Relationship Id="rId141" Type="http://schemas.openxmlformats.org/officeDocument/2006/relationships/header" Target="header71.xml"/><Relationship Id="rId140" Type="http://schemas.openxmlformats.org/officeDocument/2006/relationships/footer" Target="footer68.xml"/><Relationship Id="rId14" Type="http://schemas.openxmlformats.org/officeDocument/2006/relationships/header" Target="header5.xml"/><Relationship Id="rId139" Type="http://schemas.openxmlformats.org/officeDocument/2006/relationships/header" Target="header70.xml"/><Relationship Id="rId138" Type="http://schemas.openxmlformats.org/officeDocument/2006/relationships/footer" Target="footer67.xml"/><Relationship Id="rId137" Type="http://schemas.openxmlformats.org/officeDocument/2006/relationships/header" Target="header69.xml"/><Relationship Id="rId136" Type="http://schemas.openxmlformats.org/officeDocument/2006/relationships/footer" Target="footer66.xml"/><Relationship Id="rId135" Type="http://schemas.openxmlformats.org/officeDocument/2006/relationships/header" Target="header68.xml"/><Relationship Id="rId134" Type="http://schemas.openxmlformats.org/officeDocument/2006/relationships/footer" Target="footer65.xml"/><Relationship Id="rId133" Type="http://schemas.openxmlformats.org/officeDocument/2006/relationships/header" Target="header67.xml"/><Relationship Id="rId132" Type="http://schemas.openxmlformats.org/officeDocument/2006/relationships/footer" Target="footer64.xml"/><Relationship Id="rId131" Type="http://schemas.openxmlformats.org/officeDocument/2006/relationships/header" Target="header66.xml"/><Relationship Id="rId130" Type="http://schemas.openxmlformats.org/officeDocument/2006/relationships/footer" Target="footer63.xml"/><Relationship Id="rId13" Type="http://schemas.openxmlformats.org/officeDocument/2006/relationships/footer" Target="footer7.xml"/><Relationship Id="rId129" Type="http://schemas.openxmlformats.org/officeDocument/2006/relationships/header" Target="header65.xml"/><Relationship Id="rId128" Type="http://schemas.openxmlformats.org/officeDocument/2006/relationships/footer" Target="footer62.xml"/><Relationship Id="rId127" Type="http://schemas.openxmlformats.org/officeDocument/2006/relationships/header" Target="header64.xml"/><Relationship Id="rId126" Type="http://schemas.openxmlformats.org/officeDocument/2006/relationships/footer" Target="footer61.xml"/><Relationship Id="rId125" Type="http://schemas.openxmlformats.org/officeDocument/2006/relationships/header" Target="header63.xml"/><Relationship Id="rId124" Type="http://schemas.openxmlformats.org/officeDocument/2006/relationships/header" Target="header62.xml"/><Relationship Id="rId123" Type="http://schemas.openxmlformats.org/officeDocument/2006/relationships/footer" Target="footer60.xml"/><Relationship Id="rId122" Type="http://schemas.openxmlformats.org/officeDocument/2006/relationships/header" Target="header61.xml"/><Relationship Id="rId121" Type="http://schemas.openxmlformats.org/officeDocument/2006/relationships/footer" Target="footer59.xml"/><Relationship Id="rId120" Type="http://schemas.openxmlformats.org/officeDocument/2006/relationships/header" Target="header60.xml"/><Relationship Id="rId12" Type="http://schemas.openxmlformats.org/officeDocument/2006/relationships/header" Target="header4.xml"/><Relationship Id="rId119" Type="http://schemas.openxmlformats.org/officeDocument/2006/relationships/footer" Target="footer58.xml"/><Relationship Id="rId118" Type="http://schemas.openxmlformats.org/officeDocument/2006/relationships/header" Target="header59.xml"/><Relationship Id="rId117" Type="http://schemas.openxmlformats.org/officeDocument/2006/relationships/footer" Target="footer57.xml"/><Relationship Id="rId116" Type="http://schemas.openxmlformats.org/officeDocument/2006/relationships/header" Target="header58.xml"/><Relationship Id="rId115" Type="http://schemas.openxmlformats.org/officeDocument/2006/relationships/header" Target="header57.xml"/><Relationship Id="rId114" Type="http://schemas.openxmlformats.org/officeDocument/2006/relationships/footer" Target="footer56.xml"/><Relationship Id="rId113" Type="http://schemas.openxmlformats.org/officeDocument/2006/relationships/header" Target="header56.xml"/><Relationship Id="rId112" Type="http://schemas.openxmlformats.org/officeDocument/2006/relationships/footer" Target="footer55.xml"/><Relationship Id="rId111" Type="http://schemas.openxmlformats.org/officeDocument/2006/relationships/footer" Target="footer54.xml"/><Relationship Id="rId110" Type="http://schemas.openxmlformats.org/officeDocument/2006/relationships/footer" Target="footer53.xml"/><Relationship Id="rId11" Type="http://schemas.openxmlformats.org/officeDocument/2006/relationships/footer" Target="footer6.xml"/><Relationship Id="rId109" Type="http://schemas.openxmlformats.org/officeDocument/2006/relationships/header" Target="header55.xml"/><Relationship Id="rId108" Type="http://schemas.openxmlformats.org/officeDocument/2006/relationships/header" Target="header54.xml"/><Relationship Id="rId107" Type="http://schemas.openxmlformats.org/officeDocument/2006/relationships/footer" Target="footer52.xml"/><Relationship Id="rId106" Type="http://schemas.openxmlformats.org/officeDocument/2006/relationships/header" Target="header53.xml"/><Relationship Id="rId105" Type="http://schemas.openxmlformats.org/officeDocument/2006/relationships/footer" Target="footer51.xml"/><Relationship Id="rId104" Type="http://schemas.openxmlformats.org/officeDocument/2006/relationships/header" Target="header52.xml"/><Relationship Id="rId103" Type="http://schemas.openxmlformats.org/officeDocument/2006/relationships/footer" Target="footer50.xml"/><Relationship Id="rId102" Type="http://schemas.openxmlformats.org/officeDocument/2006/relationships/header" Target="header51.xml"/><Relationship Id="rId101" Type="http://schemas.openxmlformats.org/officeDocument/2006/relationships/footer" Target="footer49.xml"/><Relationship Id="rId100" Type="http://schemas.openxmlformats.org/officeDocument/2006/relationships/footer" Target="footer48.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69B99B-E38C-43BF-9437-68092065F7BD}">
  <ds:schemaRefs/>
</ds:datastoreItem>
</file>

<file path=docProps/app.xml><?xml version="1.0" encoding="utf-8"?>
<Properties xmlns="http://schemas.openxmlformats.org/officeDocument/2006/extended-properties" xmlns:vt="http://schemas.openxmlformats.org/officeDocument/2006/docPropsVTypes">
  <Template>Normal</Template>
  <Pages>348</Pages>
  <Words>160017</Words>
  <Characters>184003</Characters>
  <Lines>1</Lines>
  <Paragraphs>1</Paragraphs>
  <TotalTime>4</TotalTime>
  <ScaleCrop>false</ScaleCrop>
  <LinksUpToDate>false</LinksUpToDate>
  <CharactersWithSpaces>195515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2017-10-17T06:39:00Z</dcterms:created>
  <dc:creator>cc</dc:creator>
  <cp:lastModifiedBy>yan</cp:lastModifiedBy>
  <cp:lastPrinted>2024-05-08T01:37:00Z</cp:lastPrinted>
  <dcterms:modified xsi:type="dcterms:W3CDTF">2024-05-17T00:22:40Z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F10FD19226D94DD38DB9EE97AB641E0C_13</vt:lpwstr>
  </property>
</Properties>
</file>