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沂源县文化和旅游局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《国务院办公厅关于印发2021年政务公开工作要点的通知》（国办发〔2021〕12号）</w:t>
      </w:r>
      <w:r>
        <w:rPr>
          <w:rFonts w:hint="eastAsia" w:ascii="仿宋_GB2312" w:hAnsi="仿宋_GB2312" w:eastAsia="仿宋_GB2312" w:cs="仿宋_GB2312"/>
          <w:sz w:val="32"/>
          <w:szCs w:val="32"/>
          <w:lang w:val="en-US" w:eastAsia="zh-CN"/>
        </w:rPr>
        <w:t>和各级政府有关信息公开的</w:t>
      </w:r>
      <w:r>
        <w:rPr>
          <w:rFonts w:hint="eastAsia" w:ascii="仿宋_GB2312" w:hAnsi="仿宋_GB2312" w:eastAsia="仿宋_GB2312" w:cs="仿宋_GB2312"/>
          <w:sz w:val="32"/>
          <w:szCs w:val="32"/>
        </w:rPr>
        <w:t>要求，结合我局信息公开工作实际，现向社会公开202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县文化和旅游局政府信息公开年度报告。全文包括总体情况、主动公开政府信息情况、收到和处理政府信息公开申请情况，政府信息公开行政复议、行政诉讼情况，存在的主要问题及改进情况，以及其他需要报告的事项。本报告中数据的统计期限自2021年1月1日起至2021年12月31日止。如对本报告有疑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请与沂源县文化和旅游局办公室联系（地址：沂源县鲁山路8号，沂源县文化和旅游局二楼办公室；邮编：256100；电</w:t>
      </w:r>
      <w:r>
        <w:rPr>
          <w:rFonts w:hint="eastAsia" w:ascii="仿宋_GB2312" w:hAnsi="仿宋_GB2312" w:eastAsia="仿宋_GB2312" w:cs="仿宋_GB2312"/>
          <w:spacing w:val="-23"/>
          <w:sz w:val="32"/>
          <w:szCs w:val="32"/>
        </w:rPr>
        <w:t>话：3241335；传真：</w:t>
      </w:r>
      <w:r>
        <w:rPr>
          <w:rFonts w:hint="eastAsia" w:ascii="仿宋_GB2312" w:hAnsi="仿宋_GB2312" w:eastAsia="仿宋_GB2312" w:cs="仿宋_GB2312"/>
          <w:spacing w:val="-23"/>
          <w:sz w:val="32"/>
          <w:szCs w:val="32"/>
          <w:lang w:val="en-US" w:eastAsia="zh-CN"/>
        </w:rPr>
        <w:t>3226739</w:t>
      </w:r>
      <w:r>
        <w:rPr>
          <w:rFonts w:hint="eastAsia" w:ascii="仿宋_GB2312" w:hAnsi="仿宋_GB2312" w:eastAsia="仿宋_GB2312" w:cs="仿宋_GB2312"/>
          <w:spacing w:val="-23"/>
          <w:sz w:val="32"/>
          <w:szCs w:val="32"/>
        </w:rPr>
        <w:t>；电子邮箱:</w:t>
      </w:r>
      <w:r>
        <w:rPr>
          <w:rFonts w:hint="eastAsia" w:ascii="仿宋_GB2312" w:hAnsi="仿宋_GB2312" w:eastAsia="仿宋_GB2312" w:cs="仿宋_GB2312"/>
          <w:color w:val="auto"/>
          <w:spacing w:val="-23"/>
          <w:sz w:val="32"/>
          <w:szCs w:val="32"/>
          <w:u w:val="none"/>
        </w:rPr>
        <w:t>yyxwhcbjbgs@zb.shandong.cn。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沂源县文化和旅游局</w:t>
      </w:r>
      <w:r>
        <w:rPr>
          <w:rFonts w:hint="eastAsia" w:ascii="仿宋_GB2312" w:hAnsi="仿宋_GB2312" w:eastAsia="仿宋_GB2312" w:cs="仿宋_GB2312"/>
          <w:sz w:val="32"/>
          <w:szCs w:val="32"/>
        </w:rPr>
        <w:t>深入贯彻《中华人民共和国政府信息公开条例》，全面落实县政府关于政府信息公开的部署要求，积极主动地做好政务信息公开，进一步加强组织领导，明确责任分工，工作透明度进一步提高，有效地保障了公民知情权，促进政府公信力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县文化和旅游局</w:t>
      </w:r>
      <w:r>
        <w:rPr>
          <w:rFonts w:hint="default" w:ascii="仿宋_GB2312" w:hAnsi="仿宋_GB2312" w:eastAsia="仿宋_GB2312" w:cs="仿宋_GB2312"/>
          <w:kern w:val="2"/>
          <w:sz w:val="32"/>
          <w:szCs w:val="32"/>
          <w:lang w:val="en-US" w:eastAsia="zh-CN" w:bidi="ar-SA"/>
        </w:rPr>
        <w:t>主动公开的信息主要包括：机构职能、</w:t>
      </w:r>
      <w:r>
        <w:rPr>
          <w:rFonts w:hint="eastAsia" w:ascii="仿宋_GB2312" w:hAnsi="仿宋_GB2312" w:eastAsia="仿宋_GB2312" w:cs="仿宋_GB2312"/>
          <w:kern w:val="2"/>
          <w:sz w:val="32"/>
          <w:szCs w:val="32"/>
          <w:lang w:val="en-US" w:eastAsia="zh-CN" w:bidi="ar-SA"/>
        </w:rPr>
        <w:t>文化和旅游</w:t>
      </w:r>
      <w:r>
        <w:rPr>
          <w:rFonts w:hint="default" w:ascii="仿宋_GB2312" w:hAnsi="仿宋_GB2312" w:eastAsia="仿宋_GB2312" w:cs="仿宋_GB2312"/>
          <w:kern w:val="2"/>
          <w:sz w:val="32"/>
          <w:szCs w:val="32"/>
          <w:lang w:val="en-US" w:eastAsia="zh-CN" w:bidi="ar-SA"/>
        </w:rPr>
        <w:t>系统相关政策法规、</w:t>
      </w:r>
      <w:r>
        <w:rPr>
          <w:rFonts w:hint="eastAsia" w:ascii="仿宋_GB2312" w:hAnsi="仿宋_GB2312" w:eastAsia="仿宋_GB2312" w:cs="仿宋_GB2312"/>
          <w:kern w:val="2"/>
          <w:sz w:val="32"/>
          <w:szCs w:val="32"/>
          <w:lang w:val="en-US" w:eastAsia="zh-CN" w:bidi="ar-SA"/>
        </w:rPr>
        <w:t>政府会议</w:t>
      </w:r>
      <w:r>
        <w:rPr>
          <w:rFonts w:hint="default" w:ascii="仿宋_GB2312" w:hAnsi="仿宋_GB2312" w:eastAsia="仿宋_GB2312" w:cs="仿宋_GB2312"/>
          <w:kern w:val="2"/>
          <w:sz w:val="32"/>
          <w:szCs w:val="32"/>
          <w:lang w:val="en-US" w:eastAsia="zh-CN" w:bidi="ar-SA"/>
        </w:rPr>
        <w:t>、规划计划、</w:t>
      </w:r>
      <w:r>
        <w:rPr>
          <w:rFonts w:hint="eastAsia" w:ascii="仿宋_GB2312" w:hAnsi="仿宋_GB2312" w:eastAsia="仿宋_GB2312" w:cs="仿宋_GB2312"/>
          <w:kern w:val="2"/>
          <w:sz w:val="32"/>
          <w:szCs w:val="32"/>
          <w:lang w:val="en-US" w:eastAsia="zh-CN" w:bidi="ar-SA"/>
        </w:rPr>
        <w:t>公共文化领域社会公益</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重要部署执行公开、建议提案办理、管理和服务公开、财政信息、全域旅游</w:t>
      </w:r>
      <w:r>
        <w:rPr>
          <w:rFonts w:hint="default" w:ascii="仿宋_GB2312" w:hAnsi="仿宋_GB2312" w:eastAsia="仿宋_GB2312" w:cs="仿宋_GB2312"/>
          <w:kern w:val="2"/>
          <w:sz w:val="32"/>
          <w:szCs w:val="32"/>
          <w:lang w:val="en-US" w:eastAsia="zh-CN" w:bidi="ar-SA"/>
        </w:rPr>
        <w:t>等。截止2021年12月31日，</w:t>
      </w:r>
      <w:r>
        <w:rPr>
          <w:rFonts w:hint="eastAsia" w:ascii="仿宋_GB2312" w:hAnsi="仿宋_GB2312" w:eastAsia="仿宋_GB2312" w:cs="仿宋_GB2312"/>
          <w:kern w:val="2"/>
          <w:sz w:val="32"/>
          <w:szCs w:val="32"/>
          <w:lang w:val="en-US" w:eastAsia="zh-CN" w:bidi="ar-SA"/>
        </w:rPr>
        <w:t>我</w:t>
      </w:r>
      <w:r>
        <w:rPr>
          <w:rFonts w:hint="default" w:ascii="仿宋_GB2312" w:hAnsi="仿宋_GB2312" w:eastAsia="仿宋_GB2312" w:cs="仿宋_GB2312"/>
          <w:kern w:val="2"/>
          <w:sz w:val="32"/>
          <w:szCs w:val="32"/>
          <w:lang w:val="en-US" w:eastAsia="zh-CN" w:bidi="ar-SA"/>
        </w:rPr>
        <w:t>局累计主动公开政府信息</w:t>
      </w:r>
      <w:r>
        <w:rPr>
          <w:rFonts w:hint="eastAsia" w:ascii="仿宋_GB2312" w:hAnsi="仿宋_GB2312" w:eastAsia="仿宋_GB2312" w:cs="仿宋_GB2312"/>
          <w:kern w:val="2"/>
          <w:sz w:val="32"/>
          <w:szCs w:val="32"/>
          <w:lang w:val="en-US" w:eastAsia="zh-CN" w:bidi="ar-SA"/>
        </w:rPr>
        <w:t>210余</w:t>
      </w:r>
      <w:r>
        <w:rPr>
          <w:rFonts w:hint="default" w:ascii="仿宋_GB2312" w:hAnsi="仿宋_GB2312" w:eastAsia="仿宋_GB2312" w:cs="仿宋_GB2312"/>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本</w:t>
      </w:r>
      <w:r>
        <w:rPr>
          <w:rFonts w:hint="default" w:ascii="仿宋_GB2312" w:hAnsi="仿宋_GB2312" w:eastAsia="仿宋_GB2312" w:cs="仿宋_GB2312"/>
          <w:kern w:val="2"/>
          <w:sz w:val="32"/>
          <w:szCs w:val="32"/>
          <w:lang w:val="en-US" w:eastAsia="zh-CN" w:bidi="ar-SA"/>
        </w:rPr>
        <w:t>单位积极采用文稿解读、领导人解读等多种形式解读文件</w:t>
      </w:r>
      <w:r>
        <w:rPr>
          <w:rFonts w:hint="eastAsia" w:ascii="仿宋_GB2312" w:hAnsi="仿宋_GB2312" w:eastAsia="仿宋_GB2312" w:cs="仿宋_GB2312"/>
          <w:kern w:val="2"/>
          <w:sz w:val="32"/>
          <w:szCs w:val="32"/>
          <w:lang w:val="en-US" w:eastAsia="zh-CN" w:bidi="ar-SA"/>
        </w:rPr>
        <w:t>4</w:t>
      </w:r>
      <w:bookmarkStart w:id="0" w:name="_GoBack"/>
      <w:bookmarkEnd w:id="0"/>
      <w:r>
        <w:rPr>
          <w:rFonts w:hint="default" w:ascii="仿宋_GB2312" w:hAnsi="仿宋_GB2312" w:eastAsia="仿宋_GB2312" w:cs="仿宋_GB2312"/>
          <w:kern w:val="2"/>
          <w:sz w:val="32"/>
          <w:szCs w:val="32"/>
          <w:lang w:val="en-US" w:eastAsia="zh-CN" w:bidi="ar-SA"/>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r>
        <w:drawing>
          <wp:anchor distT="0" distB="0" distL="114300" distR="114300" simplePos="0" relativeHeight="251659264" behindDoc="0" locked="0" layoutInCell="1" allowOverlap="1">
            <wp:simplePos x="0" y="0"/>
            <wp:positionH relativeFrom="column">
              <wp:posOffset>-107950</wp:posOffset>
            </wp:positionH>
            <wp:positionV relativeFrom="paragraph">
              <wp:posOffset>3195955</wp:posOffset>
            </wp:positionV>
            <wp:extent cx="5271135" cy="1188720"/>
            <wp:effectExtent l="0" t="0" r="5715"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118872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191770</wp:posOffset>
            </wp:positionH>
            <wp:positionV relativeFrom="paragraph">
              <wp:posOffset>142240</wp:posOffset>
            </wp:positionV>
            <wp:extent cx="4572000" cy="2743200"/>
            <wp:effectExtent l="4445" t="4445" r="14605" b="1460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县文化和旅游</w:t>
      </w:r>
      <w:r>
        <w:rPr>
          <w:rFonts w:hint="default" w:ascii="仿宋_GB2312" w:hAnsi="仿宋_GB2312" w:eastAsia="仿宋_GB2312" w:cs="仿宋_GB2312"/>
          <w:kern w:val="2"/>
          <w:sz w:val="32"/>
          <w:szCs w:val="32"/>
          <w:lang w:val="en-US" w:eastAsia="zh-CN" w:bidi="ar-SA"/>
        </w:rPr>
        <w:t>局收到1条依申请公开信息申请，</w:t>
      </w:r>
      <w:r>
        <w:rPr>
          <w:rFonts w:hint="eastAsia" w:ascii="仿宋_GB2312" w:hAnsi="仿宋_GB2312" w:eastAsia="仿宋_GB2312" w:cs="仿宋_GB2312"/>
          <w:kern w:val="2"/>
          <w:sz w:val="32"/>
          <w:szCs w:val="32"/>
          <w:lang w:val="en-US" w:eastAsia="zh-CN" w:bidi="ar-SA"/>
        </w:rPr>
        <w:t>申请内容为</w:t>
      </w:r>
      <w:r>
        <w:rPr>
          <w:rFonts w:hint="default" w:ascii="Times New Roman" w:hAnsi="Times New Roman" w:eastAsia="仿宋_GB2312" w:cs="Times New Roman"/>
          <w:sz w:val="32"/>
          <w:szCs w:val="32"/>
          <w:lang w:val="en-US" w:eastAsia="zh-CN"/>
        </w:rPr>
        <w:t>“获取</w:t>
      </w:r>
      <w:r>
        <w:rPr>
          <w:rFonts w:hint="eastAsia" w:ascii="Times New Roman" w:hAnsi="Times New Roman" w:eastAsia="仿宋_GB2312" w:cs="Times New Roman"/>
          <w:sz w:val="32"/>
          <w:szCs w:val="32"/>
          <w:lang w:val="en-US" w:eastAsia="zh-CN"/>
        </w:rPr>
        <w:t>全县3A级以上文化旅游景点目录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仿宋_GB2312" w:hAnsi="仿宋_GB2312" w:eastAsia="仿宋_GB2312" w:cs="仿宋_GB2312"/>
          <w:kern w:val="2"/>
          <w:sz w:val="32"/>
          <w:szCs w:val="32"/>
          <w:lang w:val="en-US" w:eastAsia="zh-CN" w:bidi="ar-SA"/>
        </w:rPr>
        <w:t>已根据申请人的要求进行答复。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kern w:val="2"/>
          <w:sz w:val="32"/>
          <w:szCs w:val="32"/>
          <w:lang w:val="en-US" w:eastAsia="zh-CN" w:bidi="ar-SA"/>
        </w:rPr>
      </w:pPr>
      <w:r>
        <w:drawing>
          <wp:anchor distT="0" distB="0" distL="114300" distR="114300" simplePos="0" relativeHeight="251658240" behindDoc="0" locked="0" layoutInCell="1" allowOverlap="1">
            <wp:simplePos x="0" y="0"/>
            <wp:positionH relativeFrom="column">
              <wp:posOffset>391795</wp:posOffset>
            </wp:positionH>
            <wp:positionV relativeFrom="paragraph">
              <wp:posOffset>155575</wp:posOffset>
            </wp:positionV>
            <wp:extent cx="45720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加强政务公开组织领导，严格贯彻落实县政府关于政务公开工作的部署，做好全局政务公开工作。</w:t>
      </w:r>
      <w:r>
        <w:rPr>
          <w:rFonts w:hint="default" w:ascii="仿宋_GB2312" w:hAnsi="仿宋_GB2312" w:eastAsia="仿宋_GB2312" w:cs="仿宋_GB2312"/>
          <w:kern w:val="2"/>
          <w:sz w:val="32"/>
          <w:szCs w:val="32"/>
          <w:highlight w:val="none"/>
          <w:lang w:val="en-US" w:eastAsia="zh-CN" w:bidi="ar-SA"/>
        </w:rPr>
        <w:t>根据机构改革后机构设置和职能调整，</w:t>
      </w:r>
      <w:r>
        <w:rPr>
          <w:rFonts w:hint="eastAsia" w:ascii="仿宋_GB2312" w:hAnsi="仿宋_GB2312" w:eastAsia="仿宋_GB2312" w:cs="仿宋_GB2312"/>
          <w:kern w:val="2"/>
          <w:sz w:val="32"/>
          <w:szCs w:val="32"/>
          <w:highlight w:val="none"/>
          <w:lang w:val="en-US" w:eastAsia="zh-CN" w:bidi="ar-SA"/>
        </w:rPr>
        <w:t>将县文化和旅游局政务公开事项分解到具体科室，</w:t>
      </w:r>
      <w:r>
        <w:rPr>
          <w:rFonts w:hint="default" w:ascii="仿宋_GB2312" w:hAnsi="仿宋_GB2312" w:eastAsia="仿宋_GB2312" w:cs="仿宋_GB2312"/>
          <w:kern w:val="2"/>
          <w:sz w:val="32"/>
          <w:szCs w:val="32"/>
          <w:highlight w:val="none"/>
          <w:lang w:val="en-US" w:eastAsia="zh-CN" w:bidi="ar-SA"/>
        </w:rPr>
        <w:t>按照“谁主管、谁负责”的原则，将信息公开责任落实到各科室具体责任人，完善责任机制。</w:t>
      </w:r>
      <w:r>
        <w:rPr>
          <w:rFonts w:hint="eastAsia" w:ascii="仿宋_GB2312" w:hAnsi="仿宋_GB2312" w:eastAsia="仿宋_GB2312" w:cs="仿宋_GB2312"/>
          <w:kern w:val="2"/>
          <w:sz w:val="32"/>
          <w:szCs w:val="32"/>
          <w:highlight w:val="none"/>
          <w:lang w:val="en-US" w:eastAsia="zh-CN" w:bidi="ar-SA"/>
        </w:rPr>
        <w:t>围绕政务公开制度化规范化建设、组织保障等方面对政务公开工作进行部署安排，推动政务公开工作更好开展。加强培训，提高政务公开水平。开展了2021年规范性文件清理工作，确定继续有效的规范性文件4件。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县文化和旅游局开设</w:t>
      </w:r>
      <w:r>
        <w:rPr>
          <w:rFonts w:hint="default" w:ascii="仿宋_GB2312" w:hAnsi="仿宋_GB2312" w:eastAsia="仿宋_GB2312" w:cs="仿宋_GB2312"/>
          <w:kern w:val="2"/>
          <w:sz w:val="32"/>
          <w:szCs w:val="32"/>
          <w:lang w:val="en-US" w:eastAsia="zh-CN" w:bidi="ar-SA"/>
        </w:rPr>
        <w:t>“沂源文旅发布”</w:t>
      </w:r>
      <w:r>
        <w:rPr>
          <w:rFonts w:hint="eastAsia" w:ascii="仿宋_GB2312" w:hAnsi="仿宋_GB2312" w:eastAsia="仿宋_GB2312" w:cs="仿宋_GB2312"/>
          <w:kern w:val="2"/>
          <w:sz w:val="32"/>
          <w:szCs w:val="32"/>
          <w:lang w:val="en-US" w:eastAsia="zh-CN" w:bidi="ar-SA"/>
        </w:rPr>
        <w:t>微信公众号，</w:t>
      </w:r>
      <w:r>
        <w:rPr>
          <w:rFonts w:hint="default" w:ascii="仿宋_GB2312" w:hAnsi="仿宋_GB2312" w:eastAsia="仿宋_GB2312" w:cs="仿宋_GB2312"/>
          <w:kern w:val="2"/>
          <w:sz w:val="32"/>
          <w:szCs w:val="32"/>
          <w:lang w:val="en-US" w:eastAsia="zh-CN" w:bidi="ar-SA"/>
        </w:rPr>
        <w:t>“沂源文旅”</w:t>
      </w:r>
      <w:r>
        <w:rPr>
          <w:rFonts w:hint="eastAsia" w:ascii="仿宋_GB2312" w:hAnsi="仿宋_GB2312" w:eastAsia="仿宋_GB2312" w:cs="仿宋_GB2312"/>
          <w:kern w:val="2"/>
          <w:sz w:val="32"/>
          <w:szCs w:val="32"/>
          <w:lang w:val="en-US" w:eastAsia="zh-CN" w:bidi="ar-SA"/>
        </w:rPr>
        <w:t>抖音号等</w:t>
      </w:r>
      <w:r>
        <w:rPr>
          <w:rFonts w:hint="default" w:ascii="仿宋_GB2312" w:hAnsi="仿宋_GB2312" w:eastAsia="仿宋_GB2312" w:cs="仿宋_GB2312"/>
          <w:kern w:val="2"/>
          <w:sz w:val="32"/>
          <w:szCs w:val="32"/>
          <w:lang w:val="en-US" w:eastAsia="zh-CN" w:bidi="ar-SA"/>
        </w:rPr>
        <w:t>政务新媒体</w:t>
      </w:r>
      <w:r>
        <w:rPr>
          <w:rFonts w:hint="eastAsia" w:ascii="仿宋_GB2312" w:hAnsi="仿宋_GB2312" w:eastAsia="仿宋_GB2312" w:cs="仿宋_GB2312"/>
          <w:kern w:val="2"/>
          <w:sz w:val="32"/>
          <w:szCs w:val="32"/>
          <w:lang w:val="en-US" w:eastAsia="zh-CN" w:bidi="ar-SA"/>
        </w:rPr>
        <w:t>，及时发布相关信息，</w:t>
      </w:r>
      <w:r>
        <w:rPr>
          <w:rFonts w:hint="default" w:ascii="仿宋_GB2312" w:hAnsi="仿宋_GB2312" w:eastAsia="仿宋_GB2312" w:cs="仿宋_GB2312"/>
          <w:kern w:val="2"/>
          <w:sz w:val="32"/>
          <w:szCs w:val="32"/>
          <w:lang w:val="en-US" w:eastAsia="zh-CN" w:bidi="ar-SA"/>
        </w:rPr>
        <w:t>同时在沂源县文化苑五楼图书馆阅览室设置政务公开专区。充分发挥沂源县人民政府网站的平台作用，及时发布</w:t>
      </w:r>
      <w:r>
        <w:rPr>
          <w:rFonts w:hint="eastAsia" w:ascii="仿宋_GB2312" w:hAnsi="仿宋_GB2312" w:eastAsia="仿宋_GB2312" w:cs="仿宋_GB2312"/>
          <w:kern w:val="2"/>
          <w:sz w:val="32"/>
          <w:szCs w:val="32"/>
          <w:lang w:val="en-US" w:eastAsia="zh-CN" w:bidi="ar-SA"/>
        </w:rPr>
        <w:t>政府</w:t>
      </w:r>
      <w:r>
        <w:rPr>
          <w:rFonts w:hint="default" w:ascii="仿宋_GB2312" w:hAnsi="仿宋_GB2312" w:eastAsia="仿宋_GB2312" w:cs="仿宋_GB2312"/>
          <w:kern w:val="2"/>
          <w:sz w:val="32"/>
          <w:szCs w:val="32"/>
          <w:lang w:val="en-US" w:eastAsia="zh-CN" w:bidi="ar-SA"/>
        </w:rPr>
        <w:t>信息，确保应当公开的内容及时公开。政务信息公开平台板块及栏目设置，严格按照政府</w:t>
      </w:r>
      <w:r>
        <w:rPr>
          <w:rFonts w:hint="eastAsia" w:ascii="仿宋_GB2312" w:hAnsi="仿宋_GB2312" w:eastAsia="仿宋_GB2312" w:cs="仿宋_GB2312"/>
          <w:kern w:val="2"/>
          <w:sz w:val="32"/>
          <w:szCs w:val="32"/>
          <w:lang w:val="en-US" w:eastAsia="zh-CN" w:bidi="ar-SA"/>
        </w:rPr>
        <w:t>办公室政府</w:t>
      </w:r>
      <w:r>
        <w:rPr>
          <w:rFonts w:hint="default" w:ascii="仿宋_GB2312" w:hAnsi="仿宋_GB2312" w:eastAsia="仿宋_GB2312" w:cs="仿宋_GB2312"/>
          <w:kern w:val="2"/>
          <w:sz w:val="32"/>
          <w:szCs w:val="32"/>
          <w:lang w:val="en-US" w:eastAsia="zh-CN" w:bidi="ar-SA"/>
        </w:rPr>
        <w:t>网站</w:t>
      </w:r>
      <w:r>
        <w:rPr>
          <w:rFonts w:hint="eastAsia" w:ascii="仿宋_GB2312" w:hAnsi="仿宋_GB2312" w:eastAsia="仿宋_GB2312" w:cs="仿宋_GB2312"/>
          <w:kern w:val="2"/>
          <w:sz w:val="32"/>
          <w:szCs w:val="32"/>
          <w:lang w:val="en-US" w:eastAsia="zh-CN" w:bidi="ar-SA"/>
        </w:rPr>
        <w:t>平台</w:t>
      </w:r>
      <w:r>
        <w:rPr>
          <w:rFonts w:hint="default" w:ascii="仿宋_GB2312" w:hAnsi="仿宋_GB2312" w:eastAsia="仿宋_GB2312" w:cs="仿宋_GB2312"/>
          <w:kern w:val="2"/>
          <w:sz w:val="32"/>
          <w:szCs w:val="32"/>
          <w:lang w:val="en-US" w:eastAsia="zh-CN" w:bidi="ar-SA"/>
        </w:rPr>
        <w:t>管理的规范要求建设，确保应有公开栏目不漏项，努力做到应公开尽公开。抽调专门人员进行政务公开工作，及时对平台建设和信息发布近视反馈和督促，确保政务信息公开到位。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县文化和旅游局成立政务公开领导小组，领导小组下设办公室,办公室设在县文化和旅游局办公室。</w:t>
      </w:r>
      <w:r>
        <w:rPr>
          <w:rFonts w:hint="default" w:ascii="仿宋_GB2312" w:hAnsi="仿宋_GB2312" w:eastAsia="仿宋_GB2312" w:cs="仿宋_GB2312"/>
          <w:kern w:val="2"/>
          <w:sz w:val="32"/>
          <w:szCs w:val="32"/>
          <w:highlight w:val="none"/>
          <w:lang w:val="en-US" w:eastAsia="zh-CN" w:bidi="ar-SA"/>
        </w:rPr>
        <w:t>强化责任落实</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将政务公开工作列入</w:t>
      </w:r>
      <w:r>
        <w:rPr>
          <w:rFonts w:hint="eastAsia" w:ascii="仿宋_GB2312" w:hAnsi="仿宋_GB2312" w:eastAsia="仿宋_GB2312" w:cs="仿宋_GB2312"/>
          <w:kern w:val="2"/>
          <w:sz w:val="32"/>
          <w:szCs w:val="32"/>
          <w:highlight w:val="none"/>
          <w:lang w:val="en-US" w:eastAsia="zh-CN" w:bidi="ar-SA"/>
        </w:rPr>
        <w:t>本</w:t>
      </w:r>
      <w:r>
        <w:rPr>
          <w:rFonts w:hint="default" w:ascii="仿宋_GB2312" w:hAnsi="仿宋_GB2312" w:eastAsia="仿宋_GB2312" w:cs="仿宋_GB2312"/>
          <w:kern w:val="2"/>
          <w:sz w:val="32"/>
          <w:szCs w:val="32"/>
          <w:highlight w:val="none"/>
          <w:lang w:val="en-US" w:eastAsia="zh-CN" w:bidi="ar-SA"/>
        </w:rPr>
        <w:t>单位常态化工作，明确责任和要求，促进信息公开工作常态化、规范化，持续提升</w:t>
      </w:r>
      <w:r>
        <w:rPr>
          <w:rFonts w:hint="eastAsia" w:ascii="仿宋_GB2312" w:hAnsi="仿宋_GB2312" w:eastAsia="仿宋_GB2312" w:cs="仿宋_GB2312"/>
          <w:kern w:val="2"/>
          <w:sz w:val="32"/>
          <w:szCs w:val="32"/>
          <w:highlight w:val="none"/>
          <w:lang w:val="en-US" w:eastAsia="zh-CN" w:bidi="ar-SA"/>
        </w:rPr>
        <w:t>政府</w:t>
      </w:r>
      <w:r>
        <w:rPr>
          <w:rFonts w:hint="default" w:ascii="仿宋_GB2312" w:hAnsi="仿宋_GB2312" w:eastAsia="仿宋_GB2312" w:cs="仿宋_GB2312"/>
          <w:kern w:val="2"/>
          <w:sz w:val="32"/>
          <w:szCs w:val="32"/>
          <w:highlight w:val="none"/>
          <w:lang w:val="en-US" w:eastAsia="zh-CN" w:bidi="ar-SA"/>
        </w:rPr>
        <w:t>信息公开水平。加强业务培训</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适时召开政府信息公开工作专题会议，加强具体工作人员的业务能力，持续提升信息公开水平</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23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信息内容</w:t>
            </w:r>
          </w:p>
        </w:tc>
        <w:tc>
          <w:tcPr>
            <w:tcW w:w="1842" w:type="dxa"/>
            <w:tcBorders>
              <w:top w:val="single" w:color="000000" w:sz="8" w:space="0"/>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微软雅黑"/>
                <w:sz w:val="24"/>
                <w:szCs w:val="24"/>
                <w:lang w:val="en-US" w:eastAsia="zh-CN"/>
              </w:rPr>
            </w:pPr>
            <w:r>
              <w:rPr>
                <w:rFonts w:hint="default" w:ascii="Times New Roman" w:hAnsi="Times New Roman" w:eastAsia="微软雅黑" w:cs="Times New Roman"/>
                <w:i w:val="0"/>
                <w:caps w:val="0"/>
                <w:color w:val="000000"/>
                <w:spacing w:val="0"/>
                <w:sz w:val="21"/>
                <w:szCs w:val="21"/>
              </w:rPr>
              <w:t>本年</w:t>
            </w:r>
            <w:r>
              <w:rPr>
                <w:rFonts w:hint="eastAsia" w:ascii="Times New Roman" w:hAnsi="Times New Roman" w:eastAsia="微软雅黑" w:cs="Times New Roman"/>
                <w:i w:val="0"/>
                <w:caps w:val="0"/>
                <w:color w:val="000000"/>
                <w:spacing w:val="0"/>
                <w:sz w:val="21"/>
                <w:szCs w:val="21"/>
                <w:lang w:val="en-US" w:eastAsia="zh-CN"/>
              </w:rPr>
              <w:t>制发件数</w:t>
            </w:r>
          </w:p>
        </w:tc>
        <w:tc>
          <w:tcPr>
            <w:tcW w:w="1888" w:type="dxa"/>
            <w:tcBorders>
              <w:top w:val="single" w:color="000000" w:sz="8" w:space="0"/>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微软雅黑"/>
                <w:sz w:val="24"/>
                <w:szCs w:val="24"/>
                <w:lang w:val="en-US" w:eastAsia="zh-CN"/>
              </w:rPr>
            </w:pPr>
            <w:r>
              <w:rPr>
                <w:rFonts w:hint="default" w:ascii="Times New Roman" w:hAnsi="Times New Roman" w:eastAsia="微软雅黑" w:cs="Times New Roman"/>
                <w:i w:val="0"/>
                <w:caps w:val="0"/>
                <w:color w:val="000000"/>
                <w:spacing w:val="0"/>
                <w:sz w:val="21"/>
                <w:szCs w:val="21"/>
              </w:rPr>
              <w:t>本年</w:t>
            </w:r>
            <w:r>
              <w:rPr>
                <w:rFonts w:hint="eastAsia" w:ascii="Times New Roman" w:hAnsi="Times New Roman" w:eastAsia="微软雅黑" w:cs="Times New Roman"/>
                <w:i w:val="0"/>
                <w:caps w:val="0"/>
                <w:color w:val="000000"/>
                <w:spacing w:val="0"/>
                <w:sz w:val="21"/>
                <w:szCs w:val="21"/>
                <w:lang w:val="en-US" w:eastAsia="zh-CN"/>
              </w:rPr>
              <w:t>废止件数</w:t>
            </w:r>
          </w:p>
        </w:tc>
        <w:tc>
          <w:tcPr>
            <w:tcW w:w="1995" w:type="dxa"/>
            <w:tcBorders>
              <w:top w:val="single" w:color="000000" w:sz="8" w:space="0"/>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ascii="Times New Roman" w:hAnsi="Times New Roman" w:eastAsia="微软雅黑" w:cs="Times New Roman"/>
                <w:i w:val="0"/>
                <w:caps w:val="0"/>
                <w:color w:val="000000"/>
                <w:spacing w:val="0"/>
                <w:sz w:val="21"/>
                <w:szCs w:val="21"/>
                <w:lang w:val="en-US"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规章</w:t>
            </w:r>
          </w:p>
        </w:tc>
        <w:tc>
          <w:tcPr>
            <w:tcW w:w="1842" w:type="dxa"/>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0</w:t>
            </w:r>
          </w:p>
        </w:tc>
        <w:tc>
          <w:tcPr>
            <w:tcW w:w="1888" w:type="dxa"/>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0</w:t>
            </w:r>
          </w:p>
        </w:tc>
        <w:tc>
          <w:tcPr>
            <w:tcW w:w="1995" w:type="dxa"/>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Times New Roman" w:hAnsi="Times New Roman" w:eastAsia="微软雅黑" w:cs="Times New Roman"/>
                <w:i w:val="0"/>
                <w:caps w:val="0"/>
                <w:color w:val="000000"/>
                <w:spacing w:val="0"/>
                <w:sz w:val="21"/>
                <w:szCs w:val="21"/>
                <w:lang w:val="en-US" w:eastAsia="zh-CN"/>
              </w:rPr>
              <w:t>行政</w:t>
            </w:r>
            <w:r>
              <w:rPr>
                <w:rFonts w:hint="default" w:ascii="Times New Roman" w:hAnsi="Times New Roman" w:eastAsia="微软雅黑" w:cs="Times New Roman"/>
                <w:i w:val="0"/>
                <w:caps w:val="0"/>
                <w:color w:val="000000"/>
                <w:spacing w:val="0"/>
                <w:sz w:val="21"/>
                <w:szCs w:val="21"/>
              </w:rPr>
              <w:t>规范性文件</w:t>
            </w:r>
          </w:p>
        </w:tc>
        <w:tc>
          <w:tcPr>
            <w:tcW w:w="1842" w:type="dxa"/>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sz w:val="24"/>
                <w:szCs w:val="24"/>
                <w:lang w:eastAsia="zh-CN"/>
              </w:rPr>
            </w:pPr>
            <w:r>
              <w:rPr>
                <w:rFonts w:hint="eastAsia" w:ascii="Times New Roman" w:hAnsi="Times New Roman" w:eastAsia="微软雅黑" w:cs="Times New Roman"/>
                <w:i w:val="0"/>
                <w:caps w:val="0"/>
                <w:color w:val="000000"/>
                <w:spacing w:val="0"/>
                <w:sz w:val="21"/>
                <w:szCs w:val="21"/>
                <w:lang w:val="en-US" w:eastAsia="zh-CN"/>
              </w:rPr>
              <w:t>1</w:t>
            </w:r>
          </w:p>
        </w:tc>
        <w:tc>
          <w:tcPr>
            <w:tcW w:w="1888" w:type="dxa"/>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sz w:val="24"/>
                <w:szCs w:val="24"/>
                <w:lang w:val="en-US" w:eastAsia="zh-CN"/>
              </w:rPr>
            </w:pPr>
            <w:r>
              <w:rPr>
                <w:rFonts w:hint="eastAsia" w:eastAsia="宋体"/>
                <w:sz w:val="24"/>
                <w:szCs w:val="24"/>
                <w:lang w:val="en-US" w:eastAsia="zh-CN"/>
              </w:rPr>
              <w:t>0</w:t>
            </w:r>
          </w:p>
        </w:tc>
        <w:tc>
          <w:tcPr>
            <w:tcW w:w="1995" w:type="dxa"/>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sz w:val="24"/>
                <w:szCs w:val="24"/>
                <w:lang w:val="en-US" w:eastAsia="zh-CN"/>
              </w:rPr>
            </w:pPr>
            <w:r>
              <w:rPr>
                <w:rFonts w:hint="eastAsia" w:eastAsia="宋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000000" w:sz="8" w:space="0"/>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ascii="Times New Roman" w:hAnsi="Times New Roman" w:eastAsia="微软雅黑" w:cs="Times New Roman"/>
                <w:i w:val="0"/>
                <w:caps w:val="0"/>
                <w:color w:val="000000"/>
                <w:spacing w:val="0"/>
                <w:sz w:val="21"/>
                <w:szCs w:val="21"/>
                <w:lang w:val="en-US"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行政许可</w:t>
            </w:r>
          </w:p>
        </w:tc>
        <w:tc>
          <w:tcPr>
            <w:tcW w:w="5725" w:type="dxa"/>
            <w:gridSpan w:val="3"/>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8234" w:type="dxa"/>
            <w:gridSpan w:val="4"/>
            <w:tcBorders>
              <w:top w:val="nil"/>
              <w:left w:val="single" w:color="000000" w:sz="8" w:space="0"/>
              <w:bottom w:val="single" w:color="auto" w:sz="4"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auto" w:sz="4" w:space="0"/>
              <w:left w:val="nil"/>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Times New Roman" w:hAnsi="Times New Roman" w:eastAsia="微软雅黑" w:cs="Times New Roman"/>
                <w:i w:val="0"/>
                <w:caps w:val="0"/>
                <w:color w:val="000000"/>
                <w:spacing w:val="0"/>
                <w:sz w:val="21"/>
                <w:szCs w:val="21"/>
                <w:lang w:val="en-US"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single" w:color="auto" w:sz="4" w:space="0"/>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行政处罚</w:t>
            </w:r>
          </w:p>
        </w:tc>
        <w:tc>
          <w:tcPr>
            <w:tcW w:w="5725" w:type="dxa"/>
            <w:gridSpan w:val="3"/>
            <w:tcBorders>
              <w:top w:val="single" w:color="auto" w:sz="4" w:space="0"/>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sz w:val="24"/>
                <w:szCs w:val="24"/>
                <w:lang w:val="en-US" w:eastAsia="zh-CN"/>
              </w:rPr>
              <w:t>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行政强制</w:t>
            </w:r>
          </w:p>
        </w:tc>
        <w:tc>
          <w:tcPr>
            <w:tcW w:w="5725" w:type="dxa"/>
            <w:gridSpan w:val="3"/>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000000" w:sz="8" w:space="0"/>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sz w:val="24"/>
                <w:szCs w:val="24"/>
                <w:lang w:val="en-US" w:eastAsia="zh-CN"/>
              </w:rPr>
            </w:pPr>
            <w:r>
              <w:rPr>
                <w:rFonts w:hint="eastAsia" w:ascii="Times New Roman" w:hAnsi="Times New Roman" w:eastAsia="微软雅黑" w:cs="Times New Roman"/>
                <w:i w:val="0"/>
                <w:caps w:val="0"/>
                <w:color w:val="000000"/>
                <w:spacing w:val="0"/>
                <w:sz w:val="21"/>
                <w:szCs w:val="21"/>
                <w:lang w:val="en-US"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default" w:ascii="Times New Roman" w:hAnsi="Times New Roman" w:eastAsia="微软雅黑" w:cs="Times New Roman"/>
                <w:i w:val="0"/>
                <w:caps w:val="0"/>
                <w:color w:val="000000"/>
                <w:spacing w:val="0"/>
                <w:sz w:val="21"/>
                <w:szCs w:val="21"/>
              </w:rPr>
              <w:t>行政事业性收费</w:t>
            </w:r>
          </w:p>
        </w:tc>
        <w:tc>
          <w:tcPr>
            <w:tcW w:w="5725" w:type="dxa"/>
            <w:gridSpan w:val="3"/>
            <w:tcBorders>
              <w:top w:val="nil"/>
              <w:left w:val="nil"/>
              <w:bottom w:val="single" w:color="000000" w:sz="8" w:space="0"/>
              <w:right w:val="single" w:color="000000"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22"/>
        <w:gridCol w:w="1133"/>
        <w:gridCol w:w="1882"/>
        <w:gridCol w:w="567"/>
        <w:gridCol w:w="636"/>
        <w:gridCol w:w="636"/>
        <w:gridCol w:w="776"/>
        <w:gridCol w:w="776"/>
        <w:gridCol w:w="497"/>
        <w:gridCol w:w="4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jc w:val="center"/>
        </w:trPr>
        <w:tc>
          <w:tcPr>
            <w:tcW w:w="4137"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（本列数据的勾稽关系为：第一项加第二项之和，等于第三项加第四项之和）</w:t>
            </w:r>
          </w:p>
        </w:tc>
        <w:tc>
          <w:tcPr>
            <w:tcW w:w="438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4137"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6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自然人</w:t>
            </w:r>
          </w:p>
        </w:tc>
        <w:tc>
          <w:tcPr>
            <w:tcW w:w="3321"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法人或其他组织</w:t>
            </w:r>
          </w:p>
        </w:tc>
        <w:tc>
          <w:tcPr>
            <w:tcW w:w="49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74" w:hRule="atLeast"/>
          <w:jc w:val="center"/>
        </w:trPr>
        <w:tc>
          <w:tcPr>
            <w:tcW w:w="4137"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6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商业企业</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科研机构</w:t>
            </w:r>
          </w:p>
        </w:tc>
        <w:tc>
          <w:tcPr>
            <w:tcW w:w="7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社会公益组织</w:t>
            </w:r>
          </w:p>
        </w:tc>
        <w:tc>
          <w:tcPr>
            <w:tcW w:w="7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法律服务机构</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其他</w:t>
            </w:r>
          </w:p>
        </w:tc>
        <w:tc>
          <w:tcPr>
            <w:tcW w:w="49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4" w:hRule="atLeast"/>
          <w:jc w:val="center"/>
        </w:trPr>
        <w:tc>
          <w:tcPr>
            <w:tcW w:w="4137" w:type="dxa"/>
            <w:gridSpan w:val="3"/>
            <w:tcBorders>
              <w:top w:val="nil"/>
              <w:left w:val="single" w:color="auto" w:sz="8" w:space="0"/>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一、本年新收政府信息公开申请数量</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eastAsia="zh-CN"/>
              </w:rPr>
            </w:pPr>
            <w:r>
              <w:rPr>
                <w:rStyle w:val="5"/>
                <w:rFonts w:hint="eastAsia" w:ascii="Times New Roman" w:hAnsi="Times New Roman" w:eastAsia="微软雅黑" w:cs="Times New Roman"/>
                <w:b/>
                <w:i w:val="0"/>
                <w:caps w:val="0"/>
                <w:color w:val="000000"/>
                <w:spacing w:val="0"/>
                <w:sz w:val="21"/>
                <w:szCs w:val="21"/>
                <w:lang w:val="en-US" w:eastAsia="zh-CN"/>
              </w:rPr>
              <w:t>1</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2" w:hRule="atLeast"/>
          <w:jc w:val="center"/>
        </w:trPr>
        <w:tc>
          <w:tcPr>
            <w:tcW w:w="4137" w:type="dxa"/>
            <w:gridSpan w:val="3"/>
            <w:tcBorders>
              <w:top w:val="nil"/>
              <w:left w:val="single" w:color="auto" w:sz="8" w:space="0"/>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二、上年结转政府信息公开申请数量</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1122" w:type="dxa"/>
            <w:vMerge w:val="restart"/>
            <w:tcBorders>
              <w:top w:val="nil"/>
              <w:left w:val="single" w:color="auto" w:sz="4" w:space="0"/>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三、本年度办理结果</w:t>
            </w:r>
          </w:p>
        </w:tc>
        <w:tc>
          <w:tcPr>
            <w:tcW w:w="3015" w:type="dxa"/>
            <w:gridSpan w:val="2"/>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（一）予以公开</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eastAsia="zh-CN"/>
              </w:rPr>
            </w:pPr>
            <w:r>
              <w:rPr>
                <w:rStyle w:val="5"/>
                <w:rFonts w:hint="eastAsia" w:ascii="Times New Roman" w:hAnsi="Times New Roman" w:eastAsia="微软雅黑" w:cs="Times New Roman"/>
                <w:b/>
                <w:i w:val="0"/>
                <w:caps w:val="0"/>
                <w:color w:val="000000"/>
                <w:spacing w:val="0"/>
                <w:sz w:val="21"/>
                <w:szCs w:val="21"/>
                <w:lang w:val="en-US" w:eastAsia="zh-CN"/>
              </w:rPr>
              <w:t>1</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eastAsia="zh-CN"/>
              </w:rPr>
            </w:pPr>
            <w:r>
              <w:rPr>
                <w:rStyle w:val="5"/>
                <w:rFonts w:hint="eastAsia" w:ascii="Times New Roman" w:hAnsi="Times New Roman" w:eastAsia="微软雅黑" w:cs="Times New Roman"/>
                <w:b/>
                <w:i w:val="0"/>
                <w:caps w:val="0"/>
                <w:color w:val="000000"/>
                <w:spacing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4"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3015" w:type="dxa"/>
            <w:gridSpan w:val="2"/>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（二）部分公开（区分处理的，只计这一情形，不计其他情形）</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6"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（三）不予公开</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1</w:t>
            </w:r>
            <w:r>
              <w:rPr>
                <w:rFonts w:hint="eastAsia" w:ascii="宋体" w:hAnsi="宋体" w:eastAsia="宋体" w:cs="宋体"/>
                <w:i w:val="0"/>
                <w:caps w:val="0"/>
                <w:color w:val="000000"/>
                <w:spacing w:val="0"/>
                <w:sz w:val="21"/>
                <w:szCs w:val="21"/>
              </w:rPr>
              <w:t>．属于国家秘密</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2</w:t>
            </w:r>
            <w:r>
              <w:rPr>
                <w:rFonts w:hint="eastAsia" w:ascii="宋体" w:hAnsi="宋体" w:eastAsia="宋体" w:cs="宋体"/>
                <w:i w:val="0"/>
                <w:caps w:val="0"/>
                <w:color w:val="000000"/>
                <w:spacing w:val="0"/>
                <w:sz w:val="21"/>
                <w:szCs w:val="21"/>
              </w:rPr>
              <w:t>．其他法律行政法规禁止公开</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3</w:t>
            </w:r>
            <w:r>
              <w:rPr>
                <w:rFonts w:hint="eastAsia" w:ascii="宋体" w:hAnsi="宋体" w:eastAsia="宋体" w:cs="宋体"/>
                <w:i w:val="0"/>
                <w:caps w:val="0"/>
                <w:color w:val="000000"/>
                <w:spacing w:val="0"/>
                <w:sz w:val="21"/>
                <w:szCs w:val="21"/>
              </w:rPr>
              <w:t>．危及</w:t>
            </w:r>
            <w:r>
              <w:rPr>
                <w:rFonts w:hint="default" w:ascii="Times New Roman" w:hAnsi="Times New Roman" w:eastAsia="微软雅黑" w:cs="Times New Roman"/>
                <w:i w:val="0"/>
                <w:caps w:val="0"/>
                <w:color w:val="000000"/>
                <w:spacing w:val="0"/>
                <w:sz w:val="21"/>
                <w:szCs w:val="21"/>
              </w:rPr>
              <w:t>“</w:t>
            </w:r>
            <w:r>
              <w:rPr>
                <w:rFonts w:hint="eastAsia" w:ascii="宋体" w:hAnsi="宋体" w:eastAsia="宋体" w:cs="宋体"/>
                <w:i w:val="0"/>
                <w:caps w:val="0"/>
                <w:color w:val="000000"/>
                <w:spacing w:val="0"/>
                <w:sz w:val="21"/>
                <w:szCs w:val="21"/>
              </w:rPr>
              <w:t>三安全一稳定</w:t>
            </w:r>
            <w:r>
              <w:rPr>
                <w:rFonts w:hint="default" w:ascii="Times New Roman" w:hAnsi="Times New Roman" w:eastAsia="微软雅黑" w:cs="Times New Roman"/>
                <w:i w:val="0"/>
                <w:caps w:val="0"/>
                <w:color w:val="000000"/>
                <w:spacing w:val="0"/>
                <w:sz w:val="21"/>
                <w:szCs w:val="21"/>
              </w:rPr>
              <w:t>”</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122"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4"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4</w:t>
            </w:r>
            <w:r>
              <w:rPr>
                <w:rFonts w:hint="eastAsia" w:ascii="宋体" w:hAnsi="宋体" w:eastAsia="宋体" w:cs="宋体"/>
                <w:i w:val="0"/>
                <w:caps w:val="0"/>
                <w:color w:val="000000"/>
                <w:spacing w:val="0"/>
                <w:sz w:val="21"/>
                <w:szCs w:val="21"/>
              </w:rPr>
              <w:t>．保护第三方合法权益</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1122" w:type="dxa"/>
            <w:vMerge w:val="continue"/>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single" w:color="auto" w:sz="4" w:space="0"/>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single" w:color="auto" w:sz="4" w:space="0"/>
              <w:left w:val="nil"/>
              <w:bottom w:val="single" w:color="auto" w:sz="4"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5</w:t>
            </w:r>
            <w:r>
              <w:rPr>
                <w:rFonts w:hint="eastAsia" w:ascii="宋体" w:hAnsi="宋体" w:eastAsia="宋体" w:cs="宋体"/>
                <w:i w:val="0"/>
                <w:caps w:val="0"/>
                <w:color w:val="000000"/>
                <w:spacing w:val="0"/>
                <w:sz w:val="21"/>
                <w:szCs w:val="21"/>
              </w:rPr>
              <w:t>．属于三类内部事务信息</w:t>
            </w:r>
          </w:p>
        </w:tc>
        <w:tc>
          <w:tcPr>
            <w:tcW w:w="56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4" w:space="0"/>
              <w:right w:val="single" w:color="auto" w:sz="4"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2"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6</w:t>
            </w:r>
            <w:r>
              <w:rPr>
                <w:rFonts w:hint="eastAsia" w:ascii="宋体" w:hAnsi="宋体" w:eastAsia="宋体" w:cs="宋体"/>
                <w:i w:val="0"/>
                <w:caps w:val="0"/>
                <w:color w:val="000000"/>
                <w:spacing w:val="0"/>
                <w:sz w:val="21"/>
                <w:szCs w:val="21"/>
              </w:rPr>
              <w:t>．属于四类过程性信息</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7</w:t>
            </w:r>
            <w:r>
              <w:rPr>
                <w:rFonts w:hint="eastAsia" w:ascii="宋体" w:hAnsi="宋体" w:eastAsia="宋体" w:cs="宋体"/>
                <w:i w:val="0"/>
                <w:caps w:val="0"/>
                <w:color w:val="000000"/>
                <w:spacing w:val="0"/>
                <w:sz w:val="21"/>
                <w:szCs w:val="21"/>
              </w:rPr>
              <w:t>．属于行政执法案卷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8</w:t>
            </w:r>
            <w:r>
              <w:rPr>
                <w:rFonts w:hint="eastAsia" w:ascii="宋体" w:hAnsi="宋体" w:eastAsia="宋体" w:cs="宋体"/>
                <w:i w:val="0"/>
                <w:caps w:val="0"/>
                <w:color w:val="000000"/>
                <w:spacing w:val="0"/>
                <w:sz w:val="21"/>
                <w:szCs w:val="21"/>
              </w:rPr>
              <w:t>．属于行政查询事项</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（四）无法提供</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1</w:t>
            </w:r>
            <w:r>
              <w:rPr>
                <w:rFonts w:hint="eastAsia" w:ascii="宋体" w:hAnsi="宋体" w:eastAsia="宋体" w:cs="宋体"/>
                <w:i w:val="0"/>
                <w:caps w:val="0"/>
                <w:color w:val="000000"/>
                <w:spacing w:val="0"/>
                <w:sz w:val="21"/>
                <w:szCs w:val="21"/>
              </w:rPr>
              <w:t>．本</w:t>
            </w:r>
            <w:r>
              <w:rPr>
                <w:rFonts w:hint="eastAsia" w:ascii="宋体" w:hAnsi="宋体" w:eastAsia="宋体" w:cs="宋体"/>
                <w:i w:val="0"/>
                <w:caps w:val="0"/>
                <w:color w:val="000000"/>
                <w:spacing w:val="0"/>
                <w:sz w:val="21"/>
                <w:szCs w:val="21"/>
                <w:lang w:val="en-US" w:eastAsia="zh-CN"/>
              </w:rPr>
              <w:t>机关</w:t>
            </w:r>
            <w:r>
              <w:rPr>
                <w:rFonts w:hint="eastAsia" w:ascii="宋体" w:hAnsi="宋体" w:eastAsia="宋体" w:cs="宋体"/>
                <w:i w:val="0"/>
                <w:caps w:val="0"/>
                <w:color w:val="000000"/>
                <w:spacing w:val="0"/>
                <w:sz w:val="21"/>
                <w:szCs w:val="21"/>
              </w:rPr>
              <w:t>不掌握相关政府信息</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2</w:t>
            </w:r>
            <w:r>
              <w:rPr>
                <w:rFonts w:hint="eastAsia" w:ascii="宋体" w:hAnsi="宋体" w:eastAsia="宋体" w:cs="宋体"/>
                <w:i w:val="0"/>
                <w:caps w:val="0"/>
                <w:color w:val="000000"/>
                <w:spacing w:val="0"/>
                <w:sz w:val="21"/>
                <w:szCs w:val="21"/>
              </w:rPr>
              <w:t>．没有现成信息需要另行制作</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3</w:t>
            </w:r>
            <w:r>
              <w:rPr>
                <w:rFonts w:hint="eastAsia" w:ascii="宋体" w:hAnsi="宋体" w:eastAsia="宋体" w:cs="宋体"/>
                <w:i w:val="0"/>
                <w:caps w:val="0"/>
                <w:color w:val="000000"/>
                <w:spacing w:val="0"/>
                <w:sz w:val="21"/>
                <w:szCs w:val="21"/>
              </w:rPr>
              <w:t>．补正后申请内容仍不明确</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（五）不予处理</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1</w:t>
            </w:r>
            <w:r>
              <w:rPr>
                <w:rFonts w:hint="eastAsia" w:ascii="宋体" w:hAnsi="宋体" w:eastAsia="宋体" w:cs="宋体"/>
                <w:i w:val="0"/>
                <w:caps w:val="0"/>
                <w:color w:val="000000"/>
                <w:spacing w:val="0"/>
                <w:sz w:val="21"/>
                <w:szCs w:val="21"/>
              </w:rPr>
              <w:t>．信访举报投诉类申请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2</w:t>
            </w:r>
            <w:r>
              <w:rPr>
                <w:rFonts w:hint="eastAsia" w:ascii="宋体" w:hAnsi="宋体" w:eastAsia="宋体" w:cs="宋体"/>
                <w:i w:val="0"/>
                <w:caps w:val="0"/>
                <w:color w:val="000000"/>
                <w:spacing w:val="0"/>
                <w:sz w:val="21"/>
                <w:szCs w:val="21"/>
              </w:rPr>
              <w:t>．重复申请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3</w:t>
            </w:r>
            <w:r>
              <w:rPr>
                <w:rFonts w:hint="eastAsia" w:ascii="宋体" w:hAnsi="宋体" w:eastAsia="宋体" w:cs="宋体"/>
                <w:i w:val="0"/>
                <w:caps w:val="0"/>
                <w:color w:val="000000"/>
                <w:spacing w:val="0"/>
                <w:sz w:val="21"/>
                <w:szCs w:val="21"/>
              </w:rPr>
              <w:t>．要求提供公开出版物</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i w:val="0"/>
                <w:caps w:val="0"/>
                <w:color w:val="000000"/>
                <w:spacing w:val="0"/>
                <w:sz w:val="21"/>
                <w:szCs w:val="21"/>
              </w:rPr>
            </w:pPr>
            <w:r>
              <w:rPr>
                <w:rFonts w:hint="default" w:ascii="宋体" w:hAnsi="宋体" w:eastAsia="宋体" w:cs="宋体"/>
                <w:i w:val="0"/>
                <w:caps w:val="0"/>
                <w:color w:val="000000"/>
                <w:spacing w:val="0"/>
                <w:sz w:val="21"/>
                <w:szCs w:val="21"/>
              </w:rPr>
              <w:t>4</w:t>
            </w:r>
            <w:r>
              <w:rPr>
                <w:rFonts w:hint="eastAsia" w:ascii="宋体" w:hAnsi="宋体" w:eastAsia="宋体" w:cs="宋体"/>
                <w:i w:val="0"/>
                <w:caps w:val="0"/>
                <w:color w:val="000000"/>
                <w:spacing w:val="0"/>
                <w:sz w:val="21"/>
                <w:szCs w:val="21"/>
              </w:rPr>
              <w:t>．无正当理由大量反复申请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4" w:hRule="atLeast"/>
          <w:jc w:val="center"/>
        </w:trPr>
        <w:tc>
          <w:tcPr>
            <w:tcW w:w="1122"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882" w:type="dxa"/>
            <w:tcBorders>
              <w:top w:val="nil"/>
              <w:left w:val="nil"/>
              <w:bottom w:val="single" w:color="auto" w:sz="4" w:space="0"/>
              <w:right w:val="single" w:color="auto" w:sz="8" w:space="0"/>
            </w:tcBorders>
            <w:noWrap w:val="0"/>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i w:val="0"/>
                <w:caps w:val="0"/>
                <w:color w:val="000000"/>
                <w:spacing w:val="0"/>
                <w:sz w:val="21"/>
                <w:szCs w:val="21"/>
              </w:rPr>
            </w:pPr>
            <w:r>
              <w:rPr>
                <w:rFonts w:hint="default" w:ascii="宋体" w:hAnsi="宋体" w:eastAsia="宋体" w:cs="宋体"/>
                <w:i w:val="0"/>
                <w:caps w:val="0"/>
                <w:color w:val="000000"/>
                <w:spacing w:val="0"/>
                <w:sz w:val="21"/>
                <w:szCs w:val="21"/>
              </w:rPr>
              <w:t>5</w:t>
            </w:r>
            <w:r>
              <w:rPr>
                <w:rFonts w:hint="eastAsia" w:ascii="宋体" w:hAnsi="宋体" w:eastAsia="宋体" w:cs="宋体"/>
                <w:i w:val="0"/>
                <w:caps w:val="0"/>
                <w:color w:val="000000"/>
                <w:spacing w:val="0"/>
                <w:sz w:val="21"/>
                <w:szCs w:val="21"/>
              </w:rPr>
              <w:t>．要求行政机关确认或重新出具已获取信息</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restart"/>
            <w:tcBorders>
              <w:top w:val="single" w:color="auto" w:sz="4" w:space="0"/>
              <w:left w:val="nil"/>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eastAsia" w:ascii="宋体" w:hAnsi="宋体" w:eastAsia="宋体" w:cs="宋体"/>
                <w:i w:val="0"/>
                <w:caps w:val="0"/>
                <w:color w:val="000000"/>
                <w:spacing w:val="0"/>
                <w:sz w:val="21"/>
                <w:szCs w:val="21"/>
              </w:rPr>
            </w:pPr>
            <w:r>
              <w:rPr>
                <w:rFonts w:hint="default" w:ascii="宋体" w:hAnsi="宋体" w:eastAsia="宋体" w:cs="宋体"/>
                <w:i w:val="0"/>
                <w:caps w:val="0"/>
                <w:color w:val="000000"/>
                <w:spacing w:val="0"/>
                <w:sz w:val="21"/>
                <w:szCs w:val="21"/>
              </w:rPr>
              <w:t>（六）其他处理</w:t>
            </w: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1.申请人无正当理由逾期不补正、行政机关不再处理其政府信息公开申请</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left w:val="nil"/>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宋体" w:hAnsi="宋体" w:eastAsia="宋体" w:cs="宋体"/>
                <w:i w:val="0"/>
                <w:caps w:val="0"/>
                <w:color w:val="000000"/>
                <w:spacing w:val="0"/>
                <w:sz w:val="21"/>
                <w:szCs w:val="21"/>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2.申请人逾期未按收费通知要求缴纳费用、行政机关不再处理其政府信息公开申请</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1133" w:type="dxa"/>
            <w:vMerge w:val="continue"/>
            <w:tcBorders>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宋体" w:hAnsi="宋体" w:eastAsia="宋体" w:cs="宋体"/>
                <w:i w:val="0"/>
                <w:caps w:val="0"/>
                <w:color w:val="000000"/>
                <w:spacing w:val="0"/>
                <w:sz w:val="21"/>
                <w:szCs w:val="21"/>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lang w:val="en-US" w:eastAsia="zh-CN"/>
              </w:rPr>
              <w:t>3.其他</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Times New Roman" w:hAnsi="Times New Roman" w:eastAsia="微软雅黑" w:cs="Times New Roman"/>
                <w:b/>
                <w:i w:val="0"/>
                <w:caps w:val="0"/>
                <w:color w:val="000000"/>
                <w:spacing w:val="0"/>
                <w:sz w:val="21"/>
                <w:szCs w:val="21"/>
                <w:lang w:val="en-US" w:eastAsia="zh-CN"/>
              </w:rPr>
            </w:pPr>
            <w:r>
              <w:rPr>
                <w:rStyle w:val="5"/>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3015" w:type="dxa"/>
            <w:gridSpan w:val="2"/>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eastAsia" w:ascii="宋体" w:hAnsi="宋体" w:eastAsia="宋体" w:cs="宋体"/>
                <w:i w:val="0"/>
                <w:caps w:val="0"/>
                <w:color w:val="000000"/>
                <w:spacing w:val="0"/>
                <w:sz w:val="21"/>
                <w:szCs w:val="21"/>
              </w:rPr>
            </w:pPr>
            <w:r>
              <w:rPr>
                <w:rFonts w:hint="default" w:ascii="宋体" w:hAnsi="宋体" w:eastAsia="宋体" w:cs="宋体"/>
                <w:i w:val="0"/>
                <w:caps w:val="0"/>
                <w:color w:val="000000"/>
                <w:spacing w:val="0"/>
                <w:sz w:val="21"/>
                <w:szCs w:val="21"/>
              </w:rPr>
              <w:t>（七）总计</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eastAsia="zh-CN"/>
              </w:rPr>
            </w:pPr>
            <w:r>
              <w:rPr>
                <w:rStyle w:val="5"/>
                <w:rFonts w:hint="eastAsia" w:ascii="Times New Roman" w:hAnsi="Times New Roman" w:eastAsia="微软雅黑" w:cs="Times New Roman"/>
                <w:b/>
                <w:i w:val="0"/>
                <w:caps w:val="0"/>
                <w:color w:val="000000"/>
                <w:spacing w:val="0"/>
                <w:sz w:val="21"/>
                <w:szCs w:val="21"/>
                <w:lang w:val="en-US" w:eastAsia="zh-CN"/>
              </w:rPr>
              <w:t>1</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4"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sz w:val="24"/>
                <w:szCs w:val="24"/>
                <w:lang w:eastAsia="zh-CN"/>
              </w:rPr>
            </w:pPr>
            <w:r>
              <w:rPr>
                <w:rStyle w:val="5"/>
                <w:rFonts w:hint="eastAsia" w:ascii="Times New Roman" w:hAnsi="Times New Roman" w:eastAsia="微软雅黑" w:cs="Times New Roman"/>
                <w:b/>
                <w:i w:val="0"/>
                <w:caps w:val="0"/>
                <w:color w:val="000000"/>
                <w:spacing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137" w:type="dxa"/>
            <w:gridSpan w:val="3"/>
            <w:tcBorders>
              <w:top w:val="nil"/>
              <w:left w:val="single" w:color="auto" w:sz="4" w:space="0"/>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default" w:ascii="Times New Roman" w:hAnsi="Times New Roman" w:eastAsia="微软雅黑" w:cs="Times New Roman"/>
                <w:i w:val="0"/>
                <w:caps w:val="0"/>
                <w:color w:val="000000"/>
                <w:spacing w:val="0"/>
                <w:sz w:val="21"/>
                <w:szCs w:val="21"/>
              </w:rPr>
              <w:t>四、结转下年度继续办理</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4"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21"/>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2" w:hRule="atLeast"/>
        </w:trPr>
        <w:tc>
          <w:tcPr>
            <w:tcW w:w="283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行政复议</w:t>
            </w:r>
          </w:p>
        </w:tc>
        <w:tc>
          <w:tcPr>
            <w:tcW w:w="5683"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3" w:hRule="atLeast"/>
        </w:trPr>
        <w:tc>
          <w:tcPr>
            <w:tcW w:w="5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结果维持</w:t>
            </w:r>
          </w:p>
        </w:tc>
        <w:tc>
          <w:tcPr>
            <w:tcW w:w="594"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结果纠正</w:t>
            </w:r>
          </w:p>
        </w:tc>
        <w:tc>
          <w:tcPr>
            <w:tcW w:w="5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其他结果</w:t>
            </w:r>
          </w:p>
        </w:tc>
        <w:tc>
          <w:tcPr>
            <w:tcW w:w="5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尚未审结</w:t>
            </w:r>
          </w:p>
        </w:tc>
        <w:tc>
          <w:tcPr>
            <w:tcW w:w="46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总计</w:t>
            </w:r>
          </w:p>
        </w:tc>
        <w:tc>
          <w:tcPr>
            <w:tcW w:w="283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未经复议直接起诉</w:t>
            </w:r>
          </w:p>
        </w:tc>
        <w:tc>
          <w:tcPr>
            <w:tcW w:w="284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46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结果维持</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结果纠正</w:t>
            </w:r>
          </w:p>
        </w:tc>
        <w:tc>
          <w:tcPr>
            <w:tcW w:w="59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其他结果</w:t>
            </w:r>
          </w:p>
        </w:tc>
        <w:tc>
          <w:tcPr>
            <w:tcW w:w="59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尚未审结</w:t>
            </w:r>
          </w:p>
        </w:tc>
        <w:tc>
          <w:tcPr>
            <w:tcW w:w="463"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总计</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结果维持</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结果纠正</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其他结果</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尚未审结</w:t>
            </w:r>
          </w:p>
        </w:tc>
        <w:tc>
          <w:tcPr>
            <w:tcW w:w="46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trPr>
        <w:tc>
          <w:tcPr>
            <w:tcW w:w="5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c>
          <w:tcPr>
            <w:tcW w:w="464"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5"/>
                <w:rFonts w:hint="default" w:ascii="Times New Roman" w:hAnsi="Times New Roman" w:eastAsia="微软雅黑" w:cs="Times New Roman"/>
                <w:b/>
                <w:i w:val="0"/>
                <w:caps w:val="0"/>
                <w:color w:val="000000"/>
                <w:spacing w:val="0"/>
                <w:sz w:val="18"/>
                <w:szCs w:val="18"/>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2021年，县文化和旅游局政府信息公开工作虽取得了新的进展，但也还存在一些问题：如，部分栏目内容不够丰富；推动政务公开和政府信息公开的力度不够，规范化制度化亟待完善，信息发布的积极性和主动性不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结合以上不足，县文化和旅游局将采取以下措施完善信息公开工作：进一步提高对政务公开和信息公开工作重要性的认识，继续加强对政务公开和信息公开工作的领导，全面规范政务公开工作。抓好政务信息公开工作的规章制度健全、工作作风转变、业务流程规范等建设，做实做细信息公开服务，及时回应社会关切问题。进一步加强政务公开培训，不断提高工作人员的思想政治素质和业务能力水平，确保政务公开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r>
        <w:rPr>
          <w:rFonts w:hint="default" w:ascii="黑体" w:hAnsi="黑体" w:eastAsia="黑体" w:cs="黑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收费情况。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落实上年度政府公开工作要点情况。县文化和旅游局严格按照2021年沂源县政务公开工作要点的新要求、新任务进行详细梳理，形成本部门政务公开任务清单，进一步落实责任主体，完善政务公开制度机制，加强政务公开平台建设管理，提升政务服务工作实效，较好地完成了本年度政务公开工作要点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3.人大代表建议和政协提案办理结果公开情况。2021年县文化和旅游局共承办人大代表建议5件，办复率100%；承办政协提案8件，办复率100%。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variable"/>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10548"/>
    <w:rsid w:val="0158070D"/>
    <w:rsid w:val="02E116DF"/>
    <w:rsid w:val="031D2FE5"/>
    <w:rsid w:val="074432D7"/>
    <w:rsid w:val="0C4C15F7"/>
    <w:rsid w:val="0F360093"/>
    <w:rsid w:val="1713516D"/>
    <w:rsid w:val="19416F5C"/>
    <w:rsid w:val="31CE3754"/>
    <w:rsid w:val="329A6284"/>
    <w:rsid w:val="363435E4"/>
    <w:rsid w:val="3728310E"/>
    <w:rsid w:val="39F11D8A"/>
    <w:rsid w:val="3F9F1DC0"/>
    <w:rsid w:val="406701AB"/>
    <w:rsid w:val="41A66821"/>
    <w:rsid w:val="4F5045DC"/>
    <w:rsid w:val="56BF1945"/>
    <w:rsid w:val="58710548"/>
    <w:rsid w:val="5B465224"/>
    <w:rsid w:val="5E1B4DF1"/>
    <w:rsid w:val="5FF13746"/>
    <w:rsid w:val="60BA27A6"/>
    <w:rsid w:val="75C4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主动公开政府信息数量</a:t>
            </a:r>
          </a:p>
        </c:rich>
      </c:tx>
      <c:layout/>
      <c:overlay val="0"/>
      <c:spPr>
        <a:noFill/>
        <a:ln>
          <a:noFill/>
        </a:ln>
        <a:effectLst/>
      </c:spPr>
    </c:title>
    <c:autoTitleDeleted val="0"/>
    <c:plotArea>
      <c:layout/>
      <c:pieChart>
        <c:varyColors val="1"/>
        <c:ser>
          <c:idx val="0"/>
          <c:order val="0"/>
          <c:tx>
            <c:strRef>
              <c:f>[工作簿1]Sheet1!$B$1</c:f>
              <c:strCache>
                <c:ptCount val="1"/>
                <c:pt idx="0">
                  <c:v>公开数量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elete val="1"/>
          </c:dLbls>
          <c:cat>
            <c:strRef>
              <c:f>[工作簿1]Sheet1!$A$2:$A$13</c:f>
              <c:strCache>
                <c:ptCount val="12"/>
                <c:pt idx="0">
                  <c:v>机构职能</c:v>
                </c:pt>
                <c:pt idx="1">
                  <c:v>政策法规</c:v>
                </c:pt>
                <c:pt idx="2">
                  <c:v>政府会议</c:v>
                </c:pt>
                <c:pt idx="3">
                  <c:v>社会公益</c:v>
                </c:pt>
                <c:pt idx="4">
                  <c:v>重要部署执行公开</c:v>
                </c:pt>
                <c:pt idx="5">
                  <c:v>建议提案办理</c:v>
                </c:pt>
                <c:pt idx="6">
                  <c:v>财政信息</c:v>
                </c:pt>
                <c:pt idx="7">
                  <c:v>管理和服务公开</c:v>
                </c:pt>
                <c:pt idx="8">
                  <c:v>双随机一公开</c:v>
                </c:pt>
                <c:pt idx="9">
                  <c:v>组织领导</c:v>
                </c:pt>
                <c:pt idx="10">
                  <c:v>公开培训</c:v>
                </c:pt>
                <c:pt idx="11">
                  <c:v>全域旅游</c:v>
                </c:pt>
              </c:strCache>
            </c:strRef>
          </c:cat>
          <c:val>
            <c:numRef>
              <c:f>[工作簿1]Sheet1!$B$2:$B$13</c:f>
              <c:numCache>
                <c:formatCode>General</c:formatCode>
                <c:ptCount val="12"/>
                <c:pt idx="0">
                  <c:v>2</c:v>
                </c:pt>
                <c:pt idx="1">
                  <c:v>20</c:v>
                </c:pt>
                <c:pt idx="2">
                  <c:v>21</c:v>
                </c:pt>
                <c:pt idx="3">
                  <c:v>46</c:v>
                </c:pt>
                <c:pt idx="4">
                  <c:v>24</c:v>
                </c:pt>
                <c:pt idx="5">
                  <c:v>16</c:v>
                </c:pt>
                <c:pt idx="6">
                  <c:v>3</c:v>
                </c:pt>
                <c:pt idx="7">
                  <c:v>12</c:v>
                </c:pt>
                <c:pt idx="8">
                  <c:v>18</c:v>
                </c:pt>
                <c:pt idx="9">
                  <c:v>4</c:v>
                </c:pt>
                <c:pt idx="10">
                  <c:v>3</c:v>
                </c:pt>
                <c:pt idx="11">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[工作簿1]Sheet1!$B$1</c:f>
              <c:strCache>
                <c:ptCount val="1"/>
                <c:pt idx="0">
                  <c:v>依申请公开办理数量</c:v>
                </c:pt>
              </c:strCache>
            </c:strRef>
          </c:tx>
          <c:spPr>
            <a:solidFill>
              <a:schemeClr val="accent1"/>
            </a:solidFill>
            <a:ln>
              <a:noFill/>
            </a:ln>
            <a:effectLst/>
          </c:spPr>
          <c:invertIfNegative val="0"/>
          <c:dLbls>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[工作簿1]Sheet1!$A$2:$A$4</c:f>
              <c:strCache>
                <c:ptCount val="3"/>
                <c:pt idx="0">
                  <c:v>2021年</c:v>
                </c:pt>
                <c:pt idx="1">
                  <c:v>2020年</c:v>
                </c:pt>
                <c:pt idx="2">
                  <c:v>2019年</c:v>
                </c:pt>
              </c:strCache>
            </c:strRef>
          </c:cat>
          <c:val>
            <c:numRef>
              <c:f>[工作簿1]Sheet1!$B$2:$B$4</c:f>
              <c:numCache>
                <c:formatCode>General</c:formatCode>
                <c:ptCount val="3"/>
                <c:pt idx="0">
                  <c:v>1</c:v>
                </c:pt>
                <c:pt idx="1">
                  <c:v>0</c:v>
                </c:pt>
                <c:pt idx="2">
                  <c:v>0</c:v>
                </c:pt>
              </c:numCache>
            </c:numRef>
          </c:val>
        </c:ser>
        <c:dLbls>
          <c:showLegendKey val="0"/>
          <c:showVal val="1"/>
          <c:showCatName val="0"/>
          <c:showSerName val="0"/>
          <c:showPercent val="0"/>
          <c:showBubbleSize val="0"/>
        </c:dLbls>
        <c:gapWidth val="444"/>
        <c:overlap val="-90"/>
        <c:axId val="942316397"/>
        <c:axId val="203238940"/>
      </c:barChart>
      <c:catAx>
        <c:axId val="94231639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03238940"/>
        <c:crosses val="autoZero"/>
        <c:auto val="1"/>
        <c:lblAlgn val="ctr"/>
        <c:lblOffset val="100"/>
        <c:noMultiLvlLbl val="0"/>
      </c:catAx>
      <c:valAx>
        <c:axId val="20323894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2316397"/>
        <c:crosses val="autoZero"/>
        <c:crossBetween val="between"/>
      </c:valAx>
      <c:spPr>
        <a:noFill/>
        <a:ln>
          <a:noFill/>
        </a:ln>
        <a:effectLst/>
      </c:spPr>
    </c:plotArea>
    <c:legend>
      <c:legendPos val="t"/>
      <c:layout>
        <c:manualLayout>
          <c:xMode val="edge"/>
          <c:yMode val="edge"/>
          <c:x val="0.325416666666667"/>
          <c:y val="0.00694444444444444"/>
          <c:w val="0.341944444444444"/>
          <c:h val="0.21990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2022-01-11T07:24:00Z</dcterms:created>
  <dc:creator>笑颜</dc:creator>
  <cp:lastModifiedBy>笑颜</cp:lastModifiedBy>
  <dcterms:modified xsi:type="dcterms:W3CDTF">2022-01-29T06:36:58Z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