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DE6D7">
      <w:pPr>
        <w:keepNext w:val="0"/>
        <w:keepLines w:val="0"/>
        <w:pageBreakBefore w:val="0"/>
        <w:widowControl w:val="0"/>
        <w:suppressLineNumbers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沂源县投资促进发展中心2024年政府信息公开工作年度报告</w:t>
      </w:r>
    </w:p>
    <w:p w14:paraId="572A54B5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Style w:val="5"/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中华人民共和国政府信息公开条例》（国务院令第711号）规定和《国务院办公厅政府信息与政务公开办公室关于印发〈中华人民共和国政府信息公开工作年度报告格式〉的通知》（国办公开办函〔2021〕30号）要求，现发布《沂源县投资促进发展中心2024年政府信息公开工作年度报告》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本年度报告中所列数据的统计期限自202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年1月1日起，至202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年12月31日止。如对报告内容有疑问，请与沂源县投资促进发展中心联系（沂源县振兴路61号；邮编：256100；电话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0533-3226138；邮箱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zsj0533@zb.shandong.cn）</w:t>
      </w:r>
      <w:r>
        <w:rPr>
          <w:rStyle w:val="5"/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05E6A75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 w:bidi="ar"/>
        </w:rPr>
        <w:t>一、总体情况</w:t>
      </w:r>
    </w:p>
    <w:p w14:paraId="4573B5F1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2024年，我中心以习近平新时代中国特色社会主义思想为指导，严格按照《中华人民共和国政府信息公开条例》要求，围绕政府信息公开制度化、规范化建设，结合我中心实际，逐步规范政府信息公开，加大政策发布的力度，持续提升公开质量和治理效能，取得积极成效。</w:t>
      </w:r>
    </w:p>
    <w:p w14:paraId="51894D58">
      <w:pPr>
        <w:keepNext w:val="0"/>
        <w:keepLines w:val="0"/>
        <w:pageBreakBefore w:val="0"/>
        <w:widowControl w:val="0"/>
        <w:suppressLineNumbers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shd w:val="clear" w:fill="FFFFFF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主动公开</w:t>
      </w:r>
    </w:p>
    <w:p w14:paraId="46AA70B6">
      <w:pPr>
        <w:keepNext w:val="0"/>
        <w:keepLines w:val="0"/>
        <w:pageBreakBefore w:val="0"/>
        <w:widowControl w:val="0"/>
        <w:suppressLineNumbers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2024年，我中心严格按照信息公开工作相关制度及省市县有关规定，依法履行政府信息公开职责，主动公开各类政府信息5条，包括计划总结、部门预决算、信息公开指南等内容。</w:t>
      </w:r>
    </w:p>
    <w:p w14:paraId="4788BD05">
      <w:pPr>
        <w:keepNext w:val="0"/>
        <w:keepLines w:val="0"/>
        <w:pageBreakBefore w:val="0"/>
        <w:widowControl w:val="0"/>
        <w:suppressLineNumbers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依申请公开</w:t>
      </w:r>
    </w:p>
    <w:p w14:paraId="251F3AE6">
      <w:pPr>
        <w:keepNext w:val="0"/>
        <w:keepLines w:val="0"/>
        <w:pageBreakBefore w:val="0"/>
        <w:widowControl w:val="0"/>
        <w:suppressLineNumbers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    截至2024年12月31日，沂源县投资促进中心未收到公民、法人或者其他组织提出的政府信息公开申请。无因依申请公开引发的行政复议和行政诉讼件。</w:t>
      </w:r>
    </w:p>
    <w:p w14:paraId="16B4BFAF">
      <w:pPr>
        <w:keepNext w:val="0"/>
        <w:keepLines w:val="0"/>
        <w:pageBreakBefore w:val="0"/>
        <w:widowControl w:val="0"/>
        <w:suppressLineNumbers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    3.政府信息管理</w:t>
      </w:r>
    </w:p>
    <w:p w14:paraId="0B811DD3">
      <w:pPr>
        <w:keepNext w:val="0"/>
        <w:keepLines w:val="0"/>
        <w:pageBreakBefore w:val="0"/>
        <w:widowControl w:val="0"/>
        <w:suppressLineNumbers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     一是持续优化并完善信息公开的长效机制。严格遵循相关要求，确保信息的及时性与高质量公开。细致做好政府网站信息公开年度报表的统计工作，力求全面提升政府信息公开的整体水平。二是进一步规范信息的审核与发布机制。严格执行信息发布逐级审核制度，对信息内容进行层层把关，确保其准确无误。坚决杜绝涉密、错误、敏感等信息的上网，切实维护信息安全。三是深入推进行政规范性文件的公开工作。全面梳理由本中心制定出台的行政规范性文件，整理形成清晰的文件清单。按照规范格式对文件进行公开，确保公众能够便捷地获取相关信息。</w:t>
      </w:r>
    </w:p>
    <w:p w14:paraId="1C5F777A">
      <w:pPr>
        <w:keepNext w:val="0"/>
        <w:keepLines w:val="0"/>
        <w:pageBreakBefore w:val="0"/>
        <w:widowControl w:val="0"/>
        <w:suppressLineNumbers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4.政府信息公开平台建设</w:t>
      </w:r>
    </w:p>
    <w:p w14:paraId="50BAEF76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    新媒体平台账号0个，“投资沂源”微信公众号均已注销。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 xml:space="preserve">    </w:t>
      </w:r>
    </w:p>
    <w:p w14:paraId="79E9455F">
      <w:pPr>
        <w:keepNext w:val="0"/>
        <w:keepLines w:val="0"/>
        <w:pageBreakBefore w:val="0"/>
        <w:widowControl w:val="0"/>
        <w:suppressLineNumbers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 5.监督保障</w:t>
      </w:r>
    </w:p>
    <w:p w14:paraId="68BBA0E6">
      <w:pPr>
        <w:keepNext w:val="0"/>
        <w:keepLines w:val="0"/>
        <w:pageBreakBefore w:val="0"/>
        <w:widowControl w:val="0"/>
        <w:suppressLineNumbers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     为切实将政务公开工作做深做细，2024年中心党组召开会议研究部署相关任务。明确由主要负责同志亲自督导，确保每季度至少听取一次工作汇报，在落实具体办理人员等方面给予充分保障。2024年底组织开展沂源县投资促进中心政务公开工作的自查自纠，对各科室政府信息的主动公开、依申请公开等情况进行全面评定。我中心积极参加全县政务公开、政府网站和政务新媒体等相关业务培训。全年未发生任何违反政务公开工作规定的情况，也未出现需要追究责任的事件。</w:t>
      </w:r>
    </w:p>
    <w:p w14:paraId="6EE62D8A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 w:bidi="ar"/>
        </w:rPr>
        <w:t>二、主动公开政府信息情况</w:t>
      </w:r>
    </w:p>
    <w:p w14:paraId="319CAC1C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sz w:val="21"/>
          <w:szCs w:val="21"/>
        </w:rPr>
      </w:pPr>
      <w:r>
        <w:rPr>
          <w:rFonts w:hint="default" w:ascii="Times New Roman" w:hAnsi="Times New Roman" w:cs="Times New Roman"/>
          <w:color w:val="333333"/>
          <w:spacing w:val="0"/>
          <w:sz w:val="24"/>
          <w:szCs w:val="24"/>
          <w:shd w:val="clear" w:fill="FFFFFF"/>
        </w:rPr>
        <w:t> </w:t>
      </w:r>
    </w:p>
    <w:tbl>
      <w:tblPr>
        <w:tblStyle w:val="4"/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13"/>
        <w:gridCol w:w="2110"/>
        <w:gridCol w:w="2110"/>
        <w:gridCol w:w="2123"/>
      </w:tblGrid>
      <w:tr w14:paraId="72ED0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4AD688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第二十条第（一）项</w:t>
            </w:r>
          </w:p>
        </w:tc>
      </w:tr>
      <w:tr w14:paraId="3A8B7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E32AB7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信息内容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41E39E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本年制发件数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57B3A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本年废止件数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C786DD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现行有效件数</w:t>
            </w:r>
          </w:p>
        </w:tc>
      </w:tr>
      <w:tr w14:paraId="712AA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39B6E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规章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DB565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7F274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A6DF5E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</w:tr>
      <w:tr w14:paraId="01EE9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506947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行政规范性文件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6DE9B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69CF9A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80A7E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</w:tr>
      <w:tr w14:paraId="28A30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7B425D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第二十条第（五）项</w:t>
            </w:r>
          </w:p>
        </w:tc>
      </w:tr>
      <w:tr w14:paraId="2A19C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6FD72D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D8685A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本年处理决定数量</w:t>
            </w:r>
          </w:p>
        </w:tc>
      </w:tr>
      <w:tr w14:paraId="397AC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7EAEB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F62BF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</w:tr>
      <w:tr w14:paraId="3CD4C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9F373E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第二十条第（六）项</w:t>
            </w:r>
          </w:p>
        </w:tc>
      </w:tr>
      <w:tr w14:paraId="666F1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44AA6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0F7208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本年处理决定数量</w:t>
            </w:r>
          </w:p>
        </w:tc>
      </w:tr>
      <w:tr w14:paraId="4461A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8C505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EC9B9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</w:tr>
      <w:tr w14:paraId="5F8BA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2A410A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45B1F2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</w:tr>
      <w:tr w14:paraId="701B9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D11DFF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第二十条第（八）项</w:t>
            </w:r>
          </w:p>
        </w:tc>
      </w:tr>
      <w:tr w14:paraId="3A1BC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EBB6A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42C84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本年收费金额（单位：万元）</w:t>
            </w:r>
          </w:p>
        </w:tc>
      </w:tr>
      <w:tr w14:paraId="31796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F60B64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9C9BE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</w:tr>
    </w:tbl>
    <w:p w14:paraId="057F5120">
      <w:pPr>
        <w:pStyle w:val="3"/>
        <w:keepNext w:val="0"/>
        <w:keepLines w:val="0"/>
        <w:pageBreakBefore w:val="0"/>
        <w:widowControl w:val="0"/>
        <w:suppressLineNumbers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textAlignment w:val="auto"/>
        <w:rPr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 </w:t>
      </w:r>
    </w:p>
    <w:p w14:paraId="285869A2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Style w:val="6"/>
          <w:rFonts w:hint="eastAsia" w:ascii="黑体" w:hAnsi="宋体" w:eastAsia="黑体" w:cs="黑体"/>
          <w:color w:val="333333"/>
          <w:spacing w:val="0"/>
          <w:sz w:val="24"/>
          <w:szCs w:val="24"/>
          <w:shd w:val="clear" w:fill="FFFFFF"/>
        </w:rPr>
      </w:pPr>
    </w:p>
    <w:p w14:paraId="28D0C3F8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Style w:val="6"/>
          <w:rFonts w:hint="eastAsia" w:ascii="黑体" w:hAnsi="宋体" w:eastAsia="黑体" w:cs="黑体"/>
          <w:color w:val="333333"/>
          <w:spacing w:val="0"/>
          <w:sz w:val="24"/>
          <w:szCs w:val="24"/>
          <w:shd w:val="clear" w:fill="FFFFFF"/>
        </w:rPr>
      </w:pPr>
    </w:p>
    <w:p w14:paraId="59CEC909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Style w:val="6"/>
          <w:rFonts w:hint="eastAsia" w:ascii="黑体" w:hAnsi="宋体" w:eastAsia="黑体" w:cs="黑体"/>
          <w:color w:val="333333"/>
          <w:spacing w:val="0"/>
          <w:sz w:val="24"/>
          <w:szCs w:val="24"/>
          <w:shd w:val="clear" w:fill="FFFFFF"/>
        </w:rPr>
      </w:pPr>
    </w:p>
    <w:p w14:paraId="1138CE54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Style w:val="6"/>
          <w:rFonts w:hint="eastAsia" w:ascii="黑体" w:hAnsi="宋体" w:eastAsia="黑体" w:cs="黑体"/>
          <w:color w:val="333333"/>
          <w:spacing w:val="0"/>
          <w:sz w:val="24"/>
          <w:szCs w:val="24"/>
          <w:shd w:val="clear" w:fill="FFFFFF"/>
        </w:rPr>
      </w:pPr>
    </w:p>
    <w:p w14:paraId="3D7C2B80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Style w:val="6"/>
          <w:rFonts w:hint="eastAsia" w:ascii="黑体" w:hAnsi="黑体" w:eastAsia="黑体" w:cs="黑体"/>
          <w:color w:val="333333"/>
          <w:spacing w:val="0"/>
          <w:sz w:val="32"/>
          <w:szCs w:val="32"/>
          <w:shd w:val="clear" w:fill="FFFFFF"/>
        </w:rPr>
        <w:t>三、收到和处理政府信息公开申请情况</w:t>
      </w:r>
    </w:p>
    <w:p w14:paraId="20EF324F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</w:pPr>
      <w:r>
        <w:rPr>
          <w:rFonts w:hint="default" w:ascii="Times New Roman" w:hAnsi="Times New Roman" w:cs="Times New Roman"/>
          <w:color w:val="333333"/>
          <w:spacing w:val="0"/>
          <w:sz w:val="24"/>
          <w:szCs w:val="24"/>
          <w:shd w:val="clear" w:fill="FFFFFF"/>
        </w:rPr>
        <w:t> </w:t>
      </w:r>
    </w:p>
    <w:tbl>
      <w:tblPr>
        <w:tblStyle w:val="4"/>
        <w:tblW w:w="0" w:type="auto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4"/>
        <w:gridCol w:w="901"/>
        <w:gridCol w:w="2722"/>
        <w:gridCol w:w="490"/>
        <w:gridCol w:w="609"/>
        <w:gridCol w:w="609"/>
        <w:gridCol w:w="609"/>
        <w:gridCol w:w="609"/>
        <w:gridCol w:w="609"/>
        <w:gridCol w:w="609"/>
      </w:tblGrid>
      <w:tr w14:paraId="28E04B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337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2B528E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sz w:val="21"/>
                <w:szCs w:val="21"/>
              </w:rPr>
            </w:pPr>
            <w:r>
              <w:rPr>
                <w:rFonts w:ascii="楷体" w:hAnsi="楷体" w:eastAsia="楷体" w:cs="楷体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144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7D737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申请人情况</w:t>
            </w:r>
          </w:p>
        </w:tc>
      </w:tr>
      <w:tr w14:paraId="1FF761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337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E6181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CAF7CD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自然人</w:t>
            </w:r>
          </w:p>
        </w:tc>
        <w:tc>
          <w:tcPr>
            <w:tcW w:w="3045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619C0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法人或其他组织</w:t>
            </w:r>
          </w:p>
        </w:tc>
        <w:tc>
          <w:tcPr>
            <w:tcW w:w="60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2D25AF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总计</w:t>
            </w:r>
          </w:p>
        </w:tc>
      </w:tr>
      <w:tr w14:paraId="40555F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337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01BA0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14509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4E0542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商业</w:t>
            </w:r>
          </w:p>
          <w:p w14:paraId="12D5DC7F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企业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BBC15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科研</w:t>
            </w:r>
          </w:p>
          <w:p w14:paraId="0913B9A8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机构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B53DFF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社会公益组织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BBF7C4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法律服务机构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CB8D9E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其他</w:t>
            </w:r>
          </w:p>
        </w:tc>
        <w:tc>
          <w:tcPr>
            <w:tcW w:w="60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C4D02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5C4509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337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8751B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525D82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2719D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1B902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92C14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8D8F32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80972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4DF9C8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9"/>
                <w:szCs w:val="19"/>
                <w:lang w:val="en-US" w:eastAsia="zh-CN"/>
              </w:rPr>
              <w:t>0</w:t>
            </w:r>
          </w:p>
        </w:tc>
      </w:tr>
      <w:tr w14:paraId="557520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337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699C2A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B65427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19445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FCB90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6B139E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8DD6C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EEC2F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1B5AB4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</w:tr>
      <w:tr w14:paraId="43EBF1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71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8A002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三、本年度办理结果</w:t>
            </w:r>
          </w:p>
        </w:tc>
        <w:tc>
          <w:tcPr>
            <w:tcW w:w="3623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253C4A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（一）予以公开</w:t>
            </w:r>
          </w:p>
        </w:tc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A5C2A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3F2C2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B2795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553E08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81A35E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EB3DBD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58C31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</w:tr>
      <w:tr w14:paraId="1C5EBC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71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128C6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23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FB6A2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28BC7D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C7711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06956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9FD26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20D55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FBDE2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9C1E4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9"/>
                <w:szCs w:val="19"/>
                <w:lang w:val="en-US" w:eastAsia="zh-CN"/>
              </w:rPr>
              <w:t>0</w:t>
            </w:r>
          </w:p>
        </w:tc>
      </w:tr>
      <w:tr w14:paraId="7B588D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71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8F496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1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2464D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（三）不予公开</w:t>
            </w:r>
          </w:p>
        </w:tc>
        <w:tc>
          <w:tcPr>
            <w:tcW w:w="272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FFEC648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1.属于国家秘密</w:t>
            </w:r>
          </w:p>
        </w:tc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CB777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F42BB0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2D1B5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B5D6F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7D5202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54539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3FB64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</w:tr>
      <w:tr w14:paraId="31978F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71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63B62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8ECE1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72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8E8C64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2.其他法律行政法规禁止公开</w:t>
            </w:r>
          </w:p>
        </w:tc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4052C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86669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76E4B4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27185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FC56A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EFC6D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15595F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</w:tr>
      <w:tr w14:paraId="733874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71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96ED9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BC160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72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97ABA67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3.危及“三安全一稳定”</w:t>
            </w:r>
          </w:p>
        </w:tc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A072C4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510348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EF4A00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A0444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E9A1F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2D367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2547C4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</w:tr>
      <w:tr w14:paraId="0C59B0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71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BA033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68708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72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5C01977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4.保护第三方合法权益</w:t>
            </w:r>
          </w:p>
        </w:tc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9F574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9AB3A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D7153A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021A0D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65921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1545A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775612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</w:tr>
      <w:tr w14:paraId="57CF4F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71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A8704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944B5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72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A756082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5.属于三类内部事务信息</w:t>
            </w:r>
          </w:p>
        </w:tc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373F9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68A46E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0EE2E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C709E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161BF4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80CE9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4EF61A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</w:tr>
      <w:tr w14:paraId="4CCA01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71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8125E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D49BA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72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1CF0D58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6.属于四类过程性信息</w:t>
            </w:r>
          </w:p>
        </w:tc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12F17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E69B9D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043EA7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E1D37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82216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4FE72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C74D3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</w:tr>
      <w:tr w14:paraId="3997EA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71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9B438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5BB0D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72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B715604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7.属于行政执法案卷</w:t>
            </w:r>
          </w:p>
        </w:tc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11DDE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B4F45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D9F78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12571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A12F4E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AD90B7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B983AF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</w:tr>
      <w:tr w14:paraId="6A5DCA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71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8896E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0760C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72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91BD1C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8.属于行政查询事项</w:t>
            </w:r>
          </w:p>
        </w:tc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57BD94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74048D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84E64F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CA3427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7068D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405A60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609508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</w:tr>
      <w:tr w14:paraId="7B91A6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tblCellSpacing w:w="0" w:type="dxa"/>
          <w:jc w:val="center"/>
        </w:trPr>
        <w:tc>
          <w:tcPr>
            <w:tcW w:w="71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4E486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1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960B9D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（四）无法提供</w:t>
            </w:r>
          </w:p>
        </w:tc>
        <w:tc>
          <w:tcPr>
            <w:tcW w:w="272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01F068E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1.本机关不掌握相关政府信息</w:t>
            </w:r>
          </w:p>
        </w:tc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C0981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69FD5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D18A5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83727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E0551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8270CD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876707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</w:tr>
      <w:tr w14:paraId="559600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71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10F2F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0768A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72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4100EE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2.没有现成信息需要另行制作</w:t>
            </w:r>
          </w:p>
        </w:tc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06435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2B1EFE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99B2DA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C4D9D2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25912F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28F03F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7DB42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</w:tr>
      <w:tr w14:paraId="2326F3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71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D8D92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0694C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72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F07EE4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3.补正后申请内容仍不明确</w:t>
            </w:r>
          </w:p>
        </w:tc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8749D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CB09CF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91EAF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1358B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07037A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4BE1B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2B622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</w:tr>
      <w:tr w14:paraId="441562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71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B4F38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1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969E38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（五）不予处理</w:t>
            </w:r>
          </w:p>
        </w:tc>
        <w:tc>
          <w:tcPr>
            <w:tcW w:w="272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C671ED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1.信访举报投诉类申请</w:t>
            </w:r>
          </w:p>
        </w:tc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9B980A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7CBEC2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36218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A99B50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02BE8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1B2D2E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838802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</w:tr>
      <w:tr w14:paraId="1175AC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71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42381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53775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72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BDAE73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2.重复申请</w:t>
            </w:r>
          </w:p>
        </w:tc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81CEC8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D7A0B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FE73D2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5558C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BB191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23410E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96270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</w:tr>
      <w:tr w14:paraId="2286C9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71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BF811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4E7D1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72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F62F15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3.要求提供公开出版物</w:t>
            </w:r>
          </w:p>
        </w:tc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C33ACF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2F4E0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E5FCD2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BE030F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9083C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88302D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F7C81F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</w:tr>
      <w:tr w14:paraId="2299BB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71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67F49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8A76D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72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A4B32CF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4.无正当理由大量反复申请</w:t>
            </w:r>
          </w:p>
        </w:tc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DDC87A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75E10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54F8D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4B8AC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738E5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F0509A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84AD18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</w:tr>
      <w:tr w14:paraId="198B6D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tblCellSpacing w:w="0" w:type="dxa"/>
          <w:jc w:val="center"/>
        </w:trPr>
        <w:tc>
          <w:tcPr>
            <w:tcW w:w="71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1CAF7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3933A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72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0B1198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B2220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E45042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FDE15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ABD224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C57A5D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69771D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970CDA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</w:tr>
      <w:tr w14:paraId="01351C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71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C1247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1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AA5CA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（六）其他处理</w:t>
            </w:r>
          </w:p>
        </w:tc>
        <w:tc>
          <w:tcPr>
            <w:tcW w:w="272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C752E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6ACFF4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E6434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C09E9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937BE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2AAF5E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26742E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D35487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</w:tr>
      <w:tr w14:paraId="66CA46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71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0C1DC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CDD8E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2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08862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7E666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C62D5A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6512E0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D0EE6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F862C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2DF324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641274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</w:tr>
      <w:tr w14:paraId="542665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71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E6F59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DCC30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2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6CA67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3.其他</w:t>
            </w:r>
          </w:p>
        </w:tc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E9B230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9F038A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90A47D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2E5234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A44D9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7C410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57B80D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</w:tr>
      <w:tr w14:paraId="3D709A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71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885CF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23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227E94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（七）总计</w:t>
            </w:r>
          </w:p>
        </w:tc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A8B27E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F35E3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9C33A2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D3128A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52FEF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12062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A3CF0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0</w:t>
            </w:r>
          </w:p>
        </w:tc>
      </w:tr>
      <w:tr w14:paraId="681CA5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337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1EC070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四、结转下年度继续办理</w:t>
            </w:r>
          </w:p>
        </w:tc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01287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FF8D3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9A28ED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0B71EA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0DE2B2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CD461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68602F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</w:t>
            </w:r>
          </w:p>
        </w:tc>
      </w:tr>
    </w:tbl>
    <w:p w14:paraId="661A5AA0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Style w:val="6"/>
          <w:rFonts w:hint="eastAsia" w:ascii="黑体" w:hAnsi="黑体" w:eastAsia="黑体" w:cs="黑体"/>
          <w:color w:val="333333"/>
          <w:spacing w:val="0"/>
          <w:sz w:val="32"/>
          <w:szCs w:val="32"/>
          <w:shd w:val="clear" w:fill="FFFFFF"/>
        </w:rPr>
      </w:pPr>
    </w:p>
    <w:p w14:paraId="2783F7AF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Style w:val="6"/>
          <w:rFonts w:hint="eastAsia" w:ascii="黑体" w:hAnsi="黑体" w:eastAsia="黑体" w:cs="黑体"/>
          <w:color w:val="333333"/>
          <w:spacing w:val="0"/>
          <w:sz w:val="32"/>
          <w:szCs w:val="32"/>
          <w:shd w:val="clear" w:fill="FFFFFF"/>
        </w:rPr>
      </w:pPr>
    </w:p>
    <w:p w14:paraId="7E0E2E49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Style w:val="6"/>
          <w:rFonts w:hint="eastAsia" w:ascii="黑体" w:hAnsi="黑体" w:eastAsia="黑体" w:cs="黑体"/>
          <w:color w:val="333333"/>
          <w:spacing w:val="0"/>
          <w:sz w:val="32"/>
          <w:szCs w:val="32"/>
          <w:shd w:val="clear" w:fill="FFFFFF"/>
        </w:rPr>
      </w:pPr>
    </w:p>
    <w:p w14:paraId="05CDB131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Style w:val="6"/>
          <w:rFonts w:hint="eastAsia" w:ascii="黑体" w:hAnsi="黑体" w:eastAsia="黑体" w:cs="黑体"/>
          <w:color w:val="333333"/>
          <w:spacing w:val="0"/>
          <w:sz w:val="32"/>
          <w:szCs w:val="32"/>
          <w:shd w:val="clear" w:fill="FFFFFF"/>
        </w:rPr>
      </w:pPr>
    </w:p>
    <w:p w14:paraId="7399C2F6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Style w:val="6"/>
          <w:rFonts w:hint="eastAsia" w:ascii="黑体" w:hAnsi="黑体" w:eastAsia="黑体" w:cs="黑体"/>
          <w:color w:val="333333"/>
          <w:spacing w:val="0"/>
          <w:sz w:val="32"/>
          <w:szCs w:val="32"/>
          <w:shd w:val="clear" w:fill="FFFFFF"/>
        </w:rPr>
      </w:pPr>
    </w:p>
    <w:p w14:paraId="0C8EF951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Style w:val="6"/>
          <w:rFonts w:hint="eastAsia" w:ascii="黑体" w:hAnsi="黑体" w:eastAsia="黑体" w:cs="黑体"/>
          <w:color w:val="333333"/>
          <w:spacing w:val="0"/>
          <w:sz w:val="32"/>
          <w:szCs w:val="32"/>
          <w:shd w:val="clear" w:fill="FFFFFF"/>
        </w:rPr>
      </w:pPr>
    </w:p>
    <w:p w14:paraId="2604DF57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Style w:val="6"/>
          <w:rFonts w:hint="eastAsia" w:ascii="黑体" w:hAnsi="黑体" w:eastAsia="黑体" w:cs="黑体"/>
          <w:color w:val="333333"/>
          <w:spacing w:val="0"/>
          <w:sz w:val="32"/>
          <w:szCs w:val="32"/>
          <w:shd w:val="clear" w:fill="FFFFFF"/>
        </w:rPr>
      </w:pPr>
    </w:p>
    <w:p w14:paraId="61F77011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Style w:val="6"/>
          <w:rFonts w:hint="eastAsia" w:ascii="黑体" w:hAnsi="黑体" w:eastAsia="黑体" w:cs="黑体"/>
          <w:color w:val="333333"/>
          <w:spacing w:val="0"/>
          <w:sz w:val="32"/>
          <w:szCs w:val="32"/>
          <w:shd w:val="clear" w:fill="FFFFFF"/>
        </w:rPr>
        <w:t>四、政府信息公开行政复议、行政诉讼情况</w:t>
      </w:r>
    </w:p>
    <w:p w14:paraId="6F6C1AF8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sz w:val="21"/>
          <w:szCs w:val="21"/>
        </w:rPr>
      </w:pPr>
      <w:r>
        <w:rPr>
          <w:rFonts w:hint="default" w:ascii="Times New Roman" w:hAnsi="Times New Roman" w:cs="Times New Roman"/>
          <w:color w:val="333333"/>
          <w:spacing w:val="0"/>
          <w:sz w:val="24"/>
          <w:szCs w:val="24"/>
          <w:shd w:val="clear" w:fill="FFFFFF"/>
        </w:rPr>
        <w:t> </w:t>
      </w:r>
    </w:p>
    <w:tbl>
      <w:tblPr>
        <w:tblStyle w:val="4"/>
        <w:tblW w:w="9750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5"/>
        <w:gridCol w:w="645"/>
        <w:gridCol w:w="645"/>
        <w:gridCol w:w="645"/>
        <w:gridCol w:w="660"/>
        <w:gridCol w:w="645"/>
        <w:gridCol w:w="645"/>
        <w:gridCol w:w="645"/>
        <w:gridCol w:w="645"/>
        <w:gridCol w:w="675"/>
        <w:gridCol w:w="645"/>
        <w:gridCol w:w="645"/>
        <w:gridCol w:w="645"/>
        <w:gridCol w:w="645"/>
        <w:gridCol w:w="675"/>
      </w:tblGrid>
      <w:tr w14:paraId="5D8AF8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24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96C470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行政复议</w:t>
            </w:r>
          </w:p>
        </w:tc>
        <w:tc>
          <w:tcPr>
            <w:tcW w:w="6495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FDDA82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行政诉讼</w:t>
            </w:r>
          </w:p>
        </w:tc>
      </w:tr>
      <w:tr w14:paraId="7C43824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6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FA2F72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结果维持</w:t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55D3E7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结果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br w:type="textWrapping"/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纠正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D5D06E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其他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br w:type="textWrapping"/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结果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4E520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尚未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br w:type="textWrapping"/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审结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5EA6DF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总计</w:t>
            </w:r>
          </w:p>
        </w:tc>
        <w:tc>
          <w:tcPr>
            <w:tcW w:w="325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AD9AA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E159B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复议后起诉</w:t>
            </w:r>
          </w:p>
        </w:tc>
      </w:tr>
      <w:tr w14:paraId="4467FB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6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DD619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ACA56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5DB1F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EEEE2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29221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D25EE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结果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br w:type="textWrapping"/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维持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FEC8D7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结果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br w:type="textWrapping"/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纠正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D85370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其他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br w:type="textWrapping"/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结果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D007F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尚未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br w:type="textWrapping"/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审结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0F300F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总计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6EE08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结果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br w:type="textWrapping"/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维持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C904A7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结果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br w:type="textWrapping"/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纠正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3819BF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其他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br w:type="textWrapping"/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结果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27FF7A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尚未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br w:type="textWrapping"/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审结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210D8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总计</w:t>
            </w:r>
          </w:p>
        </w:tc>
      </w:tr>
      <w:tr w14:paraId="160C7A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2F03B7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 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6529E4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332430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1D57C0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18C2D7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D1BDA2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D6F8CE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1FF32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F500D4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B41127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55CCB2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A82AA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DC0164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53254A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5CB317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</w:tr>
    </w:tbl>
    <w:p w14:paraId="3CF60335">
      <w:pPr>
        <w:pStyle w:val="3"/>
        <w:keepNext w:val="0"/>
        <w:keepLines w:val="0"/>
        <w:pageBreakBefore w:val="0"/>
        <w:widowControl w:val="0"/>
        <w:suppressLineNumbers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textAlignment w:val="auto"/>
        <w:rPr>
          <w:sz w:val="32"/>
          <w:szCs w:val="32"/>
        </w:rPr>
      </w:pPr>
      <w:r>
        <w:rPr>
          <w:rStyle w:val="6"/>
          <w:rFonts w:hint="eastAsia" w:ascii="黑体" w:hAnsi="宋体" w:eastAsia="黑体" w:cs="黑体"/>
          <w:color w:val="333333"/>
          <w:spacing w:val="0"/>
          <w:sz w:val="32"/>
          <w:szCs w:val="32"/>
          <w:shd w:val="clear" w:fill="FFFFFF"/>
        </w:rPr>
        <w:t>五、存在的主要问题及改进情况</w:t>
      </w:r>
    </w:p>
    <w:p w14:paraId="10813083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both"/>
        <w:textAlignment w:val="auto"/>
        <w:rPr>
          <w:rFonts w:hint="eastAsia" w:ascii="仿宋_GB2312" w:eastAsia="仿宋_GB2312" w:cs="仿宋_GB2312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eastAsia="仿宋_GB2312" w:cs="仿宋_GB2312"/>
          <w:color w:val="333333"/>
          <w:spacing w:val="0"/>
          <w:sz w:val="32"/>
          <w:szCs w:val="32"/>
          <w:shd w:val="clear" w:fill="FFFFFF"/>
        </w:rPr>
        <w:t>2024年，我局政务公开、政府信息公开工作取得了一定的成绩，但对照上级的要求和公众的期望，还存在一些不足，一是信息公开更新不及时，无法满足公众对最新信息的需求；二是内容不全面，发布信息内容单一。在今后工作中，我局将进一步健全信息公开机制，结合群众、企业实际需求，持续深化主动公开工作，不断优化内容，提升质量。严格发布审核，严格落实政府信息公开发布保密审查制度，坚持“谁公开、谁负责”和“先审查、后公开”的原则，所有信息做到先审后发，确保公开的信息真实、准确。</w:t>
      </w:r>
    </w:p>
    <w:p w14:paraId="1115A76B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both"/>
        <w:textAlignment w:val="auto"/>
        <w:rPr>
          <w:sz w:val="32"/>
          <w:szCs w:val="32"/>
        </w:rPr>
      </w:pPr>
      <w:r>
        <w:rPr>
          <w:rStyle w:val="6"/>
          <w:rFonts w:hint="eastAsia" w:ascii="黑体" w:hAnsi="宋体" w:eastAsia="黑体" w:cs="黑体"/>
          <w:color w:val="333333"/>
          <w:spacing w:val="0"/>
          <w:sz w:val="32"/>
          <w:szCs w:val="32"/>
          <w:shd w:val="clear" w:fill="FFFFFF"/>
        </w:rPr>
        <w:t>六、其他需要报告的事项</w:t>
      </w:r>
    </w:p>
    <w:p w14:paraId="5969AA08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both"/>
        <w:textAlignment w:val="auto"/>
        <w:rPr>
          <w:rFonts w:hint="eastAsia" w:ascii="仿宋_GB2312" w:eastAsia="仿宋_GB2312" w:cs="仿宋_GB2312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eastAsia="仿宋_GB2312" w:cs="仿宋_GB2312"/>
          <w:color w:val="333333"/>
          <w:spacing w:val="0"/>
          <w:sz w:val="32"/>
          <w:szCs w:val="32"/>
          <w:shd w:val="clear" w:fill="FFFFFF"/>
          <w:lang w:val="en-US"/>
        </w:rPr>
        <w:t>1</w:t>
      </w:r>
      <w:r>
        <w:rPr>
          <w:rFonts w:hint="eastAsia" w:ascii="仿宋_GB2312" w:eastAsia="仿宋_GB2312" w:cs="仿宋_GB2312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仿宋_GB2312" w:eastAsia="仿宋_GB2312" w:cs="仿宋_GB2312"/>
          <w:color w:val="333333"/>
          <w:spacing w:val="0"/>
          <w:sz w:val="32"/>
          <w:szCs w:val="32"/>
          <w:shd w:val="clear" w:fill="FFFFFF"/>
        </w:rPr>
        <w:t>依申请公开收取信息处理费情况</w:t>
      </w:r>
    </w:p>
    <w:p w14:paraId="7596FD9B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both"/>
        <w:textAlignment w:val="auto"/>
        <w:rPr>
          <w:rFonts w:hint="eastAsia" w:ascii="仿宋_GB2312" w:eastAsia="仿宋_GB2312" w:cs="仿宋_GB2312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eastAsia="仿宋_GB2312" w:cs="仿宋_GB2312"/>
          <w:color w:val="333333"/>
          <w:spacing w:val="0"/>
          <w:sz w:val="32"/>
          <w:szCs w:val="32"/>
          <w:shd w:val="clear" w:fill="FFFFFF"/>
        </w:rPr>
        <w:t>2024年，依据国务院办公厅关于印发《政府信息公开信息处理费管理办法》的通知（国办函〔2020〕109号），本年度未收取政府信息处理费。</w:t>
      </w:r>
    </w:p>
    <w:p w14:paraId="2D3499C5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 w:val="0"/>
        <w:wordWrap/>
        <w:overflowPunct w:val="0"/>
        <w:topLinePunct w:val="0"/>
        <w:autoSpaceDE w:val="0"/>
        <w:autoSpaceDN w:val="0"/>
        <w:bidi w:val="0"/>
        <w:snapToGrid/>
        <w:spacing w:before="0" w:beforeAutospacing="0" w:after="0" w:afterAutospacing="0" w:line="560" w:lineRule="atLeast"/>
        <w:ind w:left="0" w:right="0" w:firstLine="420"/>
        <w:jc w:val="both"/>
        <w:textAlignment w:val="auto"/>
        <w:rPr>
          <w:rFonts w:hint="eastAsia" w:ascii="仿宋_GB2312" w:eastAsia="仿宋_GB2312" w:cs="仿宋_GB2312"/>
          <w:color w:val="333333"/>
          <w:spacing w:val="0"/>
          <w:sz w:val="32"/>
          <w:szCs w:val="32"/>
          <w:shd w:val="clear" w:fill="FFFFFF"/>
          <w:lang w:val="en-US"/>
        </w:rPr>
      </w:pPr>
      <w:r>
        <w:rPr>
          <w:rFonts w:hint="eastAsia" w:ascii="仿宋_GB2312" w:eastAsia="仿宋_GB2312" w:cs="仿宋_GB2312"/>
          <w:color w:val="333333"/>
          <w:spacing w:val="0"/>
          <w:sz w:val="32"/>
          <w:szCs w:val="32"/>
          <w:shd w:val="clear" w:fill="FFFFFF"/>
          <w:lang w:val="en-US"/>
        </w:rPr>
        <w:t>本年度建议提案办理情况</w:t>
      </w:r>
    </w:p>
    <w:p w14:paraId="43240FE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rightChars="0" w:firstLine="640" w:firstLineChars="200"/>
        <w:jc w:val="both"/>
        <w:textAlignment w:val="auto"/>
        <w:rPr>
          <w:rFonts w:hint="eastAsia" w:ascii="仿宋_GB2312" w:eastAsia="仿宋_GB2312" w:cs="仿宋_GB2312"/>
          <w:color w:val="333333"/>
          <w:spacing w:val="0"/>
          <w:sz w:val="32"/>
          <w:szCs w:val="32"/>
          <w:shd w:val="clear" w:fill="FFFFFF"/>
          <w:lang w:val="en-US"/>
        </w:rPr>
      </w:pPr>
      <w:r>
        <w:rPr>
          <w:rFonts w:hint="eastAsia" w:ascii="仿宋_GB2312" w:eastAsia="仿宋_GB2312" w:cs="仿宋_GB2312"/>
          <w:color w:val="333333"/>
          <w:spacing w:val="0"/>
          <w:sz w:val="32"/>
          <w:szCs w:val="32"/>
          <w:shd w:val="clear" w:fill="FFFFFF"/>
          <w:lang w:val="en-US"/>
        </w:rPr>
        <w:t>2024</w:t>
      </w:r>
      <w:r>
        <w:rPr>
          <w:rFonts w:hint="eastAsia" w:ascii="仿宋_GB2312" w:eastAsia="仿宋_GB2312" w:cs="仿宋_GB2312"/>
          <w:color w:val="333333"/>
          <w:spacing w:val="0"/>
          <w:sz w:val="32"/>
          <w:szCs w:val="32"/>
          <w:shd w:val="clear" w:fill="FFFFFF"/>
          <w:lang w:val="en-US" w:eastAsia="zh-CN"/>
        </w:rPr>
        <w:t>年共</w:t>
      </w:r>
      <w:r>
        <w:rPr>
          <w:rFonts w:hint="eastAsia" w:ascii="仿宋_GB2312" w:eastAsia="仿宋_GB2312" w:cs="仿宋_GB2312"/>
          <w:color w:val="333333"/>
          <w:spacing w:val="0"/>
          <w:sz w:val="32"/>
          <w:szCs w:val="32"/>
          <w:shd w:val="clear" w:fill="FFFFFF"/>
          <w:lang w:val="en-US"/>
        </w:rPr>
        <w:t>收到人大代表建议和政协提案</w:t>
      </w:r>
      <w:r>
        <w:rPr>
          <w:rFonts w:hint="eastAsia" w:ascii="仿宋_GB2312" w:eastAsia="仿宋_GB2312" w:cs="仿宋_GB2312"/>
          <w:color w:val="333333"/>
          <w:spacing w:val="0"/>
          <w:sz w:val="32"/>
          <w:szCs w:val="32"/>
          <w:shd w:val="clear" w:fill="FFFFFF"/>
          <w:lang w:val="en-US" w:eastAsia="zh-CN"/>
        </w:rPr>
        <w:t>2个</w:t>
      </w:r>
      <w:r>
        <w:rPr>
          <w:rFonts w:hint="eastAsia" w:ascii="仿宋_GB2312" w:eastAsia="仿宋_GB2312" w:cs="仿宋_GB2312"/>
          <w:color w:val="333333"/>
          <w:spacing w:val="0"/>
          <w:sz w:val="32"/>
          <w:szCs w:val="32"/>
          <w:shd w:val="clear" w:fill="FFFFFF"/>
          <w:lang w:val="en-US"/>
        </w:rPr>
        <w:t>，</w:t>
      </w:r>
      <w:r>
        <w:rPr>
          <w:rFonts w:hint="eastAsia" w:ascii="仿宋_GB2312" w:eastAsia="仿宋_GB2312" w:cs="仿宋_GB2312"/>
          <w:color w:val="333333"/>
          <w:spacing w:val="0"/>
          <w:sz w:val="32"/>
          <w:szCs w:val="32"/>
          <w:shd w:val="clear" w:fill="FFFFFF"/>
          <w:lang w:val="en-US" w:eastAsia="zh-CN"/>
        </w:rPr>
        <w:t>均已答复</w:t>
      </w:r>
      <w:r>
        <w:rPr>
          <w:rFonts w:hint="eastAsia" w:ascii="仿宋_GB2312" w:eastAsia="仿宋_GB2312" w:cs="仿宋_GB2312"/>
          <w:color w:val="333333"/>
          <w:spacing w:val="0"/>
          <w:sz w:val="32"/>
          <w:szCs w:val="32"/>
          <w:shd w:val="clear" w:fill="FFFFFF"/>
          <w:lang w:val="en-US"/>
        </w:rPr>
        <w:t>。</w:t>
      </w:r>
    </w:p>
    <w:p w14:paraId="5AE06639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both"/>
        <w:textAlignment w:val="auto"/>
        <w:rPr>
          <w:rFonts w:hint="default" w:ascii="仿宋_GB2312" w:eastAsia="仿宋_GB2312" w:cs="仿宋_GB2312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eastAsia="仿宋_GB2312" w:cs="仿宋_GB2312"/>
          <w:color w:val="333333"/>
          <w:spacing w:val="0"/>
          <w:sz w:val="32"/>
          <w:szCs w:val="32"/>
          <w:shd w:val="clear" w:fill="FFFFFF"/>
          <w:lang w:val="en-US" w:eastAsia="zh-CN"/>
        </w:rPr>
        <w:t>3.本部门在政务公开制度、内容、形式和平台建设方面的创新实践情况</w:t>
      </w:r>
    </w:p>
    <w:p w14:paraId="60346EB8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both"/>
        <w:textAlignment w:val="auto"/>
        <w:rPr>
          <w:rFonts w:hint="eastAsia" w:ascii="仿宋_GB2312" w:eastAsia="仿宋_GB2312" w:cs="仿宋_GB2312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eastAsia="仿宋_GB2312" w:cs="仿宋_GB2312"/>
          <w:color w:val="333333"/>
          <w:spacing w:val="0"/>
          <w:sz w:val="32"/>
          <w:szCs w:val="32"/>
          <w:shd w:val="clear" w:fill="FFFFFF"/>
        </w:rPr>
        <w:t>通过培训和学习，进一步提高了工作人员的业务水平和实际操作能力，为高标准、高质量完成政府信息公开工作打下了坚实基础。加大政策文件宣传解读和社会热点回应。定期自查自纠，检查内容表述错误、更新不及时等问题，及时删除失效的目录和信息。对拟公开的信息进行严格的保密审查，确保不泄露国家秘密、商业秘密和个人隐私。</w:t>
      </w:r>
    </w:p>
    <w:p w14:paraId="1574A72A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both"/>
        <w:textAlignment w:val="auto"/>
        <w:rPr>
          <w:rFonts w:hint="eastAsia" w:ascii="仿宋_GB2312" w:eastAsia="仿宋_GB2312" w:cs="仿宋_GB2312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eastAsia="仿宋_GB2312" w:cs="仿宋_GB2312"/>
          <w:color w:val="333333"/>
          <w:spacing w:val="0"/>
          <w:sz w:val="32"/>
          <w:szCs w:val="32"/>
          <w:shd w:val="clear" w:fill="FFFFFF"/>
          <w:lang w:val="en-US"/>
        </w:rPr>
        <w:t>4</w:t>
      </w:r>
      <w:r>
        <w:rPr>
          <w:rFonts w:hint="eastAsia" w:ascii="仿宋_GB2312" w:eastAsia="仿宋_GB2312" w:cs="仿宋_GB2312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仿宋_GB2312" w:eastAsia="仿宋_GB2312" w:cs="仿宋_GB2312"/>
          <w:color w:val="333333"/>
          <w:spacing w:val="0"/>
          <w:sz w:val="32"/>
          <w:szCs w:val="32"/>
          <w:shd w:val="clear" w:fill="FFFFFF"/>
        </w:rPr>
        <w:t>《</w:t>
      </w:r>
      <w:r>
        <w:rPr>
          <w:rFonts w:hint="eastAsia" w:ascii="仿宋_GB2312" w:eastAsia="仿宋_GB2312" w:cs="仿宋_GB2312"/>
          <w:color w:val="333333"/>
          <w:spacing w:val="0"/>
          <w:sz w:val="32"/>
          <w:szCs w:val="32"/>
          <w:shd w:val="clear" w:fill="FFFFFF"/>
          <w:lang w:val="en-US" w:eastAsia="zh-CN"/>
        </w:rPr>
        <w:t>2024年沂源县政务公开工作方案</w:t>
      </w:r>
      <w:r>
        <w:rPr>
          <w:rFonts w:hint="eastAsia" w:ascii="仿宋_GB2312" w:eastAsia="仿宋_GB2312" w:cs="仿宋_GB2312"/>
          <w:color w:val="333333"/>
          <w:spacing w:val="0"/>
          <w:sz w:val="32"/>
          <w:szCs w:val="32"/>
          <w:shd w:val="clear" w:fill="FFFFFF"/>
        </w:rPr>
        <w:t>》落实情况。</w:t>
      </w:r>
    </w:p>
    <w:p w14:paraId="5D1AE7B8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both"/>
        <w:textAlignment w:val="auto"/>
        <w:rPr>
          <w:rFonts w:hint="eastAsia" w:ascii="仿宋_GB2312" w:eastAsia="仿宋_GB2312" w:cs="仿宋_GB2312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eastAsia="仿宋_GB2312" w:cs="仿宋_GB2312"/>
          <w:color w:val="333333"/>
          <w:spacing w:val="0"/>
          <w:sz w:val="32"/>
          <w:szCs w:val="32"/>
          <w:shd w:val="clear" w:fill="FFFFFF"/>
          <w:lang w:val="en-US"/>
        </w:rPr>
        <w:t>2024</w:t>
      </w:r>
      <w:r>
        <w:rPr>
          <w:rFonts w:hint="eastAsia" w:ascii="仿宋_GB2312" w:eastAsia="仿宋_GB2312" w:cs="仿宋_GB2312"/>
          <w:color w:val="333333"/>
          <w:spacing w:val="0"/>
          <w:sz w:val="32"/>
          <w:szCs w:val="32"/>
          <w:shd w:val="clear" w:fill="FFFFFF"/>
        </w:rPr>
        <w:t>年，我中心积极落实《</w:t>
      </w:r>
      <w:r>
        <w:rPr>
          <w:rFonts w:hint="eastAsia" w:ascii="仿宋_GB2312" w:eastAsia="仿宋_GB2312" w:cs="仿宋_GB2312"/>
          <w:color w:val="333333"/>
          <w:spacing w:val="0"/>
          <w:sz w:val="32"/>
          <w:szCs w:val="32"/>
          <w:shd w:val="clear" w:fill="FFFFFF"/>
          <w:lang w:val="en-US" w:eastAsia="zh-CN"/>
        </w:rPr>
        <w:t>2024年沂源县政务公开工作方案</w:t>
      </w:r>
      <w:r>
        <w:rPr>
          <w:rFonts w:hint="eastAsia" w:ascii="仿宋_GB2312" w:eastAsia="仿宋_GB2312" w:cs="仿宋_GB2312"/>
          <w:color w:val="333333"/>
          <w:spacing w:val="0"/>
          <w:sz w:val="32"/>
          <w:szCs w:val="32"/>
          <w:shd w:val="clear" w:fill="FFFFFF"/>
        </w:rPr>
        <w:t>》工作任务，根据方案要求，及时做好政务公开工作，提升政务公开水平，保障政务公开工作落实到位</w:t>
      </w:r>
      <w:r>
        <w:rPr>
          <w:rFonts w:hint="eastAsia" w:ascii="仿宋_GB2312" w:eastAsia="仿宋_GB2312" w:cs="仿宋_GB2312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 w14:paraId="03E3ACDC">
      <w:pPr>
        <w:pStyle w:val="3"/>
        <w:keepNext w:val="0"/>
        <w:keepLines w:val="0"/>
        <w:pageBreakBefore w:val="0"/>
        <w:widowControl w:val="0"/>
        <w:suppressLineNumbers w:val="0"/>
        <w:kinsoku w:val="0"/>
        <w:wordWrap/>
        <w:overflowPunct w:val="0"/>
        <w:topLinePunct w:val="0"/>
        <w:autoSpaceDE w:val="0"/>
        <w:autoSpaceDN w:val="0"/>
        <w:bidi w:val="0"/>
        <w:snapToGrid/>
        <w:spacing w:before="0" w:beforeAutospacing="0" w:after="0" w:afterAutospacing="0"/>
        <w:ind w:left="0" w:right="0"/>
        <w:textAlignment w:val="auto"/>
      </w:pPr>
    </w:p>
    <w:p w14:paraId="7F1B3EA5">
      <w:pPr>
        <w:pStyle w:val="3"/>
        <w:keepNext w:val="0"/>
        <w:keepLines w:val="0"/>
        <w:pageBreakBefore w:val="0"/>
        <w:widowControl w:val="0"/>
        <w:suppressLineNumbers w:val="0"/>
        <w:kinsoku w:val="0"/>
        <w:wordWrap/>
        <w:overflowPunct w:val="0"/>
        <w:topLinePunct w:val="0"/>
        <w:autoSpaceDE w:val="0"/>
        <w:autoSpaceDN w:val="0"/>
        <w:bidi w:val="0"/>
        <w:snapToGrid/>
        <w:spacing w:before="0" w:beforeAutospacing="0" w:after="0" w:afterAutospacing="0"/>
        <w:ind w:left="0" w:right="0"/>
        <w:textAlignment w:val="auto"/>
      </w:pPr>
    </w:p>
    <w:p w14:paraId="50A716F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480" w:leftChars="0" w:right="0" w:rightChars="0"/>
        <w:jc w:val="both"/>
        <w:textAlignment w:val="auto"/>
        <w:rPr>
          <w:rFonts w:hint="default" w:ascii="宋体" w:hAnsi="宋体" w:eastAsia="宋体" w:cs="宋体"/>
          <w:i w:val="0"/>
          <w:caps w:val="0"/>
          <w:color w:val="0000FF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447D60"/>
    <w:multiLevelType w:val="singleLevel"/>
    <w:tmpl w:val="58447D6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37BD"/>
    <w:rsid w:val="125A37BD"/>
    <w:rsid w:val="14A36DF6"/>
    <w:rsid w:val="1C1F159C"/>
    <w:rsid w:val="4DE623B3"/>
    <w:rsid w:val="5A5D62D4"/>
    <w:rsid w:val="5E151FF7"/>
    <w:rsid w:val="6E48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2537</Words>
  <Characters>2664</Characters>
  <Lines>0</Lines>
  <Paragraphs>0</Paragraphs>
  <TotalTime>18</TotalTime>
  <ScaleCrop>false</ScaleCrop>
  <LinksUpToDate>false</LinksUpToDate>
  <CharactersWithSpaces>2697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2025-01-21T05:48:00Z</dcterms:created>
  <dc:creator>烂咸菜</dc:creator>
  <cp:lastModifiedBy>烂咸菜</cp:lastModifiedBy>
  <dcterms:modified xsi:type="dcterms:W3CDTF">2025-01-21T08:22:46Z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95195B2E1CD04840ABED406C98AB347E_13</vt:lpwstr>
  </property>
  <property fmtid="{D5CDD505-2E9C-101B-9397-08002B2CF9AE}" pid="4" name="KSOTemplateDocerSaveRecord">
    <vt:lpwstr>eyJoZGlkIjoiZGU0OTU3MzIwNjVlMzNlZGRhMDI2ZTVhODgxNzJkZmEiLCJ1c2VySWQiOiIzMzA5NjYxNDEifQ==</vt:lpwstr>
  </property>
</Properties>
</file>