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A9" w:rsidRPr="00A310A9" w:rsidRDefault="00A310A9" w:rsidP="00A310A9">
      <w:pPr>
        <w:widowControl/>
        <w:spacing w:before="100" w:beforeAutospacing="1" w:after="100" w:afterAutospacing="1"/>
        <w:jc w:val="center"/>
        <w:rPr>
          <w:rFonts w:ascii="宋体" w:eastAsia="宋体" w:hAnsi="宋体" w:cs="宋体" w:hint="eastAsia"/>
          <w:b/>
          <w:kern w:val="0"/>
          <w:sz w:val="36"/>
          <w:szCs w:val="32"/>
        </w:rPr>
      </w:pPr>
      <w:r w:rsidRPr="00A310A9">
        <w:rPr>
          <w:rFonts w:ascii="宋体" w:eastAsia="宋体" w:hAnsi="宋体" w:cs="宋体" w:hint="eastAsia"/>
          <w:b/>
          <w:kern w:val="0"/>
          <w:sz w:val="36"/>
          <w:szCs w:val="32"/>
        </w:rPr>
        <w:t>沂源县统计局2019年政府信息公开工作年度报告</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根据《中华人民共和国政府信息公开条例》（以下简称《条例》）等有关规定，现公布201</w:t>
      </w:r>
      <w:r>
        <w:rPr>
          <w:rFonts w:ascii="宋体" w:eastAsia="宋体" w:hAnsi="宋体" w:cs="宋体" w:hint="eastAsia"/>
          <w:kern w:val="0"/>
          <w:sz w:val="32"/>
          <w:szCs w:val="32"/>
        </w:rPr>
        <w:t>9</w:t>
      </w:r>
      <w:r w:rsidRPr="00A310A9">
        <w:rPr>
          <w:rFonts w:ascii="宋体" w:eastAsia="宋体" w:hAnsi="宋体" w:cs="宋体" w:hint="eastAsia"/>
          <w:kern w:val="0"/>
          <w:sz w:val="32"/>
          <w:szCs w:val="32"/>
        </w:rPr>
        <w:t>年度本单位政府信息公开工作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为2019年1月1日起至2019年12月31日。</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一、总体情况</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2019年，我局政府信息公开工作紧紧围绕《中华人民共和国政府信息公开条例》和沂源县人民政府办公室《关于政府信息公开工作年度报告和政府信息公开指南有关事项的通知》有关要求，认真扎实地开展政府信息公开的各项工作，切实有效地提高了公安工作的透明度，充分发挥政府信息在人民群众生产、生活和经济社会中的服务作用。主要工作如下：</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xml:space="preserve">　　（一）领导重视，机制健全。成立了政府信息公开工作领导小组，由主要领导任组长，各分管领导为组员，下设办公室，进一步明确了领导小组的工作职责。</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 xml:space="preserve">　　（二）建章立制，落实责任。县统计局按照县政府信息公开指南和公开目录编制工作方案要求，结合自身实际，制定了《沂源县统计局2019年度政府信息公开指南》。扎实做好政府信息公开工作。在保密审查方面，各类公开信息必须经过各科室初审、信息员复审、领导小组办公室再审、分管局领导最后把关等多道审核程序，本年度信息公开工作未发生泄密、失密现象。</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xml:space="preserve">　　（三）丰富载体，积极履责。县统计局在充分发挥政府信息公开网站主渠道作用的同时，还充分利用报纸、电视、微信、微博等各类宣传载体积极主动向社会公开我局的职能职责、政务动态、行政执法等政府信息。</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二、主动公开政府信息情况</w:t>
      </w:r>
    </w:p>
    <w:tbl>
      <w:tblPr>
        <w:tblW w:w="8310" w:type="dxa"/>
        <w:jc w:val="center"/>
        <w:tblCellSpacing w:w="15" w:type="dxa"/>
        <w:tblCellMar>
          <w:top w:w="15" w:type="dxa"/>
          <w:left w:w="15" w:type="dxa"/>
          <w:bottom w:w="15" w:type="dxa"/>
          <w:right w:w="15" w:type="dxa"/>
        </w:tblCellMar>
        <w:tblLook w:val="04A0"/>
      </w:tblPr>
      <w:tblGrid>
        <w:gridCol w:w="2608"/>
        <w:gridCol w:w="947"/>
        <w:gridCol w:w="944"/>
        <w:gridCol w:w="948"/>
        <w:gridCol w:w="620"/>
        <w:gridCol w:w="2243"/>
      </w:tblGrid>
      <w:tr w:rsidR="00A310A9" w:rsidRPr="00A310A9" w:rsidTr="00A310A9">
        <w:trPr>
          <w:trHeight w:val="30"/>
          <w:tblCellSpacing w:w="15" w:type="dxa"/>
          <w:jc w:val="center"/>
        </w:trPr>
        <w:tc>
          <w:tcPr>
            <w:tcW w:w="8310"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line="30" w:lineRule="atLeast"/>
              <w:jc w:val="center"/>
              <w:rPr>
                <w:rFonts w:ascii="宋体" w:eastAsia="宋体" w:hAnsi="宋体" w:cs="宋体"/>
                <w:kern w:val="0"/>
                <w:sz w:val="24"/>
                <w:szCs w:val="24"/>
              </w:rPr>
            </w:pPr>
            <w:r w:rsidRPr="00A310A9">
              <w:rPr>
                <w:rFonts w:ascii="宋体" w:eastAsia="宋体" w:hAnsi="宋体" w:cs="宋体" w:hint="eastAsia"/>
                <w:kern w:val="0"/>
                <w:sz w:val="32"/>
                <w:szCs w:val="32"/>
              </w:rPr>
              <w:t>第二十条第（一）项</w:t>
            </w:r>
          </w:p>
        </w:tc>
      </w:tr>
      <w:tr w:rsidR="00A310A9" w:rsidRPr="00A310A9" w:rsidTr="00A310A9">
        <w:trPr>
          <w:trHeight w:val="555"/>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信息内容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本年新制作数量</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本年新公开数量</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对外公开总数量</w:t>
            </w:r>
          </w:p>
        </w:tc>
      </w:tr>
      <w:tr w:rsidR="00A310A9" w:rsidRPr="00A310A9" w:rsidTr="00A310A9">
        <w:trPr>
          <w:trHeight w:val="24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规章</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规范性文件</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30"/>
          <w:tblCellSpacing w:w="15" w:type="dxa"/>
          <w:jc w:val="center"/>
        </w:trPr>
        <w:tc>
          <w:tcPr>
            <w:tcW w:w="8310"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第二十条第（五）项</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信息内容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上一年项目数量</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本年增/减</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处理决定数量</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行政许可</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其他对外管理服务事项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30"/>
          <w:tblCellSpacing w:w="15" w:type="dxa"/>
          <w:jc w:val="center"/>
        </w:trPr>
        <w:tc>
          <w:tcPr>
            <w:tcW w:w="8310"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第二十条第（六）项</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信息内容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上一年项目数量</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本年增/减</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处理决定数量</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行政处罚</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行政强制</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15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22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line="30" w:lineRule="atLeast"/>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30"/>
          <w:tblCellSpacing w:w="15" w:type="dxa"/>
          <w:jc w:val="center"/>
        </w:trPr>
        <w:tc>
          <w:tcPr>
            <w:tcW w:w="8310"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第二十条第（八）项</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信息内容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上一年项目数量</w:t>
            </w:r>
          </w:p>
        </w:tc>
        <w:tc>
          <w:tcPr>
            <w:tcW w:w="379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本年增/减</w:t>
            </w:r>
          </w:p>
        </w:tc>
      </w:tr>
      <w:tr w:rsidR="00A310A9" w:rsidRPr="00A310A9" w:rsidTr="00A310A9">
        <w:trPr>
          <w:trHeight w:val="30"/>
          <w:tblCellSpacing w:w="15" w:type="dxa"/>
          <w:jc w:val="center"/>
        </w:trPr>
        <w:tc>
          <w:tcPr>
            <w:tcW w:w="2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行政事业性收费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c>
          <w:tcPr>
            <w:tcW w:w="379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r>
      <w:tr w:rsidR="00A310A9" w:rsidRPr="00A310A9" w:rsidTr="00A310A9">
        <w:trPr>
          <w:trHeight w:val="30"/>
          <w:tblCellSpacing w:w="15" w:type="dxa"/>
          <w:jc w:val="center"/>
        </w:trPr>
        <w:tc>
          <w:tcPr>
            <w:tcW w:w="8310"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第二十条第（九）项</w:t>
            </w:r>
          </w:p>
        </w:tc>
      </w:tr>
      <w:tr w:rsidR="00A310A9" w:rsidRPr="00A310A9" w:rsidTr="00A310A9">
        <w:trPr>
          <w:trHeight w:val="30"/>
          <w:tblCellSpacing w:w="15" w:type="dxa"/>
          <w:jc w:val="center"/>
        </w:trPr>
        <w:tc>
          <w:tcPr>
            <w:tcW w:w="357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信息内容</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采购项目数量</w:t>
            </w:r>
          </w:p>
        </w:tc>
        <w:tc>
          <w:tcPr>
            <w:tcW w:w="285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采购总金额</w:t>
            </w:r>
          </w:p>
        </w:tc>
      </w:tr>
      <w:tr w:rsidR="00A310A9" w:rsidRPr="00A310A9" w:rsidTr="00A310A9">
        <w:trPr>
          <w:trHeight w:val="30"/>
          <w:tblCellSpacing w:w="15" w:type="dxa"/>
          <w:jc w:val="center"/>
        </w:trPr>
        <w:tc>
          <w:tcPr>
            <w:tcW w:w="357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政府集中采购</w:t>
            </w:r>
          </w:p>
        </w:tc>
        <w:tc>
          <w:tcPr>
            <w:tcW w:w="18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c>
          <w:tcPr>
            <w:tcW w:w="285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A310A9" w:rsidRPr="00A310A9" w:rsidRDefault="00A310A9" w:rsidP="00A310A9">
            <w:pPr>
              <w:widowControl/>
              <w:spacing w:before="100" w:beforeAutospacing="1" w:after="100" w:afterAutospacing="1" w:line="30" w:lineRule="atLeast"/>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r>
    </w:tbl>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kern w:val="0"/>
          <w:sz w:val="24"/>
          <w:szCs w:val="24"/>
        </w:rPr>
        <w:t> </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三、收到和处理政府信息公开申请情况</w:t>
      </w:r>
    </w:p>
    <w:tbl>
      <w:tblPr>
        <w:tblW w:w="8595" w:type="dxa"/>
        <w:jc w:val="center"/>
        <w:tblCellSpacing w:w="15" w:type="dxa"/>
        <w:tblCellMar>
          <w:top w:w="15" w:type="dxa"/>
          <w:left w:w="15" w:type="dxa"/>
          <w:bottom w:w="15" w:type="dxa"/>
          <w:right w:w="15" w:type="dxa"/>
        </w:tblCellMar>
        <w:tblLook w:val="04A0"/>
      </w:tblPr>
      <w:tblGrid>
        <w:gridCol w:w="925"/>
        <w:gridCol w:w="1525"/>
        <w:gridCol w:w="2000"/>
        <w:gridCol w:w="590"/>
        <w:gridCol w:w="590"/>
        <w:gridCol w:w="590"/>
        <w:gridCol w:w="590"/>
        <w:gridCol w:w="590"/>
        <w:gridCol w:w="590"/>
        <w:gridCol w:w="605"/>
      </w:tblGrid>
      <w:tr w:rsidR="00A310A9" w:rsidRPr="00A310A9" w:rsidTr="00A310A9">
        <w:trPr>
          <w:trHeight w:val="255"/>
          <w:tblCellSpacing w:w="15" w:type="dxa"/>
          <w:jc w:val="center"/>
        </w:trPr>
        <w:tc>
          <w:tcPr>
            <w:tcW w:w="552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（本列数据的勾稽关系为：第一项加第二项之和，等于第三</w:t>
            </w:r>
            <w:r w:rsidRPr="00A310A9">
              <w:rPr>
                <w:rFonts w:ascii="宋体" w:eastAsia="宋体" w:hAnsi="宋体" w:cs="宋体" w:hint="eastAsia"/>
                <w:kern w:val="0"/>
                <w:sz w:val="32"/>
                <w:szCs w:val="32"/>
              </w:rPr>
              <w:lastRenderedPageBreak/>
              <w:t>项加第四项之和）</w:t>
            </w:r>
          </w:p>
        </w:tc>
        <w:tc>
          <w:tcPr>
            <w:tcW w:w="3075"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申请人情况</w:t>
            </w:r>
          </w:p>
        </w:tc>
      </w:tr>
      <w:tr w:rsidR="00A310A9" w:rsidRPr="00A310A9" w:rsidTr="00A310A9">
        <w:trPr>
          <w:tblCellSpacing w:w="15" w:type="dxa"/>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9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自</w:t>
            </w:r>
            <w:r w:rsidRPr="00A310A9">
              <w:rPr>
                <w:rFonts w:ascii="宋体" w:eastAsia="宋体" w:hAnsi="宋体" w:cs="宋体" w:hint="eastAsia"/>
                <w:kern w:val="0"/>
                <w:sz w:val="32"/>
                <w:szCs w:val="32"/>
              </w:rPr>
              <w:lastRenderedPageBreak/>
              <w:t>然人</w:t>
            </w:r>
          </w:p>
        </w:tc>
        <w:tc>
          <w:tcPr>
            <w:tcW w:w="219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法人或其他组织</w:t>
            </w:r>
          </w:p>
        </w:tc>
        <w:tc>
          <w:tcPr>
            <w:tcW w:w="49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总</w:t>
            </w:r>
            <w:r w:rsidRPr="00A310A9">
              <w:rPr>
                <w:rFonts w:ascii="宋体" w:eastAsia="宋体" w:hAnsi="宋体" w:cs="宋体" w:hint="eastAsia"/>
                <w:kern w:val="0"/>
                <w:sz w:val="32"/>
                <w:szCs w:val="32"/>
              </w:rPr>
              <w:lastRenderedPageBreak/>
              <w:t>计</w:t>
            </w:r>
          </w:p>
        </w:tc>
      </w:tr>
      <w:tr w:rsidR="00A310A9" w:rsidRPr="00A310A9" w:rsidTr="00A310A9">
        <w:trPr>
          <w:trHeight w:val="705"/>
          <w:tblCellSpacing w:w="15" w:type="dxa"/>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商业企业</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科研机构</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社会公益组织</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法律服务机构</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其他</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r>
      <w:tr w:rsidR="00A310A9" w:rsidRPr="00A310A9" w:rsidTr="00A310A9">
        <w:trPr>
          <w:tblCellSpacing w:w="15" w:type="dxa"/>
          <w:jc w:val="center"/>
        </w:trPr>
        <w:tc>
          <w:tcPr>
            <w:tcW w:w="55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一、本年新收到政府信息公开申请数量</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2</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2</w:t>
            </w:r>
          </w:p>
        </w:tc>
      </w:tr>
      <w:tr w:rsidR="00A310A9" w:rsidRPr="00A310A9" w:rsidTr="00A310A9">
        <w:trPr>
          <w:tblCellSpacing w:w="15" w:type="dxa"/>
          <w:jc w:val="center"/>
        </w:trPr>
        <w:tc>
          <w:tcPr>
            <w:tcW w:w="55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二、上年结转政府信息公开申请数量</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55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三、本年度办理结果</w:t>
            </w:r>
          </w:p>
        </w:tc>
        <w:tc>
          <w:tcPr>
            <w:tcW w:w="496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（一）予以公开</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496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（二）部分公开（区分处理的，只计这一情形，不计其他情形）</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18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（三）不予公开</w:t>
            </w: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1.属于国家秘密</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2.其他法律行政法规禁止公开</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3.危及“三安全一稳</w:t>
            </w:r>
            <w:r w:rsidRPr="00A310A9">
              <w:rPr>
                <w:rFonts w:ascii="宋体" w:eastAsia="宋体" w:hAnsi="宋体" w:cs="宋体" w:hint="eastAsia"/>
                <w:kern w:val="0"/>
                <w:sz w:val="32"/>
                <w:szCs w:val="32"/>
              </w:rPr>
              <w:lastRenderedPageBreak/>
              <w:t>定”</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lastRenderedPageBreak/>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rHeight w:val="495"/>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4.保护第三方合法权益</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5.属于三类内部事务信息</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6.属于四类过程性信息</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7.属于行政执法案卷</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8.属于行政查询事项</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18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（四）无法提供</w:t>
            </w: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1.本机关不掌握相关政府信息</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2.没有现成信息需要另行制作</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3.补正后申请内容仍不明确</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18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（五）不予处理</w:t>
            </w: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1.信访举报投诉类申请</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2.重复申请</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3.要求提供公开出版物</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4.无正当理由大量反复申请</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3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5.要求行政机关确认或重新出具已获取信息</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496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（六）其他处理</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r>
      <w:tr w:rsidR="00A310A9" w:rsidRPr="00A310A9" w:rsidTr="00A310A9">
        <w:trPr>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496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（七）总计</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w:t>
            </w:r>
          </w:p>
        </w:tc>
      </w:tr>
      <w:tr w:rsidR="00A310A9" w:rsidRPr="00A310A9" w:rsidTr="00A310A9">
        <w:trPr>
          <w:tblCellSpacing w:w="15" w:type="dxa"/>
          <w:jc w:val="center"/>
        </w:trPr>
        <w:tc>
          <w:tcPr>
            <w:tcW w:w="55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四、结转下年度继续办理</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4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0</w:t>
            </w:r>
          </w:p>
        </w:tc>
      </w:tr>
    </w:tbl>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四、政府信息公开行政复议、行政诉讼情况</w:t>
      </w:r>
    </w:p>
    <w:tbl>
      <w:tblPr>
        <w:tblW w:w="8520" w:type="dxa"/>
        <w:jc w:val="center"/>
        <w:tblCellSpacing w:w="15" w:type="dxa"/>
        <w:tblCellMar>
          <w:top w:w="15" w:type="dxa"/>
          <w:left w:w="15" w:type="dxa"/>
          <w:bottom w:w="15" w:type="dxa"/>
          <w:right w:w="15" w:type="dxa"/>
        </w:tblCellMar>
        <w:tblLook w:val="04A0"/>
      </w:tblPr>
      <w:tblGrid>
        <w:gridCol w:w="586"/>
        <w:gridCol w:w="571"/>
        <w:gridCol w:w="571"/>
        <w:gridCol w:w="571"/>
        <w:gridCol w:w="572"/>
        <w:gridCol w:w="572"/>
        <w:gridCol w:w="572"/>
        <w:gridCol w:w="572"/>
        <w:gridCol w:w="572"/>
        <w:gridCol w:w="572"/>
        <w:gridCol w:w="572"/>
        <w:gridCol w:w="572"/>
        <w:gridCol w:w="572"/>
        <w:gridCol w:w="572"/>
        <w:gridCol w:w="587"/>
      </w:tblGrid>
      <w:tr w:rsidR="00A310A9" w:rsidRPr="00A310A9" w:rsidTr="00A310A9">
        <w:trPr>
          <w:tblCellSpacing w:w="15" w:type="dxa"/>
          <w:jc w:val="center"/>
        </w:trPr>
        <w:tc>
          <w:tcPr>
            <w:tcW w:w="283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行政复议</w:t>
            </w:r>
          </w:p>
        </w:tc>
        <w:tc>
          <w:tcPr>
            <w:tcW w:w="5685" w:type="dxa"/>
            <w:gridSpan w:val="10"/>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行政诉讼</w:t>
            </w:r>
          </w:p>
        </w:tc>
      </w:tr>
      <w:tr w:rsidR="00A310A9" w:rsidRPr="00A310A9" w:rsidTr="00A310A9">
        <w:trPr>
          <w:trHeight w:val="315"/>
          <w:tblCellSpacing w:w="15" w:type="dxa"/>
          <w:jc w:val="center"/>
        </w:trPr>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结果维</w:t>
            </w:r>
            <w:r w:rsidRPr="00A310A9">
              <w:rPr>
                <w:rFonts w:ascii="宋体" w:eastAsia="宋体" w:hAnsi="宋体" w:cs="宋体" w:hint="eastAsia"/>
                <w:kern w:val="0"/>
                <w:sz w:val="32"/>
                <w:szCs w:val="32"/>
              </w:rPr>
              <w:lastRenderedPageBreak/>
              <w:t>持</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结果纠</w:t>
            </w:r>
            <w:r w:rsidRPr="00A310A9">
              <w:rPr>
                <w:rFonts w:ascii="宋体" w:eastAsia="宋体" w:hAnsi="宋体" w:cs="宋体" w:hint="eastAsia"/>
                <w:kern w:val="0"/>
                <w:sz w:val="32"/>
                <w:szCs w:val="32"/>
              </w:rPr>
              <w:lastRenderedPageBreak/>
              <w:t>正</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其他结</w:t>
            </w:r>
            <w:r w:rsidRPr="00A310A9">
              <w:rPr>
                <w:rFonts w:ascii="宋体" w:eastAsia="宋体" w:hAnsi="宋体" w:cs="宋体" w:hint="eastAsia"/>
                <w:kern w:val="0"/>
                <w:sz w:val="32"/>
                <w:szCs w:val="32"/>
              </w:rPr>
              <w:lastRenderedPageBreak/>
              <w:t>果</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尚未审</w:t>
            </w:r>
            <w:r w:rsidRPr="00A310A9">
              <w:rPr>
                <w:rFonts w:ascii="宋体" w:eastAsia="宋体" w:hAnsi="宋体" w:cs="宋体" w:hint="eastAsia"/>
                <w:kern w:val="0"/>
                <w:sz w:val="32"/>
                <w:szCs w:val="32"/>
              </w:rPr>
              <w:lastRenderedPageBreak/>
              <w:t>结</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总计</w:t>
            </w:r>
          </w:p>
        </w:tc>
        <w:tc>
          <w:tcPr>
            <w:tcW w:w="283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未经复议直接起诉</w:t>
            </w:r>
          </w:p>
        </w:tc>
        <w:tc>
          <w:tcPr>
            <w:tcW w:w="283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复议后起诉</w:t>
            </w:r>
          </w:p>
        </w:tc>
      </w:tr>
      <w:tr w:rsidR="00A310A9" w:rsidRPr="00A310A9" w:rsidTr="00A310A9">
        <w:trPr>
          <w:trHeight w:val="795"/>
          <w:tblCellSpacing w:w="15"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310A9" w:rsidRPr="00A310A9" w:rsidRDefault="00A310A9" w:rsidP="00A310A9">
            <w:pPr>
              <w:widowControl/>
              <w:jc w:val="left"/>
              <w:rPr>
                <w:rFonts w:ascii="宋体" w:eastAsia="宋体" w:hAnsi="宋体" w:cs="宋体"/>
                <w:kern w:val="0"/>
                <w:sz w:val="24"/>
                <w:szCs w:val="24"/>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结</w:t>
            </w:r>
            <w:r w:rsidRPr="00A310A9">
              <w:rPr>
                <w:rFonts w:ascii="宋体" w:eastAsia="宋体" w:hAnsi="宋体" w:cs="宋体" w:hint="eastAsia"/>
                <w:kern w:val="0"/>
                <w:sz w:val="32"/>
                <w:szCs w:val="32"/>
              </w:rPr>
              <w:lastRenderedPageBreak/>
              <w:t>果维持</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结</w:t>
            </w:r>
            <w:r w:rsidRPr="00A310A9">
              <w:rPr>
                <w:rFonts w:ascii="宋体" w:eastAsia="宋体" w:hAnsi="宋体" w:cs="宋体" w:hint="eastAsia"/>
                <w:kern w:val="0"/>
                <w:sz w:val="32"/>
                <w:szCs w:val="32"/>
              </w:rPr>
              <w:lastRenderedPageBreak/>
              <w:t>果纠正</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其</w:t>
            </w:r>
            <w:r w:rsidRPr="00A310A9">
              <w:rPr>
                <w:rFonts w:ascii="宋体" w:eastAsia="宋体" w:hAnsi="宋体" w:cs="宋体" w:hint="eastAsia"/>
                <w:kern w:val="0"/>
                <w:sz w:val="32"/>
                <w:szCs w:val="32"/>
              </w:rPr>
              <w:lastRenderedPageBreak/>
              <w:t>他结果</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尚</w:t>
            </w:r>
            <w:r w:rsidRPr="00A310A9">
              <w:rPr>
                <w:rFonts w:ascii="宋体" w:eastAsia="宋体" w:hAnsi="宋体" w:cs="宋体" w:hint="eastAsia"/>
                <w:kern w:val="0"/>
                <w:sz w:val="32"/>
                <w:szCs w:val="32"/>
              </w:rPr>
              <w:lastRenderedPageBreak/>
              <w:t>未审结</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总</w:t>
            </w:r>
            <w:r w:rsidRPr="00A310A9">
              <w:rPr>
                <w:rFonts w:ascii="宋体" w:eastAsia="宋体" w:hAnsi="宋体" w:cs="宋体" w:hint="eastAsia"/>
                <w:kern w:val="0"/>
                <w:sz w:val="32"/>
                <w:szCs w:val="32"/>
              </w:rPr>
              <w:lastRenderedPageBreak/>
              <w:t>计</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结</w:t>
            </w:r>
            <w:r w:rsidRPr="00A310A9">
              <w:rPr>
                <w:rFonts w:ascii="宋体" w:eastAsia="宋体" w:hAnsi="宋体" w:cs="宋体" w:hint="eastAsia"/>
                <w:kern w:val="0"/>
                <w:sz w:val="32"/>
                <w:szCs w:val="32"/>
              </w:rPr>
              <w:lastRenderedPageBreak/>
              <w:t>果维持</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结</w:t>
            </w:r>
            <w:r w:rsidRPr="00A310A9">
              <w:rPr>
                <w:rFonts w:ascii="宋体" w:eastAsia="宋体" w:hAnsi="宋体" w:cs="宋体" w:hint="eastAsia"/>
                <w:kern w:val="0"/>
                <w:sz w:val="32"/>
                <w:szCs w:val="32"/>
              </w:rPr>
              <w:lastRenderedPageBreak/>
              <w:t>果纠正</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其</w:t>
            </w:r>
            <w:r w:rsidRPr="00A310A9">
              <w:rPr>
                <w:rFonts w:ascii="宋体" w:eastAsia="宋体" w:hAnsi="宋体" w:cs="宋体" w:hint="eastAsia"/>
                <w:kern w:val="0"/>
                <w:sz w:val="32"/>
                <w:szCs w:val="32"/>
              </w:rPr>
              <w:lastRenderedPageBreak/>
              <w:t>他结果</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尚</w:t>
            </w:r>
            <w:r w:rsidRPr="00A310A9">
              <w:rPr>
                <w:rFonts w:ascii="宋体" w:eastAsia="宋体" w:hAnsi="宋体" w:cs="宋体" w:hint="eastAsia"/>
                <w:kern w:val="0"/>
                <w:sz w:val="32"/>
                <w:szCs w:val="32"/>
              </w:rPr>
              <w:lastRenderedPageBreak/>
              <w:t>未审结</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lastRenderedPageBreak/>
              <w:t>总</w:t>
            </w:r>
            <w:r w:rsidRPr="00A310A9">
              <w:rPr>
                <w:rFonts w:ascii="宋体" w:eastAsia="宋体" w:hAnsi="宋体" w:cs="宋体" w:hint="eastAsia"/>
                <w:kern w:val="0"/>
                <w:sz w:val="32"/>
                <w:szCs w:val="32"/>
              </w:rPr>
              <w:lastRenderedPageBreak/>
              <w:t>计</w:t>
            </w:r>
          </w:p>
        </w:tc>
      </w:tr>
      <w:tr w:rsidR="00A310A9" w:rsidRPr="00A310A9" w:rsidTr="00A310A9">
        <w:trPr>
          <w:trHeight w:val="360"/>
          <w:tblCellSpacing w:w="15" w:type="dxa"/>
          <w:jc w:val="center"/>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lastRenderedPageBreak/>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jc w:val="left"/>
              <w:rPr>
                <w:rFonts w:ascii="宋体" w:eastAsia="宋体" w:hAnsi="宋体" w:cs="宋体"/>
                <w:kern w:val="0"/>
                <w:sz w:val="24"/>
                <w:szCs w:val="24"/>
              </w:rPr>
            </w:pPr>
            <w:r w:rsidRPr="00A310A9">
              <w:rPr>
                <w:rFonts w:ascii="宋体" w:eastAsia="宋体" w:hAnsi="宋体" w:cs="宋体"/>
                <w:kern w:val="0"/>
                <w:sz w:val="24"/>
                <w:szCs w:val="24"/>
              </w:rPr>
              <w:t> </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0</w:t>
            </w:r>
          </w:p>
        </w:tc>
      </w:tr>
    </w:tbl>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A310A9">
        <w:rPr>
          <w:rFonts w:ascii="宋体" w:eastAsia="宋体" w:hAnsi="宋体" w:cs="宋体" w:hint="eastAsia"/>
          <w:kern w:val="0"/>
          <w:sz w:val="32"/>
          <w:szCs w:val="32"/>
        </w:rPr>
        <w:t>五、存在的主要问题及改进情况</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xml:space="preserve">　　从过去一年的工作看，县统计局信息公开情况还存在信息公开规范性有待加强，统计信息时效性有待提高。2020年，我们将继续按照各项规定要求，进一步规范信息公开制度，提高信息公开时效，不断加大信息公开力度。一是加强对信息共知识的学习，更好地完成政府信息公开工作任务。二是完善信息公开发布机制，理顺专业科室和发布科室的连接，提供更为便捷的查询服务。三是开拓信息发布平台，更多利用新媒体、微信公众号等发布政府信息，将信息公开与文明机关建设相结合，丰富信息公开内容，创新信息公开模式，更好的服务民众。</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六、其他需要报告的事项</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hint="eastAsia"/>
          <w:kern w:val="0"/>
          <w:sz w:val="32"/>
          <w:szCs w:val="32"/>
        </w:rPr>
        <w:t xml:space="preserve">　　无。</w:t>
      </w:r>
    </w:p>
    <w:p w:rsidR="00A310A9" w:rsidRPr="00A310A9" w:rsidRDefault="00A310A9" w:rsidP="00A310A9">
      <w:pPr>
        <w:widowControl/>
        <w:spacing w:before="100" w:beforeAutospacing="1" w:after="100" w:afterAutospacing="1"/>
        <w:jc w:val="left"/>
        <w:rPr>
          <w:rFonts w:ascii="宋体" w:eastAsia="宋体" w:hAnsi="宋体" w:cs="宋体"/>
          <w:kern w:val="0"/>
          <w:sz w:val="24"/>
          <w:szCs w:val="24"/>
        </w:rPr>
      </w:pPr>
      <w:r w:rsidRPr="00A310A9">
        <w:rPr>
          <w:rFonts w:ascii="宋体" w:eastAsia="宋体" w:hAnsi="宋体" w:cs="宋体"/>
          <w:kern w:val="0"/>
          <w:sz w:val="24"/>
          <w:szCs w:val="24"/>
        </w:rPr>
        <w:t> </w:t>
      </w:r>
    </w:p>
    <w:p w:rsidR="005B7E4B" w:rsidRDefault="005B7E4B"/>
    <w:sectPr w:rsidR="005B7E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4B" w:rsidRDefault="005B7E4B" w:rsidP="00A310A9">
      <w:r>
        <w:separator/>
      </w:r>
    </w:p>
  </w:endnote>
  <w:endnote w:type="continuationSeparator" w:id="1">
    <w:p w:rsidR="005B7E4B" w:rsidRDefault="005B7E4B" w:rsidP="00A31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4B" w:rsidRDefault="005B7E4B" w:rsidP="00A310A9">
      <w:r>
        <w:separator/>
      </w:r>
    </w:p>
  </w:footnote>
  <w:footnote w:type="continuationSeparator" w:id="1">
    <w:p w:rsidR="005B7E4B" w:rsidRDefault="005B7E4B" w:rsidP="00A31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0A9"/>
    <w:rsid w:val="005B7E4B"/>
    <w:rsid w:val="00A31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0A9"/>
    <w:rPr>
      <w:sz w:val="18"/>
      <w:szCs w:val="18"/>
    </w:rPr>
  </w:style>
  <w:style w:type="paragraph" w:styleId="a4">
    <w:name w:val="footer"/>
    <w:basedOn w:val="a"/>
    <w:link w:val="Char0"/>
    <w:uiPriority w:val="99"/>
    <w:semiHidden/>
    <w:unhideWhenUsed/>
    <w:rsid w:val="00A310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10A9"/>
    <w:rPr>
      <w:sz w:val="18"/>
      <w:szCs w:val="18"/>
    </w:rPr>
  </w:style>
  <w:style w:type="paragraph" w:styleId="a5">
    <w:name w:val="Normal (Web)"/>
    <w:basedOn w:val="a"/>
    <w:uiPriority w:val="99"/>
    <w:unhideWhenUsed/>
    <w:rsid w:val="00A310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5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341</Words>
  <Characters>1946</Characters>
  <Application>Microsoft Office Word</Application>
  <DocSecurity>0</DocSecurity>
  <Lines>16</Lines>
  <Paragraphs>4</Paragraphs>
  <ScaleCrop>false</ScaleCrop>
  <Company>China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2021-01-26T03:20:00Z</dcterms:created>
  <dcterms:modified xsi:type="dcterms:W3CDTF">2021-01-26T03:21:00Z</dcterms:modified>
</cp:coreProperties>
</file>