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right="600"/>
        <w:jc w:val="center"/>
        <w:textAlignment w:val="auto"/>
        <w:outlineLvl w:val="9"/>
        <w:rPr>
          <w:rFonts w:hint="default" w:ascii="Times New Roman" w:hAnsi="Times New Roman" w:eastAsia="方正小标宋简体" w:cs="Times New Roman"/>
          <w:b/>
          <w:i w:val="0"/>
          <w:caps w:val="0"/>
          <w:color w:val="000000"/>
          <w:spacing w:val="21"/>
          <w:kern w:val="0"/>
          <w:sz w:val="44"/>
          <w:szCs w:val="44"/>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right="600"/>
        <w:jc w:val="center"/>
        <w:textAlignment w:val="auto"/>
        <w:outlineLvl w:val="9"/>
        <w:rPr>
          <w:rFonts w:hint="default" w:ascii="Times New Roman" w:hAnsi="Times New Roman" w:eastAsia="方正小标宋简体" w:cs="Times New Roman"/>
          <w:b/>
          <w:i w:val="0"/>
          <w:caps w:val="0"/>
          <w:color w:val="000000"/>
          <w:spacing w:val="21"/>
          <w:kern w:val="0"/>
          <w:sz w:val="44"/>
          <w:szCs w:val="44"/>
          <w:shd w:val="clear" w:color="auto" w:fill="FFFFFF"/>
          <w:lang w:val="en-US" w:eastAsia="zh-CN" w:bidi="ar"/>
        </w:rPr>
      </w:pPr>
      <w:bookmarkStart w:id="0" w:name="_GoBack"/>
      <w:bookmarkEnd w:id="0"/>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right="600"/>
        <w:jc w:val="center"/>
        <w:textAlignment w:val="auto"/>
        <w:outlineLvl w:val="9"/>
        <w:rPr>
          <w:rFonts w:hint="default" w:ascii="Times New Roman" w:hAnsi="Times New Roman" w:eastAsia="方正小标宋简体" w:cs="Times New Roman"/>
          <w:b/>
          <w:i w:val="0"/>
          <w:caps w:val="0"/>
          <w:color w:val="000000"/>
          <w:spacing w:val="21"/>
          <w:kern w:val="0"/>
          <w:sz w:val="44"/>
          <w:szCs w:val="44"/>
          <w:shd w:val="clear" w:color="auto" w:fill="FFFFFF"/>
          <w:lang w:val="en-US" w:eastAsia="zh-CN" w:bidi="ar"/>
        </w:rPr>
      </w:pPr>
      <w:r>
        <w:rPr>
          <w:rFonts w:hint="default" w:ascii="Times New Roman" w:hAnsi="Times New Roman" w:eastAsia="方正小标宋简体" w:cs="Times New Roman"/>
          <w:b/>
          <w:i w:val="0"/>
          <w:caps w:val="0"/>
          <w:color w:val="000000"/>
          <w:spacing w:val="21"/>
          <w:kern w:val="0"/>
          <w:sz w:val="44"/>
          <w:szCs w:val="44"/>
          <w:shd w:val="clear" w:color="auto" w:fill="FFFFFF"/>
          <w:lang w:val="en-US" w:eastAsia="zh-CN" w:bidi="ar"/>
        </w:rPr>
        <w:t>沂源县统计局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right="600"/>
        <w:jc w:val="center"/>
        <w:textAlignment w:val="auto"/>
        <w:outlineLvl w:val="9"/>
        <w:rPr>
          <w:rFonts w:hint="default" w:ascii="Times New Roman" w:hAnsi="Times New Roman" w:eastAsia="方正小标宋简体" w:cs="Times New Roman"/>
          <w:b/>
          <w:i w:val="0"/>
          <w:caps w:val="0"/>
          <w:color w:val="000000"/>
          <w:spacing w:val="21"/>
          <w:kern w:val="0"/>
          <w:sz w:val="44"/>
          <w:szCs w:val="44"/>
          <w:shd w:val="clear" w:color="auto" w:fill="FFFFFF"/>
          <w:lang w:val="en-US" w:eastAsia="zh-CN" w:bidi="ar"/>
        </w:rPr>
      </w:pPr>
      <w:r>
        <w:rPr>
          <w:rFonts w:hint="default" w:ascii="Times New Roman" w:hAnsi="Times New Roman" w:eastAsia="方正小标宋简体" w:cs="Times New Roman"/>
          <w:b/>
          <w:i w:val="0"/>
          <w:caps w:val="0"/>
          <w:color w:val="000000"/>
          <w:spacing w:val="21"/>
          <w:kern w:val="0"/>
          <w:sz w:val="44"/>
          <w:szCs w:val="44"/>
          <w:shd w:val="clear" w:color="auto" w:fill="FFFFFF"/>
          <w:lang w:val="en-US" w:eastAsia="zh-CN" w:bidi="ar"/>
        </w:rPr>
        <w:t>“双随机、一公开”抽查工作指引</w:t>
      </w:r>
    </w:p>
    <w:p>
      <w:pPr>
        <w:pStyle w:val="14"/>
        <w:keepNext/>
        <w:keepLines/>
        <w:pageBreakBefore w:val="0"/>
        <w:kinsoku/>
        <w:wordWrap/>
        <w:overflowPunct/>
        <w:topLinePunct w:val="0"/>
        <w:autoSpaceDE/>
        <w:autoSpaceDN/>
        <w:bidi w:val="0"/>
        <w:adjustRightInd/>
        <w:snapToGrid/>
        <w:spacing w:before="280" w:after="280" w:line="560" w:lineRule="exact"/>
        <w:jc w:val="both"/>
        <w:textAlignment w:val="auto"/>
        <w:rPr>
          <w:rFonts w:hint="eastAsia" w:ascii="黑体" w:hAnsi="黑体" w:eastAsia="黑体" w:cs="黑体"/>
          <w:b/>
          <w:bCs w:val="0"/>
          <w:color w:val="000000" w:themeColor="text1"/>
          <w:kern w:val="2"/>
          <w:sz w:val="32"/>
          <w:szCs w:val="32"/>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482" w:firstLineChars="150"/>
        <w:textAlignment w:val="auto"/>
        <w:rPr>
          <w:rFonts w:hint="eastAsia" w:ascii="Times New Roman" w:hAnsi="Times New Roman" w:eastAsia="仿宋_GB2312" w:cs="Times New Roman"/>
          <w:b/>
          <w:bCs w:val="0"/>
          <w:color w:val="000000" w:themeColor="text1"/>
          <w:kern w:val="2"/>
          <w:sz w:val="32"/>
          <w:szCs w:val="32"/>
          <w:lang w:val="en-US" w:eastAsia="zh-CN" w:bidi="ar-SA"/>
          <w14:textFill>
            <w14:solidFill>
              <w14:schemeClr w14:val="tx1"/>
            </w14:solidFill>
          </w14:textFill>
        </w:rPr>
      </w:pPr>
      <w:r>
        <w:rPr>
          <w:rFonts w:hint="eastAsia" w:ascii="Times New Roman" w:hAnsi="Times New Roman" w:eastAsia="仿宋_GB2312" w:cs="Times New Roman"/>
          <w:b/>
          <w:bCs w:val="0"/>
          <w:color w:val="000000" w:themeColor="text1"/>
          <w:kern w:val="2"/>
          <w:sz w:val="32"/>
          <w:szCs w:val="32"/>
          <w:lang w:val="en-US" w:eastAsia="zh-CN" w:bidi="ar-SA"/>
          <w14:textFill>
            <w14:solidFill>
              <w14:schemeClr w14:val="tx1"/>
            </w14:solidFill>
          </w14:textFill>
        </w:rPr>
        <w:t>本工作指引适用于我局采用“双随机”抽查方式，对《山东省“双随机、一公开”抽查事项清单（2021年版）》所列各抽查事项，可根据具体情况采取实地核查、书面检查等适当方式进行检查。</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150"/>
        <w:textAlignment w:val="auto"/>
        <w:rPr>
          <w:rFonts w:hint="eastAsia" w:ascii="黑体" w:hAnsi="黑体" w:eastAsia="黑体" w:cs="黑体"/>
          <w:b/>
          <w:bCs w:val="0"/>
          <w:color w:val="000000" w:themeColor="text1"/>
          <w:sz w:val="32"/>
          <w:szCs w:val="32"/>
          <w:lang w:val="en-US" w:eastAsia="zh-CN"/>
          <w14:textFill>
            <w14:solidFill>
              <w14:schemeClr w14:val="tx1"/>
            </w14:solidFill>
          </w14:textFill>
        </w:rPr>
      </w:pPr>
      <w:r>
        <w:rPr>
          <w:rFonts w:hint="eastAsia" w:ascii="黑体" w:hAnsi="黑体" w:eastAsia="黑体" w:cs="黑体"/>
          <w:b/>
          <w:bCs w:val="0"/>
          <w:color w:val="000000" w:themeColor="text1"/>
          <w:sz w:val="32"/>
          <w:szCs w:val="32"/>
          <w:lang w:val="en-US" w:eastAsia="zh-CN"/>
          <w14:textFill>
            <w14:solidFill>
              <w14:schemeClr w14:val="tx1"/>
            </w14:solidFill>
          </w14:textFill>
        </w:rPr>
        <w:t>一、抽查事项</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150"/>
        <w:textAlignment w:val="auto"/>
        <w:rPr>
          <w:rFonts w:hint="default" w:ascii="Times New Roman" w:hAnsi="Times New Roman" w:eastAsia="仿宋_GB2312" w:cs="Times New Roman"/>
          <w:b/>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b/>
          <w:bCs w:val="0"/>
          <w:color w:val="000000" w:themeColor="text1"/>
          <w:kern w:val="2"/>
          <w:sz w:val="32"/>
          <w:szCs w:val="32"/>
          <w:lang w:val="en-US" w:eastAsia="zh-CN" w:bidi="ar-SA"/>
          <w14:textFill>
            <w14:solidFill>
              <w14:schemeClr w14:val="tx1"/>
            </w14:solidFill>
          </w14:textFill>
        </w:rPr>
        <w:t>1、依法提供统计资料情况。</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150"/>
        <w:textAlignment w:val="auto"/>
        <w:rPr>
          <w:rFonts w:hint="default" w:ascii="Times New Roman" w:hAnsi="Times New Roman" w:eastAsia="仿宋_GB2312" w:cs="Times New Roman"/>
          <w:b/>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b/>
          <w:bCs w:val="0"/>
          <w:color w:val="000000" w:themeColor="text1"/>
          <w:kern w:val="2"/>
          <w:sz w:val="32"/>
          <w:szCs w:val="32"/>
          <w:lang w:val="en-US" w:eastAsia="zh-CN" w:bidi="ar-SA"/>
          <w14:textFill>
            <w14:solidFill>
              <w14:schemeClr w14:val="tx1"/>
            </w14:solidFill>
          </w14:textFill>
        </w:rPr>
        <w:t>2、依法设置原始记录、统计台账情况。</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150"/>
        <w:textAlignment w:val="auto"/>
        <w:rPr>
          <w:rFonts w:hint="default" w:ascii="Times New Roman" w:hAnsi="Times New Roman" w:eastAsia="仿宋_GB2312" w:cs="Times New Roman"/>
          <w:b/>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b/>
          <w:bCs w:val="0"/>
          <w:color w:val="000000" w:themeColor="text1"/>
          <w:kern w:val="2"/>
          <w:sz w:val="32"/>
          <w:szCs w:val="32"/>
          <w:lang w:val="en-US" w:eastAsia="zh-CN" w:bidi="ar-SA"/>
          <w14:textFill>
            <w14:solidFill>
              <w14:schemeClr w14:val="tx1"/>
            </w14:solidFill>
          </w14:textFill>
        </w:rPr>
        <w:t>3、依法建立并执行统计资料管理制度情况。</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150"/>
        <w:textAlignment w:val="auto"/>
        <w:rPr>
          <w:rFonts w:hint="eastAsia" w:ascii="黑体" w:hAnsi="黑体" w:eastAsia="黑体" w:cs="黑体"/>
          <w:b/>
          <w:bCs w:val="0"/>
          <w:color w:val="000000" w:themeColor="text1"/>
          <w:kern w:val="2"/>
          <w:sz w:val="32"/>
          <w:szCs w:val="32"/>
          <w:lang w:val="en-US" w:eastAsia="zh-CN" w:bidi="ar-SA"/>
          <w14:textFill>
            <w14:solidFill>
              <w14:schemeClr w14:val="tx1"/>
            </w14:solidFill>
          </w14:textFill>
        </w:rPr>
      </w:pPr>
      <w:r>
        <w:rPr>
          <w:rFonts w:hint="eastAsia" w:ascii="黑体" w:hAnsi="黑体" w:eastAsia="黑体" w:cs="黑体"/>
          <w:b/>
          <w:bCs w:val="0"/>
          <w:color w:val="000000" w:themeColor="text1"/>
          <w:kern w:val="2"/>
          <w:sz w:val="32"/>
          <w:szCs w:val="32"/>
          <w:lang w:val="en-US" w:eastAsia="zh-CN" w:bidi="ar-SA"/>
          <w14:textFill>
            <w14:solidFill>
              <w14:schemeClr w14:val="tx1"/>
            </w14:solidFill>
          </w14:textFill>
        </w:rPr>
        <w:t>二、检查内容</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150"/>
        <w:textAlignment w:val="auto"/>
        <w:rPr>
          <w:rFonts w:hint="default" w:ascii="Times New Roman" w:hAnsi="Times New Roman" w:eastAsia="仿宋_GB2312" w:cs="Times New Roman"/>
          <w:b/>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b/>
          <w:bCs w:val="0"/>
          <w:color w:val="000000" w:themeColor="text1"/>
          <w:kern w:val="2"/>
          <w:sz w:val="32"/>
          <w:szCs w:val="32"/>
          <w:lang w:val="en-US" w:eastAsia="zh-CN" w:bidi="ar-SA"/>
          <w14:textFill>
            <w14:solidFill>
              <w14:schemeClr w14:val="tx1"/>
            </w14:solidFill>
          </w14:textFill>
        </w:rPr>
        <w:t>1、调查对象依法提供统计资料情况。</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150"/>
        <w:textAlignment w:val="auto"/>
        <w:rPr>
          <w:rFonts w:hint="default" w:ascii="Times New Roman" w:hAnsi="Times New Roman" w:eastAsia="仿宋_GB2312" w:cs="Times New Roman"/>
          <w:b/>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b/>
          <w:bCs w:val="0"/>
          <w:color w:val="000000" w:themeColor="text1"/>
          <w:kern w:val="2"/>
          <w:sz w:val="32"/>
          <w:szCs w:val="32"/>
          <w:lang w:val="en-US" w:eastAsia="zh-CN" w:bidi="ar-SA"/>
          <w14:textFill>
            <w14:solidFill>
              <w14:schemeClr w14:val="tx1"/>
            </w14:solidFill>
          </w14:textFill>
        </w:rPr>
        <w:t>2、调查对象依法建立原始记录、统计台账和统计资料管理制度情况。</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150"/>
        <w:textAlignment w:val="auto"/>
        <w:rPr>
          <w:rFonts w:hint="default" w:ascii="Times New Roman" w:hAnsi="Times New Roman" w:eastAsia="仿宋_GB2312" w:cs="Times New Roman"/>
          <w:b/>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b/>
          <w:bCs w:val="0"/>
          <w:color w:val="000000" w:themeColor="text1"/>
          <w:kern w:val="2"/>
          <w:sz w:val="32"/>
          <w:szCs w:val="32"/>
          <w:lang w:val="en-US" w:eastAsia="zh-CN" w:bidi="ar-SA"/>
          <w14:textFill>
            <w14:solidFill>
              <w14:schemeClr w14:val="tx1"/>
            </w14:solidFill>
          </w14:textFill>
        </w:rPr>
        <w:t>3、调查对象依法为履行法定填报职责提供保障情况。 </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150"/>
        <w:textAlignment w:val="auto"/>
        <w:rPr>
          <w:rFonts w:hint="default" w:ascii="Times New Roman" w:hAnsi="Times New Roman" w:eastAsia="仿宋_GB2312" w:cs="Times New Roman"/>
          <w:b/>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b/>
          <w:bCs w:val="0"/>
          <w:color w:val="000000" w:themeColor="text1"/>
          <w:kern w:val="2"/>
          <w:sz w:val="32"/>
          <w:szCs w:val="32"/>
          <w:lang w:val="en-US" w:eastAsia="zh-CN" w:bidi="ar-SA"/>
          <w14:textFill>
            <w14:solidFill>
              <w14:schemeClr w14:val="tx1"/>
            </w14:solidFill>
          </w14:textFill>
        </w:rPr>
        <w:t>4、调查对象依法配合统计调查和统计监督情况。</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150"/>
        <w:textAlignment w:val="auto"/>
        <w:rPr>
          <w:rFonts w:hint="eastAsia" w:ascii="黑体" w:hAnsi="黑体" w:eastAsia="黑体" w:cs="黑体"/>
          <w:b/>
          <w:bCs w:val="0"/>
          <w:color w:val="000000" w:themeColor="text1"/>
          <w:kern w:val="2"/>
          <w:sz w:val="32"/>
          <w:szCs w:val="32"/>
          <w:lang w:val="en-US" w:eastAsia="zh-CN" w:bidi="ar-SA"/>
          <w14:textFill>
            <w14:solidFill>
              <w14:schemeClr w14:val="tx1"/>
            </w14:solidFill>
          </w14:textFill>
        </w:rPr>
      </w:pPr>
      <w:r>
        <w:rPr>
          <w:rFonts w:hint="eastAsia" w:ascii="黑体" w:hAnsi="黑体" w:eastAsia="黑体" w:cs="黑体"/>
          <w:b/>
          <w:bCs w:val="0"/>
          <w:color w:val="000000" w:themeColor="text1"/>
          <w:kern w:val="2"/>
          <w:sz w:val="32"/>
          <w:szCs w:val="32"/>
          <w:lang w:val="en-US" w:eastAsia="zh-CN" w:bidi="ar-SA"/>
          <w14:textFill>
            <w14:solidFill>
              <w14:schemeClr w14:val="tx1"/>
            </w14:solidFill>
          </w14:textFill>
        </w:rPr>
        <w:t>三、检查方法</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150"/>
        <w:textAlignment w:val="auto"/>
        <w:rPr>
          <w:rFonts w:hint="default" w:ascii="Times New Roman" w:hAnsi="Times New Roman" w:eastAsia="仿宋_GB2312" w:cs="Times New Roman"/>
          <w:b/>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b/>
          <w:bCs w:val="0"/>
          <w:color w:val="000000" w:themeColor="text1"/>
          <w:kern w:val="2"/>
          <w:sz w:val="32"/>
          <w:szCs w:val="32"/>
          <w:lang w:val="en-US" w:eastAsia="zh-CN" w:bidi="ar-SA"/>
          <w14:textFill>
            <w14:solidFill>
              <w14:schemeClr w14:val="tx1"/>
            </w14:solidFill>
          </w14:textFill>
        </w:rPr>
        <w:t>实地核查人员不得少于两人，并应当出示统计执法证件。在核查中，应注意通过文字、音频或影像等方式留存核查痕迹，必要时可邀请相关人员作为见证人。</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150"/>
        <w:textAlignment w:val="auto"/>
        <w:rPr>
          <w:rFonts w:hint="eastAsia" w:ascii="黑体" w:hAnsi="黑体" w:eastAsia="黑体" w:cs="黑体"/>
          <w:b/>
          <w:bCs w:val="0"/>
          <w:color w:val="000000" w:themeColor="text1"/>
          <w:kern w:val="2"/>
          <w:sz w:val="32"/>
          <w:szCs w:val="32"/>
          <w:lang w:val="en-US" w:eastAsia="zh-CN" w:bidi="ar-SA"/>
          <w14:textFill>
            <w14:solidFill>
              <w14:schemeClr w14:val="tx1"/>
            </w14:solidFill>
          </w14:textFill>
        </w:rPr>
      </w:pPr>
      <w:r>
        <w:rPr>
          <w:rFonts w:hint="eastAsia" w:ascii="黑体" w:hAnsi="黑体" w:eastAsia="黑体" w:cs="黑体"/>
          <w:b/>
          <w:bCs w:val="0"/>
          <w:color w:val="000000" w:themeColor="text1"/>
          <w:kern w:val="2"/>
          <w:sz w:val="32"/>
          <w:szCs w:val="32"/>
          <w:lang w:val="en-US" w:eastAsia="zh-CN" w:bidi="ar-SA"/>
          <w14:textFill>
            <w14:solidFill>
              <w14:schemeClr w14:val="tx1"/>
            </w14:solidFill>
          </w14:textFill>
        </w:rPr>
        <w:t>四、结果公示</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150"/>
        <w:textAlignment w:val="auto"/>
        <w:rPr>
          <w:rFonts w:hint="default" w:ascii="Times New Roman" w:hAnsi="Times New Roman" w:eastAsia="仿宋_GB2312" w:cs="Times New Roman"/>
          <w:b/>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b/>
          <w:bCs w:val="0"/>
          <w:color w:val="000000" w:themeColor="text1"/>
          <w:kern w:val="2"/>
          <w:sz w:val="32"/>
          <w:szCs w:val="32"/>
          <w:lang w:val="en-US" w:eastAsia="zh-CN" w:bidi="ar-SA"/>
          <w14:textFill>
            <w14:solidFill>
              <w14:schemeClr w14:val="tx1"/>
            </w14:solidFill>
          </w14:textFill>
        </w:rPr>
        <w:t>除依法依规不适合公开的情形外，在抽查任务完成后20个工作日内，将抽查检查结果进行公示，接受社会监督。</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150"/>
        <w:textAlignment w:val="auto"/>
        <w:rPr>
          <w:rFonts w:hint="eastAsia" w:ascii="黑体" w:hAnsi="黑体" w:eastAsia="黑体" w:cs="黑体"/>
          <w:b/>
          <w:bCs w:val="0"/>
          <w:color w:val="000000" w:themeColor="text1"/>
          <w:kern w:val="2"/>
          <w:sz w:val="32"/>
          <w:szCs w:val="32"/>
          <w:lang w:val="en-US" w:eastAsia="zh-CN" w:bidi="ar-SA"/>
          <w14:textFill>
            <w14:solidFill>
              <w14:schemeClr w14:val="tx1"/>
            </w14:solidFill>
          </w14:textFill>
        </w:rPr>
      </w:pPr>
      <w:r>
        <w:rPr>
          <w:rFonts w:hint="eastAsia" w:ascii="黑体" w:hAnsi="黑体" w:eastAsia="黑体" w:cs="黑体"/>
          <w:b/>
          <w:bCs w:val="0"/>
          <w:color w:val="000000" w:themeColor="text1"/>
          <w:kern w:val="2"/>
          <w:sz w:val="32"/>
          <w:szCs w:val="32"/>
          <w:lang w:val="en-US" w:eastAsia="zh-CN" w:bidi="ar-SA"/>
          <w14:textFill>
            <w14:solidFill>
              <w14:schemeClr w14:val="tx1"/>
            </w14:solidFill>
          </w14:textFill>
        </w:rPr>
        <w:t>五、抽查依据</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150"/>
        <w:textAlignment w:val="auto"/>
        <w:rPr>
          <w:rFonts w:hint="default" w:ascii="Times New Roman" w:hAnsi="Times New Roman" w:eastAsia="仿宋_GB2312" w:cs="Times New Roman"/>
          <w:b/>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b/>
          <w:bCs w:val="0"/>
          <w:color w:val="000000" w:themeColor="text1"/>
          <w:kern w:val="2"/>
          <w:sz w:val="32"/>
          <w:szCs w:val="32"/>
          <w:lang w:val="en-US" w:eastAsia="zh-CN" w:bidi="ar-SA"/>
          <w14:textFill>
            <w14:solidFill>
              <w14:schemeClr w14:val="tx1"/>
            </w14:solidFill>
          </w14:textFill>
        </w:rPr>
        <w:t>《中华人民共和国统计法》（2009年6月27日第十一届全国人民代表大会常务委员会第九次会议修订自2010年1月1日起施行）</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150"/>
        <w:textAlignment w:val="auto"/>
        <w:rPr>
          <w:rFonts w:hint="default" w:ascii="Times New Roman" w:hAnsi="Times New Roman" w:eastAsia="仿宋_GB2312" w:cs="Times New Roman"/>
          <w:b/>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b/>
          <w:bCs w:val="0"/>
          <w:color w:val="000000" w:themeColor="text1"/>
          <w:kern w:val="2"/>
          <w:sz w:val="32"/>
          <w:szCs w:val="32"/>
          <w:lang w:val="en-US" w:eastAsia="zh-CN" w:bidi="ar-SA"/>
          <w14:textFill>
            <w14:solidFill>
              <w14:schemeClr w14:val="tx1"/>
            </w14:solidFill>
          </w14:textFill>
        </w:rPr>
        <w:t>第三十五条　县级以上人民政府统计机构在调查统计违法行为或者核查统计数据时，有权采取下列措施：</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150"/>
        <w:textAlignment w:val="auto"/>
        <w:rPr>
          <w:rFonts w:hint="default" w:ascii="Times New Roman" w:hAnsi="Times New Roman" w:eastAsia="仿宋_GB2312" w:cs="Times New Roman"/>
          <w:b/>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b/>
          <w:bCs w:val="0"/>
          <w:color w:val="000000" w:themeColor="text1"/>
          <w:kern w:val="2"/>
          <w:sz w:val="32"/>
          <w:szCs w:val="32"/>
          <w:lang w:val="en-US" w:eastAsia="zh-CN" w:bidi="ar-SA"/>
          <w14:textFill>
            <w14:solidFill>
              <w14:schemeClr w14:val="tx1"/>
            </w14:solidFill>
          </w14:textFill>
        </w:rPr>
        <w:t>（一）发出统计检查查询书，向检查对象查询有关事项；</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150"/>
        <w:textAlignment w:val="auto"/>
        <w:rPr>
          <w:rFonts w:hint="default" w:ascii="Times New Roman" w:hAnsi="Times New Roman" w:eastAsia="仿宋_GB2312" w:cs="Times New Roman"/>
          <w:b/>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b/>
          <w:bCs w:val="0"/>
          <w:color w:val="000000" w:themeColor="text1"/>
          <w:kern w:val="2"/>
          <w:sz w:val="32"/>
          <w:szCs w:val="32"/>
          <w:lang w:val="en-US" w:eastAsia="zh-CN" w:bidi="ar-SA"/>
          <w14:textFill>
            <w14:solidFill>
              <w14:schemeClr w14:val="tx1"/>
            </w14:solidFill>
          </w14:textFill>
        </w:rPr>
        <w:t>（二）要求检查对象提供有关原始记录和凭证、统计台账、统计调查表、会计资料及其他相关证明和资料；</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150"/>
        <w:textAlignment w:val="auto"/>
        <w:rPr>
          <w:rFonts w:hint="default" w:ascii="Times New Roman" w:hAnsi="Times New Roman" w:eastAsia="仿宋_GB2312" w:cs="Times New Roman"/>
          <w:b/>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b/>
          <w:bCs w:val="0"/>
          <w:color w:val="000000" w:themeColor="text1"/>
          <w:kern w:val="2"/>
          <w:sz w:val="32"/>
          <w:szCs w:val="32"/>
          <w:lang w:val="en-US" w:eastAsia="zh-CN" w:bidi="ar-SA"/>
          <w14:textFill>
            <w14:solidFill>
              <w14:schemeClr w14:val="tx1"/>
            </w14:solidFill>
          </w14:textFill>
        </w:rPr>
        <w:t>（三）就与检查有关的事项询问有关人员；</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150"/>
        <w:textAlignment w:val="auto"/>
        <w:rPr>
          <w:rFonts w:hint="default" w:ascii="Times New Roman" w:hAnsi="Times New Roman" w:eastAsia="仿宋_GB2312" w:cs="Times New Roman"/>
          <w:b/>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b/>
          <w:bCs w:val="0"/>
          <w:color w:val="000000" w:themeColor="text1"/>
          <w:kern w:val="2"/>
          <w:sz w:val="32"/>
          <w:szCs w:val="32"/>
          <w:lang w:val="en-US" w:eastAsia="zh-CN" w:bidi="ar-SA"/>
          <w14:textFill>
            <w14:solidFill>
              <w14:schemeClr w14:val="tx1"/>
            </w14:solidFill>
          </w14:textFill>
        </w:rPr>
        <w:t>（四）进入检查对象的业务场所和统计数据处理信息系统进行检查、核对；</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150"/>
        <w:textAlignment w:val="auto"/>
        <w:rPr>
          <w:rFonts w:hint="default" w:ascii="Times New Roman" w:hAnsi="Times New Roman" w:eastAsia="仿宋_GB2312" w:cs="Times New Roman"/>
          <w:b/>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b/>
          <w:bCs w:val="0"/>
          <w:color w:val="000000" w:themeColor="text1"/>
          <w:kern w:val="2"/>
          <w:sz w:val="32"/>
          <w:szCs w:val="32"/>
          <w:lang w:val="en-US" w:eastAsia="zh-CN" w:bidi="ar-SA"/>
          <w14:textFill>
            <w14:solidFill>
              <w14:schemeClr w14:val="tx1"/>
            </w14:solidFill>
          </w14:textFill>
        </w:rPr>
        <w:t>（五）经本机构负责人批准，登记保存检查对象的有关原始记录和凭证、统计台账、统计调查表、会计资料及其他相关证明和资料；</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150"/>
        <w:textAlignment w:val="auto"/>
        <w:rPr>
          <w:rFonts w:hint="default" w:ascii="Times New Roman" w:hAnsi="Times New Roman" w:eastAsia="仿宋_GB2312" w:cs="Times New Roman"/>
          <w:b/>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b/>
          <w:bCs w:val="0"/>
          <w:color w:val="000000" w:themeColor="text1"/>
          <w:kern w:val="2"/>
          <w:sz w:val="32"/>
          <w:szCs w:val="32"/>
          <w:lang w:val="en-US" w:eastAsia="zh-CN" w:bidi="ar-SA"/>
          <w14:textFill>
            <w14:solidFill>
              <w14:schemeClr w14:val="tx1"/>
            </w14:solidFill>
          </w14:textFill>
        </w:rPr>
        <w:t>（六）对与检查事项有关的情况和资料进行记录、录音、录像、照相和复制。</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150"/>
        <w:textAlignment w:val="auto"/>
        <w:rPr>
          <w:rFonts w:hint="default" w:ascii="Times New Roman" w:hAnsi="Times New Roman" w:eastAsia="仿宋_GB2312" w:cs="Times New Roman"/>
          <w:b/>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b/>
          <w:bCs w:val="0"/>
          <w:color w:val="000000" w:themeColor="text1"/>
          <w:kern w:val="2"/>
          <w:sz w:val="32"/>
          <w:szCs w:val="32"/>
          <w:lang w:val="en-US" w:eastAsia="zh-CN" w:bidi="ar-SA"/>
          <w14:textFill>
            <w14:solidFill>
              <w14:schemeClr w14:val="tx1"/>
            </w14:solidFill>
          </w14:textFill>
        </w:rPr>
        <w:t>县级以上人民政府统计机构进行监督检查时，监督检查人员不得少于二人，并应当出示执法证件；未出示的，有关单位和个人有权拒绝检查。</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150"/>
        <w:textAlignment w:val="auto"/>
        <w:rPr>
          <w:rFonts w:hint="default" w:ascii="Times New Roman" w:hAnsi="Times New Roman" w:eastAsia="仿宋_GB2312" w:cs="Times New Roman"/>
          <w:b/>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b/>
          <w:bCs w:val="0"/>
          <w:color w:val="000000" w:themeColor="text1"/>
          <w:kern w:val="2"/>
          <w:sz w:val="32"/>
          <w:szCs w:val="32"/>
          <w:lang w:val="en-US" w:eastAsia="zh-CN" w:bidi="ar-SA"/>
          <w14:textFill>
            <w14:solidFill>
              <w14:schemeClr w14:val="tx1"/>
            </w14:solidFill>
          </w14:textFill>
        </w:rPr>
        <w:t>第三十六条　县级以上人民政府统计机构履行监督检查职责时，有关单位和个人应当如实反映情况，提供相关证明和资料，不得拒绝、阻碍检查，不得转移、隐匿、篡改、毁弃原始记录和凭证、统计台账、统计调查表、会计资料及其他相关证明和资料。</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150"/>
        <w:textAlignment w:val="auto"/>
        <w:rPr>
          <w:rFonts w:hint="default" w:ascii="Times New Roman" w:hAnsi="Times New Roman" w:eastAsia="仿宋_GB2312" w:cs="Times New Roman"/>
          <w:b/>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b/>
          <w:bCs w:val="0"/>
          <w:color w:val="000000" w:themeColor="text1"/>
          <w:kern w:val="2"/>
          <w:sz w:val="32"/>
          <w:szCs w:val="32"/>
          <w:lang w:val="en-US" w:eastAsia="zh-CN" w:bidi="ar-SA"/>
          <w14:textFill>
            <w14:solidFill>
              <w14:schemeClr w14:val="tx1"/>
            </w14:solidFill>
          </w14:textFill>
        </w:rPr>
        <w:t>第四十一条　作为统计调查对象的国家机关、企业事业单位或者其他组织有下列行为之一的，由县级以上人民政府统计机构责令改正，给予警告，可以予以通报；其直接负责的主管人员和其他直接责任人员属于国家工作人员的，由任免机关或者监察机关依法给予处分：</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150"/>
        <w:textAlignment w:val="auto"/>
        <w:rPr>
          <w:rFonts w:hint="default" w:ascii="Times New Roman" w:hAnsi="Times New Roman" w:eastAsia="仿宋_GB2312" w:cs="Times New Roman"/>
          <w:b/>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b/>
          <w:bCs w:val="0"/>
          <w:color w:val="000000" w:themeColor="text1"/>
          <w:kern w:val="2"/>
          <w:sz w:val="32"/>
          <w:szCs w:val="32"/>
          <w:lang w:val="en-US" w:eastAsia="zh-CN" w:bidi="ar-SA"/>
          <w14:textFill>
            <w14:solidFill>
              <w14:schemeClr w14:val="tx1"/>
            </w14:solidFill>
          </w14:textFill>
        </w:rPr>
        <w:t>（一）拒绝提供统计资料或者经催报后仍未按时提供统计资料的；</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150"/>
        <w:textAlignment w:val="auto"/>
        <w:rPr>
          <w:rFonts w:hint="default" w:ascii="Times New Roman" w:hAnsi="Times New Roman" w:eastAsia="仿宋_GB2312" w:cs="Times New Roman"/>
          <w:b/>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b/>
          <w:bCs w:val="0"/>
          <w:color w:val="000000" w:themeColor="text1"/>
          <w:kern w:val="2"/>
          <w:sz w:val="32"/>
          <w:szCs w:val="32"/>
          <w:lang w:val="en-US" w:eastAsia="zh-CN" w:bidi="ar-SA"/>
          <w14:textFill>
            <w14:solidFill>
              <w14:schemeClr w14:val="tx1"/>
            </w14:solidFill>
          </w14:textFill>
        </w:rPr>
        <w:t>（二）提供不真实或者不完整的统计资料的；</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150"/>
        <w:textAlignment w:val="auto"/>
        <w:rPr>
          <w:rFonts w:hint="default" w:ascii="Times New Roman" w:hAnsi="Times New Roman" w:eastAsia="仿宋_GB2312" w:cs="Times New Roman"/>
          <w:b/>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b/>
          <w:bCs w:val="0"/>
          <w:color w:val="000000" w:themeColor="text1"/>
          <w:kern w:val="2"/>
          <w:sz w:val="32"/>
          <w:szCs w:val="32"/>
          <w:lang w:val="en-US" w:eastAsia="zh-CN" w:bidi="ar-SA"/>
          <w14:textFill>
            <w14:solidFill>
              <w14:schemeClr w14:val="tx1"/>
            </w14:solidFill>
          </w14:textFill>
        </w:rPr>
        <w:t>（三）拒绝答复或者不如实答复统计检查查询书的；</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150"/>
        <w:textAlignment w:val="auto"/>
        <w:rPr>
          <w:rFonts w:hint="default" w:ascii="Times New Roman" w:hAnsi="Times New Roman" w:eastAsia="仿宋_GB2312" w:cs="Times New Roman"/>
          <w:b/>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b/>
          <w:bCs w:val="0"/>
          <w:color w:val="000000" w:themeColor="text1"/>
          <w:kern w:val="2"/>
          <w:sz w:val="32"/>
          <w:szCs w:val="32"/>
          <w:lang w:val="en-US" w:eastAsia="zh-CN" w:bidi="ar-SA"/>
          <w14:textFill>
            <w14:solidFill>
              <w14:schemeClr w14:val="tx1"/>
            </w14:solidFill>
          </w14:textFill>
        </w:rPr>
        <w:t>（四）拒绝、阻碍统计调查、统计检查的；</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150"/>
        <w:textAlignment w:val="auto"/>
        <w:rPr>
          <w:rFonts w:hint="default" w:ascii="Times New Roman" w:hAnsi="Times New Roman" w:eastAsia="仿宋_GB2312" w:cs="Times New Roman"/>
          <w:b/>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b/>
          <w:bCs w:val="0"/>
          <w:color w:val="000000" w:themeColor="text1"/>
          <w:kern w:val="2"/>
          <w:sz w:val="32"/>
          <w:szCs w:val="32"/>
          <w:lang w:val="en-US" w:eastAsia="zh-CN" w:bidi="ar-SA"/>
          <w14:textFill>
            <w14:solidFill>
              <w14:schemeClr w14:val="tx1"/>
            </w14:solidFill>
          </w14:textFill>
        </w:rPr>
        <w:t>（五）转移、隐匿、篡改、毁弃或者拒绝提供原始记录和凭证、统计台账、统计调查表及其他相关证明和资料的。</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150"/>
        <w:textAlignment w:val="auto"/>
        <w:rPr>
          <w:rFonts w:hint="default" w:ascii="Times New Roman" w:hAnsi="Times New Roman" w:eastAsia="仿宋_GB2312" w:cs="Times New Roman"/>
          <w:b/>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b/>
          <w:bCs w:val="0"/>
          <w:color w:val="000000" w:themeColor="text1"/>
          <w:kern w:val="2"/>
          <w:sz w:val="32"/>
          <w:szCs w:val="32"/>
          <w:lang w:val="en-US" w:eastAsia="zh-CN" w:bidi="ar-SA"/>
          <w14:textFill>
            <w14:solidFill>
              <w14:schemeClr w14:val="tx1"/>
            </w14:solidFill>
          </w14:textFill>
        </w:rPr>
        <w:t>企业事业单位或者其他组织有前款所列行为之一的，可以并处五万元以下的罚款；情节严重的，并处五万元以上二十万元以下的罚款。</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150"/>
        <w:textAlignment w:val="auto"/>
        <w:rPr>
          <w:rFonts w:hint="default" w:ascii="Times New Roman" w:hAnsi="Times New Roman" w:eastAsia="仿宋_GB2312" w:cs="Times New Roman"/>
          <w:b/>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b/>
          <w:bCs w:val="0"/>
          <w:color w:val="000000" w:themeColor="text1"/>
          <w:kern w:val="2"/>
          <w:sz w:val="32"/>
          <w:szCs w:val="32"/>
          <w:lang w:val="en-US" w:eastAsia="zh-CN" w:bidi="ar-SA"/>
          <w14:textFill>
            <w14:solidFill>
              <w14:schemeClr w14:val="tx1"/>
            </w14:solidFill>
          </w14:textFill>
        </w:rPr>
        <w:t>个体工商户有本条第一款所列行为之一的，由县级以上人民政府统计机构责令改正，给予警告，可以并处一万元以下的罚款。</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bCs w:val="0"/>
          <w:color w:val="000000" w:themeColor="text1"/>
          <w:kern w:val="2"/>
          <w:sz w:val="32"/>
          <w:szCs w:val="32"/>
          <w:lang w:val="en-US" w:eastAsia="zh-CN" w:bidi="ar-SA"/>
          <w14:textFill>
            <w14:solidFill>
              <w14:schemeClr w14:val="tx1"/>
            </w14:solidFill>
          </w14:textFill>
        </w:rPr>
      </w:pPr>
      <w:r>
        <w:rPr>
          <w:rFonts w:hint="eastAsia" w:ascii="Times New Roman" w:hAnsi="Times New Roman" w:eastAsia="仿宋_GB2312" w:cs="Times New Roman"/>
          <w:b/>
          <w:bCs w:val="0"/>
          <w:color w:val="000000" w:themeColor="text1"/>
          <w:kern w:val="2"/>
          <w:sz w:val="32"/>
          <w:szCs w:val="32"/>
          <w:lang w:val="en-US" w:eastAsia="zh-CN" w:bidi="ar-SA"/>
          <w14:textFill>
            <w14:solidFill>
              <w14:schemeClr w14:val="tx1"/>
            </w14:solidFill>
          </w14:textFill>
        </w:rPr>
        <w:t xml:space="preserve">                                   2023年2月20日</w:t>
      </w:r>
    </w:p>
    <w:sectPr>
      <w:pgSz w:w="11906" w:h="16838"/>
      <w:pgMar w:top="1984" w:right="1474"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hiOWY2NjYzMjc1OTJmOGEwNTk2YjRlMTlmODMyNGEifQ=="/>
  </w:docVars>
  <w:rsids>
    <w:rsidRoot w:val="3A1406A8"/>
    <w:rsid w:val="28E45616"/>
    <w:rsid w:val="33ED4649"/>
    <w:rsid w:val="37B34AA0"/>
    <w:rsid w:val="38BC45FC"/>
    <w:rsid w:val="3A1406A8"/>
    <w:rsid w:val="3AF202C8"/>
    <w:rsid w:val="3DB02462"/>
    <w:rsid w:val="4F2F2B26"/>
    <w:rsid w:val="50C75E5D"/>
    <w:rsid w:val="51DA6E0E"/>
    <w:rsid w:val="55256612"/>
    <w:rsid w:val="5909669C"/>
    <w:rsid w:val="606515C6"/>
    <w:rsid w:val="609D4491"/>
    <w:rsid w:val="70360B78"/>
    <w:rsid w:val="78D142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oc 1"/>
    <w:basedOn w:val="1"/>
    <w:next w:val="1"/>
    <w:unhideWhenUsed/>
    <w:qFormat/>
    <w:uiPriority w:val="39"/>
  </w:style>
  <w:style w:type="paragraph" w:styleId="4">
    <w:name w:val="Body Text Indent"/>
    <w:basedOn w:val="1"/>
    <w:next w:val="5"/>
    <w:qFormat/>
    <w:uiPriority w:val="0"/>
    <w:pPr>
      <w:ind w:left="0" w:leftChars="0"/>
    </w:pPr>
  </w:style>
  <w:style w:type="paragraph" w:styleId="5">
    <w:name w:val="Body Text First Indent 2"/>
    <w:basedOn w:val="4"/>
    <w:next w:val="1"/>
    <w:qFormat/>
    <w:uiPriority w:val="0"/>
    <w:pPr>
      <w:ind w:firstLine="420" w:firstLineChars="200"/>
    </w:p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FollowedHyperlink"/>
    <w:basedOn w:val="8"/>
    <w:qFormat/>
    <w:uiPriority w:val="0"/>
    <w:rPr>
      <w:color w:val="800080"/>
      <w:u w:val="none"/>
    </w:rPr>
  </w:style>
  <w:style w:type="character" w:styleId="11">
    <w:name w:val="Hyperlink"/>
    <w:basedOn w:val="8"/>
    <w:qFormat/>
    <w:uiPriority w:val="0"/>
    <w:rPr>
      <w:color w:val="0000FF"/>
      <w:u w:val="none"/>
    </w:rPr>
  </w:style>
  <w:style w:type="character" w:customStyle="1" w:styleId="12">
    <w:name w:val="layui-layer-tabnow"/>
    <w:basedOn w:val="8"/>
    <w:qFormat/>
    <w:uiPriority w:val="0"/>
    <w:rPr>
      <w:bdr w:val="single" w:color="CCCCCC" w:sz="6" w:space="0"/>
      <w:shd w:val="clear" w:fill="FFFFFF"/>
    </w:rPr>
  </w:style>
  <w:style w:type="character" w:customStyle="1" w:styleId="13">
    <w:name w:val="first-child"/>
    <w:basedOn w:val="8"/>
    <w:qFormat/>
    <w:uiPriority w:val="0"/>
  </w:style>
  <w:style w:type="paragraph" w:customStyle="1" w:styleId="14">
    <w:name w:val="Heading #2|1"/>
    <w:basedOn w:val="1"/>
    <w:qFormat/>
    <w:uiPriority w:val="0"/>
    <w:pPr>
      <w:spacing w:after="290"/>
      <w:jc w:val="center"/>
      <w:outlineLvl w:val="1"/>
    </w:pPr>
    <w:rPr>
      <w:rFonts w:ascii="宋体" w:hAnsi="宋体" w:cs="宋体"/>
      <w:kern w:val="0"/>
      <w:sz w:val="22"/>
      <w:szCs w:val="20"/>
      <w:lang w:val="zh-CN" w:bidi="zh-CN"/>
    </w:rPr>
  </w:style>
  <w:style w:type="paragraph" w:customStyle="1" w:styleId="15">
    <w:name w:val="Body text|1"/>
    <w:basedOn w:val="1"/>
    <w:qFormat/>
    <w:uiPriority w:val="0"/>
    <w:pPr>
      <w:spacing w:line="319" w:lineRule="auto"/>
      <w:ind w:firstLine="400"/>
      <w:jc w:val="left"/>
    </w:pPr>
    <w:rPr>
      <w:rFonts w:ascii="宋体" w:hAnsi="宋体" w:cs="宋体"/>
      <w:kern w:val="0"/>
      <w:sz w:val="20"/>
      <w:szCs w:val="20"/>
      <w:lang w:val="zh-CN" w:bidi="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1265</Words>
  <Characters>1280</Characters>
  <Lines>0</Lines>
  <Paragraphs>0</Paragraphs>
  <TotalTime>14</TotalTime>
  <ScaleCrop>false</ScaleCrop>
  <LinksUpToDate>false</LinksUpToDate>
  <CharactersWithSpaces>1319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2022-03-02T07:58:00Z</dcterms:created>
  <dc:creator>大丽</dc:creator>
  <cp:lastModifiedBy>大丽</cp:lastModifiedBy>
  <cp:lastPrinted>2022-03-11T07:04:00Z</cp:lastPrinted>
  <dcterms:modified xsi:type="dcterms:W3CDTF">2023-02-22T06:31:22Z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6415F3BBB7934DBDB20209B73D5C8F50</vt:lpwstr>
  </property>
</Properties>
</file>