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沂源县商务局</w:t>
      </w:r>
    </w:p>
    <w:p>
      <w:pPr>
        <w:keepNext w:val="0"/>
        <w:keepLines w:val="0"/>
        <w:pageBreakBefore w:val="0"/>
        <w:widowControl w:val="0"/>
        <w:kinsoku/>
        <w:wordWrap/>
        <w:overflowPunct/>
        <w:topLinePunct w:val="0"/>
        <w:bidi w:val="0"/>
        <w:adjustRightInd/>
        <w:snapToGrid/>
        <w:spacing w:line="540" w:lineRule="exact"/>
        <w:jc w:val="center"/>
        <w:textAlignment w:val="auto"/>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2020年政府</w:t>
      </w:r>
      <w:r>
        <w:rPr>
          <w:rFonts w:hint="eastAsia" w:ascii="方正小标宋简体" w:hAnsi="方正小标宋简体" w:eastAsia="方正小标宋简体" w:cs="方正小标宋简体"/>
          <w:b w:val="0"/>
          <w:bCs w:val="0"/>
          <w:sz w:val="44"/>
          <w:szCs w:val="44"/>
        </w:rPr>
        <w:t>信息公开工作年度报告</w:t>
      </w:r>
    </w:p>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32"/>
          <w:szCs w:val="32"/>
        </w:rPr>
      </w:pP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rPr>
        <w:t>按照《国务院办公厅政府信息与政务公开办公室关于政府信息公开工作年度报告有关事项的通知》(国办公开办函〔2019〕60号)要求，政府</w:t>
      </w:r>
      <w:r>
        <w:rPr>
          <w:rFonts w:hint="eastAsia" w:ascii="仿宋_GB2312" w:hAnsi="仿宋_GB2312" w:eastAsia="仿宋_GB2312" w:cs="仿宋_GB2312"/>
          <w:b w:val="0"/>
          <w:bCs w:val="0"/>
          <w:sz w:val="32"/>
          <w:szCs w:val="32"/>
        </w:rPr>
        <w:t>信息公开年报分为6大部分，分别是：1.总体情况，2.主动公开政府信息情况，3.收到和处理政府信息公开申请情况，4.政府信息公开行政复议、行政诉讼情况，5.存在的主要问题及改进情况，6.其他需要报告的事项。</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总体情况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2020年，沂源县商务局积极贯彻落实《政府信息公开条例》，在县大数据中心的业务指导下，坚持围绕中心、服务大局的工作原则，结合商务工作实际，不断加强政务公开工作力度，及时、准确地向社会公开政府信息，保证了行政权力的公开透明运行。</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（一）主动公开信息情况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rPr>
        <w:t>自20</w:t>
      </w:r>
      <w:r>
        <w:rPr>
          <w:rFonts w:hint="eastAsia" w:ascii="仿宋_GB2312" w:hAnsi="仿宋_GB2312" w:eastAsia="仿宋_GB2312" w:cs="仿宋_GB2312"/>
          <w:b w:val="0"/>
          <w:bCs w:val="0"/>
          <w:sz w:val="32"/>
          <w:szCs w:val="32"/>
          <w:lang w:val="en-US" w:eastAsia="zh-CN"/>
        </w:rPr>
        <w:t>20</w:t>
      </w:r>
      <w:r>
        <w:rPr>
          <w:rFonts w:hint="eastAsia" w:ascii="仿宋_GB2312" w:hAnsi="仿宋_GB2312" w:eastAsia="仿宋_GB2312" w:cs="仿宋_GB2312"/>
          <w:b w:val="0"/>
          <w:bCs w:val="0"/>
          <w:sz w:val="32"/>
          <w:szCs w:val="32"/>
          <w:lang w:val="en-US"/>
        </w:rPr>
        <w:t>年1月1日起，至20</w:t>
      </w:r>
      <w:r>
        <w:rPr>
          <w:rFonts w:hint="eastAsia" w:ascii="仿宋_GB2312" w:hAnsi="仿宋_GB2312" w:eastAsia="仿宋_GB2312" w:cs="仿宋_GB2312"/>
          <w:b w:val="0"/>
          <w:bCs w:val="0"/>
          <w:sz w:val="32"/>
          <w:szCs w:val="32"/>
          <w:lang w:val="en-US" w:eastAsia="zh-CN"/>
        </w:rPr>
        <w:t>20</w:t>
      </w:r>
      <w:r>
        <w:rPr>
          <w:rFonts w:hint="eastAsia" w:ascii="仿宋_GB2312" w:hAnsi="仿宋_GB2312" w:eastAsia="仿宋_GB2312" w:cs="仿宋_GB2312"/>
          <w:b w:val="0"/>
          <w:bCs w:val="0"/>
          <w:sz w:val="32"/>
          <w:szCs w:val="32"/>
          <w:lang w:val="en-US"/>
        </w:rPr>
        <w:t>年12月31日止，主动公开</w:t>
      </w:r>
      <w:r>
        <w:rPr>
          <w:rFonts w:hint="eastAsia" w:ascii="仿宋_GB2312" w:hAnsi="仿宋_GB2312" w:eastAsia="仿宋_GB2312" w:cs="仿宋_GB2312"/>
          <w:b w:val="0"/>
          <w:bCs w:val="0"/>
          <w:sz w:val="32"/>
          <w:szCs w:val="32"/>
          <w:lang w:val="en-US" w:eastAsia="zh-CN"/>
        </w:rPr>
        <w:t>信息106条，其中机构职能7条、政策法规12条、政府会议7条、规划计划3条、精准脱贫1条、重要部署执行公开15条、建议提案3条、财政信息1条、管理和服务公开14条、应急预案2条、政务公开组织领导2条、信息公开指南1条、信息公开年度报告1条、政务公开培训2条、政务公开工作推进19条、信息公开制度1条、主动公开基本目录1条、基层政务公开事项标准目录1条、优化营商环境5条、疫情防控与复工复产6条。</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（二）依申请公开情况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lang w:val="en-US"/>
        </w:rPr>
        <w:t>2020年，未通过各种渠道收到有关政府信息公开申请。</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（三）政府信息管理情况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lang w:val="en-US"/>
        </w:rPr>
        <w:t>一是加强政务公开组织领导，严格贯彻落实县委县政府关于政务公开工作的部署，做好全局政务公开工作。二是将沂源县商务局政务公开事项分解到具体科室，各科室根据各自职责，提供相关政务公开内容，围绕政务公开制度化规范化建设、组织保障等方面对政务公开工作进行部署安排，推动政务公开工作更好开展。三是加强培训，提高政务公开水平。</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（四）政府信息公开平台建设</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年度结合我局工作实际，成立了由局长为组长、副局长为副组长、各科室负责人为成员的政府信息公开工作领导小组，分解任务，落实责任，并确定局办公室负责推进、指导、协调、监督，保障了政府信息公开工作有序运行。</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（五）监督保障情况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lang w:val="en-US"/>
        </w:rPr>
        <w:t>一是加强日常监测，通过人工检查等方法，对全局政务信息公开整体情况、更新情况、信息内容质量等进行日常巡检。二是加强安全防护，严格执行网络安全法等法律法规，提高安全防护能力。</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（六）建议提案办理结果公开情况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2020年</w:t>
      </w:r>
      <w:r>
        <w:rPr>
          <w:rFonts w:hint="eastAsia" w:ascii="仿宋_GB2312" w:hAnsi="仿宋_GB2312" w:eastAsia="仿宋_GB2312" w:cs="仿宋_GB2312"/>
          <w:b w:val="0"/>
          <w:bCs w:val="0"/>
          <w:sz w:val="32"/>
          <w:szCs w:val="32"/>
          <w:lang w:val="en-US"/>
        </w:rPr>
        <w:t>，我局共承办政协委员提案2件，已全部办理完毕，办结率和满意率均为100%。</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主动公开政府信息情况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表格如下：</w:t>
      </w:r>
    </w:p>
    <w:tbl>
      <w:tblPr>
        <w:tblStyle w:val="6"/>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b w:val="0"/>
                <w:bCs w:val="0"/>
                <w:sz w:val="21"/>
                <w:szCs w:val="21"/>
              </w:rPr>
            </w:pPr>
            <w:r>
              <w:rPr>
                <w:rFonts w:hint="eastAsia" w:ascii="黑体" w:hAnsi="黑体" w:eastAsia="黑体" w:cs="黑体"/>
                <w:b w:val="0"/>
                <w:bCs w:val="0"/>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本年新制作数量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本年新公开数量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default"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default"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ind w:firstLine="1050" w:firstLineChars="500"/>
              <w:jc w:val="both"/>
              <w:textAlignment w:val="auto"/>
              <w:rPr>
                <w:rFonts w:hint="default"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黑体" w:hAnsi="黑体" w:eastAsia="黑体" w:cs="黑体"/>
                <w:b w:val="0"/>
                <w:bCs w:val="0"/>
                <w:sz w:val="21"/>
                <w:szCs w:val="21"/>
              </w:rPr>
            </w:pPr>
            <w:r>
              <w:rPr>
                <w:rFonts w:hint="eastAsia" w:ascii="黑体" w:hAnsi="黑体" w:eastAsia="黑体" w:cs="黑体"/>
                <w:b w:val="0"/>
                <w:bCs w:val="0"/>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行政许可</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其他对外管理服务事项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黑体" w:hAnsi="黑体" w:eastAsia="黑体" w:cs="黑体"/>
                <w:b w:val="0"/>
                <w:bCs w:val="0"/>
                <w:sz w:val="21"/>
                <w:szCs w:val="21"/>
              </w:rPr>
            </w:pPr>
            <w:r>
              <w:rPr>
                <w:rFonts w:hint="eastAsia" w:ascii="黑体" w:hAnsi="黑体" w:eastAsia="黑体" w:cs="黑体"/>
                <w:b w:val="0"/>
                <w:bCs w:val="0"/>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行政处罚</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行政强制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黑体" w:hAnsi="黑体" w:eastAsia="黑体" w:cs="黑体"/>
                <w:b w:val="0"/>
                <w:bCs w:val="0"/>
                <w:sz w:val="21"/>
                <w:szCs w:val="21"/>
              </w:rPr>
            </w:pPr>
            <w:r>
              <w:rPr>
                <w:rFonts w:hint="eastAsia" w:ascii="黑体" w:hAnsi="黑体" w:eastAsia="黑体" w:cs="黑体"/>
                <w:b w:val="0"/>
                <w:bCs w:val="0"/>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上一年项目数量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行政事业性收费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黑体" w:hAnsi="黑体" w:eastAsia="黑体" w:cs="黑体"/>
                <w:b w:val="0"/>
                <w:bCs w:val="0"/>
                <w:sz w:val="21"/>
                <w:szCs w:val="21"/>
              </w:rPr>
            </w:pPr>
            <w:r>
              <w:rPr>
                <w:rFonts w:hint="eastAsia" w:ascii="黑体" w:hAnsi="黑体" w:eastAsia="黑体" w:cs="黑体"/>
                <w:b w:val="0"/>
                <w:bCs w:val="0"/>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采购项目数量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政府集中采购</w:t>
            </w:r>
          </w:p>
        </w:tc>
        <w:tc>
          <w:tcPr>
            <w:tcW w:w="1842"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c>
          <w:tcPr>
            <w:tcW w:w="3883" w:type="dxa"/>
            <w:gridSpan w:val="2"/>
            <w:tcBorders>
              <w:top w:val="single" w:color="000000" w:sz="2" w:space="0"/>
              <w:left w:val="single" w:color="000000" w:sz="2" w:space="0"/>
            </w:tcBorders>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收到和处理政府信息公开申请情况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表格如下：</w:t>
      </w:r>
    </w:p>
    <w:tbl>
      <w:tblPr>
        <w:tblStyle w:val="7"/>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1134"/>
        <w:gridCol w:w="1887"/>
        <w:gridCol w:w="565"/>
        <w:gridCol w:w="635"/>
        <w:gridCol w:w="635"/>
        <w:gridCol w:w="775"/>
        <w:gridCol w:w="775"/>
        <w:gridCol w:w="496"/>
        <w:gridCol w:w="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（本列数据的勾稽关系为：第一项加第二项之和，等于第三项加第四项之和）</w:t>
            </w:r>
          </w:p>
        </w:tc>
        <w:tc>
          <w:tcPr>
            <w:tcW w:w="0" w:type="auto"/>
            <w:gridSpan w:val="7"/>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黑体" w:hAnsi="黑体" w:eastAsia="黑体" w:cs="黑体"/>
                <w:b w:val="0"/>
                <w:bCs w:val="0"/>
                <w:sz w:val="21"/>
                <w:szCs w:val="21"/>
              </w:rPr>
            </w:pPr>
            <w:r>
              <w:rPr>
                <w:rFonts w:hint="eastAsia" w:ascii="黑体" w:hAnsi="黑体" w:eastAsia="黑体" w:cs="黑体"/>
                <w:b w:val="0"/>
                <w:bCs w:val="0"/>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自然人</w:t>
            </w:r>
          </w:p>
        </w:tc>
        <w:tc>
          <w:tcPr>
            <w:tcW w:w="0" w:type="auto"/>
            <w:gridSpan w:val="5"/>
            <w:vAlign w:val="center"/>
          </w:tcPr>
          <w:p>
            <w:pPr>
              <w:keepNext w:val="0"/>
              <w:keepLines w:val="0"/>
              <w:pageBreakBefore w:val="0"/>
              <w:widowControl w:val="0"/>
              <w:kinsoku/>
              <w:wordWrap/>
              <w:overflowPunct/>
              <w:topLinePunct w:val="0"/>
              <w:bidi w:val="0"/>
              <w:adjustRightInd/>
              <w:snapToGrid/>
              <w:spacing w:line="540" w:lineRule="exact"/>
              <w:jc w:val="center"/>
              <w:textAlignment w:val="auto"/>
              <w:rPr>
                <w:rFonts w:ascii="黑体" w:hAnsi="黑体" w:eastAsia="黑体" w:cs="黑体"/>
                <w:b w:val="0"/>
                <w:bCs w:val="0"/>
                <w:sz w:val="21"/>
                <w:szCs w:val="21"/>
              </w:rPr>
            </w:pPr>
            <w:r>
              <w:rPr>
                <w:rFonts w:hint="eastAsia" w:ascii="黑体" w:hAnsi="黑体" w:eastAsia="黑体" w:cs="黑体"/>
                <w:b w:val="0"/>
                <w:bCs w:val="0"/>
                <w:sz w:val="21"/>
                <w:szCs w:val="21"/>
              </w:rPr>
              <w:t>法人或其他组织</w:t>
            </w:r>
          </w:p>
        </w:tc>
        <w:tc>
          <w:tcPr>
            <w:tcW w:w="0" w:type="auto"/>
            <w:vMerge w:val="restart"/>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商业企业</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科研机构</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社会公益组织</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法律服务机构</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21"/>
                <w:szCs w:val="21"/>
              </w:rPr>
            </w:pPr>
            <w:r>
              <w:rPr>
                <w:rFonts w:hint="eastAsia" w:ascii="黑体" w:hAnsi="黑体" w:eastAsia="黑体" w:cs="黑体"/>
                <w:b w:val="0"/>
                <w:bCs w:val="0"/>
                <w:sz w:val="21"/>
                <w:szCs w:val="21"/>
              </w:rPr>
              <w:t>其他</w:t>
            </w: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HAnsi" w:hAnsiTheme="minorHAnsi" w:eastAsiaTheme="minorEastAsia" w:cstheme="minorBidi"/>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一、本年新收政府信息公开申请数量</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二、上年结转政府信息公开申请数量</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三、本年度办理结果</w:t>
            </w:r>
          </w:p>
        </w:tc>
        <w:tc>
          <w:tcPr>
            <w:tcW w:w="0" w:type="auto"/>
            <w:gridSpan w:val="2"/>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（一）予以公开</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gridSpan w:val="2"/>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（二）部分公开（区分处理的，只计这一情形，不计其他情形）</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（三）不予公开</w:t>
            </w: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1．属于国家秘密</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2．其他法律行政法规禁止公开</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3．危及“三安全一稳定”</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4．保护第三方合法权益</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5．属于三类内部事务信息</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6．属于四类过程性信息</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7．属于行政执法案卷</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8．属于行政查询事项</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（四）无法提供</w:t>
            </w: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1．本单位不掌握相关政府信息</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2．没有现成信息需要另行制作</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3．补正后申请内容仍不明确</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（五）不予处理</w:t>
            </w: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1．信访举报投诉类申请</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2．重复申请</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3．要求提供公开出版物</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4．无正当理由大量反复申请</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tcPr>
          <w:p>
            <w:pPr>
              <w:keepNext w:val="0"/>
              <w:keepLines w:val="0"/>
              <w:pageBreakBefore w:val="0"/>
              <w:widowControl w:val="0"/>
              <w:kinsoku/>
              <w:wordWrap/>
              <w:overflowPunct/>
              <w:topLinePunct w:val="0"/>
              <w:bidi w:val="0"/>
              <w:adjustRightInd/>
              <w:snapToGrid/>
              <w:spacing w:line="540" w:lineRule="exact"/>
              <w:ind w:left="210" w:hanging="210" w:hangingChars="100"/>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5．要求行政机关确认或重新出具已获取信息</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gridSpan w:val="2"/>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（六）其他处理</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p>
        </w:tc>
        <w:tc>
          <w:tcPr>
            <w:tcW w:w="0" w:type="auto"/>
            <w:gridSpan w:val="2"/>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（七）总计</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lang w:val="en-US"/>
              </w:rPr>
            </w:pPr>
            <w:r>
              <w:rPr>
                <w:rFonts w:hint="eastAsia" w:asciiTheme="minorEastAsia" w:hAnsiTheme="minorEastAsia" w:eastAsiaTheme="minorEastAsia" w:cstheme="minor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四、结转下年度继续办理</w:t>
            </w:r>
          </w:p>
        </w:tc>
        <w:tc>
          <w:tcPr>
            <w:tcW w:w="56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63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77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c>
          <w:tcPr>
            <w:tcW w:w="496"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政府信息公开行政复议、行政诉讼情况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表格如下：</w:t>
      </w:r>
    </w:p>
    <w:tbl>
      <w:tblPr>
        <w:tblStyle w:val="7"/>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594"/>
        <w:gridCol w:w="594"/>
        <w:gridCol w:w="594"/>
        <w:gridCol w:w="462"/>
        <w:gridCol w:w="595"/>
        <w:gridCol w:w="595"/>
        <w:gridCol w:w="595"/>
        <w:gridCol w:w="595"/>
        <w:gridCol w:w="462"/>
        <w:gridCol w:w="595"/>
        <w:gridCol w:w="595"/>
        <w:gridCol w:w="595"/>
        <w:gridCol w:w="595"/>
        <w:gridCol w:w="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黑体" w:hAnsi="黑体" w:eastAsia="黑体" w:cs="黑体"/>
                <w:b w:val="0"/>
                <w:bCs w:val="0"/>
                <w:sz w:val="18"/>
                <w:szCs w:val="18"/>
              </w:rPr>
            </w:pPr>
            <w:r>
              <w:rPr>
                <w:rFonts w:hint="eastAsia" w:ascii="黑体" w:hAnsi="黑体" w:eastAsia="黑体" w:cs="黑体"/>
                <w:b w:val="0"/>
                <w:bCs w:val="0"/>
                <w:sz w:val="18"/>
                <w:szCs w:val="18"/>
              </w:rPr>
              <w:t>行政复议</w:t>
            </w:r>
          </w:p>
        </w:tc>
        <w:tc>
          <w:tcPr>
            <w:tcW w:w="0" w:type="auto"/>
            <w:gridSpan w:val="1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黑体" w:hAnsi="黑体" w:eastAsia="黑体" w:cs="黑体"/>
                <w:b w:val="0"/>
                <w:bCs w:val="0"/>
                <w:sz w:val="18"/>
                <w:szCs w:val="18"/>
              </w:rPr>
            </w:pPr>
            <w:r>
              <w:rPr>
                <w:rFonts w:hint="eastAsia" w:ascii="黑体" w:hAnsi="黑体" w:eastAsia="黑体" w:cs="黑体"/>
                <w:b w:val="0"/>
                <w:bCs w:val="0"/>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结果维持</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结果纠正</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其他结果</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尚未审结</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总计</w:t>
            </w:r>
          </w:p>
        </w:tc>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黑体" w:hAnsi="黑体" w:eastAsia="黑体" w:cs="黑体"/>
                <w:b w:val="0"/>
                <w:bCs w:val="0"/>
                <w:sz w:val="18"/>
                <w:szCs w:val="18"/>
              </w:rPr>
            </w:pPr>
            <w:r>
              <w:rPr>
                <w:rFonts w:hint="eastAsia" w:ascii="黑体" w:hAnsi="黑体" w:eastAsia="黑体" w:cs="黑体"/>
                <w:b w:val="0"/>
                <w:bCs w:val="0"/>
                <w:sz w:val="18"/>
                <w:szCs w:val="18"/>
              </w:rPr>
              <w:t>未经复议直接起诉</w:t>
            </w:r>
          </w:p>
        </w:tc>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黑体" w:hAnsi="黑体" w:eastAsia="黑体" w:cs="黑体"/>
                <w:b w:val="0"/>
                <w:bCs w:val="0"/>
                <w:sz w:val="18"/>
                <w:szCs w:val="18"/>
              </w:rPr>
            </w:pPr>
            <w:r>
              <w:rPr>
                <w:rFonts w:hint="eastAsia" w:ascii="黑体" w:hAnsi="黑体" w:eastAsia="黑体" w:cs="黑体"/>
                <w:b w:val="0"/>
                <w:bCs w:val="0"/>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结果维持</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结果纠正</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其他结果</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尚未审结</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总计</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结果维持</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结果纠正</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其他结果</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尚未审结</w:t>
            </w:r>
          </w:p>
        </w:tc>
        <w:tc>
          <w:tcPr>
            <w:tcW w:w="0" w:type="auto"/>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黑体" w:hAnsi="黑体" w:eastAsia="黑体" w:cs="黑体"/>
                <w:b w:val="0"/>
                <w:bCs w:val="0"/>
                <w:sz w:val="18"/>
                <w:szCs w:val="18"/>
              </w:rPr>
            </w:pPr>
            <w:r>
              <w:rPr>
                <w:rFonts w:hint="eastAsia" w:ascii="黑体" w:hAnsi="黑体" w:eastAsia="黑体" w:cs="黑体"/>
                <w:b w:val="0"/>
                <w:bCs w:val="0"/>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94"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4"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4"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4"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462"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462"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595"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c>
          <w:tcPr>
            <w:tcW w:w="462" w:type="dxa"/>
            <w:vAlign w:val="center"/>
          </w:tcPr>
          <w:p>
            <w:pPr>
              <w:keepNext w:val="0"/>
              <w:keepLines w:val="0"/>
              <w:pageBreakBefore w:val="0"/>
              <w:widowControl w:val="0"/>
              <w:kinsoku/>
              <w:wordWrap/>
              <w:overflowPunct/>
              <w:topLinePunct w:val="0"/>
              <w:bidi w:val="0"/>
              <w:adjustRightInd/>
              <w:snapToGrid/>
              <w:spacing w:line="540" w:lineRule="exact"/>
              <w:jc w:val="both"/>
              <w:textAlignment w:val="auto"/>
              <w:rPr>
                <w:rFonts w:ascii="仿宋_GB2312" w:hAnsi="仿宋_GB2312" w:eastAsia="仿宋_GB2312" w:cs="仿宋_GB2312"/>
                <w:b w:val="0"/>
                <w:bCs w:val="0"/>
                <w:sz w:val="18"/>
                <w:szCs w:val="18"/>
              </w:rPr>
            </w:pPr>
            <w:r>
              <w:rPr>
                <w:rFonts w:hint="eastAsia" w:asciiTheme="minorEastAsia" w:hAnsiTheme="minorEastAsia" w:eastAsiaTheme="minorEastAsia" w:cstheme="minorEastAsia"/>
                <w:b w:val="0"/>
                <w:bCs w:val="0"/>
                <w:sz w:val="21"/>
                <w:szCs w:val="21"/>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ascii="黑体" w:hAnsi="黑体" w:eastAsia="黑体" w:cs="黑体"/>
          <w:b w:val="0"/>
          <w:bCs w:val="0"/>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存在的主要问题及改进情况</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（一）工作中存在的主要问题和困难</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信息更新不够及时。各科室人员对信息公开工作不够重视，办公室很难掌握全局信息，导致信息更新不及时，只能在年底集中上传，效率很低；二是从事信息公开的不是专职人员，专业水平不够高，上传格式不规范。  </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（二）具体解决办法和改进措施</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黑体" w:hAnsi="黑体" w:eastAsia="黑体" w:cs="黑体"/>
          <w:b w:val="0"/>
          <w:bCs w:val="0"/>
          <w:sz w:val="32"/>
          <w:szCs w:val="32"/>
        </w:rPr>
      </w:pPr>
      <w:r>
        <w:rPr>
          <w:rFonts w:hint="eastAsia" w:ascii="仿宋_GB2312" w:hAnsi="仿宋_GB2312" w:eastAsia="仿宋_GB2312" w:cs="仿宋_GB2312"/>
          <w:b w:val="0"/>
          <w:bCs w:val="0"/>
          <w:sz w:val="32"/>
          <w:szCs w:val="32"/>
          <w:lang w:val="en-US" w:eastAsia="zh-CN"/>
        </w:rPr>
        <w:t>一是加大宣传力度，提高公众的知晓率和参与度。以信息公开带动办事公开、带动便民服务；二是形成良好的报送机制，提高全体人员对信息公开工作的重视程度，做到及时、有效；三是加强业务学习培训，提升技术支持，提升整体工作水平。</w:t>
      </w:r>
    </w:p>
    <w:p>
      <w:pPr>
        <w:keepNext w:val="0"/>
        <w:keepLines w:val="0"/>
        <w:pageBreakBefore w:val="0"/>
        <w:widowControl w:val="0"/>
        <w:numPr>
          <w:ilvl w:val="0"/>
          <w:numId w:val="0"/>
        </w:numPr>
        <w:tabs>
          <w:tab w:val="left" w:pos="0"/>
        </w:tabs>
        <w:kinsoku/>
        <w:wordWrap/>
        <w:overflowPunct/>
        <w:topLinePunct w:val="0"/>
        <w:bidi w:val="0"/>
        <w:adjustRightInd/>
        <w:snapToGrid/>
        <w:spacing w:line="540" w:lineRule="exact"/>
        <w:ind w:firstLine="640" w:firstLineChars="200"/>
        <w:jc w:val="both"/>
        <w:textAlignment w:val="auto"/>
        <w:rPr>
          <w:rFonts w:ascii="黑体" w:hAnsi="黑体" w:eastAsia="黑体" w:cs="黑体"/>
          <w:b w:val="0"/>
          <w:bCs w:val="0"/>
          <w:sz w:val="32"/>
          <w:szCs w:val="32"/>
        </w:rPr>
      </w:pPr>
      <w:r>
        <w:rPr>
          <w:rFonts w:hint="eastAsia" w:ascii="黑体" w:hAnsi="黑体" w:eastAsia="黑体" w:cs="黑体"/>
          <w:b w:val="0"/>
          <w:bCs w:val="0"/>
          <w:sz w:val="32"/>
          <w:szCs w:val="32"/>
          <w:lang w:val="en-US" w:eastAsia="zh-CN"/>
        </w:rPr>
        <w:t>六</w:t>
      </w:r>
      <w:bookmarkStart w:id="0" w:name="_GoBack"/>
      <w:bookmarkEnd w:id="0"/>
      <w:r>
        <w:rPr>
          <w:rFonts w:hint="eastAsia" w:ascii="黑体" w:hAnsi="黑体" w:eastAsia="黑体" w:cs="黑体"/>
          <w:b w:val="0"/>
          <w:bCs w:val="0"/>
          <w:sz w:val="32"/>
          <w:szCs w:val="32"/>
          <w:lang w:val="en-US" w:eastAsia="zh-CN"/>
        </w:rPr>
        <w:t>.</w:t>
      </w:r>
      <w:r>
        <w:rPr>
          <w:rFonts w:hint="eastAsia" w:ascii="黑体" w:hAnsi="黑体" w:eastAsia="黑体" w:cs="黑体"/>
          <w:b w:val="0"/>
          <w:bCs w:val="0"/>
          <w:sz w:val="32"/>
          <w:szCs w:val="32"/>
        </w:rPr>
        <w:t>其他需要报告的事项</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无</w:t>
      </w: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bidi w:val="0"/>
        <w:adjustRightInd/>
        <w:snapToGrid/>
        <w:spacing w:line="5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沂源县商务局</w:t>
      </w:r>
    </w:p>
    <w:p>
      <w:pPr>
        <w:keepNext w:val="0"/>
        <w:keepLines w:val="0"/>
        <w:pageBreakBefore w:val="0"/>
        <w:widowControl w:val="0"/>
        <w:kinsoku/>
        <w:wordWrap/>
        <w:overflowPunct/>
        <w:topLinePunct w:val="0"/>
        <w:bidi w:val="0"/>
        <w:adjustRightInd/>
        <w:snapToGrid/>
        <w:spacing w:line="540" w:lineRule="exact"/>
        <w:ind w:firstLine="5760" w:firstLineChars="18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2021年1月26日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auto"/>
    <w:pitch w:val="default"/>
    <w:sig w:usb0="00000000" w:usb1="00000000"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rPr>
        <w:sz w:val="20"/>
      </w:rP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3"/>
                  <w:rPr>
                    <w:rFonts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26C4581"/>
    <w:rsid w:val="000241C2"/>
    <w:rsid w:val="000C2A30"/>
    <w:rsid w:val="001D66FE"/>
    <w:rsid w:val="00217436"/>
    <w:rsid w:val="0037372C"/>
    <w:rsid w:val="00433BD2"/>
    <w:rsid w:val="005811AF"/>
    <w:rsid w:val="00595E2E"/>
    <w:rsid w:val="0064248D"/>
    <w:rsid w:val="007B47B3"/>
    <w:rsid w:val="00A715CD"/>
    <w:rsid w:val="00C21D15"/>
    <w:rsid w:val="00C4680E"/>
    <w:rsid w:val="00C67D3A"/>
    <w:rsid w:val="00C9748C"/>
    <w:rsid w:val="00CF1925"/>
    <w:rsid w:val="00D450F0"/>
    <w:rsid w:val="00E16996"/>
    <w:rsid w:val="00E8333A"/>
    <w:rsid w:val="00FD67B4"/>
    <w:rsid w:val="0145414E"/>
    <w:rsid w:val="018E217D"/>
    <w:rsid w:val="01EF393B"/>
    <w:rsid w:val="02734C3F"/>
    <w:rsid w:val="028D140D"/>
    <w:rsid w:val="0390460C"/>
    <w:rsid w:val="039A3E8E"/>
    <w:rsid w:val="03D7591B"/>
    <w:rsid w:val="03FA286C"/>
    <w:rsid w:val="04061C6B"/>
    <w:rsid w:val="042F1DE8"/>
    <w:rsid w:val="0488616A"/>
    <w:rsid w:val="05544D4D"/>
    <w:rsid w:val="05997F1A"/>
    <w:rsid w:val="06744A70"/>
    <w:rsid w:val="06DA0A58"/>
    <w:rsid w:val="06DC7EA9"/>
    <w:rsid w:val="07084C1A"/>
    <w:rsid w:val="072E33FD"/>
    <w:rsid w:val="073D6A9E"/>
    <w:rsid w:val="075610CE"/>
    <w:rsid w:val="084F78FD"/>
    <w:rsid w:val="088920B6"/>
    <w:rsid w:val="08B63E2C"/>
    <w:rsid w:val="0A9F18CE"/>
    <w:rsid w:val="0B457B30"/>
    <w:rsid w:val="0B730203"/>
    <w:rsid w:val="0B916278"/>
    <w:rsid w:val="0BA80A37"/>
    <w:rsid w:val="0BBC32B0"/>
    <w:rsid w:val="0C091275"/>
    <w:rsid w:val="0C1E369B"/>
    <w:rsid w:val="0C7D0542"/>
    <w:rsid w:val="0C974147"/>
    <w:rsid w:val="0D57260A"/>
    <w:rsid w:val="0D720C48"/>
    <w:rsid w:val="0D7E2AE3"/>
    <w:rsid w:val="0DEF563B"/>
    <w:rsid w:val="0E355100"/>
    <w:rsid w:val="0EA07717"/>
    <w:rsid w:val="0EDA7310"/>
    <w:rsid w:val="0EE55E37"/>
    <w:rsid w:val="0F591B6F"/>
    <w:rsid w:val="0FDC5A39"/>
    <w:rsid w:val="10187509"/>
    <w:rsid w:val="101E101B"/>
    <w:rsid w:val="103C293D"/>
    <w:rsid w:val="103E5B90"/>
    <w:rsid w:val="113905B5"/>
    <w:rsid w:val="116479CD"/>
    <w:rsid w:val="117F33C9"/>
    <w:rsid w:val="118F24E9"/>
    <w:rsid w:val="120F09BA"/>
    <w:rsid w:val="121E6936"/>
    <w:rsid w:val="13664EFE"/>
    <w:rsid w:val="136970BF"/>
    <w:rsid w:val="1393144D"/>
    <w:rsid w:val="13C818C5"/>
    <w:rsid w:val="14A8254A"/>
    <w:rsid w:val="15177F22"/>
    <w:rsid w:val="1536679D"/>
    <w:rsid w:val="157846BC"/>
    <w:rsid w:val="15F17944"/>
    <w:rsid w:val="16383F6A"/>
    <w:rsid w:val="179516D8"/>
    <w:rsid w:val="17B41A00"/>
    <w:rsid w:val="17B7459F"/>
    <w:rsid w:val="17C54D24"/>
    <w:rsid w:val="185134DC"/>
    <w:rsid w:val="18904F00"/>
    <w:rsid w:val="196D647B"/>
    <w:rsid w:val="19C21A46"/>
    <w:rsid w:val="19E060E8"/>
    <w:rsid w:val="1A2A1C45"/>
    <w:rsid w:val="1AB11C36"/>
    <w:rsid w:val="1B2763C2"/>
    <w:rsid w:val="1B3A453A"/>
    <w:rsid w:val="1BF933FD"/>
    <w:rsid w:val="1C8449B3"/>
    <w:rsid w:val="1C886F18"/>
    <w:rsid w:val="1C8B0361"/>
    <w:rsid w:val="1CA07D81"/>
    <w:rsid w:val="1CA16882"/>
    <w:rsid w:val="1CB035DE"/>
    <w:rsid w:val="1CB37AD1"/>
    <w:rsid w:val="1D3A617F"/>
    <w:rsid w:val="1D5B3DF2"/>
    <w:rsid w:val="1D8C1728"/>
    <w:rsid w:val="1E461ADF"/>
    <w:rsid w:val="1E562A35"/>
    <w:rsid w:val="1E9D12F3"/>
    <w:rsid w:val="1EB03E5F"/>
    <w:rsid w:val="1F4314C1"/>
    <w:rsid w:val="1F433891"/>
    <w:rsid w:val="1F7A63F3"/>
    <w:rsid w:val="1F802D83"/>
    <w:rsid w:val="1F8F5FE1"/>
    <w:rsid w:val="1FBA47CF"/>
    <w:rsid w:val="20CF7908"/>
    <w:rsid w:val="20EF1A82"/>
    <w:rsid w:val="20F44186"/>
    <w:rsid w:val="21091025"/>
    <w:rsid w:val="21C31632"/>
    <w:rsid w:val="21EC3859"/>
    <w:rsid w:val="22407D4E"/>
    <w:rsid w:val="226C4581"/>
    <w:rsid w:val="229679A7"/>
    <w:rsid w:val="23333869"/>
    <w:rsid w:val="234F59BA"/>
    <w:rsid w:val="235F4027"/>
    <w:rsid w:val="237F4CBF"/>
    <w:rsid w:val="25123FE5"/>
    <w:rsid w:val="252E2024"/>
    <w:rsid w:val="259026D2"/>
    <w:rsid w:val="25AC2146"/>
    <w:rsid w:val="25BB081D"/>
    <w:rsid w:val="25DE5E65"/>
    <w:rsid w:val="260D5828"/>
    <w:rsid w:val="262B1761"/>
    <w:rsid w:val="263374F8"/>
    <w:rsid w:val="267A6460"/>
    <w:rsid w:val="26B55CAA"/>
    <w:rsid w:val="275B3F2D"/>
    <w:rsid w:val="275E7049"/>
    <w:rsid w:val="2854138E"/>
    <w:rsid w:val="28A62D7A"/>
    <w:rsid w:val="299E27E6"/>
    <w:rsid w:val="29BC58B6"/>
    <w:rsid w:val="29D13D60"/>
    <w:rsid w:val="2A600ED4"/>
    <w:rsid w:val="2A7371B8"/>
    <w:rsid w:val="2B0961F6"/>
    <w:rsid w:val="2B6E6DCD"/>
    <w:rsid w:val="2BAF5386"/>
    <w:rsid w:val="2C216CF4"/>
    <w:rsid w:val="2C62707A"/>
    <w:rsid w:val="2C9E4497"/>
    <w:rsid w:val="2CCA5123"/>
    <w:rsid w:val="2D1B70CC"/>
    <w:rsid w:val="2D4D7CC5"/>
    <w:rsid w:val="2D5436DD"/>
    <w:rsid w:val="2DBA13F2"/>
    <w:rsid w:val="2DF76BF4"/>
    <w:rsid w:val="2EB96778"/>
    <w:rsid w:val="2EEC2A8E"/>
    <w:rsid w:val="2F0D4A48"/>
    <w:rsid w:val="2F2716EE"/>
    <w:rsid w:val="2FBA4C8F"/>
    <w:rsid w:val="2FD73D34"/>
    <w:rsid w:val="30036F8D"/>
    <w:rsid w:val="302B6EC2"/>
    <w:rsid w:val="30DB5CBC"/>
    <w:rsid w:val="317B7637"/>
    <w:rsid w:val="31826958"/>
    <w:rsid w:val="31977E55"/>
    <w:rsid w:val="31C212BC"/>
    <w:rsid w:val="32321E13"/>
    <w:rsid w:val="323465F2"/>
    <w:rsid w:val="32704E90"/>
    <w:rsid w:val="328C42AC"/>
    <w:rsid w:val="328E50E5"/>
    <w:rsid w:val="32AC4590"/>
    <w:rsid w:val="330442AB"/>
    <w:rsid w:val="336F00C0"/>
    <w:rsid w:val="336F5D2F"/>
    <w:rsid w:val="33792460"/>
    <w:rsid w:val="33B32FCA"/>
    <w:rsid w:val="34685083"/>
    <w:rsid w:val="34854AA2"/>
    <w:rsid w:val="354C08CF"/>
    <w:rsid w:val="357120FE"/>
    <w:rsid w:val="35914289"/>
    <w:rsid w:val="35AE4AF0"/>
    <w:rsid w:val="35D554EC"/>
    <w:rsid w:val="363E1B53"/>
    <w:rsid w:val="363E25D5"/>
    <w:rsid w:val="36514B2F"/>
    <w:rsid w:val="36B80A30"/>
    <w:rsid w:val="36E86C67"/>
    <w:rsid w:val="37022F8C"/>
    <w:rsid w:val="375E4A8A"/>
    <w:rsid w:val="37916874"/>
    <w:rsid w:val="37BF3253"/>
    <w:rsid w:val="388515AF"/>
    <w:rsid w:val="38DE17A1"/>
    <w:rsid w:val="39616225"/>
    <w:rsid w:val="398F6E9F"/>
    <w:rsid w:val="3A465481"/>
    <w:rsid w:val="3A8100FB"/>
    <w:rsid w:val="3AA8203E"/>
    <w:rsid w:val="3B1761FC"/>
    <w:rsid w:val="3B721D1C"/>
    <w:rsid w:val="3B7D4662"/>
    <w:rsid w:val="3C3442B0"/>
    <w:rsid w:val="3C61282C"/>
    <w:rsid w:val="3C6D4BB2"/>
    <w:rsid w:val="3C6F6A0B"/>
    <w:rsid w:val="3CB331CA"/>
    <w:rsid w:val="3CC12553"/>
    <w:rsid w:val="3CC42726"/>
    <w:rsid w:val="3CFD2936"/>
    <w:rsid w:val="3D062C9E"/>
    <w:rsid w:val="3DDA7C9E"/>
    <w:rsid w:val="3E8E0381"/>
    <w:rsid w:val="3F2F55FE"/>
    <w:rsid w:val="3F673E53"/>
    <w:rsid w:val="40393E67"/>
    <w:rsid w:val="407E6416"/>
    <w:rsid w:val="41BB7615"/>
    <w:rsid w:val="41DC77B5"/>
    <w:rsid w:val="421E2B3C"/>
    <w:rsid w:val="42207238"/>
    <w:rsid w:val="42472436"/>
    <w:rsid w:val="42CB5EC0"/>
    <w:rsid w:val="42CD5058"/>
    <w:rsid w:val="42DD5FB8"/>
    <w:rsid w:val="430B5890"/>
    <w:rsid w:val="43110BBC"/>
    <w:rsid w:val="43EB3540"/>
    <w:rsid w:val="43F616B2"/>
    <w:rsid w:val="44265DAC"/>
    <w:rsid w:val="442C26B4"/>
    <w:rsid w:val="44A00745"/>
    <w:rsid w:val="44AD1E43"/>
    <w:rsid w:val="45750051"/>
    <w:rsid w:val="45990CFE"/>
    <w:rsid w:val="46090E2F"/>
    <w:rsid w:val="46B3386D"/>
    <w:rsid w:val="46B91669"/>
    <w:rsid w:val="46FD0EE9"/>
    <w:rsid w:val="47E75910"/>
    <w:rsid w:val="47EF3402"/>
    <w:rsid w:val="489F426C"/>
    <w:rsid w:val="48AB0E65"/>
    <w:rsid w:val="496C21B9"/>
    <w:rsid w:val="49A346F4"/>
    <w:rsid w:val="4AE22478"/>
    <w:rsid w:val="4AF84E60"/>
    <w:rsid w:val="4BA54C70"/>
    <w:rsid w:val="4BEE6204"/>
    <w:rsid w:val="4CB156B8"/>
    <w:rsid w:val="4DA94D9B"/>
    <w:rsid w:val="4DC81F94"/>
    <w:rsid w:val="4DE97F77"/>
    <w:rsid w:val="4DEB115E"/>
    <w:rsid w:val="4E150CBC"/>
    <w:rsid w:val="4E3F7B34"/>
    <w:rsid w:val="4EBC4B37"/>
    <w:rsid w:val="4ED1424C"/>
    <w:rsid w:val="4EE6424F"/>
    <w:rsid w:val="4F34035F"/>
    <w:rsid w:val="4F6C7B29"/>
    <w:rsid w:val="4F9F4C9A"/>
    <w:rsid w:val="500859DA"/>
    <w:rsid w:val="51FD1DDC"/>
    <w:rsid w:val="52604FF9"/>
    <w:rsid w:val="528A6CDD"/>
    <w:rsid w:val="52BE128F"/>
    <w:rsid w:val="52FA5727"/>
    <w:rsid w:val="55690269"/>
    <w:rsid w:val="55743A9E"/>
    <w:rsid w:val="55970191"/>
    <w:rsid w:val="56B80112"/>
    <w:rsid w:val="56EF7A79"/>
    <w:rsid w:val="57E22C6A"/>
    <w:rsid w:val="587A4A0F"/>
    <w:rsid w:val="58F06A78"/>
    <w:rsid w:val="59592BA6"/>
    <w:rsid w:val="59946F1E"/>
    <w:rsid w:val="59A45D9A"/>
    <w:rsid w:val="59B21CB5"/>
    <w:rsid w:val="5AA02A62"/>
    <w:rsid w:val="5ADC2DBC"/>
    <w:rsid w:val="5ADC6D4A"/>
    <w:rsid w:val="5AEE44F9"/>
    <w:rsid w:val="5B4D42BB"/>
    <w:rsid w:val="5BD02E07"/>
    <w:rsid w:val="5C8C40A2"/>
    <w:rsid w:val="5CE425D9"/>
    <w:rsid w:val="5CF64C85"/>
    <w:rsid w:val="5D153776"/>
    <w:rsid w:val="5D1905D9"/>
    <w:rsid w:val="5D690B69"/>
    <w:rsid w:val="5E2F5555"/>
    <w:rsid w:val="5EA952E4"/>
    <w:rsid w:val="5EBD15B4"/>
    <w:rsid w:val="5ED460F4"/>
    <w:rsid w:val="5F6D0481"/>
    <w:rsid w:val="60435249"/>
    <w:rsid w:val="6089192F"/>
    <w:rsid w:val="60C412AB"/>
    <w:rsid w:val="60D106E0"/>
    <w:rsid w:val="61B01D69"/>
    <w:rsid w:val="61E92179"/>
    <w:rsid w:val="621264A9"/>
    <w:rsid w:val="62337532"/>
    <w:rsid w:val="629807A4"/>
    <w:rsid w:val="62AC0174"/>
    <w:rsid w:val="63447EF7"/>
    <w:rsid w:val="634D57D8"/>
    <w:rsid w:val="634F2EB8"/>
    <w:rsid w:val="63556D2D"/>
    <w:rsid w:val="63710C5F"/>
    <w:rsid w:val="644D627C"/>
    <w:rsid w:val="647C1F0A"/>
    <w:rsid w:val="64F25ACE"/>
    <w:rsid w:val="650D1408"/>
    <w:rsid w:val="65261DB2"/>
    <w:rsid w:val="659A38FF"/>
    <w:rsid w:val="659E0CE5"/>
    <w:rsid w:val="65D1086D"/>
    <w:rsid w:val="65D42BBA"/>
    <w:rsid w:val="667275B0"/>
    <w:rsid w:val="66FE4D4A"/>
    <w:rsid w:val="67621B71"/>
    <w:rsid w:val="67AE3C4D"/>
    <w:rsid w:val="682B436B"/>
    <w:rsid w:val="68DA781B"/>
    <w:rsid w:val="69E114EB"/>
    <w:rsid w:val="6A02054A"/>
    <w:rsid w:val="6B6C7DAB"/>
    <w:rsid w:val="6BCF3538"/>
    <w:rsid w:val="6C34734B"/>
    <w:rsid w:val="6C575259"/>
    <w:rsid w:val="6C696D3F"/>
    <w:rsid w:val="6CB557E9"/>
    <w:rsid w:val="6D5E2A7B"/>
    <w:rsid w:val="6D5E4C52"/>
    <w:rsid w:val="6EBD6EF4"/>
    <w:rsid w:val="6EDB058D"/>
    <w:rsid w:val="6F02317C"/>
    <w:rsid w:val="6F7B56B4"/>
    <w:rsid w:val="6F9B489B"/>
    <w:rsid w:val="70335F53"/>
    <w:rsid w:val="707A6FE4"/>
    <w:rsid w:val="70FD12BD"/>
    <w:rsid w:val="716777F6"/>
    <w:rsid w:val="716E0F10"/>
    <w:rsid w:val="71D4307B"/>
    <w:rsid w:val="71DA2F84"/>
    <w:rsid w:val="72541869"/>
    <w:rsid w:val="72F5250A"/>
    <w:rsid w:val="73CE14C8"/>
    <w:rsid w:val="746D11DF"/>
    <w:rsid w:val="74F012BB"/>
    <w:rsid w:val="75051843"/>
    <w:rsid w:val="75145E34"/>
    <w:rsid w:val="751A4EE8"/>
    <w:rsid w:val="752028B3"/>
    <w:rsid w:val="753F50A6"/>
    <w:rsid w:val="75C311FD"/>
    <w:rsid w:val="75E92B5E"/>
    <w:rsid w:val="763C787D"/>
    <w:rsid w:val="76606B32"/>
    <w:rsid w:val="76B7071E"/>
    <w:rsid w:val="77486B13"/>
    <w:rsid w:val="780F160C"/>
    <w:rsid w:val="784D2C13"/>
    <w:rsid w:val="787E6DCB"/>
    <w:rsid w:val="789E6DC6"/>
    <w:rsid w:val="78A30618"/>
    <w:rsid w:val="78F31494"/>
    <w:rsid w:val="79134D5B"/>
    <w:rsid w:val="79496DA0"/>
    <w:rsid w:val="79D54277"/>
    <w:rsid w:val="79ED7C4A"/>
    <w:rsid w:val="79EE5957"/>
    <w:rsid w:val="7A2026C5"/>
    <w:rsid w:val="7A513D53"/>
    <w:rsid w:val="7AEF6A73"/>
    <w:rsid w:val="7BD87F91"/>
    <w:rsid w:val="7C0A4B3C"/>
    <w:rsid w:val="7C4230AA"/>
    <w:rsid w:val="7C453CA2"/>
    <w:rsid w:val="7C6E4166"/>
    <w:rsid w:val="7CA87111"/>
    <w:rsid w:val="7D530983"/>
    <w:rsid w:val="7D554E3F"/>
    <w:rsid w:val="7D9135B2"/>
    <w:rsid w:val="7DD006E0"/>
    <w:rsid w:val="7E1D3CDE"/>
    <w:rsid w:val="7EC341C6"/>
    <w:rsid w:val="7F024DD5"/>
    <w:rsid w:val="7F8D7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51"/>
    </w:pPr>
    <w:rPr>
      <w:sz w:val="32"/>
      <w:szCs w:val="32"/>
    </w:rPr>
  </w:style>
  <w:style w:type="paragraph" w:styleId="3">
    <w:name w:val="footer"/>
    <w:basedOn w:val="1"/>
    <w:qFormat/>
    <w:uiPriority w:val="0"/>
    <w:pPr>
      <w:tabs>
        <w:tab w:val="center" w:pos="4153"/>
        <w:tab w:val="right" w:pos="8306"/>
      </w:tabs>
      <w:snapToGrid w:val="0"/>
    </w:pPr>
    <w:rPr>
      <w:sz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customStyle="1" w:styleId="10">
    <w:name w:val="页眉 Char"/>
    <w:basedOn w:val="8"/>
    <w:link w:val="4"/>
    <w:qFormat/>
    <w:uiPriority w:val="0"/>
    <w:rPr>
      <w:rFonts w:ascii="方正仿宋_GBK" w:hAnsi="方正仿宋_GBK" w:eastAsia="方正仿宋_GBK" w:cs="方正仿宋_GBK"/>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955</Words>
  <Characters>5446</Characters>
  <Lines>45</Lines>
  <Paragraphs>12</Paragraphs>
  <TotalTime>2</TotalTime>
  <ScaleCrop>false</ScaleCrop>
  <LinksUpToDate>false</LinksUpToDate>
  <CharactersWithSpaces>6389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2021-01-19T02:25:00Z</dcterms:created>
  <dc:creator>Darren</dc:creator>
  <cp:lastModifiedBy>Administrator</cp:lastModifiedBy>
  <cp:lastPrinted>2021-01-20T02:22:00Z</cp:lastPrinted>
  <dcterms:modified xsi:type="dcterms:W3CDTF">2021-02-04T01:30:20Z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