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pacing w:after="0" w:line="540" w:lineRule="exact"/>
        <w:jc w:val="center"/>
        <w:rPr>
          <w:rFonts w:hint="default" w:ascii="Times New Roman" w:hAnsi="Times New Roman" w:eastAsia="方正小标宋简体" w:cs="Times New Roman"/>
          <w:b w:val="0"/>
          <w:bCs w:val="0"/>
          <w:w w:val="90"/>
          <w:sz w:val="44"/>
          <w:szCs w:val="44"/>
          <w:lang w:val="en-US" w:eastAsia="zh-CN"/>
        </w:rPr>
      </w:pPr>
      <w:r>
        <w:rPr>
          <w:rFonts w:hint="default" w:ascii="Times New Roman" w:hAnsi="Times New Roman" w:eastAsia="方正小标宋简体" w:cs="Times New Roman"/>
          <w:b w:val="0"/>
          <w:bCs w:val="0"/>
          <w:w w:val="90"/>
          <w:sz w:val="44"/>
          <w:szCs w:val="44"/>
          <w:lang w:val="en-US" w:eastAsia="zh-CN"/>
        </w:rPr>
        <w:t>沂源县商务局</w:t>
      </w:r>
    </w:p>
    <w:p>
      <w:pPr>
        <w:pStyle w:val="4"/>
        <w:keepNext w:val="0"/>
        <w:keepLines w:val="0"/>
        <w:pageBreakBefore w:val="0"/>
        <w:widowControl w:val="0"/>
        <w:kinsoku/>
        <w:wordWrap/>
        <w:overflowPunct/>
        <w:topLinePunct w:val="0"/>
        <w:autoSpaceDE/>
        <w:autoSpaceDN/>
        <w:bidi w:val="0"/>
        <w:spacing w:after="0" w:line="540" w:lineRule="exact"/>
        <w:jc w:val="center"/>
        <w:rPr>
          <w:rFonts w:hint="default" w:ascii="Times New Roman" w:hAnsi="Times New Roman" w:eastAsia="方正小标宋简体" w:cs="Times New Roman"/>
          <w:b w:val="0"/>
          <w:bCs w:val="0"/>
          <w:w w:val="90"/>
          <w:sz w:val="44"/>
          <w:szCs w:val="44"/>
          <w:lang w:val="en-US" w:eastAsia="zh-CN"/>
        </w:rPr>
      </w:pPr>
      <w:r>
        <w:rPr>
          <w:rFonts w:hint="default" w:ascii="Times New Roman" w:hAnsi="Times New Roman" w:eastAsia="方正小标宋简体" w:cs="Times New Roman"/>
          <w:b w:val="0"/>
          <w:bCs w:val="0"/>
          <w:w w:val="90"/>
          <w:sz w:val="44"/>
          <w:szCs w:val="44"/>
          <w:lang w:val="en-US" w:eastAsia="zh-CN"/>
        </w:rPr>
        <w:t>2020年工作总结和2021年及“十四五”工作谋划</w:t>
      </w:r>
    </w:p>
    <w:p>
      <w:pPr>
        <w:pStyle w:val="4"/>
        <w:keepNext w:val="0"/>
        <w:keepLines w:val="0"/>
        <w:pageBreakBefore w:val="0"/>
        <w:widowControl w:val="0"/>
        <w:kinsoku/>
        <w:wordWrap/>
        <w:overflowPunct/>
        <w:topLinePunct w:val="0"/>
        <w:autoSpaceDE/>
        <w:autoSpaceDN/>
        <w:bidi w:val="0"/>
        <w:spacing w:after="0" w:line="540" w:lineRule="exact"/>
        <w:jc w:val="center"/>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一、2020年工作总结</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val="0"/>
        <w:snapToGrid w:val="0"/>
        <w:spacing w:line="540" w:lineRule="exact"/>
        <w:ind w:right="0" w:rightChars="0" w:firstLine="64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对外开放工作稳步推进</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1.稳定实现外资引进。1-11月到账外资1325万美元，同比增长56.64%，新设外资企业5家；预计全年到账外资3750万美元（上报数），同比增长216.72%。一是抓项目引资金。紧抓光大绿色环保、韩友利农业等6个在建项目，到位外资1326万美元；紧盯签约项目落地，投资8亿元的英科医疗医用塑胶手套项目到位外资2000万美元，投资1.3亿元的弘毅达手机摄像头及智能终端项目，并购变更为外资企业；跟踪服务好韩国提艾斯现代汽车线束等8个在谈项目，力促尽快签约。二是抓重点招商活动。组织好第二届儒商大会暨青年企业家创新发展国际峰会、年产6亿WH锂子动力电池等5个线上项目洽谈、中以创新论坛—沂源医疗器械项目路演、第三届中国国际进口博览会等系列活动，线上结合线下融合引项目。三是抓招商方式创新。围绕新医药、新材料、电子信息等三大主导产业，开启“屏对屏”“线连线”的“云招商”模式，确保联系不断、项目不丢。发挥企业主体作用，实行“朋友圈”招商和“链主制”“链长制”招商，有针对性地开展“补链、延链、扩链、强链”。四是抓引资渠道拓宽。在交通道路、城建、水务等市政基础设施等领域，全面拓宽利用外资渠道，重点推进碧桂园凤凰源筑项目。五是抓政策引导。出台《关于大力实施改革开放赋能打造对外开放新高地的意见》和《对外开放十条突破性政策措施》，充分释放政策红利。六是抓服务质量提升。为鲁阳、光大绿色环保、瑞泽园养老、韩友利农业设立首席服务官和首席服务大使，做到“政策找人”“随叫随到”“全程代办”。</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color w:val="000000"/>
          <w:sz w:val="32"/>
          <w:szCs w:val="32"/>
          <w:u w:val="none"/>
          <w:lang w:eastAsia="zh-CN"/>
        </w:rPr>
      </w:pPr>
      <w:r>
        <w:rPr>
          <w:rFonts w:hint="default" w:ascii="Times New Roman" w:hAnsi="Times New Roman" w:eastAsia="楷体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2.着力稳外贸，疫情中育新机。1-8月份，实现进出口总额22.58亿元，同比增长1.3%。预计全年实现进出口35.03亿元，同比增长6.9%。一是稳住龙头企业增</w:t>
      </w:r>
      <w:r>
        <w:rPr>
          <w:rFonts w:hint="default" w:ascii="Times New Roman" w:hAnsi="Times New Roman" w:eastAsia="仿宋_GB2312" w:cs="Times New Roman"/>
          <w:b w:val="0"/>
          <w:bCs w:val="0"/>
          <w:color w:val="000000"/>
          <w:sz w:val="32"/>
          <w:szCs w:val="32"/>
          <w:u w:val="none"/>
          <w:lang w:val="en-US" w:eastAsia="zh-CN"/>
        </w:rPr>
        <w:t>势</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助力</w:t>
      </w:r>
      <w:r>
        <w:rPr>
          <w:rFonts w:hint="default" w:ascii="Times New Roman" w:hAnsi="Times New Roman" w:eastAsia="仿宋_GB2312" w:cs="Times New Roman"/>
          <w:b w:val="0"/>
          <w:bCs w:val="0"/>
          <w:color w:val="000000"/>
          <w:sz w:val="32"/>
          <w:szCs w:val="32"/>
          <w:u w:val="none"/>
          <w:lang w:eastAsia="zh-CN"/>
        </w:rPr>
        <w:t>保持骨干外贸企业稳定增长，山东药玻、瑞阳制药</w:t>
      </w:r>
      <w:r>
        <w:rPr>
          <w:rFonts w:hint="default" w:ascii="Times New Roman" w:hAnsi="Times New Roman" w:eastAsia="仿宋_GB2312" w:cs="Times New Roman"/>
          <w:b w:val="0"/>
          <w:bCs w:val="0"/>
          <w:color w:val="000000"/>
          <w:sz w:val="32"/>
          <w:szCs w:val="32"/>
          <w:u w:val="none"/>
          <w:lang w:val="en-US" w:eastAsia="zh-CN"/>
        </w:rPr>
        <w:t>等龙头企业出口平均增速5%以上</w:t>
      </w:r>
      <w:r>
        <w:rPr>
          <w:rFonts w:hint="default"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lang w:val="en-US" w:eastAsia="zh-CN"/>
        </w:rPr>
        <w:t>二是</w:t>
      </w:r>
      <w:r>
        <w:rPr>
          <w:rFonts w:hint="default" w:ascii="Times New Roman" w:hAnsi="Times New Roman" w:eastAsia="仿宋_GB2312" w:cs="Times New Roman"/>
          <w:b w:val="0"/>
          <w:bCs w:val="0"/>
          <w:color w:val="000000"/>
          <w:sz w:val="32"/>
          <w:szCs w:val="32"/>
          <w:u w:val="none"/>
          <w:lang w:eastAsia="zh-CN"/>
        </w:rPr>
        <w:t>大力引进平台。新引进1家外贸服务平台淄博众健生物科技有限公司，3月份注册</w:t>
      </w:r>
      <w:r>
        <w:rPr>
          <w:rFonts w:hint="default" w:ascii="Times New Roman" w:hAnsi="Times New Roman" w:eastAsia="仿宋_GB2312" w:cs="Times New Roman"/>
          <w:b w:val="0"/>
          <w:bCs w:val="0"/>
          <w:color w:val="000000"/>
          <w:sz w:val="32"/>
          <w:szCs w:val="32"/>
          <w:u w:val="none"/>
          <w:lang w:val="en-US" w:eastAsia="zh-CN"/>
        </w:rPr>
        <w:t>至今出口情况稳定</w:t>
      </w:r>
      <w:r>
        <w:rPr>
          <w:rFonts w:hint="default" w:ascii="Times New Roman" w:hAnsi="Times New Roman" w:eastAsia="仿宋_GB2312" w:cs="Times New Roman"/>
          <w:b w:val="0"/>
          <w:bCs w:val="0"/>
          <w:color w:val="000000"/>
          <w:sz w:val="32"/>
          <w:szCs w:val="32"/>
          <w:u w:val="none"/>
          <w:lang w:eastAsia="zh-CN"/>
        </w:rPr>
        <w:t>，预计全年出口达</w:t>
      </w:r>
      <w:r>
        <w:rPr>
          <w:rFonts w:hint="default" w:ascii="Times New Roman" w:hAnsi="Times New Roman" w:eastAsia="仿宋_GB2312" w:cs="Times New Roman"/>
          <w:b w:val="0"/>
          <w:bCs w:val="0"/>
          <w:color w:val="000000"/>
          <w:sz w:val="32"/>
          <w:szCs w:val="32"/>
          <w:u w:val="none"/>
          <w:lang w:val="en-US" w:eastAsia="zh-CN"/>
        </w:rPr>
        <w:t>5000万元以上。三是狠抓</w:t>
      </w:r>
      <w:r>
        <w:rPr>
          <w:rFonts w:hint="default" w:ascii="Times New Roman" w:hAnsi="Times New Roman" w:eastAsia="仿宋_GB2312" w:cs="Times New Roman"/>
          <w:b w:val="0"/>
          <w:bCs w:val="0"/>
          <w:color w:val="000000"/>
          <w:sz w:val="32"/>
          <w:szCs w:val="32"/>
          <w:u w:val="none"/>
          <w:lang w:eastAsia="zh-CN"/>
        </w:rPr>
        <w:t>潜力挖潜。新备案对外贸易经营者企业</w:t>
      </w:r>
      <w:r>
        <w:rPr>
          <w:rFonts w:hint="default" w:ascii="Times New Roman" w:hAnsi="Times New Roman" w:eastAsia="仿宋_GB2312" w:cs="Times New Roman"/>
          <w:b w:val="0"/>
          <w:bCs w:val="0"/>
          <w:color w:val="000000"/>
          <w:sz w:val="32"/>
          <w:szCs w:val="32"/>
          <w:u w:val="none"/>
          <w:lang w:val="en-US" w:eastAsia="zh-CN"/>
        </w:rPr>
        <w:t>40</w:t>
      </w:r>
      <w:r>
        <w:rPr>
          <w:rFonts w:hint="default" w:ascii="Times New Roman" w:hAnsi="Times New Roman" w:eastAsia="仿宋_GB2312" w:cs="Times New Roman"/>
          <w:b w:val="0"/>
          <w:bCs w:val="0"/>
          <w:color w:val="000000"/>
          <w:sz w:val="32"/>
          <w:szCs w:val="32"/>
          <w:u w:val="none"/>
          <w:lang w:eastAsia="zh-CN"/>
        </w:rPr>
        <w:t>家，</w:t>
      </w:r>
      <w:r>
        <w:rPr>
          <w:rFonts w:hint="default" w:ascii="Times New Roman" w:hAnsi="Times New Roman" w:eastAsia="仿宋_GB2312" w:cs="Times New Roman"/>
          <w:b w:val="0"/>
          <w:bCs w:val="0"/>
          <w:color w:val="000000"/>
          <w:sz w:val="32"/>
          <w:szCs w:val="32"/>
          <w:u w:val="none"/>
          <w:lang w:val="en-US" w:eastAsia="zh-CN"/>
        </w:rPr>
        <w:t>预计全年</w:t>
      </w:r>
      <w:r>
        <w:rPr>
          <w:rFonts w:hint="default" w:ascii="Times New Roman" w:hAnsi="Times New Roman" w:eastAsia="仿宋_GB2312" w:cs="Times New Roman"/>
          <w:b w:val="0"/>
          <w:bCs w:val="0"/>
          <w:color w:val="000000"/>
          <w:sz w:val="32"/>
          <w:szCs w:val="32"/>
          <w:u w:val="none"/>
          <w:lang w:eastAsia="zh-CN"/>
        </w:rPr>
        <w:t>新开壶企业</w:t>
      </w:r>
      <w:r>
        <w:rPr>
          <w:rFonts w:hint="default" w:ascii="Times New Roman" w:hAnsi="Times New Roman" w:eastAsia="仿宋_GB2312" w:cs="Times New Roman"/>
          <w:b w:val="0"/>
          <w:bCs w:val="0"/>
          <w:color w:val="000000"/>
          <w:sz w:val="32"/>
          <w:szCs w:val="32"/>
          <w:u w:val="none"/>
          <w:lang w:val="en-US" w:eastAsia="zh-CN"/>
        </w:rPr>
        <w:t>10家以上，有</w:t>
      </w:r>
      <w:r>
        <w:rPr>
          <w:rFonts w:hint="default" w:ascii="Times New Roman" w:hAnsi="Times New Roman" w:eastAsia="仿宋_GB2312" w:cs="Times New Roman"/>
          <w:b w:val="0"/>
          <w:bCs w:val="0"/>
          <w:color w:val="000000"/>
          <w:sz w:val="32"/>
          <w:szCs w:val="32"/>
          <w:u w:val="none"/>
          <w:lang w:eastAsia="zh-CN"/>
        </w:rPr>
        <w:t>进出口实绩企业达到</w:t>
      </w:r>
      <w:r>
        <w:rPr>
          <w:rFonts w:hint="default" w:ascii="Times New Roman" w:hAnsi="Times New Roman" w:eastAsia="仿宋_GB2312" w:cs="Times New Roman"/>
          <w:b w:val="0"/>
          <w:bCs w:val="0"/>
          <w:color w:val="000000"/>
          <w:sz w:val="32"/>
          <w:szCs w:val="32"/>
          <w:u w:val="none"/>
          <w:lang w:val="en-US" w:eastAsia="zh-CN"/>
        </w:rPr>
        <w:t>95</w:t>
      </w:r>
      <w:r>
        <w:rPr>
          <w:rFonts w:hint="default" w:ascii="Times New Roman" w:hAnsi="Times New Roman" w:eastAsia="仿宋_GB2312" w:cs="Times New Roman"/>
          <w:b w:val="0"/>
          <w:bCs w:val="0"/>
          <w:color w:val="000000"/>
          <w:sz w:val="32"/>
          <w:szCs w:val="32"/>
          <w:u w:val="none"/>
          <w:lang w:eastAsia="zh-CN"/>
        </w:rPr>
        <w:t>家</w:t>
      </w:r>
      <w:r>
        <w:rPr>
          <w:rFonts w:hint="default" w:ascii="Times New Roman" w:hAnsi="Times New Roman" w:eastAsia="仿宋_GB2312" w:cs="Times New Roman"/>
          <w:b w:val="0"/>
          <w:bCs w:val="0"/>
          <w:color w:val="000000"/>
          <w:sz w:val="32"/>
          <w:szCs w:val="32"/>
          <w:u w:val="none"/>
          <w:lang w:val="en-US" w:eastAsia="zh-CN"/>
        </w:rPr>
        <w:t>以上</w:t>
      </w:r>
      <w:r>
        <w:rPr>
          <w:rFonts w:hint="default" w:ascii="Times New Roman" w:hAnsi="Times New Roman" w:eastAsia="仿宋_GB2312" w:cs="Times New Roman"/>
          <w:b w:val="0"/>
          <w:bCs w:val="0"/>
          <w:color w:val="000000"/>
          <w:sz w:val="32"/>
          <w:szCs w:val="32"/>
          <w:u w:val="none"/>
          <w:lang w:eastAsia="zh-CN"/>
        </w:rPr>
        <w:t>，实现进出口额过亿元的企业</w:t>
      </w:r>
      <w:r>
        <w:rPr>
          <w:rFonts w:hint="default" w:ascii="Times New Roman" w:hAnsi="Times New Roman" w:eastAsia="仿宋_GB2312" w:cs="Times New Roman"/>
          <w:b w:val="0"/>
          <w:bCs w:val="0"/>
          <w:color w:val="000000"/>
          <w:sz w:val="32"/>
          <w:szCs w:val="32"/>
          <w:u w:val="none"/>
          <w:lang w:val="en-US" w:eastAsia="zh-CN"/>
        </w:rPr>
        <w:t>7家，过千万元企业22家，</w:t>
      </w:r>
      <w:r>
        <w:rPr>
          <w:rFonts w:hint="default" w:ascii="Times New Roman" w:hAnsi="Times New Roman" w:eastAsia="仿宋_GB2312" w:cs="Times New Roman"/>
          <w:b w:val="0"/>
          <w:bCs w:val="0"/>
          <w:color w:val="000000"/>
          <w:sz w:val="32"/>
          <w:szCs w:val="32"/>
          <w:u w:val="none"/>
          <w:lang w:eastAsia="zh-CN"/>
        </w:rPr>
        <w:t>全面壮大</w:t>
      </w:r>
      <w:r>
        <w:rPr>
          <w:rFonts w:hint="default" w:ascii="Times New Roman" w:hAnsi="Times New Roman" w:eastAsia="仿宋_GB2312" w:cs="Times New Roman"/>
          <w:b w:val="0"/>
          <w:bCs w:val="0"/>
          <w:color w:val="000000"/>
          <w:sz w:val="32"/>
          <w:szCs w:val="32"/>
          <w:u w:val="none"/>
          <w:lang w:val="en-US" w:eastAsia="zh-CN"/>
        </w:rPr>
        <w:t>全县</w:t>
      </w:r>
      <w:r>
        <w:rPr>
          <w:rFonts w:hint="default" w:ascii="Times New Roman" w:hAnsi="Times New Roman" w:eastAsia="仿宋_GB2312" w:cs="Times New Roman"/>
          <w:b w:val="0"/>
          <w:bCs w:val="0"/>
          <w:color w:val="000000"/>
          <w:sz w:val="32"/>
          <w:szCs w:val="32"/>
          <w:u w:val="none"/>
          <w:lang w:eastAsia="zh-CN"/>
        </w:rPr>
        <w:t>出口创汇主体。</w:t>
      </w:r>
      <w:r>
        <w:rPr>
          <w:rFonts w:hint="default" w:ascii="Times New Roman" w:hAnsi="Times New Roman" w:eastAsia="仿宋_GB2312" w:cs="Times New Roman"/>
          <w:b w:val="0"/>
          <w:bCs w:val="0"/>
          <w:color w:val="000000"/>
          <w:sz w:val="32"/>
          <w:szCs w:val="32"/>
          <w:u w:val="none"/>
          <w:lang w:val="en-US" w:eastAsia="zh-CN"/>
        </w:rPr>
        <w:t>四是</w:t>
      </w:r>
      <w:r>
        <w:rPr>
          <w:rFonts w:hint="default" w:ascii="Times New Roman" w:hAnsi="Times New Roman" w:eastAsia="仿宋_GB2312" w:cs="Times New Roman"/>
          <w:b w:val="0"/>
          <w:bCs w:val="0"/>
          <w:color w:val="000000"/>
          <w:sz w:val="32"/>
          <w:szCs w:val="32"/>
          <w:u w:val="none"/>
          <w:lang w:eastAsia="zh-CN"/>
        </w:rPr>
        <w:t>积极对上争取。组织企业积极申报2020年市级外经贸专项资金、中央外经贸发展专项资金等各级鼓励扶持政策。</w:t>
      </w:r>
      <w:r>
        <w:rPr>
          <w:rFonts w:hint="default" w:ascii="Times New Roman" w:hAnsi="Times New Roman" w:eastAsia="仿宋_GB2312" w:cs="Times New Roman"/>
          <w:b w:val="0"/>
          <w:bCs w:val="0"/>
          <w:color w:val="000000"/>
          <w:sz w:val="32"/>
          <w:szCs w:val="32"/>
          <w:u w:val="none"/>
          <w:lang w:val="en-US" w:eastAsia="zh-CN"/>
        </w:rPr>
        <w:t>为</w:t>
      </w:r>
      <w:r>
        <w:rPr>
          <w:rFonts w:hint="default" w:ascii="Times New Roman" w:hAnsi="Times New Roman" w:eastAsia="仿宋_GB2312" w:cs="Times New Roman"/>
          <w:b w:val="0"/>
          <w:bCs w:val="0"/>
          <w:color w:val="000000"/>
          <w:sz w:val="32"/>
          <w:szCs w:val="32"/>
          <w:u w:val="none"/>
          <w:lang w:eastAsia="zh-CN"/>
        </w:rPr>
        <w:t>鲁阳节能、瑞丰高分子等</w:t>
      </w:r>
      <w:r>
        <w:rPr>
          <w:rFonts w:hint="default" w:ascii="Times New Roman" w:hAnsi="Times New Roman" w:eastAsia="仿宋_GB2312" w:cs="Times New Roman"/>
          <w:b w:val="0"/>
          <w:bCs w:val="0"/>
          <w:color w:val="000000"/>
          <w:sz w:val="32"/>
          <w:szCs w:val="32"/>
          <w:u w:val="none"/>
          <w:lang w:val="en-US" w:eastAsia="zh-CN"/>
        </w:rPr>
        <w:t>8家企业申请出口信用保险保费补贴、防疫物资进口贴息等疫情期间专项补助43.7万元。五是</w:t>
      </w:r>
      <w:r>
        <w:rPr>
          <w:rFonts w:hint="default" w:ascii="Times New Roman" w:hAnsi="Times New Roman" w:eastAsia="仿宋_GB2312" w:cs="Times New Roman"/>
          <w:b w:val="0"/>
          <w:bCs w:val="0"/>
          <w:color w:val="000000"/>
          <w:sz w:val="32"/>
          <w:szCs w:val="32"/>
          <w:u w:val="none"/>
          <w:lang w:eastAsia="zh-CN"/>
        </w:rPr>
        <w:t>优化服务。联合海关培育瑞阳制药成为2020年全市唯一一家通过AEO高级认证的企业，提升了通关便利化水平；帮助鲁阳、盛龙圆获得广交会展位，促进企业获取订单、保住市场；会同中信保公司为符合条件的43家小微企业免费投保，充分发挥了保驾护航作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color w:val="000000"/>
          <w:sz w:val="32"/>
          <w:szCs w:val="32"/>
          <w:u w:val="none"/>
          <w:lang w:val="en-US" w:eastAsia="zh-CN"/>
        </w:rPr>
        <w:t>3.</w:t>
      </w:r>
      <w:r>
        <w:rPr>
          <w:rFonts w:hint="default" w:ascii="Times New Roman" w:hAnsi="Times New Roman" w:eastAsia="仿宋_GB2312" w:cs="Times New Roman"/>
          <w:b w:val="0"/>
          <w:bCs w:val="0"/>
          <w:kern w:val="2"/>
          <w:sz w:val="32"/>
          <w:szCs w:val="32"/>
          <w:lang w:val="en-US" w:eastAsia="zh-CN" w:bidi="ar-SA"/>
        </w:rPr>
        <w:t>保持服务贸易稳定增长。1-8月份实现服务贸易进出口40043万元，同比增长2.5%；预计全年实现服务贸易进出口7亿元，同比增长2.7%。</w:t>
      </w:r>
      <w:r>
        <w:rPr>
          <w:rFonts w:hint="default"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kern w:val="2"/>
          <w:sz w:val="32"/>
          <w:szCs w:val="32"/>
          <w:lang w:val="en-US" w:eastAsia="zh-CN" w:bidi="ar-SA"/>
        </w:rPr>
        <w:t>借助平台走出去。通过组织参加“对外承包工程行业发展论坛”</w:t>
      </w:r>
      <w:r>
        <w:rPr>
          <w:rFonts w:hint="default" w:ascii="Times New Roman" w:hAnsi="Times New Roman" w:eastAsia="仿宋_GB2312" w:cs="Times New Roman"/>
          <w:b w:val="0"/>
          <w:bCs w:val="0"/>
          <w:kern w:val="2"/>
          <w:sz w:val="32"/>
          <w:szCs w:val="32"/>
          <w:lang w:val="en-US" w:eastAsia="zh-CN" w:bidi="ar-SA"/>
        </w:rPr>
        <w:t>、“善用香港平台、鲁港合作共赢”推介会等活动，不断提升国际化营销水平。目前我县对外投资企业5家，境外办事处1家，总投资2073.7万美元。二是抓住重点走出去。重点抓好瑞阳制药年产1000吨哌拉西林国际高端认证产业化项目，产品研发占比由5%提高到了15%。目前，我县在商务部服务外包管理信息系统注册的服务外包企业共计11家，数据全部实现纳统。</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外事工作严格有序推进。一是全力做好入境人员转运工作。所有境外返回人员均按照“点对点”接回、“手递手”移交的要求进行管理，在负责入境人员疫情处置工作期间，处置得当，应急措施得力，受到市疫情指挥部的通报表扬。二是整合我县对外交流合作信息。以淄博市对外交流合作信息平台为依托，整合我县外语人才、境外友好人员、境外代表机构等信息840余条，为招商引资、对外经贸合作提供了丰富的资源。</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（二）商贸流通业规范有序运行</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批零住餐”业回暖向好。1-12月份，限额以上批发业实现销售额36.48亿元，同比下降8.4%；限额以上零售业实现销售额3.4亿元，同比下降22.1%；限额以上住宿业实现营业额0.16亿元，同比下降11.3%；限额以上餐饮业实现营业额0.5亿元，同比下降9.2%。一是加大培育纳新力度，</w:t>
      </w:r>
      <w:r>
        <w:rPr>
          <w:rFonts w:hint="eastAsia" w:ascii="Times New Roman" w:hAnsi="Times New Roman" w:eastAsia="仿宋_GB2312" w:cs="Times New Roman"/>
          <w:b w:val="0"/>
          <w:bCs w:val="0"/>
          <w:kern w:val="2"/>
          <w:sz w:val="32"/>
          <w:szCs w:val="32"/>
          <w:lang w:val="en-US" w:eastAsia="zh-CN" w:bidi="ar-SA"/>
        </w:rPr>
        <w:t>全</w:t>
      </w:r>
      <w:r>
        <w:rPr>
          <w:rFonts w:hint="default" w:ascii="Times New Roman" w:hAnsi="Times New Roman" w:eastAsia="仿宋_GB2312" w:cs="Times New Roman"/>
          <w:b w:val="0"/>
          <w:bCs w:val="0"/>
          <w:kern w:val="2"/>
          <w:sz w:val="32"/>
          <w:szCs w:val="32"/>
          <w:lang w:val="en-US" w:eastAsia="zh-CN" w:bidi="ar-SA"/>
        </w:rPr>
        <w:t>年新纳统企业17家，其中批发12家、零售3家、餐饮2家。二是联合县财政、融媒体中心举办消费惠民活动，发放200万元零售餐饮消费券，共有69家企业、10万人参加，有效刺激了零售餐饮业经济复苏。三是与企业共度疫情难关，牵头制定了5个疫情防控工作方案，起草了4部疫情防控指南，累计为12个企业发放55055个口罩；积极落实房租减免补贴政策，共为4家商超减免房租补贴金额62.7万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2.成品油监管取得实效。</w:t>
      </w:r>
      <w:bookmarkStart w:id="0" w:name="_Hlk44935273"/>
      <w:r>
        <w:rPr>
          <w:rFonts w:hint="default" w:ascii="Times New Roman" w:hAnsi="Times New Roman" w:eastAsia="仿宋_GB2312" w:cs="Times New Roman"/>
          <w:b w:val="0"/>
          <w:bCs w:val="0"/>
          <w:kern w:val="2"/>
          <w:sz w:val="32"/>
          <w:szCs w:val="32"/>
          <w:lang w:val="en-US" w:eastAsia="zh-CN" w:bidi="ar-SA"/>
        </w:rPr>
        <w:t>成立了县成品油监管领导小组，明确了成员单位监管职责和领导小组工作规则,形成成品油长效常态监管机制。加强加油站日常监管</w:t>
      </w:r>
      <w:bookmarkEnd w:id="0"/>
      <w:r>
        <w:rPr>
          <w:rFonts w:hint="default" w:ascii="Times New Roman" w:hAnsi="Times New Roman" w:eastAsia="仿宋_GB2312" w:cs="Times New Roman"/>
          <w:b w:val="0"/>
          <w:bCs w:val="0"/>
          <w:kern w:val="2"/>
          <w:sz w:val="32"/>
          <w:szCs w:val="32"/>
          <w:lang w:val="en-US" w:eastAsia="zh-CN" w:bidi="ar-SA"/>
        </w:rPr>
        <w:t>，对71家加油站开展了专项检查和年度检查，完成全县加油站追溯系统建设。推进成品油网格化建设，实现监管全覆盖。严厉打击成品油非法经营活动，联合相关部门排查10起举报线索，查实处理2起。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3.扎实开展全县集贸市场环境卫生大扫除。</w:t>
      </w:r>
      <w:r>
        <w:rPr>
          <w:rFonts w:hint="default" w:ascii="Times New Roman" w:hAnsi="Times New Roman" w:eastAsia="仿宋_GB2312" w:cs="Times New Roman"/>
          <w:b w:val="0"/>
          <w:bCs w:val="0"/>
          <w:color w:val="auto"/>
          <w:sz w:val="32"/>
          <w:szCs w:val="32"/>
          <w:highlight w:val="none"/>
          <w:lang w:val="en-US" w:eastAsia="zh-CN"/>
        </w:rPr>
        <w:t>期间共悬挂横幅70余条，出动520余人次，调集70余辆垃圾清运车开展“搬家式”扫除清运，清理垃圾杂物100多吨，维修更换台面89个，拆除违章建筑1100平方米，整修路面1800平方米，集贸市场环境卫生综合整治取得明显成效。</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color w:val="auto"/>
          <w:sz w:val="32"/>
          <w:szCs w:val="32"/>
          <w:highlight w:val="none"/>
          <w:lang w:val="en-US" w:eastAsia="zh-CN"/>
        </w:rPr>
        <w:t xml:space="preserve">建立健全高效信用监管体系。实施信用分类监管，通过信用承诺、发布诚信工作红黑名单、联合奖惩等措施完善信用平台建设，授予山东瑞鑫药业、山东成和商业、山东安信商务酒店、沂源颐德商贸4家批发零售住宿餐饮企业“诚信经营示范店”称号；发动51家重点商贸流通企业进行了信用承诺。  </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w:t>
      </w:r>
      <w:r>
        <w:rPr>
          <w:rFonts w:hint="default" w:ascii="Times New Roman" w:hAnsi="Times New Roman" w:eastAsia="仿宋_GB2312" w:cs="Times New Roman"/>
          <w:b w:val="0"/>
          <w:bCs w:val="0"/>
          <w:color w:val="auto"/>
          <w:sz w:val="32"/>
          <w:szCs w:val="32"/>
          <w:highlight w:val="none"/>
          <w:lang w:val="en-US" w:eastAsia="zh-CN"/>
        </w:rPr>
        <w:t>家庭服务业提质扩容。成立家庭服务业协会，规范引导行业自律；开展技能培训，依托协会培训机构开展线上培训27次，在岗家庭服务人员及观众受训27000余人次；线下培训35次，培训学员1680名；开展社区村居公益讲座30场，受训人数达1800余人；全县已有4家规范的家政服务机构入驻商务部家政服务业信用信息平台，</w:t>
      </w:r>
      <w:r>
        <w:rPr>
          <w:rFonts w:hint="default" w:ascii="Times New Roman" w:hAnsi="Times New Roman" w:eastAsia="仿宋_GB2312" w:cs="Times New Roman"/>
          <w:b w:val="0"/>
          <w:bCs w:val="0"/>
          <w:kern w:val="2"/>
          <w:sz w:val="32"/>
          <w:szCs w:val="32"/>
          <w:lang w:val="en-US" w:eastAsia="zh-CN" w:bidi="ar-SA"/>
        </w:rPr>
        <w:t>完成授权认证家政服务员215人。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6.</w:t>
      </w:r>
      <w:r>
        <w:rPr>
          <w:rFonts w:hint="default" w:ascii="Times New Roman" w:hAnsi="Times New Roman" w:eastAsia="仿宋_GB2312" w:cs="Times New Roman"/>
          <w:b w:val="0"/>
          <w:bCs w:val="0"/>
          <w:color w:val="auto"/>
          <w:sz w:val="32"/>
          <w:szCs w:val="32"/>
          <w:highlight w:val="none"/>
          <w:lang w:val="en-US" w:eastAsia="zh-CN"/>
        </w:rPr>
        <w:t>加快再生资源回收体系建设。</w:t>
      </w:r>
      <w:r>
        <w:rPr>
          <w:rFonts w:hint="default" w:ascii="Times New Roman" w:hAnsi="Times New Roman" w:eastAsia="仿宋_GB2312" w:cs="Times New Roman"/>
          <w:b w:val="0"/>
          <w:bCs w:val="0"/>
          <w:kern w:val="2"/>
          <w:sz w:val="32"/>
          <w:szCs w:val="32"/>
          <w:lang w:val="en-US" w:eastAsia="zh-CN" w:bidi="ar-SA"/>
        </w:rPr>
        <w:t>目前，全县共有76家再生资源回收经营者上门从事可回收物回收业务，实现了对全县所有社区（村）的全覆盖，其中，覆盖20个以上社区（村）、机关事业单位从事可回收物回收业务的再生资源回收经营者已达12家。</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7.</w:t>
      </w:r>
      <w:r>
        <w:rPr>
          <w:rFonts w:hint="default" w:ascii="Times New Roman" w:hAnsi="Times New Roman" w:eastAsia="仿宋_GB2312" w:cs="Times New Roman"/>
          <w:b w:val="0"/>
          <w:bCs/>
          <w:sz w:val="32"/>
          <w:szCs w:val="32"/>
          <w:lang w:eastAsia="zh-CN"/>
        </w:rPr>
        <w:t>推动重要商品追溯体系建设。</w:t>
      </w:r>
      <w:r>
        <w:rPr>
          <w:rFonts w:hint="default" w:ascii="Times New Roman" w:hAnsi="Times New Roman" w:eastAsia="仿宋_GB2312" w:cs="Times New Roman"/>
          <w:b w:val="0"/>
          <w:bCs w:val="0"/>
          <w:color w:val="auto"/>
          <w:sz w:val="32"/>
          <w:szCs w:val="32"/>
          <w:highlight w:val="none"/>
          <w:lang w:val="en-US" w:eastAsia="zh-CN"/>
        </w:rPr>
        <w:t>截止目前，山东海达食品有限公司鲁村屠宰厂+南麻配送中心+6家直营店，亿客家超市1个节点，乐万家超市中心+广场店、精致店、东苑店、河源店、山居店6个节点系统保持正常运行，节点运行率达90%以上。</w:t>
      </w:r>
      <w:r>
        <w:rPr>
          <w:rFonts w:hint="default" w:ascii="Times New Roman" w:hAnsi="Times New Roman" w:eastAsia="仿宋_GB2312" w:cs="Times New Roman"/>
          <w:b w:val="0"/>
          <w:bCs w:val="0"/>
          <w:kern w:val="2"/>
          <w:sz w:val="32"/>
          <w:szCs w:val="32"/>
          <w:lang w:val="en-US" w:eastAsia="zh-CN" w:bidi="ar-SA"/>
        </w:rPr>
        <w:t>海达食品、亿客家超市、乐万家超市3家企业追溯体系运行考核得分均在90分以上。</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sz w:val="32"/>
          <w:szCs w:val="32"/>
          <w:lang w:val="en-US" w:eastAsia="zh-CN"/>
        </w:rPr>
        <w:t>探索“智慧便利店进社区”。</w:t>
      </w:r>
      <w:r>
        <w:rPr>
          <w:rFonts w:hint="default" w:ascii="Times New Roman" w:hAnsi="Times New Roman" w:eastAsia="仿宋_GB2312" w:cs="Times New Roman"/>
          <w:b w:val="0"/>
          <w:bCs w:val="0"/>
          <w:color w:val="auto"/>
          <w:sz w:val="32"/>
          <w:szCs w:val="32"/>
          <w:highlight w:val="none"/>
          <w:lang w:val="en-US" w:eastAsia="zh-CN"/>
        </w:rPr>
        <w:t>山东沂源乐万家酒业开发优选团队</w:t>
      </w:r>
      <w:r>
        <w:rPr>
          <w:rFonts w:hint="default" w:ascii="Times New Roman" w:hAnsi="Times New Roman" w:eastAsia="仿宋_GB2312" w:cs="Times New Roman"/>
          <w:b w:val="0"/>
          <w:bCs w:val="0"/>
          <w:kern w:val="2"/>
          <w:sz w:val="32"/>
          <w:szCs w:val="32"/>
          <w:lang w:val="en-US" w:eastAsia="zh-CN" w:bidi="ar-SA"/>
        </w:rPr>
        <w:t>4处；</w:t>
      </w:r>
      <w:r>
        <w:rPr>
          <w:rFonts w:hint="default" w:ascii="Times New Roman" w:hAnsi="Times New Roman" w:eastAsia="仿宋_GB2312" w:cs="Times New Roman"/>
          <w:b w:val="0"/>
          <w:bCs w:val="0"/>
          <w:color w:val="auto"/>
          <w:sz w:val="32"/>
          <w:szCs w:val="32"/>
          <w:highlight w:val="none"/>
          <w:lang w:val="en-US" w:eastAsia="zh-CN"/>
        </w:rPr>
        <w:t>淄博沂源人家开创新零售会员店</w:t>
      </w:r>
      <w:r>
        <w:rPr>
          <w:rFonts w:hint="default" w:ascii="Times New Roman" w:hAnsi="Times New Roman" w:eastAsia="仿宋_GB2312" w:cs="Times New Roman"/>
          <w:b w:val="0"/>
          <w:bCs w:val="0"/>
          <w:kern w:val="2"/>
          <w:sz w:val="32"/>
          <w:szCs w:val="32"/>
          <w:lang w:val="en-US" w:eastAsia="zh-CN" w:bidi="ar-SA"/>
        </w:rPr>
        <w:t>3处。</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9.</w:t>
      </w:r>
      <w:r>
        <w:rPr>
          <w:rFonts w:hint="default" w:ascii="Times New Roman" w:hAnsi="Times New Roman" w:eastAsia="仿宋_GB2312" w:cs="Times New Roman"/>
          <w:b w:val="0"/>
          <w:bCs/>
          <w:sz w:val="32"/>
          <w:szCs w:val="32"/>
          <w:lang w:val="en-US" w:eastAsia="zh-CN"/>
        </w:rPr>
        <w:t>加强汽车流通市场整治</w:t>
      </w:r>
      <w:r>
        <w:rPr>
          <w:rFonts w:hint="default" w:ascii="Times New Roman" w:hAnsi="Times New Roman" w:eastAsia="仿宋_GB2312" w:cs="Times New Roman"/>
          <w:b w:val="0"/>
          <w:bCs w:val="0"/>
          <w:kern w:val="2"/>
          <w:sz w:val="32"/>
          <w:szCs w:val="32"/>
          <w:lang w:val="en-US" w:eastAsia="zh-CN" w:bidi="ar-SA"/>
        </w:rPr>
        <w:t>。对辖区内的二手车交易市场重新进行了现场核查；严厉打击非法回收、拆解报废机动车行为，共报废国三机动车285辆。</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10.严格报送冷链食品疫情检测工作。组织协调山东海达24人完成9轮的核酸检测，并及时向县疫情防控专班报送冷链食品疫情防控数据。</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11.加强“双随机、一公开”监管工作。对单用途商业预付卡、汽车销售、家庭服务业3个领域开展了“双随机、一公开”监管工作。</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12.积极开展东西协作对口帮扶消费扶贫工作。通过发动商超开设专柜集中展销、电商线上助销、发放职工福利等方式，实现扶贫消费105余万元。  </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13.散装水泥及散装水泥绿色建材产业健康发展。全县水泥产量40.02万吨，</w:t>
      </w:r>
      <w:r>
        <w:rPr>
          <w:rFonts w:hint="eastAsia" w:ascii="Times New Roman" w:hAnsi="Times New Roman" w:eastAsia="仿宋_GB2312" w:cs="Times New Roman"/>
          <w:b w:val="0"/>
          <w:bCs w:val="0"/>
          <w:kern w:val="2"/>
          <w:sz w:val="32"/>
          <w:szCs w:val="32"/>
          <w:lang w:val="en-US" w:eastAsia="zh-CN" w:bidi="ar-SA"/>
        </w:rPr>
        <w:t>其中</w:t>
      </w:r>
      <w:r>
        <w:rPr>
          <w:rFonts w:hint="default" w:ascii="Times New Roman" w:hAnsi="Times New Roman" w:eastAsia="仿宋_GB2312" w:cs="Times New Roman"/>
          <w:b w:val="0"/>
          <w:bCs w:val="0"/>
          <w:kern w:val="2"/>
          <w:sz w:val="32"/>
          <w:szCs w:val="32"/>
          <w:lang w:val="en-US" w:eastAsia="zh-CN" w:bidi="ar-SA"/>
        </w:rPr>
        <w:t>散装水泥29.6</w:t>
      </w:r>
      <w:r>
        <w:rPr>
          <w:rFonts w:hint="eastAsia" w:ascii="Times New Roman" w:hAnsi="Times New Roman" w:eastAsia="仿宋_GB2312" w:cs="Times New Roman"/>
          <w:b w:val="0"/>
          <w:bCs w:val="0"/>
          <w:kern w:val="2"/>
          <w:sz w:val="32"/>
          <w:szCs w:val="32"/>
          <w:lang w:val="en-US" w:eastAsia="zh-CN" w:bidi="ar-SA"/>
        </w:rPr>
        <w:t>万</w:t>
      </w:r>
      <w:r>
        <w:rPr>
          <w:rFonts w:hint="default" w:ascii="Times New Roman" w:hAnsi="Times New Roman" w:eastAsia="仿宋_GB2312" w:cs="Times New Roman"/>
          <w:b w:val="0"/>
          <w:bCs w:val="0"/>
          <w:kern w:val="2"/>
          <w:sz w:val="32"/>
          <w:szCs w:val="32"/>
          <w:lang w:val="en-US" w:eastAsia="zh-CN" w:bidi="ar-SA"/>
        </w:rPr>
        <w:t xml:space="preserve">吨，散装率74%，增长4.5%；商品混凝土102万立方，同比增长10%；预拌砂浆13.5万吨，同比增长23%；坤盈装配式建筑示范工程落地实施。     </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14.安全成产常抓不懈。安全生产集中整治行动期间共检查企业74家次，排查安全隐患170处；消防安全百日攻坚行动期间共检查单位25家次，排查消防安全隐患50处。同时认真开展防汛抗旱防台风专项检查、安全专项整治三年行动、重大节日期间安全生产督查等系列工作，建立健全防控体系、夯实基础筑牢防线。</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（三）依托示范项目，电子商务发展提速。</w:t>
      </w:r>
      <w:r>
        <w:rPr>
          <w:rFonts w:hint="default" w:ascii="Times New Roman" w:hAnsi="Times New Roman" w:eastAsia="仿宋_GB2312" w:cs="Times New Roman"/>
          <w:b w:val="0"/>
          <w:bCs w:val="0"/>
          <w:kern w:val="2"/>
          <w:sz w:val="32"/>
          <w:szCs w:val="32"/>
          <w:lang w:val="en-US" w:eastAsia="zh-CN" w:bidi="ar-SA"/>
        </w:rPr>
        <w:t>一是积极抗疫保供。依托“三级物流体系+五级服务覆盖”模式，开展生活必需品配送，疫情期间，累计配送生活必需品200吨，蔬菜水果等农产品80吨。二是扎实做好快递配送到村。截止目前，已建成县仓储物流配送中心1处，镇级物流配送分中心2处，快递物流配送村点216处，实现快递配送到村163.4万件。三是深入开展电商培训。针对创业就业人员、贫困群体、高技能人才等开展多层次培训，专题开发培训教材5本，录制培训视频12个，组织普及培训、实操培训、专项培训40多期，培训3058人次。四是助力农产品上行。对外开源引进王小二、鼎祥网络、蓝熙云朵等县外电子商务企业，对内挖潜举办沂源大樱桃节、农超对接、嗨购沂源等活动，组织开展淘宝直播、京东直播等视频直播活动，助力农产品网上销售。组织大型活动3场，视频直播活动8场，农产品网上销售突破2亿元。五是多形式开展电商扶贫。依托电子商务进农村综合示范工作助力脱贫攻坚，先后组织电商扶贫培训专场12场，培训贫困村人员472人，网上销售贫困村村民产品达到800万元，贫苦户农产品20万元。六是积极总结推介综合示范经验。电子商务进农村综合示范工作中的典型做法和经验，先后被省商务厅纳入推广电子商务抗疫保供给典型案例、第一顺序推荐到商务部农村电商公开课，被商务部纳入《电子商务进农村培训案例参考》培训工作推进机制典型做法。</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二、2021年及“十四五”时期主要指标目标</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(一)2021年主要指标目标</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稳住外经贸发展基本盘。力争全年货物贸易进出口总额突破36亿元；力争全年实际使用外资达到4000万美元以上；力争实现服务贸易进出口额7.28亿元，同比增长4%。</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2.持续推进限额以上“批零住餐”业向好运行。力争全年限额以上“批零住餐”各行业平均增速6%以上；社会消费品零售总额达到111亿元，增速6%以上。</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3.加速电商产业发展。力争全年电子商务交易额达到53.17亿元，同比增长30%。</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（二）“十四五”期间主要指标目标</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1.外经贸工作：保持货物贸易进出口额、实绩利用外资额和服务贸易进出口额稳定增长。</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2.限额以上“批零住餐”业良好运行。力争到2025年全县社会消费品零售总额达到140亿元，年均增长6%。</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val="0"/>
          <w:kern w:val="2"/>
          <w:sz w:val="32"/>
          <w:szCs w:val="32"/>
          <w:lang w:val="en-US" w:eastAsia="zh-CN" w:bidi="ar-SA"/>
        </w:rPr>
        <w:t>3.提升县域电商综合发展水平。</w:t>
      </w:r>
      <w:r>
        <w:rPr>
          <w:rFonts w:hint="default" w:ascii="Times New Roman" w:hAnsi="Times New Roman" w:eastAsia="仿宋_GB2312" w:cs="Times New Roman"/>
          <w:b w:val="0"/>
          <w:bCs/>
          <w:sz w:val="32"/>
          <w:szCs w:val="32"/>
          <w:lang w:val="en-US" w:eastAsia="zh-CN"/>
        </w:rPr>
        <w:t>力争十四五末</w:t>
      </w:r>
      <w:r>
        <w:rPr>
          <w:rFonts w:hint="default" w:ascii="Times New Roman" w:hAnsi="Times New Roman" w:eastAsia="仿宋_GB2312" w:cs="Times New Roman"/>
          <w:b w:val="0"/>
          <w:bCs/>
          <w:sz w:val="32"/>
          <w:szCs w:val="32"/>
        </w:rPr>
        <w:t>全县电子商务交易额突破80亿元</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比十三五期间翻一翻。</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三、2021年重大项目建设</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城区农贸市场改造提升工程。</w:t>
      </w:r>
      <w:r>
        <w:rPr>
          <w:rFonts w:hint="default" w:ascii="Times New Roman" w:hAnsi="Times New Roman" w:eastAsia="仿宋_GB2312" w:cs="Times New Roman"/>
          <w:b w:val="0"/>
          <w:bCs w:val="0"/>
          <w:kern w:val="2"/>
          <w:sz w:val="32"/>
          <w:szCs w:val="32"/>
          <w:lang w:val="en-US" w:eastAsia="zh-CN" w:bidi="ar-SA"/>
        </w:rPr>
        <w:t>1月底前，制定总方案和街道及农贸市场子方案；从2月份开始，稳步推进改造提升工作，力争6月底前基本完成，取得明显成效；7-9月份，进行现场排查、整改、完善；10-12月份，改造提升项目完工后，开展现场验收。</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（二）鲁中汽贸城项目。</w:t>
      </w:r>
      <w:r>
        <w:rPr>
          <w:rFonts w:hint="default" w:ascii="Times New Roman" w:hAnsi="Times New Roman" w:eastAsia="仿宋_GB2312" w:cs="Times New Roman"/>
          <w:b w:val="0"/>
          <w:bCs w:val="0"/>
          <w:kern w:val="2"/>
          <w:sz w:val="32"/>
          <w:szCs w:val="32"/>
          <w:lang w:val="en-US" w:eastAsia="zh-CN" w:bidi="ar-SA"/>
        </w:rPr>
        <w:t>计划投资6000万，完成中源大厦、国际会展中心、公寓主体建设，总面积52000平方米；力争完成项目二期123亩土地指标落实。</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（三）鲁中冷链物流智慧产业园项目。</w:t>
      </w:r>
      <w:r>
        <w:rPr>
          <w:rFonts w:hint="default" w:ascii="Times New Roman" w:hAnsi="Times New Roman" w:eastAsia="仿宋_GB2312" w:cs="Times New Roman"/>
          <w:b w:val="0"/>
          <w:bCs w:val="0"/>
          <w:kern w:val="2"/>
          <w:sz w:val="32"/>
          <w:szCs w:val="32"/>
          <w:lang w:val="en-US" w:eastAsia="zh-CN" w:bidi="ar-SA"/>
        </w:rPr>
        <w:t>完成土地指标落实和项目所在地地块拆迁工作后，投资10.85亿元，完成10万吨智能化多温层冷藏中心库和一站式展示交易中心建设。</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kern w:val="2"/>
          <w:sz w:val="32"/>
          <w:szCs w:val="32"/>
          <w:lang w:val="en-US" w:eastAsia="zh-CN" w:bidi="ar-SA"/>
        </w:rPr>
        <w:t>（四）沂源县电子商务物流园项目。</w:t>
      </w:r>
      <w:r>
        <w:rPr>
          <w:rFonts w:hint="default" w:ascii="Times New Roman" w:hAnsi="Times New Roman" w:eastAsia="仿宋_GB2312" w:cs="Times New Roman"/>
          <w:b w:val="0"/>
          <w:bCs w:val="0"/>
          <w:kern w:val="2"/>
          <w:sz w:val="32"/>
          <w:szCs w:val="32"/>
          <w:lang w:val="en-US" w:eastAsia="zh-CN" w:bidi="ar-SA"/>
        </w:rPr>
        <w:t>目前一期到位土地指标9.809亩，将建设三栋综合楼包含网络直播、办公、临时仓储共计2.7万平米。2021年重点</w:t>
      </w:r>
      <w:r>
        <w:rPr>
          <w:rFonts w:hint="default" w:ascii="Times New Roman" w:hAnsi="Times New Roman" w:eastAsia="仿宋_GB2312" w:cs="Times New Roman"/>
          <w:b w:val="0"/>
          <w:bCs w:val="0"/>
          <w:sz w:val="32"/>
          <w:szCs w:val="32"/>
          <w:lang w:val="en-US" w:eastAsia="zh-CN"/>
        </w:rPr>
        <w:t>完成网红直播基地基础建设，并</w:t>
      </w:r>
      <w:r>
        <w:rPr>
          <w:rFonts w:hint="default" w:ascii="Times New Roman" w:hAnsi="Times New Roman" w:eastAsia="仿宋_GB2312" w:cs="Times New Roman"/>
          <w:b w:val="0"/>
          <w:bCs/>
          <w:color w:val="000000"/>
          <w:sz w:val="32"/>
          <w:szCs w:val="32"/>
          <w:highlight w:val="none"/>
          <w:lang w:val="en-US" w:eastAsia="zh-CN"/>
        </w:rPr>
        <w:t>进一步</w:t>
      </w:r>
      <w:r>
        <w:rPr>
          <w:rFonts w:hint="default" w:ascii="Times New Roman" w:hAnsi="Times New Roman" w:eastAsia="仿宋_GB2312" w:cs="Times New Roman"/>
          <w:b w:val="0"/>
          <w:bCs/>
          <w:color w:val="000000"/>
          <w:sz w:val="32"/>
          <w:szCs w:val="32"/>
          <w:highlight w:val="none"/>
        </w:rPr>
        <w:t>争取土地建设指标</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尽快</w:t>
      </w:r>
      <w:r>
        <w:rPr>
          <w:rFonts w:hint="default" w:ascii="Times New Roman" w:hAnsi="Times New Roman" w:eastAsia="仿宋_GB2312" w:cs="Times New Roman"/>
          <w:b w:val="0"/>
          <w:bCs/>
          <w:color w:val="000000"/>
          <w:sz w:val="32"/>
          <w:szCs w:val="32"/>
          <w:highlight w:val="none"/>
        </w:rPr>
        <w:t>建设不少于6000平方米的标准化仓储</w:t>
      </w:r>
      <w:r>
        <w:rPr>
          <w:rFonts w:hint="default" w:ascii="Times New Roman" w:hAnsi="Times New Roman" w:eastAsia="仿宋_GB2312" w:cs="Times New Roman"/>
          <w:b w:val="0"/>
          <w:bCs/>
          <w:color w:val="000000"/>
          <w:sz w:val="32"/>
          <w:szCs w:val="32"/>
          <w:highlight w:val="none"/>
          <w:lang w:val="en-US" w:eastAsia="zh-CN"/>
        </w:rPr>
        <w:t>中心</w:t>
      </w:r>
      <w:r>
        <w:rPr>
          <w:rFonts w:hint="default" w:ascii="Times New Roman" w:hAnsi="Times New Roman" w:eastAsia="仿宋_GB2312" w:cs="Times New Roman"/>
          <w:b w:val="0"/>
          <w:bCs/>
          <w:color w:val="000000"/>
          <w:sz w:val="32"/>
          <w:szCs w:val="32"/>
          <w:highlight w:val="none"/>
        </w:rPr>
        <w:t>，建立城乡配置前至仓，试点城乡统一配送</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同时</w:t>
      </w:r>
      <w:r>
        <w:rPr>
          <w:rFonts w:hint="default" w:ascii="Times New Roman" w:hAnsi="Times New Roman" w:eastAsia="仿宋_GB2312" w:cs="Times New Roman"/>
          <w:b w:val="0"/>
          <w:bCs/>
          <w:color w:val="000000"/>
          <w:sz w:val="32"/>
          <w:szCs w:val="32"/>
          <w:highlight w:val="none"/>
        </w:rPr>
        <w:t>探索与京东、首农合作建立沂源云仓</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四、2021年及“十四五”时期商务发展新思路、新举措</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（一）2021年商务发展思路及举措</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发展思路：在县委、县政府的领导和省市商务部门的指导下，强化系统观念，树立有解思维，实干为先，落实为要。抓改革、促开放、链高端，以改革开放赋能对外新高地打造。探索发展新零售、新模式、新业态，激发消费活力，逐渐形成业态多元、特色鲜明的商贸流通经济发展新格局。</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（2）发展举措</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1.</w:t>
      </w:r>
      <w:r>
        <w:rPr>
          <w:rFonts w:hint="default" w:ascii="Times New Roman" w:hAnsi="Times New Roman" w:eastAsia="仿宋_GB2312" w:cs="Times New Roman"/>
          <w:b w:val="0"/>
          <w:bCs w:val="0"/>
          <w:sz w:val="32"/>
          <w:szCs w:val="32"/>
          <w:lang w:val="en-US" w:eastAsia="zh-CN"/>
        </w:rPr>
        <w:t>稳住外贸增势。</w:t>
      </w:r>
      <w:r>
        <w:rPr>
          <w:rFonts w:hint="default" w:ascii="Times New Roman" w:hAnsi="Times New Roman" w:eastAsia="仿宋_GB2312" w:cs="Times New Roman"/>
          <w:b w:val="0"/>
          <w:bCs w:val="0"/>
          <w:kern w:val="2"/>
          <w:sz w:val="32"/>
          <w:szCs w:val="32"/>
          <w:lang w:val="en-US" w:eastAsia="zh-CN" w:bidi="ar-SA"/>
        </w:rPr>
        <w:t>一是抓新增长点培育。用足用好展会、外综服务平台、业务政策培训，引导新备案企业开展进出口业务，新增进出口业绩企业10家，新增进出口额1亿元以上。二是保持骨干企业增势。鼓励瑞阳、药玻等优势企业充分嫁接淄博综合保税区、保税物流中心，抢抓机遇，做大做强增量，力争新增出口额1亿元以上。三是大力引进新平台。通过设立贸易公司等形式引进业务成熟的外贸公司，增加出口份额，力争新引进1家平台公司，新增出口额1亿元。四是加快发展跨境电商。引导具备条件的企业开展9710、9810出口业务，扩大跨境电商进出口规模。五是提升服务水平。引导山东药玻等企业申报AEO认证，提升通关便利化水平；组织10余家企业参加广交会等展洽活动，拓市场，育新机；积极对上争取政策扶持，加大县级政策入企宣传力度，充分发挥政策引导激励作用。</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稳定外资引进。一是推动重点外资项目落地。调度梳理年内拟到账重点外资项目，拉出清单，列出时限，挂图作战，顶格推进。重点抓好英科医疗医用塑胶手套、碧桂园凤凰源筑、佳德农现代农业产业园、弘毅达摄像头及智能终端、众健生物科技等项目，加大服务和要素保障，促进项目落实落地见效。二是实施外资精准招引。引导镇办重点围绕省“十强”、市“四强”产业以及我县新医药、新材料、电子信息等优势主导产业抓外资招引，精准对接粤港澳大湾区电子信息和韩国汽车配件等产业，壮大县域产业集群；发挥好企业主体作用，实施“链主招商”和“朋友圈招商”，有针对性地开展“补链、延链、扩链、强链”。三是积极策划储备项目。立足县域产业优势和市政基础设施建设等领域，多形式多渠道宣传推介沂源，同时力促实现以内资招外资，形成“策划一批、储备一批、开工一批、竣工一批”项目梯次推进格局。四是优化外资项目服务。落实好首席服务官和服务大使制度，做到“政策找人”“随叫随到”“全程代办”，打造优质营商环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3.着力</w:t>
      </w:r>
      <w:r>
        <w:rPr>
          <w:rFonts w:hint="default" w:ascii="Times New Roman" w:hAnsi="Times New Roman" w:eastAsia="仿宋_GB2312" w:cs="Times New Roman"/>
          <w:b w:val="0"/>
          <w:bCs w:val="0"/>
          <w:color w:val="auto"/>
          <w:spacing w:val="16"/>
          <w:kern w:val="2"/>
          <w:sz w:val="32"/>
          <w:szCs w:val="32"/>
          <w:lang w:val="en-US" w:eastAsia="zh-CN" w:bidi="ar-SA"/>
        </w:rPr>
        <w:t>培育服务贸易新增长点。</w:t>
      </w:r>
      <w:r>
        <w:rPr>
          <w:rFonts w:hint="default" w:ascii="Times New Roman" w:hAnsi="Times New Roman" w:eastAsia="仿宋_GB2312" w:cs="Times New Roman"/>
          <w:b w:val="0"/>
          <w:bCs w:val="0"/>
          <w:kern w:val="2"/>
          <w:sz w:val="32"/>
          <w:szCs w:val="32"/>
          <w:lang w:val="en-US" w:eastAsia="zh-CN" w:bidi="ar-SA"/>
        </w:rPr>
        <w:t>一是针对“走出去”、“服务贸易”及“一带一路”政策上门宣讲，同时积极对上争取，提高企业积极性，并扶持骨干企业做大做强。二是推动加工贸易企业由原来的加工制造环节向后期检测维修服务延伸，通过形成以生产订单带动维修订单，以维修订单促进生产订单的良性循环，有效拓展市场空间。三是以我县出口大企业为重点，引导加工贸易企业剥离生产性服务贸易，鼓励企业“走出去”参加招商服务贸易活动，“引进来”高精尖人才技术，促进加工贸易企业转型到技术含量更高、附加值更丰厚的服务贸易企业。四是做好服务贸易企业在服务外包统计监测系统、服务贸易统计监测系统、对外承包工程统计监测系统的企业纳统工作，服务引导企业按时数据填报，做到应统尽统、应报尽报。</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w:t>
      </w:r>
      <w:r>
        <w:rPr>
          <w:rFonts w:hint="default" w:ascii="Times New Roman" w:hAnsi="Times New Roman" w:eastAsia="仿宋_GB2312" w:cs="Times New Roman"/>
          <w:b w:val="0"/>
          <w:bCs w:val="0"/>
          <w:color w:val="auto"/>
          <w:sz w:val="32"/>
          <w:szCs w:val="32"/>
          <w:lang w:val="en-US" w:eastAsia="zh-CN"/>
        </w:rPr>
        <w:t>继续</w:t>
      </w:r>
      <w:r>
        <w:rPr>
          <w:rFonts w:hint="default" w:ascii="Times New Roman" w:hAnsi="Times New Roman" w:eastAsia="仿宋_GB2312" w:cs="Times New Roman"/>
          <w:b w:val="0"/>
          <w:bCs w:val="0"/>
          <w:color w:val="auto"/>
          <w:sz w:val="32"/>
          <w:szCs w:val="32"/>
        </w:rPr>
        <w:t>推进</w:t>
      </w:r>
      <w:r>
        <w:rPr>
          <w:rFonts w:hint="default" w:ascii="Times New Roman" w:hAnsi="Times New Roman" w:eastAsia="仿宋_GB2312" w:cs="Times New Roman"/>
          <w:b w:val="0"/>
          <w:bCs w:val="0"/>
          <w:color w:val="auto"/>
          <w:sz w:val="32"/>
          <w:szCs w:val="32"/>
          <w:lang w:val="en-US" w:eastAsia="zh-CN"/>
        </w:rPr>
        <w:t>限额以上</w:t>
      </w:r>
      <w:r>
        <w:rPr>
          <w:rFonts w:hint="default" w:ascii="Times New Roman" w:hAnsi="Times New Roman" w:eastAsia="仿宋_GB2312" w:cs="Times New Roman"/>
          <w:b w:val="0"/>
          <w:bCs w:val="0"/>
          <w:color w:val="auto"/>
          <w:sz w:val="32"/>
          <w:szCs w:val="32"/>
        </w:rPr>
        <w:t>“批零住餐”业</w:t>
      </w:r>
      <w:r>
        <w:rPr>
          <w:rFonts w:hint="default" w:ascii="Times New Roman" w:hAnsi="Times New Roman" w:eastAsia="仿宋_GB2312" w:cs="Times New Roman"/>
          <w:b w:val="0"/>
          <w:bCs w:val="0"/>
          <w:color w:val="auto"/>
          <w:sz w:val="32"/>
          <w:szCs w:val="32"/>
          <w:lang w:val="en-US" w:eastAsia="zh-CN"/>
        </w:rPr>
        <w:t>向好</w:t>
      </w:r>
      <w:r>
        <w:rPr>
          <w:rFonts w:hint="default" w:ascii="Times New Roman" w:hAnsi="Times New Roman" w:eastAsia="仿宋_GB2312" w:cs="Times New Roman"/>
          <w:b w:val="0"/>
          <w:bCs w:val="0"/>
          <w:color w:val="auto"/>
          <w:sz w:val="32"/>
          <w:szCs w:val="32"/>
        </w:rPr>
        <w:t>运行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2"/>
          <w:sz w:val="32"/>
          <w:szCs w:val="32"/>
          <w:lang w:val="en-US" w:eastAsia="zh-CN" w:bidi="ar-SA"/>
        </w:rPr>
        <w:t>一是深入企业推送讲解我县《扶持规上企业高质量发展十项机制》等批零住餐业纳统奖励优惠政策，挖掘潜力，企业尽快实现纳统，力争新培育纳统企业10家以上。二是落</w:t>
      </w:r>
      <w:r>
        <w:rPr>
          <w:rFonts w:hint="default" w:ascii="Times New Roman" w:hAnsi="Times New Roman" w:eastAsia="仿宋_GB2312" w:cs="Times New Roman"/>
          <w:b w:val="0"/>
          <w:bCs w:val="0"/>
          <w:kern w:val="2"/>
          <w:sz w:val="32"/>
          <w:szCs w:val="32"/>
          <w:lang w:val="en-US" w:eastAsia="zh-CN" w:bidi="ar-SA"/>
        </w:rPr>
        <w:t>实好调研服务制度，全面掌握限上企业经营情况、存在困难及需求，建立预警机制，科学研判分析市场，一企一策，协调帮助企业解决资金压力大、经营业绩差等问题。三是鼓励企业利用节假日、双十一、双十二等消费节点，开展线上线下融合、形式多变、参与行业广泛的让利促销活动，全方位拉动县域消费。四是建立部门间统计合作机制，部门联动、沟通对接，强化监督指导，提升数据质量，杜绝瞒报漏报。</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5.加速</w:t>
      </w:r>
      <w:r>
        <w:rPr>
          <w:rFonts w:hint="default" w:ascii="Times New Roman" w:hAnsi="Times New Roman" w:eastAsia="仿宋_GB2312" w:cs="Times New Roman"/>
          <w:color w:val="auto"/>
          <w:kern w:val="2"/>
          <w:sz w:val="32"/>
          <w:szCs w:val="32"/>
          <w:lang w:val="en-US" w:eastAsia="zh-CN" w:bidi="ar-SA"/>
        </w:rPr>
        <w:t>电商产业发展。</w:t>
      </w:r>
      <w:r>
        <w:rPr>
          <w:rFonts w:hint="default" w:ascii="Times New Roman" w:hAnsi="Times New Roman" w:eastAsia="仿宋_GB2312" w:cs="Times New Roman"/>
          <w:b w:val="0"/>
          <w:bCs w:val="0"/>
          <w:kern w:val="2"/>
          <w:sz w:val="32"/>
          <w:szCs w:val="32"/>
          <w:lang w:val="en-US" w:eastAsia="zh-CN" w:bidi="ar-SA"/>
        </w:rPr>
        <w:t>一是加快电子商务物流园区建设。完成电子商务物流园网红直播基地基础建设；进一步争取土地建设指标，尽快建设不少于6000平方米的标准化仓储中心，建立城乡配置前至仓，试点城乡统一配送；探索与京东、首农合作建立沂源云仓。二是提升公共服务水平。积极组织沂源大樱桃节、电商培训、直播带货、农产品宣传推广等电子商务运营活动，切实优化电子商务公共服务水平。三是推动数字农业销售。立足我县农业资源优势，融合运用线上与线下载体，推动农产品优品优价，打造特色农产品产业链，拓宽销售渠道，助力乡村振兴。四是大力培育电商人才。有针对性地的开展电商孵化、直播带货培训，筛选挖掘一批电商人才。五是做好示范项目验收后的提升工作，持续发挥示范引领作用。</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6.</w:t>
      </w:r>
      <w:r>
        <w:rPr>
          <w:rFonts w:hint="default" w:ascii="Times New Roman" w:hAnsi="Times New Roman" w:eastAsia="仿宋_GB2312" w:cs="Times New Roman"/>
          <w:b w:val="0"/>
          <w:bCs/>
          <w:sz w:val="32"/>
          <w:szCs w:val="32"/>
          <w:lang w:val="en-US" w:eastAsia="zh-CN"/>
        </w:rPr>
        <w:t>科学规划布局商业网点。</w:t>
      </w:r>
      <w:r>
        <w:rPr>
          <w:rFonts w:hint="default" w:ascii="Times New Roman" w:hAnsi="Times New Roman" w:eastAsia="仿宋_GB2312" w:cs="Times New Roman"/>
          <w:b w:val="0"/>
          <w:bCs w:val="0"/>
          <w:kern w:val="2"/>
          <w:sz w:val="32"/>
          <w:szCs w:val="32"/>
          <w:lang w:val="en-US" w:eastAsia="zh-CN" w:bidi="ar-SA"/>
        </w:rPr>
        <w:t>编制我县2021-2035年商业网点规划。一是建立健全编制工作小组，充实力量，专人负责，争取财政部门给予经费支持。二是与发改、</w:t>
      </w:r>
      <w:r>
        <w:rPr>
          <w:rFonts w:hint="eastAsia" w:ascii="Times New Roman" w:hAnsi="Times New Roman" w:eastAsia="仿宋_GB2312" w:cs="Times New Roman"/>
          <w:b w:val="0"/>
          <w:bCs w:val="0"/>
          <w:kern w:val="2"/>
          <w:sz w:val="32"/>
          <w:szCs w:val="32"/>
          <w:lang w:val="en-US" w:eastAsia="zh-CN" w:bidi="ar-SA"/>
        </w:rPr>
        <w:t>自然资源</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住建</w:t>
      </w:r>
      <w:r>
        <w:rPr>
          <w:rFonts w:hint="default" w:ascii="Times New Roman" w:hAnsi="Times New Roman" w:eastAsia="仿宋_GB2312" w:cs="Times New Roman"/>
          <w:b w:val="0"/>
          <w:bCs w:val="0"/>
          <w:kern w:val="2"/>
          <w:sz w:val="32"/>
          <w:szCs w:val="32"/>
          <w:lang w:val="en-US" w:eastAsia="zh-CN" w:bidi="ar-SA"/>
        </w:rPr>
        <w:t xml:space="preserve">、交通、环保等多个部门密切协作，形成合力，共同推进规划编制。三是采取政府部门与专业机构相结合的方式，注重发挥专家作用，认真听取市民意见，使规划具有科学性和可操作性。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7.</w:t>
      </w:r>
      <w:r>
        <w:rPr>
          <w:rFonts w:hint="default" w:ascii="Times New Roman" w:hAnsi="Times New Roman" w:eastAsia="仿宋_GB2312" w:cs="Times New Roman"/>
          <w:b w:val="0"/>
          <w:bCs w:val="0"/>
          <w:color w:val="auto"/>
          <w:sz w:val="32"/>
          <w:szCs w:val="32"/>
          <w:lang w:val="en-US" w:eastAsia="zh-CN"/>
        </w:rPr>
        <w:t>提升市场建设水平。</w:t>
      </w:r>
      <w:r>
        <w:rPr>
          <w:rFonts w:hint="default" w:ascii="Times New Roman" w:hAnsi="Times New Roman" w:eastAsia="仿宋_GB2312" w:cs="Times New Roman"/>
          <w:b w:val="0"/>
          <w:bCs w:val="0"/>
          <w:color w:val="auto"/>
          <w:kern w:val="2"/>
          <w:sz w:val="32"/>
          <w:szCs w:val="32"/>
          <w:lang w:val="en-US" w:eastAsia="zh-CN" w:bidi="ar-SA"/>
        </w:rPr>
        <w:t>牵头推进城乡农贸市场改造提升惠民工程，</w:t>
      </w:r>
      <w:r>
        <w:rPr>
          <w:rFonts w:hint="default" w:ascii="Times New Roman" w:hAnsi="Times New Roman" w:eastAsia="仿宋_GB2312" w:cs="Times New Roman"/>
          <w:sz w:val="32"/>
          <w:szCs w:val="32"/>
        </w:rPr>
        <w:t>逐步建成环境整洁、布局合理、功能完善</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标准化农贸市场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适当打造数字市场试点1至2处；</w:t>
      </w:r>
      <w:r>
        <w:rPr>
          <w:rFonts w:hint="default" w:ascii="Times New Roman" w:hAnsi="Times New Roman" w:eastAsia="仿宋_GB2312" w:cs="Times New Roman"/>
          <w:b w:val="0"/>
          <w:bCs w:val="0"/>
          <w:color w:val="auto"/>
          <w:kern w:val="2"/>
          <w:sz w:val="32"/>
          <w:szCs w:val="32"/>
          <w:lang w:val="en-US" w:eastAsia="zh-CN" w:bidi="ar-SA"/>
        </w:rPr>
        <w:t>各类商品市场交易额增长10%以上。一是会同有关部门对全县农贸市场进行排查摸底，制定全县农贸市场改造提升总体方案和各镇办及农贸市场改造提升子方案，</w:t>
      </w:r>
      <w:r>
        <w:rPr>
          <w:rFonts w:hint="default" w:ascii="Times New Roman" w:hAnsi="Times New Roman" w:eastAsia="仿宋_GB2312" w:cs="Times New Roman"/>
          <w:sz w:val="32"/>
          <w:szCs w:val="32"/>
          <w:lang w:val="en-US" w:eastAsia="zh-CN"/>
        </w:rPr>
        <w:t>采取先建后补的方式出台配套奖补政策，推进农贸市场改造提升工作高标准建设</w:t>
      </w:r>
      <w:r>
        <w:rPr>
          <w:rFonts w:hint="default" w:ascii="Times New Roman" w:hAnsi="Times New Roman" w:eastAsia="仿宋_GB2312" w:cs="Times New Roman"/>
          <w:b w:val="0"/>
          <w:bCs w:val="0"/>
          <w:color w:val="auto"/>
          <w:kern w:val="2"/>
          <w:sz w:val="32"/>
          <w:szCs w:val="32"/>
          <w:lang w:val="en-US" w:eastAsia="zh-CN" w:bidi="ar-SA"/>
        </w:rPr>
        <w:t>。二是按照全县市场空间规划布局，建设以农产品市场、汽车和二手车市场、电子商务市场为重点，特色市场为补充的现代化、立体化、多层次市场体系。</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val="0"/>
          <w:color w:val="auto"/>
          <w:sz w:val="32"/>
          <w:szCs w:val="32"/>
        </w:rPr>
        <w:t>加强成品油市场监管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kern w:val="2"/>
          <w:sz w:val="32"/>
          <w:szCs w:val="32"/>
          <w:lang w:val="en-US" w:eastAsia="zh-CN" w:bidi="ar-SA"/>
        </w:rPr>
        <w:t>一是积极对接县自然资源局，深入调研，严格标准要求，制定成品油分销体系“十四五”规划。二是严格落实成品油零售经营许可“市县同权”，深入推进“一窗受理、一次办好”改革，着力做好成品油经营许可“市县同权”审核工作，加强事中事后监管。三是严把市场准入关，联合市场监管、生态环境、税务等部门对71家加油站进行全覆盖日常检查和专项检查，规范企业行为。四是认真履行成品油监管领导小组办公室和成品油流通领域生态环境专业委员会职责，加强监管合力，消除监管盲点，坚决打击取缔黑加油站点及流动加油罐车，对“自流黑”等非法销售油品行为形成高压打击态势。</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9.推进再生资源回收体系建设。进一步与我县再生资源回收龙头企业对接，谋划推进再生资源产业园（分拣中心）建设项目，以满足再生资源分拣、存放、加工的需要，推进再生资源体系一体化发展。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10.抓好外事工作。一是以淄博市对外交流合作信息平台为依托，整合我县对外交流合作信息。二是积极推介APEC商务旅行卡。三是以“快捷通道”为基础进一步完善联防联控机制，严格邀请审核，配合做好闭环管理，为企业复工复产相关往来创造安全便捷的条件。四是积极与省市外办对接，探索缔结友好城市。五是根据最新要求，推进领事认证工作。</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11.加快散装水泥应用和散装水泥绿色产业发展步伐。推动坤盈建材装配式建筑项目高质量发展。一是积极开展散装水泥宣传活动，宣传好新修订的《淄博市散装水泥管理办法》，加强监管，推广新技术、新工艺，完善散装设施，联合住建、环保等部门开展禁止现场搅拌联合执法检查，提高散装水泥装备水平，做好行业统计工作。二是积极协调有关部门，帮助坤盈建材装配式建筑项目实施搬迁入园，推动我县绿色建筑规划尽快出台实施，提高企业与万斯达集团的合作水平，建立装配式建筑产学研合作平台，提高装配式建筑设计、生产、研发、按装施工水平，实现高质量发展。争取水泥散装率达到76%以上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spacing w:line="540" w:lineRule="exact"/>
        <w:ind w:left="0" w:leftChars="0" w:right="0" w:rightChars="0" w:firstLine="640" w:firstLineChars="200"/>
        <w:jc w:val="both"/>
        <w:textAlignment w:val="bottom"/>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12.</w:t>
      </w:r>
      <w:r>
        <w:rPr>
          <w:rFonts w:hint="default" w:ascii="Times New Roman" w:hAnsi="Times New Roman" w:eastAsia="楷体_GB2312" w:cs="Times New Roman"/>
          <w:color w:val="auto"/>
          <w:kern w:val="2"/>
          <w:sz w:val="32"/>
          <w:szCs w:val="32"/>
          <w:lang w:val="en-US" w:eastAsia="zh-CN" w:bidi="ar-SA"/>
        </w:rPr>
        <w:t>持之以恒抓安全生产。</w:t>
      </w:r>
      <w:r>
        <w:rPr>
          <w:rFonts w:hint="default" w:ascii="Times New Roman" w:hAnsi="Times New Roman" w:eastAsia="仿宋_GB2312" w:cs="Times New Roman"/>
          <w:b w:val="0"/>
          <w:bCs w:val="0"/>
          <w:kern w:val="2"/>
          <w:sz w:val="32"/>
          <w:szCs w:val="32"/>
          <w:lang w:val="en-US" w:eastAsia="zh-CN" w:bidi="ar-SA"/>
        </w:rPr>
        <w:t>一是积极调查研究，完善安全应急救援机制。深入各商贸企业调研，建立完善各商贸流通企业安全生产应急救援体系。二是明确重点环节，确保安全生产。进一步加强商贸企业重点部位的安全管理，落实防控责任，深入开展人员密集场所安全专项治理，按季落实好隐患排查整改工作，做好节日、恶劣天气等特殊时段的值班、安全检查和隐患排查整改等工作。</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楷体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 xml:space="preserve">   （二）“十四五”期间商务发展思路及举措</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jc w:val="left"/>
        <w:textAlignment w:val="bottom"/>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发展思路：以《中共中央关于制定国民经济和社会发展第十四个五年规划和2035年远景目标的建议》为引领，以全面提升对外开放度、打造开放型经济新增长极、建设大市场、搞活大流通、发展大商贸为战略目标，认真贯彻落实省市县各级决策部署，突出调整优化外经贸结构、扩大内需和引导消费，以项目建设为载体、以龙头企业为抓手，努力提升商务工作在全县经济社会发展中的贡献率。</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 xml:space="preserve">   （2）发展举措</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1.保持货物贸易进出口稳定增长。一是充分嫁接淄博综合保税区。积极引导吸引有条件的企业入区发展，更好地服务我县外贸企业通过跨境电商“走出去”，不断抓机遇、拓市场。</w:t>
      </w:r>
      <w:r>
        <w:rPr>
          <w:rFonts w:hint="default" w:ascii="Times New Roman" w:hAnsi="Times New Roman" w:eastAsia="仿宋_GB2312" w:cs="Times New Roman"/>
          <w:b w:val="0"/>
          <w:bCs/>
          <w:color w:val="auto"/>
          <w:sz w:val="32"/>
          <w:szCs w:val="32"/>
          <w:lang w:val="en-US" w:eastAsia="zh-CN"/>
        </w:rPr>
        <w:t>二是加快外贸增长方式转变</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color w:val="auto"/>
          <w:sz w:val="32"/>
          <w:szCs w:val="32"/>
          <w:lang w:val="en-US" w:eastAsia="zh-CN"/>
        </w:rPr>
        <w:t>以经济开发区为支撑，发挥园区产业集聚优势，培育优势战略产业，推动由低技术含量、低附加值产品出口为主向高附加值、高技术含量产品出口为主转变。重点推动电子信息产业发展，形成新的进出口增长点。</w:t>
      </w:r>
      <w:r>
        <w:rPr>
          <w:rFonts w:hint="default" w:ascii="Times New Roman" w:hAnsi="Times New Roman" w:eastAsia="仿宋_GB2312" w:cs="Times New Roman"/>
          <w:b w:val="0"/>
          <w:bCs/>
          <w:color w:val="auto"/>
          <w:sz w:val="32"/>
          <w:szCs w:val="32"/>
          <w:u w:val="none"/>
          <w:lang w:val="en-US" w:eastAsia="zh-CN"/>
        </w:rPr>
        <w:t>三是新挖掘培育进出口主体。抓好龙头型进出口企业的培育和引进，强化落实“</w:t>
      </w:r>
      <w:r>
        <w:rPr>
          <w:rFonts w:hint="default" w:ascii="Times New Roman" w:hAnsi="Times New Roman" w:eastAsia="仿宋_GB2312" w:cs="Times New Roman"/>
          <w:b w:val="0"/>
          <w:bCs/>
          <w:color w:val="auto"/>
          <w:sz w:val="32"/>
          <w:szCs w:val="32"/>
          <w:lang w:val="en-US" w:eastAsia="zh-CN"/>
        </w:rPr>
        <w:t>双招双引</w:t>
      </w:r>
      <w:r>
        <w:rPr>
          <w:rFonts w:hint="default" w:ascii="Times New Roman" w:hAnsi="Times New Roman" w:eastAsia="仿宋_GB2312" w:cs="Times New Roman"/>
          <w:b w:val="0"/>
          <w:bCs/>
          <w:color w:val="auto"/>
          <w:sz w:val="32"/>
          <w:szCs w:val="32"/>
          <w:u w:val="none"/>
          <w:lang w:val="en-US" w:eastAsia="zh-CN"/>
        </w:rPr>
        <w:t>”工作措施，重点招引外向度高的投资企业入驻，壮大进出口主体和规模，同时引导企业增强市场开拓能力，提升重点产业层次，扩展出口产品种类和数量。四</w:t>
      </w:r>
      <w:r>
        <w:rPr>
          <w:rFonts w:hint="default" w:ascii="Times New Roman" w:hAnsi="Times New Roman" w:eastAsia="仿宋_GB2312" w:cs="Times New Roman"/>
          <w:b w:val="0"/>
          <w:bCs/>
          <w:color w:val="auto"/>
          <w:sz w:val="32"/>
          <w:szCs w:val="32"/>
          <w:lang w:val="en-US" w:eastAsia="zh-CN"/>
        </w:rPr>
        <w:t>是加强品牌培育和建设。鼓励企业到主销市场或目标市场注册商标，细化目标市场，分类实施市场拓展策略，加快自主出口品牌的培育。扶优扶强优势产业、特色产品、重点出口企业，增加出口份额、优化出口结构。五是利用平台拓市场。积极落实多元化国际市场开拓活动，组织有意愿企业参加国内外重点展览会、国际专业性展览会，用足用活跨</w:t>
      </w:r>
      <w:r>
        <w:rPr>
          <w:rFonts w:hint="default" w:ascii="Times New Roman" w:hAnsi="Times New Roman" w:eastAsia="仿宋_GB2312" w:cs="Times New Roman"/>
          <w:sz w:val="32"/>
          <w:szCs w:val="32"/>
          <w:lang w:val="en-US" w:eastAsia="zh-CN"/>
        </w:rPr>
        <w:t>境电商模式和各类平台载体作用，巩固传统市场，拓展新兴市场。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利用外资提质增效。一是抓好项目策划推介。围绕我县新医药、新材料、电子信息主导产业和基础设施建设等领域，精准宣传推介，策划储备一批科技含量高、辐射带动能力强、持续竞争优势大的项目，带动产业集群化发展。二是积极对接招商平台和机构。与淄博市在欧洲、北美、日韩、东盟等地聘请的境外招商平台精准对接，招引适合我县产业结构的项目，加强与重点国家(地区)知名商会、行业协会、</w:t>
      </w:r>
      <w:bookmarkStart w:id="1" w:name="OLE_LINK1"/>
      <w:r>
        <w:rPr>
          <w:rFonts w:hint="default" w:ascii="Times New Roman" w:hAnsi="Times New Roman" w:eastAsia="仿宋_GB2312" w:cs="Times New Roman"/>
          <w:sz w:val="32"/>
          <w:szCs w:val="32"/>
          <w:lang w:val="en-US" w:eastAsia="zh-CN"/>
        </w:rPr>
        <w:t>会计师事务所</w:t>
      </w:r>
      <w:bookmarkEnd w:id="1"/>
      <w:r>
        <w:rPr>
          <w:rFonts w:hint="default" w:ascii="Times New Roman" w:hAnsi="Times New Roman" w:eastAsia="仿宋_GB2312" w:cs="Times New Roman"/>
          <w:sz w:val="32"/>
          <w:szCs w:val="32"/>
          <w:lang w:val="en-US" w:eastAsia="zh-CN"/>
        </w:rPr>
        <w:t>等咨询机构和驻华经贸代表机构的合作，寻找城市发展合伙人。着重实施两洲（美洲、欧洲）、两国（日本、韩国）、两地（香港、台湾）、“一带一路”沿线国家等重点区域的招引外资。三是强化市场化、专业化理念和平台思维。注重链接平台、建设平台，发挥好鲁中高科公司等国有企业和标准厂房、创业中心、研发中心等创业创新载体的作用，推动内联外引。整合国有投融资平台，组建专业招商团队，提高招商能力。四是加强与世界500强及行业领军企业合作。多渠道对接世界500强、行业领军、独角兽和隐形冠军企业，努力引进一批跨国公司、行业龙头企业和单项冠军企业。五是利用资源优势招商。发挥开发区内千亩产业园的资源优势，依托瑞阳医药产业园、药玻医药包装材料产业园等6个百亿级产业园和本土骨干企业，深入挖掘产业链条中的上下游资源，有针对性地开展“补链、延链、扩链、强链”，促进优势产业“链式发展、抱团壮大”。六是以基金平台引进高端项目。发挥基金公司优势，通过资本运作招商，依托产业发展基金，加强与国内外知名基金机构的合作，发展战略新兴产业，促进金融资本和实体经济的互动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textAlignment w:val="bottom"/>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服务贸易进出口保持稳定增长。一是以“走出去”为引领带动企业发展。引导企业在巩固现有市场的基础上，根据产业、产品特点积极开拓新兴国际市场。鼓励参与跨国并购和在境外建设营销网点，提高国际化竞争力。二是加快融入“一带一路”建设步伐。结合产业转型升级发展需要，加强对“一带一路”政策的宣传引导，多方式、多渠道组织企业参加“一带一路”沿线国家及经济园区的招商服务贸易活动，提升国际化营销水平。三是着力培育服务贸易新增长点。引导企业与境内外科研机构、高等院校等专业组织合作，鼓励引进高端管理和技术人才，提高研发设计能力和管理水平，不断开拓境内外市场，实现新增长。四是促进境外承包工程破题。挖掘产业链条中的潜在价值，鼓励企业与央企及省内外大型企业精准合作对接，以“借船出海”的方式，带动技术、服务输出。</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sz w:val="32"/>
          <w:szCs w:val="32"/>
          <w:lang w:val="en-US" w:eastAsia="zh-CN"/>
        </w:rPr>
        <w:t xml:space="preserve">     4.限额以上</w:t>
      </w:r>
      <w:r>
        <w:rPr>
          <w:rFonts w:hint="default" w:ascii="Times New Roman" w:hAnsi="Times New Roman" w:eastAsia="仿宋_GB2312" w:cs="Times New Roman"/>
          <w:b w:val="0"/>
          <w:bCs w:val="0"/>
          <w:sz w:val="32"/>
          <w:szCs w:val="32"/>
          <w:lang w:val="en-US" w:eastAsia="zh-CN"/>
        </w:rPr>
        <w:t>“批零住餐”业良好运行。一是全力培育“批零住餐”纳统企业，精准推介和宣传各级政策，提高企业纳统的积极性，培育既有数量又有质量的纳统企业，确保“批零住餐”业经济运行持续向好。二是促进消费业态融合发展，衍生新业态，开展促消费活动，提升消费潜能，激发消费活力。三是全面掌握限上企业经营情况、存在困难及需求，建立预警机制，科学研判分析市场，及时规避运行波动风险，确保运行数据真实稳定。</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jc w:val="left"/>
        <w:textAlignment w:val="bottom"/>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5.电子商务方面</w:t>
      </w:r>
      <w:r>
        <w:rPr>
          <w:rFonts w:hint="default" w:ascii="Times New Roman" w:hAnsi="Times New Roman" w:eastAsia="仿宋_GB2312" w:cs="Times New Roman"/>
          <w:b w:val="0"/>
          <w:bCs/>
          <w:sz w:val="32"/>
          <w:szCs w:val="32"/>
        </w:rPr>
        <w:t>进一步鼓励和支持电子商务发展，发挥电子商务园区集聚和公共服务功能，利用互联网+、云计算等信息技术，打通传统商务产业链采购、市场、销售、服务等环节，拓宽电子商务网上销售渠道，提高电子商务交易水平</w:t>
      </w:r>
      <w:r>
        <w:rPr>
          <w:rFonts w:hint="default" w:ascii="Times New Roman" w:hAnsi="Times New Roman" w:eastAsia="仿宋_GB2312" w:cs="Times New Roman"/>
          <w:b w:val="0"/>
          <w:bCs/>
          <w:color w:val="auto"/>
          <w:sz w:val="32"/>
          <w:szCs w:val="32"/>
        </w:rPr>
        <w:t>。建设一处集电商办公、网红直播、智慧</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云仓、智能分拣于一体的电子商务</w:t>
      </w:r>
      <w:r>
        <w:rPr>
          <w:rFonts w:hint="default" w:ascii="Times New Roman" w:hAnsi="Times New Roman" w:eastAsia="仿宋_GB2312" w:cs="Times New Roman"/>
          <w:b w:val="0"/>
          <w:bCs/>
          <w:color w:val="auto"/>
          <w:sz w:val="32"/>
          <w:szCs w:val="32"/>
          <w:lang w:val="en-US" w:eastAsia="zh-CN"/>
        </w:rPr>
        <w:t>综合</w:t>
      </w:r>
      <w:r>
        <w:rPr>
          <w:rFonts w:hint="default" w:ascii="Times New Roman" w:hAnsi="Times New Roman" w:eastAsia="仿宋_GB2312" w:cs="Times New Roman"/>
          <w:b w:val="0"/>
          <w:bCs/>
          <w:color w:val="auto"/>
          <w:sz w:val="32"/>
          <w:szCs w:val="32"/>
        </w:rPr>
        <w:t>物流园。同时，依托电子商务物流园，进一</w:t>
      </w:r>
      <w:r>
        <w:rPr>
          <w:rFonts w:hint="default" w:ascii="Times New Roman" w:hAnsi="Times New Roman" w:eastAsia="仿宋_GB2312" w:cs="Times New Roman"/>
          <w:b w:val="0"/>
          <w:bCs/>
          <w:sz w:val="32"/>
          <w:szCs w:val="32"/>
        </w:rPr>
        <w:t>步完善农产品电商供应链，打造一批以甜小鲜为代表的农产品电商企业</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孵化一批</w:t>
      </w:r>
      <w:r>
        <w:rPr>
          <w:rFonts w:hint="default" w:ascii="Times New Roman" w:hAnsi="Times New Roman" w:eastAsia="仿宋_GB2312" w:cs="Times New Roman"/>
          <w:b w:val="0"/>
          <w:bCs/>
          <w:sz w:val="32"/>
          <w:szCs w:val="32"/>
          <w:lang w:val="en-US" w:eastAsia="zh-CN"/>
        </w:rPr>
        <w:t>以</w:t>
      </w:r>
      <w:r>
        <w:rPr>
          <w:rFonts w:hint="default" w:ascii="Times New Roman" w:hAnsi="Times New Roman" w:eastAsia="仿宋_GB2312" w:cs="Times New Roman"/>
          <w:b w:val="0"/>
          <w:bCs/>
          <w:sz w:val="32"/>
          <w:szCs w:val="32"/>
        </w:rPr>
        <w:t>石钱山为代表的视频直播类企业</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与淄博技师学院等高校合作培育一批电商专业人才</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与首农等企业合作建立沂源云仓</w:t>
      </w:r>
      <w:r>
        <w:rPr>
          <w:rFonts w:hint="default" w:ascii="Times New Roman" w:hAnsi="Times New Roman" w:eastAsia="仿宋_GB2312" w:cs="Times New Roman"/>
          <w:b w:val="0"/>
          <w:bCs/>
          <w:sz w:val="32"/>
          <w:szCs w:val="32"/>
          <w:lang w:val="en-US" w:eastAsia="zh-CN"/>
        </w:rPr>
        <w:t>全面</w:t>
      </w:r>
      <w:r>
        <w:rPr>
          <w:rFonts w:hint="default" w:ascii="Times New Roman" w:hAnsi="Times New Roman" w:eastAsia="仿宋_GB2312" w:cs="Times New Roman"/>
          <w:b w:val="0"/>
          <w:bCs/>
          <w:sz w:val="32"/>
          <w:szCs w:val="32"/>
        </w:rPr>
        <w:t>提升物流配送水平，实现电子商务园区聚合效应。</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firstLineChars="200"/>
        <w:jc w:val="left"/>
        <w:textAlignment w:val="bottom"/>
        <w:outlineLvl w:val="9"/>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b w:val="0"/>
          <w:bCs w:val="0"/>
          <w:sz w:val="32"/>
          <w:szCs w:val="32"/>
          <w:lang w:val="en-US" w:eastAsia="zh-CN"/>
        </w:rPr>
        <w:t>商</w:t>
      </w:r>
      <w:r>
        <w:rPr>
          <w:rFonts w:hint="default" w:ascii="Times New Roman" w:hAnsi="Times New Roman" w:eastAsia="仿宋_GB2312" w:cs="Times New Roman"/>
          <w:b w:val="0"/>
          <w:bCs/>
          <w:sz w:val="32"/>
          <w:szCs w:val="32"/>
          <w:lang w:val="en-US" w:eastAsia="zh-CN"/>
        </w:rPr>
        <w:t>业网点布局规划日臻完善。</w:t>
      </w:r>
      <w:bookmarkStart w:id="2" w:name="_GoBack"/>
      <w:r>
        <w:rPr>
          <w:rFonts w:hint="eastAsia" w:ascii="Times New Roman" w:hAnsi="Times New Roman" w:eastAsia="仿宋_GB2312" w:cs="Times New Roman"/>
          <w:b w:val="0"/>
          <w:bCs/>
          <w:sz w:val="32"/>
          <w:szCs w:val="32"/>
          <w:lang w:val="en-US" w:eastAsia="zh-CN"/>
        </w:rPr>
        <w:t>优化完善</w:t>
      </w:r>
      <w:bookmarkEnd w:id="2"/>
      <w:r>
        <w:rPr>
          <w:rFonts w:hint="default" w:ascii="Times New Roman" w:hAnsi="Times New Roman" w:eastAsia="仿宋_GB2312" w:cs="Times New Roman"/>
          <w:b w:val="0"/>
          <w:bCs/>
          <w:sz w:val="32"/>
          <w:szCs w:val="32"/>
          <w:lang w:val="en-US" w:eastAsia="zh-CN"/>
        </w:rPr>
        <w:t>《沂源县商业网点布局规划》，优化核心商圈、商业中心、重点商业街区、社区商业网点建设布局，完善县、镇、街、社区四级商业网点体系，加快形成层级分明、跨界融合、模式创新的商业网点布局。</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规划建设再生资源产业园（分拣中心）。进一步完善县域再生资源回收体系建设，更好地节约资源、保护环境，促进循环经济发展，提高我县新型城镇化质量和生态文明建设水平，根据国家《再生资源回收体系建设中长期规划(2015</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2020)》、《再生资源回收管理办法》和《山东省再生资源回收利用管理办法》等文件精神，按照“统一布局、合理规划、交通便利、保护环境”的原则，规划建设1处再生资源产业园（分拣中心），占地面积原则上不少于100亩，以满足再生资源分拣、存放、加工的需要。不断完善产业园（分拣中心）集散和分拣功能，提高专业分拣水平，推进再生资源回收加工一体化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jc w:val="left"/>
        <w:textAlignment w:val="bottom"/>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 xml:space="preserve">    8.农贸市场提标建设。打造方便社区居民生活的 “15分钟生活圈”，逐步建成以中心农贸市场（综合市场）对城区基本全覆盖、社区便民超市（肉菜超市）补充完善的空间结构。</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9.健全完善成品油监管机制。</w:t>
      </w:r>
      <w:r>
        <w:rPr>
          <w:rFonts w:hint="default" w:ascii="Times New Roman" w:hAnsi="Times New Roman" w:eastAsia="仿宋_GB2312" w:cs="Times New Roman"/>
          <w:color w:val="auto"/>
          <w:sz w:val="32"/>
          <w:szCs w:val="32"/>
          <w:shd w:val="clear" w:color="auto" w:fill="FFFFFF"/>
        </w:rPr>
        <w:t>认真履行成品油监管领导小组办公室职责，</w:t>
      </w:r>
      <w:r>
        <w:rPr>
          <w:rFonts w:hint="default" w:ascii="Times New Roman" w:hAnsi="Times New Roman" w:eastAsia="仿宋_GB2312" w:cs="Times New Roman"/>
          <w:color w:val="auto"/>
          <w:sz w:val="32"/>
          <w:szCs w:val="32"/>
          <w:shd w:val="clear" w:color="auto" w:fill="FFFFFF"/>
          <w:lang w:val="en-US" w:eastAsia="zh-CN"/>
        </w:rPr>
        <w:t>加强日常监管和集中检查治理，健全完善联合执法监管机制，条块结合，协作推进，强化工作合力，</w:t>
      </w:r>
      <w:r>
        <w:rPr>
          <w:rFonts w:hint="default" w:ascii="Times New Roman" w:hAnsi="Times New Roman" w:eastAsia="仿宋_GB2312" w:cs="Times New Roman"/>
          <w:color w:val="auto"/>
          <w:sz w:val="32"/>
          <w:szCs w:val="32"/>
          <w:shd w:val="clear" w:color="auto" w:fill="FFFFFF"/>
        </w:rPr>
        <w:t>严格成品油市场准入，严厉打击成品油非法经营活动</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jc w:val="left"/>
        <w:textAlignment w:val="bottom"/>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 xml:space="preserve">    10.大力发展新业态。配套出台扶持政策，鼓励发展</w:t>
      </w:r>
      <w:r>
        <w:rPr>
          <w:rFonts w:hint="default" w:ascii="Times New Roman" w:hAnsi="Times New Roman" w:eastAsia="仿宋_GB2312" w:cs="Times New Roman"/>
          <w:b w:val="0"/>
          <w:bCs/>
          <w:color w:val="auto"/>
          <w:sz w:val="32"/>
          <w:szCs w:val="32"/>
        </w:rPr>
        <w:t>直播电商</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跨境电商、</w:t>
      </w:r>
      <w:r>
        <w:rPr>
          <w:rFonts w:hint="default" w:ascii="Times New Roman" w:hAnsi="Times New Roman" w:eastAsia="仿宋_GB2312" w:cs="Times New Roman"/>
          <w:b w:val="0"/>
          <w:bCs/>
          <w:color w:val="auto"/>
          <w:sz w:val="32"/>
          <w:szCs w:val="32"/>
        </w:rPr>
        <w:t>社区团购</w:t>
      </w:r>
      <w:r>
        <w:rPr>
          <w:rFonts w:hint="default" w:ascii="Times New Roman" w:hAnsi="Times New Roman" w:eastAsia="仿宋_GB2312" w:cs="Times New Roman"/>
          <w:b w:val="0"/>
          <w:bCs/>
          <w:color w:val="auto"/>
          <w:sz w:val="32"/>
          <w:szCs w:val="32"/>
          <w:lang w:val="en-US" w:eastAsia="zh-CN"/>
        </w:rPr>
        <w:t>等新型消费模式；</w:t>
      </w:r>
      <w:r>
        <w:rPr>
          <w:rFonts w:hint="default" w:ascii="Times New Roman" w:hAnsi="Times New Roman" w:eastAsia="仿宋_GB2312" w:cs="Times New Roman"/>
          <w:b w:val="0"/>
          <w:bCs/>
          <w:color w:val="auto"/>
          <w:sz w:val="32"/>
          <w:szCs w:val="32"/>
        </w:rPr>
        <w:t>引进和发展新型零售企业，探索开展</w:t>
      </w:r>
      <w:r>
        <w:rPr>
          <w:rFonts w:hint="default" w:ascii="Times New Roman" w:hAnsi="Times New Roman" w:eastAsia="仿宋_GB2312" w:cs="Times New Roman"/>
          <w:b w:val="0"/>
          <w:bCs/>
          <w:color w:val="auto"/>
          <w:sz w:val="32"/>
          <w:szCs w:val="32"/>
          <w:lang w:val="en-US" w:eastAsia="zh-CN"/>
        </w:rPr>
        <w:t>新型</w:t>
      </w:r>
      <w:r>
        <w:rPr>
          <w:rFonts w:hint="default" w:ascii="Times New Roman" w:hAnsi="Times New Roman" w:eastAsia="仿宋_GB2312" w:cs="Times New Roman"/>
          <w:b w:val="0"/>
          <w:bCs/>
          <w:color w:val="auto"/>
          <w:sz w:val="32"/>
          <w:szCs w:val="32"/>
        </w:rPr>
        <w:t>智能零售终端</w:t>
      </w:r>
      <w:r>
        <w:rPr>
          <w:rFonts w:hint="default" w:ascii="Times New Roman" w:hAnsi="Times New Roman" w:eastAsia="仿宋_GB2312" w:cs="Times New Roman"/>
          <w:b w:val="0"/>
          <w:bCs/>
          <w:color w:val="auto"/>
          <w:sz w:val="32"/>
          <w:szCs w:val="32"/>
          <w:lang w:val="en-US" w:eastAsia="zh-CN"/>
        </w:rPr>
        <w:t>模式</w:t>
      </w:r>
      <w:r>
        <w:rPr>
          <w:rFonts w:hint="default" w:ascii="Times New Roman" w:hAnsi="Times New Roman" w:eastAsia="仿宋_GB2312" w:cs="Times New Roman"/>
          <w:b w:val="0"/>
          <w:bCs/>
          <w:color w:val="auto"/>
          <w:sz w:val="32"/>
          <w:szCs w:val="32"/>
        </w:rPr>
        <w:t>，提升数字化消费体验</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探索商贸与工业、农业、文化、旅游等业态融合发展的路子，</w:t>
      </w:r>
      <w:r>
        <w:rPr>
          <w:rFonts w:hint="default" w:ascii="Times New Roman" w:hAnsi="Times New Roman" w:eastAsia="仿宋_GB2312" w:cs="Times New Roman"/>
          <w:b w:val="0"/>
          <w:bCs w:val="0"/>
          <w:color w:val="auto"/>
          <w:kern w:val="2"/>
          <w:sz w:val="32"/>
          <w:szCs w:val="32"/>
          <w:lang w:val="en-US" w:eastAsia="zh-CN" w:bidi="ar-SA"/>
        </w:rPr>
        <w:t>培育特色购物享受、特色文旅休闲、特色乡村体验等消费业态，形成链条式聚合发展。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left="0" w:leftChars="0" w:right="0" w:rightChars="0" w:firstLine="640"/>
        <w:jc w:val="left"/>
        <w:textAlignment w:val="bottom"/>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11.做好汽车销售及二手车交易综合整治工作。逐步建立完善部门联合、综合治理、条块结合的长效监管机制，形成工作合力，实现常态化管理。</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12.大力提升水泥散装率。</w:t>
      </w:r>
      <w:r>
        <w:rPr>
          <w:rFonts w:hint="default" w:ascii="Times New Roman" w:hAnsi="Times New Roman" w:eastAsia="仿宋_GB2312" w:cs="Times New Roman"/>
          <w:b w:val="0"/>
          <w:bCs w:val="0"/>
          <w:sz w:val="32"/>
          <w:szCs w:val="32"/>
          <w:lang w:val="en-US" w:eastAsia="zh-CN"/>
        </w:rPr>
        <w:t>加强产学研结合，搭建平台，激发市场活力，提高散装水泥利用率,推动散装水泥绿色建材高质量发展，力争十四五末水泥散装率达到85%以上。</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val="0"/>
        <w:snapToGrid w:val="0"/>
        <w:spacing w:line="540" w:lineRule="exact"/>
        <w:ind w:right="0" w:rightChars="0" w:firstLine="640" w:firstLineChars="200"/>
        <w:jc w:val="left"/>
        <w:textAlignment w:val="bottom"/>
        <w:outlineLvl w:val="9"/>
        <w:rPr>
          <w:rFonts w:hint="default" w:ascii="Times New Roman" w:hAnsi="Times New Roman" w:eastAsia="仿宋_GB2312" w:cs="Times New Roman"/>
          <w:b w:val="0"/>
          <w:bCs/>
          <w:color w:val="000000"/>
          <w:sz w:val="32"/>
          <w:szCs w:val="32"/>
          <w:highlight w:val="none"/>
        </w:rPr>
      </w:pPr>
      <w:r>
        <w:rPr>
          <w:rFonts w:hint="default" w:ascii="Times New Roman" w:hAnsi="Times New Roman" w:eastAsia="仿宋_GB2312" w:cs="Times New Roman"/>
          <w:b w:val="0"/>
          <w:bCs w:val="0"/>
          <w:sz w:val="32"/>
          <w:szCs w:val="32"/>
          <w:lang w:val="en-US" w:eastAsia="zh-CN"/>
        </w:rPr>
        <w:t>13.</w:t>
      </w:r>
      <w:r>
        <w:rPr>
          <w:rFonts w:hint="default" w:ascii="Times New Roman" w:hAnsi="Times New Roman" w:eastAsia="仿宋_GB2312" w:cs="Times New Roman"/>
          <w:b w:val="0"/>
          <w:bCs/>
          <w:color w:val="auto"/>
          <w:sz w:val="32"/>
          <w:szCs w:val="32"/>
          <w:highlight w:val="none"/>
        </w:rPr>
        <w:t>健全</w:t>
      </w:r>
      <w:r>
        <w:rPr>
          <w:rFonts w:hint="default" w:ascii="Times New Roman" w:hAnsi="Times New Roman" w:eastAsia="仿宋_GB2312" w:cs="Times New Roman"/>
          <w:b w:val="0"/>
          <w:bCs/>
          <w:color w:val="auto"/>
          <w:sz w:val="32"/>
          <w:szCs w:val="32"/>
          <w:highlight w:val="none"/>
          <w:lang w:val="en-US" w:eastAsia="zh-CN"/>
        </w:rPr>
        <w:t>商贸流通领域</w:t>
      </w:r>
      <w:r>
        <w:rPr>
          <w:rFonts w:hint="default" w:ascii="Times New Roman" w:hAnsi="Times New Roman" w:eastAsia="仿宋_GB2312" w:cs="Times New Roman"/>
          <w:b w:val="0"/>
          <w:bCs/>
          <w:color w:val="auto"/>
          <w:sz w:val="32"/>
          <w:szCs w:val="32"/>
          <w:highlight w:val="none"/>
          <w:lang w:eastAsia="zh-CN"/>
        </w:rPr>
        <w:t>长效监管</w:t>
      </w:r>
      <w:r>
        <w:rPr>
          <w:rFonts w:hint="default" w:ascii="Times New Roman" w:hAnsi="Times New Roman" w:eastAsia="仿宋_GB2312" w:cs="Times New Roman"/>
          <w:b w:val="0"/>
          <w:bCs/>
          <w:color w:val="auto"/>
          <w:sz w:val="32"/>
          <w:szCs w:val="32"/>
          <w:highlight w:val="none"/>
        </w:rPr>
        <w:t>工作</w:t>
      </w:r>
      <w:r>
        <w:rPr>
          <w:rFonts w:hint="default" w:ascii="Times New Roman" w:hAnsi="Times New Roman" w:eastAsia="仿宋_GB2312" w:cs="Times New Roman"/>
          <w:b w:val="0"/>
          <w:bCs/>
          <w:color w:val="auto"/>
          <w:sz w:val="32"/>
          <w:szCs w:val="32"/>
          <w:highlight w:val="none"/>
          <w:lang w:val="en-US" w:eastAsia="zh-CN"/>
        </w:rPr>
        <w:t>机制。围绕重点领域、关键环节、薄弱事项，完善法治建设机制，</w:t>
      </w:r>
      <w:r>
        <w:rPr>
          <w:rFonts w:hint="default" w:ascii="Times New Roman" w:hAnsi="Times New Roman" w:eastAsia="仿宋_GB2312" w:cs="Times New Roman"/>
          <w:b w:val="0"/>
          <w:bCs w:val="0"/>
          <w:kern w:val="2"/>
          <w:sz w:val="32"/>
          <w:szCs w:val="32"/>
          <w:lang w:val="en-US" w:eastAsia="zh-CN" w:bidi="ar-SA"/>
        </w:rPr>
        <w:t>筑牢安全责任体系，创新监管执法举措</w:t>
      </w:r>
      <w:r>
        <w:rPr>
          <w:rFonts w:hint="default" w:ascii="Times New Roman" w:hAnsi="Times New Roman" w:eastAsia="仿宋_GB2312" w:cs="Times New Roman"/>
          <w:b w:val="0"/>
          <w:bCs/>
          <w:color w:val="000000"/>
          <w:sz w:val="32"/>
          <w:szCs w:val="32"/>
          <w:highlight w:val="none"/>
          <w:lang w:eastAsia="zh-CN"/>
        </w:rPr>
        <w:t>，</w:t>
      </w:r>
      <w:r>
        <w:rPr>
          <w:rFonts w:hint="default" w:ascii="Times New Roman" w:hAnsi="Times New Roman" w:eastAsia="仿宋_GB2312" w:cs="Times New Roman"/>
          <w:b w:val="0"/>
          <w:bCs/>
          <w:color w:val="000000"/>
          <w:sz w:val="32"/>
          <w:szCs w:val="32"/>
          <w:highlight w:val="none"/>
          <w:lang w:val="en-US" w:eastAsia="zh-CN"/>
        </w:rPr>
        <w:t>构建高效运转的</w:t>
      </w:r>
      <w:r>
        <w:rPr>
          <w:rFonts w:hint="default" w:ascii="Times New Roman" w:hAnsi="Times New Roman" w:eastAsia="仿宋_GB2312" w:cs="Times New Roman"/>
          <w:b w:val="0"/>
          <w:bCs/>
          <w:color w:val="auto"/>
          <w:sz w:val="32"/>
          <w:szCs w:val="32"/>
          <w:highlight w:val="none"/>
          <w:lang w:val="en-US" w:eastAsia="zh-CN"/>
        </w:rPr>
        <w:t>商贸流通领域</w:t>
      </w:r>
      <w:r>
        <w:rPr>
          <w:rFonts w:hint="default" w:ascii="Times New Roman" w:hAnsi="Times New Roman" w:eastAsia="仿宋_GB2312" w:cs="Times New Roman"/>
          <w:b w:val="0"/>
          <w:bCs/>
          <w:color w:val="auto"/>
          <w:sz w:val="32"/>
          <w:szCs w:val="32"/>
          <w:highlight w:val="none"/>
          <w:lang w:eastAsia="zh-CN"/>
        </w:rPr>
        <w:t>长效监管</w:t>
      </w:r>
      <w:r>
        <w:rPr>
          <w:rFonts w:hint="default" w:ascii="Times New Roman" w:hAnsi="Times New Roman" w:eastAsia="仿宋_GB2312" w:cs="Times New Roman"/>
          <w:b w:val="0"/>
          <w:bCs/>
          <w:color w:val="auto"/>
          <w:sz w:val="32"/>
          <w:szCs w:val="32"/>
          <w:highlight w:val="none"/>
        </w:rPr>
        <w:t>工作</w:t>
      </w:r>
      <w:r>
        <w:rPr>
          <w:rFonts w:hint="default" w:ascii="Times New Roman" w:hAnsi="Times New Roman" w:eastAsia="仿宋_GB2312" w:cs="Times New Roman"/>
          <w:b w:val="0"/>
          <w:bCs/>
          <w:color w:val="auto"/>
          <w:sz w:val="32"/>
          <w:szCs w:val="32"/>
          <w:highlight w:val="none"/>
          <w:lang w:val="en-US" w:eastAsia="zh-CN"/>
        </w:rPr>
        <w:t>机制</w:t>
      </w:r>
      <w:r>
        <w:rPr>
          <w:rFonts w:hint="default" w:ascii="Times New Roman" w:hAnsi="Times New Roman" w:eastAsia="仿宋_GB2312" w:cs="Times New Roman"/>
          <w:b w:val="0"/>
          <w:bCs/>
          <w:color w:val="000000"/>
          <w:sz w:val="32"/>
          <w:szCs w:val="32"/>
          <w:highlight w:val="none"/>
          <w:lang w:val="en-US" w:eastAsia="zh-CN"/>
        </w:rPr>
        <w:t>，全面优化提升商贸流通营商环境</w:t>
      </w:r>
      <w:r>
        <w:rPr>
          <w:rFonts w:hint="default" w:ascii="Times New Roman" w:hAnsi="Times New Roman" w:eastAsia="仿宋_GB2312" w:cs="Times New Roman"/>
          <w:b w:val="0"/>
          <w:bCs/>
          <w:color w:val="000000"/>
          <w:sz w:val="32"/>
          <w:szCs w:val="32"/>
          <w:highlight w:val="none"/>
        </w:rPr>
        <w:t>。</w:t>
      </w:r>
    </w:p>
    <w:p>
      <w:pPr>
        <w:pStyle w:val="2"/>
        <w:keepNext w:val="0"/>
        <w:keepLines w:val="0"/>
        <w:pageBreakBefore w:val="0"/>
        <w:widowControl w:val="0"/>
        <w:kinsoku/>
        <w:wordWrap/>
        <w:overflowPunct/>
        <w:topLinePunct w:val="0"/>
        <w:autoSpaceDE/>
        <w:autoSpaceDN/>
        <w:bidi w:val="0"/>
        <w:spacing w:before="0" w:line="540" w:lineRule="exact"/>
        <w:rPr>
          <w:rFonts w:hint="default" w:ascii="Times New Roman" w:hAnsi="Times New Roman" w:eastAsia="仿宋_GB2312" w:cs="Times New Roman"/>
          <w:b w:val="0"/>
          <w:bCs/>
          <w:color w:val="000000"/>
          <w:sz w:val="32"/>
          <w:szCs w:val="32"/>
          <w:highlight w:val="none"/>
        </w:rPr>
      </w:pPr>
    </w:p>
    <w:p>
      <w:pPr>
        <w:keepNext w:val="0"/>
        <w:keepLines w:val="0"/>
        <w:pageBreakBefore w:val="0"/>
        <w:widowControl w:val="0"/>
        <w:kinsoku/>
        <w:wordWrap/>
        <w:overflowPunct/>
        <w:topLinePunct w:val="0"/>
        <w:autoSpaceDE/>
        <w:autoSpaceDN/>
        <w:bidi w:val="0"/>
        <w:spacing w:line="540" w:lineRule="exact"/>
        <w:rPr>
          <w:rFonts w:hint="eastAsia" w:ascii="Times New Roman" w:hAnsi="Times New Roman" w:eastAsia="仿宋_GB2312" w:cs="Times New Roman"/>
          <w:b w:val="0"/>
          <w:bCs/>
          <w:color w:val="000000"/>
          <w:sz w:val="32"/>
          <w:szCs w:val="32"/>
          <w:highlight w:val="none"/>
          <w:lang w:val="en-US" w:eastAsia="zh-CN"/>
        </w:rPr>
      </w:pPr>
      <w:r>
        <w:rPr>
          <w:rFonts w:hint="eastAsia" w:ascii="Times New Roman" w:hAnsi="Times New Roman" w:eastAsia="仿宋_GB2312" w:cs="Times New Roman"/>
          <w:b w:val="0"/>
          <w:bCs/>
          <w:color w:val="000000"/>
          <w:sz w:val="32"/>
          <w:szCs w:val="32"/>
          <w:highlight w:val="none"/>
          <w:lang w:val="en-US" w:eastAsia="zh-CN"/>
        </w:rPr>
        <w:t xml:space="preserve">                                沂源县商务局</w:t>
      </w:r>
    </w:p>
    <w:p>
      <w:pPr>
        <w:pStyle w:val="2"/>
        <w:keepNext w:val="0"/>
        <w:keepLines w:val="0"/>
        <w:pageBreakBefore w:val="0"/>
        <w:widowControl w:val="0"/>
        <w:kinsoku/>
        <w:wordWrap/>
        <w:overflowPunct/>
        <w:topLinePunct w:val="0"/>
        <w:autoSpaceDE/>
        <w:autoSpaceDN/>
        <w:bidi w:val="0"/>
        <w:spacing w:before="0" w:line="540" w:lineRule="exact"/>
        <w:rPr>
          <w:rFonts w:hint="default"/>
          <w:lang w:val="en-US" w:eastAsia="zh-CN"/>
        </w:rPr>
      </w:pPr>
      <w:r>
        <w:rPr>
          <w:rFonts w:hint="eastAsia" w:ascii="Times New Roman" w:hAnsi="Times New Roman" w:eastAsia="仿宋_GB2312" w:cs="Times New Roman"/>
          <w:b w:val="0"/>
          <w:bCs/>
          <w:color w:val="000000"/>
          <w:sz w:val="32"/>
          <w:szCs w:val="32"/>
          <w:highlight w:val="none"/>
          <w:lang w:val="en-US" w:eastAsia="zh-CN"/>
        </w:rPr>
        <w:t xml:space="preserve">                          2021年1月20日</w:t>
      </w:r>
    </w:p>
    <w:p>
      <w:pPr>
        <w:pStyle w:val="2"/>
        <w:keepNext w:val="0"/>
        <w:keepLines w:val="0"/>
        <w:pageBreakBefore w:val="0"/>
        <w:widowControl w:val="0"/>
        <w:kinsoku/>
        <w:wordWrap/>
        <w:overflowPunct/>
        <w:topLinePunct w:val="0"/>
        <w:autoSpaceDE/>
        <w:autoSpaceDN/>
        <w:bidi w:val="0"/>
        <w:spacing w:before="0" w:after="0" w:line="540" w:lineRule="exact"/>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682D5"/>
    <w:multiLevelType w:val="singleLevel"/>
    <w:tmpl w:val="600682D5"/>
    <w:lvl w:ilvl="0" w:tentative="0">
      <w:start w:val="1"/>
      <w:numFmt w:val="chineseCounting"/>
      <w:suff w:val="nothing"/>
      <w:lvlText w:val="（%1）"/>
      <w:lvlJc w:val="left"/>
    </w:lvl>
  </w:abstractNum>
  <w:abstractNum w:abstractNumId="1">
    <w:nsid w:val="600687E8"/>
    <w:multiLevelType w:val="singleLevel"/>
    <w:tmpl w:val="600687E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16D8"/>
    <w:rsid w:val="0013735E"/>
    <w:rsid w:val="040115A2"/>
    <w:rsid w:val="04C017F7"/>
    <w:rsid w:val="0593568A"/>
    <w:rsid w:val="0B975C54"/>
    <w:rsid w:val="0CA340F4"/>
    <w:rsid w:val="0DFD2C1D"/>
    <w:rsid w:val="0E9B2C56"/>
    <w:rsid w:val="108B69A1"/>
    <w:rsid w:val="14932171"/>
    <w:rsid w:val="14E16FD2"/>
    <w:rsid w:val="14FA5EC8"/>
    <w:rsid w:val="150B3344"/>
    <w:rsid w:val="15F74C2C"/>
    <w:rsid w:val="18182AB5"/>
    <w:rsid w:val="198C419A"/>
    <w:rsid w:val="1A2D0215"/>
    <w:rsid w:val="1A54781F"/>
    <w:rsid w:val="1B8376DA"/>
    <w:rsid w:val="1CA132ED"/>
    <w:rsid w:val="1D2F60D7"/>
    <w:rsid w:val="1D662A84"/>
    <w:rsid w:val="21BC27C3"/>
    <w:rsid w:val="25017E86"/>
    <w:rsid w:val="26713D96"/>
    <w:rsid w:val="26EA2AA6"/>
    <w:rsid w:val="282E2B67"/>
    <w:rsid w:val="28315663"/>
    <w:rsid w:val="2AD40C86"/>
    <w:rsid w:val="2CAD0A73"/>
    <w:rsid w:val="2DCB3D63"/>
    <w:rsid w:val="2E7D4728"/>
    <w:rsid w:val="2E7F523C"/>
    <w:rsid w:val="2EF91EF7"/>
    <w:rsid w:val="2F134808"/>
    <w:rsid w:val="2F9D5A61"/>
    <w:rsid w:val="30C83916"/>
    <w:rsid w:val="313522D1"/>
    <w:rsid w:val="361D7F37"/>
    <w:rsid w:val="376B4617"/>
    <w:rsid w:val="3DFE7955"/>
    <w:rsid w:val="3F824632"/>
    <w:rsid w:val="41117AAC"/>
    <w:rsid w:val="423150F7"/>
    <w:rsid w:val="459E5809"/>
    <w:rsid w:val="499330CC"/>
    <w:rsid w:val="49E74BDA"/>
    <w:rsid w:val="4AFA33DE"/>
    <w:rsid w:val="4B9A4D6B"/>
    <w:rsid w:val="4E6602BB"/>
    <w:rsid w:val="4F9268CD"/>
    <w:rsid w:val="4FE31FF3"/>
    <w:rsid w:val="501B23BD"/>
    <w:rsid w:val="502B4FB5"/>
    <w:rsid w:val="506E24F5"/>
    <w:rsid w:val="52097944"/>
    <w:rsid w:val="52DB5A55"/>
    <w:rsid w:val="55772773"/>
    <w:rsid w:val="56FA5C8C"/>
    <w:rsid w:val="571A351D"/>
    <w:rsid w:val="57502C05"/>
    <w:rsid w:val="589F6AEB"/>
    <w:rsid w:val="5915038B"/>
    <w:rsid w:val="5AF303DD"/>
    <w:rsid w:val="5AF36898"/>
    <w:rsid w:val="5DA90A78"/>
    <w:rsid w:val="5EC614D1"/>
    <w:rsid w:val="61BE1E29"/>
    <w:rsid w:val="6225476E"/>
    <w:rsid w:val="62D31642"/>
    <w:rsid w:val="64503C8E"/>
    <w:rsid w:val="64CC73A7"/>
    <w:rsid w:val="65272C8A"/>
    <w:rsid w:val="66020E9B"/>
    <w:rsid w:val="66D37B52"/>
    <w:rsid w:val="674219BF"/>
    <w:rsid w:val="67F1001A"/>
    <w:rsid w:val="690A1E1C"/>
    <w:rsid w:val="692055F6"/>
    <w:rsid w:val="6A3C7846"/>
    <w:rsid w:val="6A950357"/>
    <w:rsid w:val="6B224E52"/>
    <w:rsid w:val="6B58270A"/>
    <w:rsid w:val="6C386A30"/>
    <w:rsid w:val="6D965362"/>
    <w:rsid w:val="6F39072C"/>
    <w:rsid w:val="6FC411AF"/>
    <w:rsid w:val="717C1E1E"/>
    <w:rsid w:val="71B96F6C"/>
    <w:rsid w:val="71E55C0D"/>
    <w:rsid w:val="724B0DF8"/>
    <w:rsid w:val="73012498"/>
    <w:rsid w:val="75D80AEF"/>
    <w:rsid w:val="76EC2D41"/>
    <w:rsid w:val="79784169"/>
    <w:rsid w:val="798E48A0"/>
    <w:rsid w:val="7BF12A66"/>
    <w:rsid w:val="7C2B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宋体" w:cs="Arial"/>
      <w:b/>
      <w:bCs/>
      <w:sz w:val="32"/>
      <w:szCs w:val="32"/>
    </w:r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style>
  <w:style w:type="character" w:customStyle="1" w:styleId="10">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2021-01-18T07:28:00Z</dcterms:created>
  <dc:creator>Administrator</dc:creator>
  <cp:lastModifiedBy>厘米</cp:lastModifiedBy>
  <cp:lastPrinted>2021-01-19T02:02:00Z</cp:lastPrinted>
  <dcterms:modified xsi:type="dcterms:W3CDTF">2021-01-20T07:29:46Z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