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34DF51"/>
    <w:p w14:paraId="10B95F89">
      <w:pPr>
        <w:pStyle w:val="23"/>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一、建设项目基本情况</w:t>
      </w:r>
    </w:p>
    <w:tbl>
      <w:tblPr>
        <w:tblStyle w:val="27"/>
        <w:tblW w:w="493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59"/>
        <w:gridCol w:w="2807"/>
        <w:gridCol w:w="1474"/>
        <w:gridCol w:w="3522"/>
      </w:tblGrid>
      <w:tr w14:paraId="7E1CB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010A0E9F">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建设项目名称</w:t>
            </w:r>
          </w:p>
        </w:tc>
        <w:tc>
          <w:tcPr>
            <w:tcW w:w="4452" w:type="pct"/>
            <w:gridSpan w:val="3"/>
            <w:vAlign w:val="center"/>
          </w:tcPr>
          <w:p w14:paraId="1DC26F50">
            <w:pPr>
              <w:adjustRightInd w:val="0"/>
              <w:snapToGrid w:val="0"/>
              <w:jc w:val="center"/>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淄博杰发纤维有限公司假发生产</w:t>
            </w:r>
            <w:r>
              <w:rPr>
                <w:rFonts w:hint="eastAsia" w:ascii="Times New Roman" w:hAnsi="Times New Roman" w:eastAsia="宋体" w:cs="Times New Roman"/>
                <w:color w:val="auto"/>
                <w:sz w:val="24"/>
                <w:szCs w:val="24"/>
                <w:highlight w:val="none"/>
                <w:lang w:val="en-US" w:eastAsia="zh-CN"/>
              </w:rPr>
              <w:t>项目</w:t>
            </w:r>
          </w:p>
        </w:tc>
      </w:tr>
      <w:tr w14:paraId="7F08E8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09FA827F">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项目代码</w:t>
            </w:r>
          </w:p>
        </w:tc>
        <w:tc>
          <w:tcPr>
            <w:tcW w:w="4452" w:type="pct"/>
            <w:gridSpan w:val="3"/>
            <w:vAlign w:val="center"/>
          </w:tcPr>
          <w:p w14:paraId="09618838">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2503-370323-89-01-925132</w:t>
            </w:r>
          </w:p>
        </w:tc>
      </w:tr>
      <w:tr w14:paraId="636D3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2F818C92">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建设单位联系人</w:t>
            </w:r>
          </w:p>
        </w:tc>
        <w:tc>
          <w:tcPr>
            <w:tcW w:w="1601" w:type="pct"/>
            <w:vAlign w:val="center"/>
          </w:tcPr>
          <w:p w14:paraId="4B8B2C19">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刘胜杰</w:t>
            </w:r>
          </w:p>
        </w:tc>
        <w:tc>
          <w:tcPr>
            <w:tcW w:w="841" w:type="pct"/>
            <w:vAlign w:val="center"/>
          </w:tcPr>
          <w:p w14:paraId="3F382DE4">
            <w:pPr>
              <w:adjustRightInd w:val="0"/>
              <w:snapToGrid w:val="0"/>
              <w:jc w:val="center"/>
              <w:rPr>
                <w:rFonts w:hint="default" w:cs="Times New Roman"/>
                <w:color w:val="auto"/>
                <w:sz w:val="24"/>
                <w:szCs w:val="24"/>
                <w:highlight w:val="none"/>
                <w:lang w:val="en-US" w:eastAsia="zh-CN"/>
              </w:rPr>
            </w:pPr>
            <w:r>
              <w:rPr>
                <w:rFonts w:hint="default" w:cs="Times New Roman"/>
                <w:color w:val="auto"/>
                <w:sz w:val="24"/>
                <w:szCs w:val="24"/>
                <w:highlight w:val="none"/>
                <w:lang w:val="en-US" w:eastAsia="zh-CN"/>
              </w:rPr>
              <w:t>联系方式</w:t>
            </w:r>
          </w:p>
        </w:tc>
        <w:tc>
          <w:tcPr>
            <w:tcW w:w="2009" w:type="pct"/>
            <w:vAlign w:val="center"/>
          </w:tcPr>
          <w:p w14:paraId="65812354">
            <w:pPr>
              <w:adjustRightInd w:val="0"/>
              <w:snapToGrid w:val="0"/>
              <w:jc w:val="center"/>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15966983093</w:t>
            </w:r>
          </w:p>
        </w:tc>
      </w:tr>
      <w:tr w14:paraId="1AB335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698D4174">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建设地点</w:t>
            </w:r>
          </w:p>
        </w:tc>
        <w:tc>
          <w:tcPr>
            <w:tcW w:w="4452" w:type="pct"/>
            <w:gridSpan w:val="3"/>
            <w:vAlign w:val="center"/>
          </w:tcPr>
          <w:p w14:paraId="64ADEBA8">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宋体"/>
                <w:sz w:val="24"/>
                <w:u w:val="none"/>
              </w:rPr>
              <w:t>山东省</w:t>
            </w:r>
            <w:r>
              <w:rPr>
                <w:rFonts w:hint="eastAsia" w:cs="Times New Roman"/>
                <w:color w:val="auto"/>
                <w:sz w:val="24"/>
                <w:szCs w:val="24"/>
                <w:highlight w:val="none"/>
                <w:lang w:val="en-US" w:eastAsia="zh-CN"/>
              </w:rPr>
              <w:t>淄博市沂源县张家坡镇政通路88号</w:t>
            </w:r>
          </w:p>
        </w:tc>
      </w:tr>
      <w:tr w14:paraId="4F50AB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6E6198A9">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地理坐标</w:t>
            </w:r>
          </w:p>
        </w:tc>
        <w:tc>
          <w:tcPr>
            <w:tcW w:w="4452" w:type="pct"/>
            <w:gridSpan w:val="3"/>
            <w:vAlign w:val="center"/>
          </w:tcPr>
          <w:p w14:paraId="0AD2D3B6">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u w:val="single"/>
              </w:rPr>
              <w:t xml:space="preserve"> 11</w:t>
            </w:r>
            <w:r>
              <w:rPr>
                <w:rFonts w:hint="eastAsia" w:cs="Times New Roman"/>
                <w:color w:val="auto"/>
                <w:sz w:val="24"/>
                <w:szCs w:val="24"/>
                <w:highlight w:val="none"/>
                <w:u w:val="single"/>
                <w:lang w:val="en-US" w:eastAsia="zh-CN"/>
              </w:rPr>
              <w:t>8</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rPr>
              <w:t xml:space="preserve"> </w:t>
            </w:r>
            <w:r>
              <w:rPr>
                <w:rFonts w:hint="eastAsia" w:cs="Times New Roman"/>
                <w:color w:val="auto"/>
                <w:sz w:val="24"/>
                <w:szCs w:val="24"/>
                <w:highlight w:val="none"/>
                <w:u w:val="single"/>
                <w:lang w:val="en-US" w:eastAsia="zh-CN"/>
              </w:rPr>
              <w:t>24</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rPr>
              <w:t xml:space="preserve"> </w:t>
            </w:r>
            <w:r>
              <w:rPr>
                <w:rFonts w:hint="eastAsia" w:cs="Times New Roman"/>
                <w:color w:val="auto"/>
                <w:sz w:val="24"/>
                <w:szCs w:val="24"/>
                <w:highlight w:val="none"/>
                <w:u w:val="single"/>
                <w:lang w:val="en-US" w:eastAsia="zh-CN"/>
              </w:rPr>
              <w:t>59.476</w:t>
            </w:r>
            <w:r>
              <w:rPr>
                <w:rFonts w:hint="default" w:ascii="Times New Roman" w:hAnsi="Times New Roman" w:cs="Times New Roman"/>
                <w:color w:val="auto"/>
                <w:sz w:val="24"/>
                <w:szCs w:val="24"/>
                <w:highlight w:val="none"/>
                <w:u w:val="single"/>
                <w:lang w:val="en-US" w:eastAsia="zh-CN"/>
              </w:rPr>
              <w:t xml:space="preserve"> </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 xml:space="preserve"> 36 </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rPr>
              <w:t xml:space="preserve"> </w:t>
            </w:r>
            <w:r>
              <w:rPr>
                <w:rFonts w:hint="eastAsia" w:cs="Times New Roman"/>
                <w:color w:val="auto"/>
                <w:sz w:val="24"/>
                <w:szCs w:val="24"/>
                <w:highlight w:val="none"/>
                <w:u w:val="single"/>
                <w:lang w:val="en-US" w:eastAsia="zh-CN"/>
              </w:rPr>
              <w:t>5</w:t>
            </w:r>
            <w:r>
              <w:rPr>
                <w:rFonts w:hint="default" w:ascii="Times New Roman" w:hAnsi="Times New Roman" w:cs="Times New Roman"/>
                <w:color w:val="auto"/>
                <w:sz w:val="24"/>
                <w:szCs w:val="24"/>
                <w:highlight w:val="none"/>
                <w:u w:val="single"/>
              </w:rPr>
              <w:t xml:space="preserve"> </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lang w:val="en-US" w:eastAsia="zh-CN"/>
              </w:rPr>
              <w:t xml:space="preserve"> </w:t>
            </w:r>
            <w:r>
              <w:rPr>
                <w:rFonts w:hint="eastAsia" w:cs="Times New Roman"/>
                <w:color w:val="auto"/>
                <w:sz w:val="24"/>
                <w:szCs w:val="24"/>
                <w:highlight w:val="none"/>
                <w:u w:val="single"/>
                <w:lang w:val="en-US" w:eastAsia="zh-CN"/>
              </w:rPr>
              <w:t>3.675</w:t>
            </w:r>
            <w:r>
              <w:rPr>
                <w:rFonts w:hint="default" w:ascii="Times New Roman" w:hAnsi="Times New Roman" w:cs="Times New Roman"/>
                <w:color w:val="auto"/>
                <w:sz w:val="24"/>
                <w:szCs w:val="24"/>
                <w:highlight w:val="none"/>
                <w:u w:val="single"/>
                <w:lang w:val="en-US" w:eastAsia="zh-CN"/>
              </w:rPr>
              <w:t xml:space="preserve"> </w:t>
            </w:r>
            <w:r>
              <w:rPr>
                <w:rFonts w:hint="default" w:ascii="Times New Roman" w:hAnsi="Times New Roman" w:cs="Times New Roman"/>
                <w:color w:val="auto"/>
                <w:sz w:val="24"/>
                <w:szCs w:val="24"/>
                <w:highlight w:val="none"/>
                <w:u w:val="none"/>
                <w:lang w:val="en-US" w:eastAsia="zh-CN"/>
              </w:rPr>
              <w:t>秒</w:t>
            </w:r>
            <w:r>
              <w:rPr>
                <w:rFonts w:hint="default" w:ascii="Times New Roman" w:hAnsi="Times New Roman" w:cs="Times New Roman"/>
                <w:color w:val="auto"/>
                <w:sz w:val="24"/>
                <w:szCs w:val="24"/>
                <w:highlight w:val="none"/>
              </w:rPr>
              <w:t>）</w:t>
            </w:r>
          </w:p>
        </w:tc>
      </w:tr>
      <w:tr w14:paraId="073043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24EAE214">
            <w:pPr>
              <w:adjustRightInd w:val="0"/>
              <w:snapToGrid w:val="0"/>
              <w:jc w:val="center"/>
              <w:rPr>
                <w:rFonts w:hint="default" w:ascii="黑体" w:hAnsi="黑体" w:eastAsia="黑体" w:cs="黑体"/>
                <w:color w:val="auto"/>
                <w:sz w:val="24"/>
                <w:szCs w:val="24"/>
                <w:highlight w:val="none"/>
                <w:lang w:val="en-US" w:eastAsia="zh-CN"/>
              </w:rPr>
            </w:pPr>
            <w:r>
              <w:rPr>
                <w:rFonts w:hint="default" w:ascii="黑体" w:hAnsi="黑体" w:eastAsia="黑体" w:cs="黑体"/>
                <w:color w:val="auto"/>
                <w:sz w:val="24"/>
                <w:szCs w:val="24"/>
                <w:highlight w:val="none"/>
                <w:lang w:val="en-US" w:eastAsia="zh-CN"/>
              </w:rPr>
              <w:t>国民经济</w:t>
            </w:r>
          </w:p>
          <w:p w14:paraId="23DF0A44">
            <w:pPr>
              <w:adjustRightInd w:val="0"/>
              <w:snapToGrid w:val="0"/>
              <w:jc w:val="center"/>
              <w:rPr>
                <w:rFonts w:hint="default" w:ascii="黑体" w:hAnsi="黑体" w:eastAsia="黑体" w:cs="黑体"/>
                <w:color w:val="auto"/>
                <w:sz w:val="24"/>
                <w:szCs w:val="24"/>
                <w:highlight w:val="none"/>
                <w:lang w:val="en-US" w:eastAsia="zh-CN"/>
              </w:rPr>
            </w:pPr>
            <w:r>
              <w:rPr>
                <w:rFonts w:hint="default" w:ascii="黑体" w:hAnsi="黑体" w:eastAsia="黑体" w:cs="黑体"/>
                <w:color w:val="auto"/>
                <w:sz w:val="24"/>
                <w:szCs w:val="24"/>
                <w:highlight w:val="none"/>
                <w:lang w:val="en-US" w:eastAsia="zh-CN"/>
              </w:rPr>
              <w:t>行业类别</w:t>
            </w:r>
          </w:p>
        </w:tc>
        <w:tc>
          <w:tcPr>
            <w:tcW w:w="1601" w:type="pct"/>
            <w:vAlign w:val="center"/>
          </w:tcPr>
          <w:p w14:paraId="52753EF4">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宋体"/>
                <w:sz w:val="24"/>
                <w:lang w:val="en-US" w:eastAsia="zh-CN"/>
              </w:rPr>
              <w:t>C2439其他工艺美术及礼仪用品制造</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sz w:val="24"/>
              </w:rPr>
              <w:t>C</w:t>
            </w:r>
            <w:r>
              <w:rPr>
                <w:rFonts w:hint="eastAsia" w:ascii="Times New Roman" w:hAnsi="Times New Roman" w:eastAsia="宋体" w:cs="宋体"/>
                <w:sz w:val="24"/>
                <w:lang w:val="en-US" w:eastAsia="zh-CN"/>
              </w:rPr>
              <w:t>2923塑料丝、绳及编织品制造、</w:t>
            </w:r>
            <w:r>
              <w:rPr>
                <w:rFonts w:hint="eastAsia" w:cs="Times New Roman"/>
                <w:color w:val="auto"/>
                <w:sz w:val="24"/>
                <w:lang w:val="en-US" w:eastAsia="zh-CN"/>
              </w:rPr>
              <w:t>C</w:t>
            </w:r>
            <w:r>
              <w:rPr>
                <w:rFonts w:hint="eastAsia" w:cs="Times New Roman"/>
                <w:color w:val="auto"/>
                <w:kern w:val="2"/>
                <w:sz w:val="24"/>
                <w:szCs w:val="24"/>
                <w:highlight w:val="none"/>
                <w:lang w:val="en-US" w:eastAsia="zh-CN" w:bidi="ar-SA"/>
              </w:rPr>
              <w:t>2825 丙纶纤维制造</w:t>
            </w:r>
          </w:p>
        </w:tc>
        <w:tc>
          <w:tcPr>
            <w:tcW w:w="841" w:type="pct"/>
            <w:vAlign w:val="center"/>
          </w:tcPr>
          <w:p w14:paraId="2B6222E9">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黑体" w:hAnsi="黑体" w:eastAsia="黑体" w:cs="黑体"/>
                <w:color w:val="auto"/>
                <w:sz w:val="24"/>
                <w:szCs w:val="22"/>
                <w:highlight w:val="none"/>
                <w:lang w:val="en-US" w:eastAsia="zh-CN"/>
              </w:rPr>
            </w:pPr>
            <w:bookmarkStart w:id="0" w:name="_Hlk49843745"/>
            <w:r>
              <w:rPr>
                <w:rFonts w:hint="eastAsia" w:ascii="黑体" w:hAnsi="黑体" w:eastAsia="黑体" w:cs="黑体"/>
                <w:color w:val="auto"/>
                <w:sz w:val="24"/>
                <w:szCs w:val="22"/>
                <w:highlight w:val="none"/>
                <w:lang w:val="en-US" w:eastAsia="zh-CN"/>
              </w:rPr>
              <w:t>建设项目</w:t>
            </w:r>
          </w:p>
          <w:p w14:paraId="0675E8E0">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黑体" w:hAnsi="黑体" w:eastAsia="黑体" w:cs="黑体"/>
                <w:color w:val="auto"/>
                <w:sz w:val="24"/>
                <w:szCs w:val="22"/>
                <w:highlight w:val="none"/>
                <w:lang w:val="en-US" w:eastAsia="zh-CN"/>
              </w:rPr>
            </w:pPr>
            <w:r>
              <w:rPr>
                <w:rFonts w:hint="eastAsia" w:ascii="黑体" w:hAnsi="黑体" w:eastAsia="黑体" w:cs="黑体"/>
                <w:color w:val="auto"/>
                <w:sz w:val="24"/>
                <w:szCs w:val="22"/>
                <w:highlight w:val="none"/>
                <w:lang w:val="en-US" w:eastAsia="zh-CN"/>
              </w:rPr>
              <w:t>行业类别</w:t>
            </w:r>
            <w:bookmarkEnd w:id="0"/>
          </w:p>
        </w:tc>
        <w:tc>
          <w:tcPr>
            <w:tcW w:w="2009" w:type="pct"/>
            <w:vAlign w:val="center"/>
          </w:tcPr>
          <w:p w14:paraId="69CE3554">
            <w:pPr>
              <w:keepNext w:val="0"/>
              <w:keepLines w:val="0"/>
              <w:pageBreakBefore w:val="0"/>
              <w:widowControl w:val="0"/>
              <w:kinsoku/>
              <w:wordWrap/>
              <w:overflowPunct/>
              <w:topLinePunct w:val="0"/>
              <w:bidi w:val="0"/>
              <w:adjustRightInd w:val="0"/>
              <w:snapToGrid w:val="0"/>
              <w:spacing w:line="240" w:lineRule="auto"/>
              <w:jc w:val="center"/>
              <w:textAlignment w:val="auto"/>
              <w:rPr>
                <w:rFonts w:hint="eastAsia" w:ascii="Times New Roman" w:hAnsi="Times New Roman" w:eastAsia="宋体" w:cs="Times New Roman"/>
                <w:color w:val="auto"/>
                <w:sz w:val="24"/>
                <w:szCs w:val="22"/>
                <w:highlight w:val="none"/>
                <w:lang w:val="en-US" w:eastAsia="zh-CN"/>
              </w:rPr>
            </w:pPr>
            <w:r>
              <w:rPr>
                <w:rFonts w:hint="eastAsia" w:ascii="Times New Roman" w:hAnsi="Times New Roman" w:eastAsia="宋体" w:cs="宋体"/>
                <w:sz w:val="24"/>
                <w:lang w:val="en-US" w:eastAsia="zh-CN"/>
              </w:rPr>
              <w:t>“二十一、文教、工美、体育和娱乐用品制造业”：“41 工艺美术及礼仪用品制造 243 年用溶剂型涂料（含稀释剂）10吨以下的，或年用非溶剂型低VOCs含量涂料10吨及以上的”</w:t>
            </w:r>
            <w:r>
              <w:rPr>
                <w:rFonts w:hint="eastAsia" w:cs="宋体"/>
                <w:sz w:val="24"/>
                <w:lang w:val="en-US" w:eastAsia="zh-CN"/>
              </w:rPr>
              <w:t>、</w:t>
            </w:r>
            <w:r>
              <w:rPr>
                <w:rFonts w:hint="eastAsia" w:ascii="Times New Roman" w:hAnsi="Times New Roman" w:eastAsia="宋体" w:cs="宋体"/>
                <w:sz w:val="24"/>
                <w:lang w:val="en-US" w:eastAsia="zh-CN"/>
              </w:rPr>
              <w:t>“二十六、橡胶和塑料制品业 ”：“53 塑料制品业 292其他（年用非溶剂型低VOCs含量涂料10吨以下的除外）”</w:t>
            </w:r>
            <w:r>
              <w:rPr>
                <w:rFonts w:hint="eastAsia" w:cs="宋体"/>
                <w:sz w:val="24"/>
                <w:lang w:val="en-US" w:eastAsia="zh-CN"/>
              </w:rPr>
              <w:t>、“二十五、化学纤维制造业”：“50 合成纤维制造 282”</w:t>
            </w:r>
          </w:p>
        </w:tc>
      </w:tr>
      <w:tr w14:paraId="177A34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65A82C5C">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建设性质</w:t>
            </w:r>
          </w:p>
        </w:tc>
        <w:tc>
          <w:tcPr>
            <w:tcW w:w="1601" w:type="pct"/>
            <w:vAlign w:val="center"/>
          </w:tcPr>
          <w:p w14:paraId="651445E5">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FE"/>
            </w:r>
            <w:r>
              <w:rPr>
                <w:rFonts w:hint="default" w:ascii="Times New Roman" w:hAnsi="Times New Roman" w:cs="Times New Roman"/>
                <w:color w:val="auto"/>
                <w:sz w:val="24"/>
                <w:szCs w:val="24"/>
                <w:highlight w:val="none"/>
              </w:rPr>
              <w:t>新建（迁建）</w:t>
            </w:r>
          </w:p>
          <w:p w14:paraId="7EDCB3A5">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改建</w:t>
            </w:r>
          </w:p>
          <w:p w14:paraId="76590320">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扩建</w:t>
            </w:r>
          </w:p>
          <w:p w14:paraId="55C854C6">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技术改造</w:t>
            </w:r>
          </w:p>
        </w:tc>
        <w:tc>
          <w:tcPr>
            <w:tcW w:w="841" w:type="pct"/>
            <w:vAlign w:val="center"/>
          </w:tcPr>
          <w:p w14:paraId="323E95B0">
            <w:pPr>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建设项目</w:t>
            </w:r>
          </w:p>
          <w:p w14:paraId="14FFD438">
            <w:pPr>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申报情形</w:t>
            </w:r>
          </w:p>
        </w:tc>
        <w:tc>
          <w:tcPr>
            <w:tcW w:w="2009" w:type="pct"/>
            <w:vAlign w:val="center"/>
          </w:tcPr>
          <w:p w14:paraId="7206F721">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FE"/>
            </w:r>
            <w:r>
              <w:rPr>
                <w:rFonts w:hint="default" w:ascii="Times New Roman" w:hAnsi="Times New Roman" w:cs="Times New Roman"/>
                <w:color w:val="auto"/>
                <w:sz w:val="24"/>
                <w:szCs w:val="24"/>
                <w:highlight w:val="none"/>
              </w:rPr>
              <w:t xml:space="preserve">首次申报项目             </w:t>
            </w:r>
          </w:p>
          <w:p w14:paraId="00C4B82D">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不予批准后再次申报项目</w:t>
            </w:r>
          </w:p>
          <w:p w14:paraId="5E17AAD3">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 xml:space="preserve">超五年重新审核项目     </w:t>
            </w:r>
          </w:p>
          <w:p w14:paraId="4EA407A8">
            <w:pPr>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重大变动重新报批项目</w:t>
            </w:r>
          </w:p>
        </w:tc>
      </w:tr>
      <w:tr w14:paraId="7B24E2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3F712E03">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项目审批（核准/</w:t>
            </w:r>
          </w:p>
          <w:p w14:paraId="26A2EAA3">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备案）部门</w:t>
            </w:r>
          </w:p>
        </w:tc>
        <w:tc>
          <w:tcPr>
            <w:tcW w:w="1601" w:type="pct"/>
            <w:vAlign w:val="center"/>
          </w:tcPr>
          <w:p w14:paraId="6314E9E3">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宋体"/>
                <w:sz w:val="24"/>
                <w:lang w:val="en-US" w:eastAsia="zh-CN"/>
              </w:rPr>
            </w:pPr>
            <w:r>
              <w:rPr>
                <w:rFonts w:hint="eastAsia" w:cs="宋体"/>
                <w:sz w:val="24"/>
                <w:lang w:val="en-US" w:eastAsia="zh-CN"/>
              </w:rPr>
              <w:t>沂源县</w:t>
            </w:r>
            <w:r>
              <w:rPr>
                <w:rFonts w:hint="eastAsia" w:ascii="Times New Roman" w:hAnsi="Times New Roman" w:eastAsia="宋体" w:cs="宋体"/>
                <w:sz w:val="24"/>
                <w:lang w:val="en-US" w:eastAsia="zh-CN"/>
              </w:rPr>
              <w:t>行政审批服务局</w:t>
            </w:r>
          </w:p>
        </w:tc>
        <w:tc>
          <w:tcPr>
            <w:tcW w:w="841" w:type="pct"/>
            <w:vAlign w:val="center"/>
          </w:tcPr>
          <w:p w14:paraId="08312893">
            <w:pPr>
              <w:adjustRightInd w:val="0"/>
              <w:snapToGrid w:val="0"/>
              <w:jc w:val="center"/>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项目审批（核准/</w:t>
            </w:r>
          </w:p>
          <w:p w14:paraId="38A22E56">
            <w:pPr>
              <w:adjustRightInd w:val="0"/>
              <w:snapToGrid w:val="0"/>
              <w:jc w:val="center"/>
              <w:rPr>
                <w:rFonts w:hint="eastAsia" w:ascii="Times New Roman" w:hAnsi="Times New Roman" w:eastAsia="宋体" w:cs="宋体"/>
                <w:sz w:val="24"/>
                <w:lang w:val="en-US" w:eastAsia="zh-CN"/>
              </w:rPr>
            </w:pPr>
            <w:r>
              <w:rPr>
                <w:rFonts w:hint="eastAsia" w:ascii="黑体" w:hAnsi="黑体" w:eastAsia="黑体" w:cs="黑体"/>
                <w:color w:val="auto"/>
                <w:sz w:val="24"/>
                <w:szCs w:val="24"/>
                <w:highlight w:val="none"/>
                <w:lang w:val="en-US" w:eastAsia="zh-CN"/>
              </w:rPr>
              <w:t>备案）文号</w:t>
            </w:r>
          </w:p>
        </w:tc>
        <w:tc>
          <w:tcPr>
            <w:tcW w:w="2009" w:type="pct"/>
            <w:vAlign w:val="center"/>
          </w:tcPr>
          <w:p w14:paraId="2C87FC01">
            <w:pPr>
              <w:adjustRightInd w:val="0"/>
              <w:snapToGrid w:val="0"/>
              <w:jc w:val="center"/>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2503-370323-89-01-925132</w:t>
            </w:r>
          </w:p>
        </w:tc>
      </w:tr>
      <w:tr w14:paraId="19E1EC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7A157644">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总投资（万元）</w:t>
            </w:r>
          </w:p>
        </w:tc>
        <w:tc>
          <w:tcPr>
            <w:tcW w:w="1601" w:type="pct"/>
            <w:vAlign w:val="center"/>
          </w:tcPr>
          <w:p w14:paraId="2BED3815">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10100</w:t>
            </w:r>
          </w:p>
        </w:tc>
        <w:tc>
          <w:tcPr>
            <w:tcW w:w="841" w:type="pct"/>
            <w:tcMar>
              <w:top w:w="16" w:type="dxa"/>
              <w:left w:w="16" w:type="dxa"/>
              <w:right w:w="16" w:type="dxa"/>
            </w:tcMar>
            <w:vAlign w:val="center"/>
          </w:tcPr>
          <w:p w14:paraId="190E0A8D">
            <w:pPr>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环保投资（万元）</w:t>
            </w:r>
          </w:p>
        </w:tc>
        <w:tc>
          <w:tcPr>
            <w:tcW w:w="2009" w:type="pct"/>
            <w:vAlign w:val="center"/>
          </w:tcPr>
          <w:p w14:paraId="789F3321">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15</w:t>
            </w:r>
          </w:p>
        </w:tc>
      </w:tr>
      <w:tr w14:paraId="3AE3D8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2A28367E">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环保投资占比（%）</w:t>
            </w:r>
          </w:p>
        </w:tc>
        <w:tc>
          <w:tcPr>
            <w:tcW w:w="1601" w:type="pct"/>
            <w:vAlign w:val="center"/>
          </w:tcPr>
          <w:p w14:paraId="6F47CA1A">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0.15</w:t>
            </w:r>
          </w:p>
        </w:tc>
        <w:tc>
          <w:tcPr>
            <w:tcW w:w="841" w:type="pct"/>
            <w:tcMar>
              <w:top w:w="16" w:type="dxa"/>
              <w:left w:w="16" w:type="dxa"/>
              <w:right w:w="16" w:type="dxa"/>
            </w:tcMar>
            <w:vAlign w:val="center"/>
          </w:tcPr>
          <w:p w14:paraId="077E6821">
            <w:pPr>
              <w:adjustRightInd w:val="0"/>
              <w:snapToGrid w:val="0"/>
              <w:jc w:val="center"/>
              <w:rPr>
                <w:rFonts w:hint="eastAsia" w:ascii="黑体" w:hAnsi="黑体" w:eastAsia="黑体" w:cs="黑体"/>
                <w:color w:val="auto"/>
                <w:sz w:val="22"/>
                <w:szCs w:val="22"/>
                <w:highlight w:val="none"/>
              </w:rPr>
            </w:pPr>
            <w:r>
              <w:rPr>
                <w:rFonts w:hint="eastAsia" w:ascii="黑体" w:hAnsi="黑体" w:eastAsia="黑体" w:cs="黑体"/>
                <w:color w:val="auto"/>
                <w:sz w:val="24"/>
                <w:szCs w:val="24"/>
                <w:highlight w:val="none"/>
              </w:rPr>
              <w:t>施工工期</w:t>
            </w:r>
          </w:p>
        </w:tc>
        <w:tc>
          <w:tcPr>
            <w:tcW w:w="2009" w:type="pct"/>
            <w:vAlign w:val="center"/>
          </w:tcPr>
          <w:p w14:paraId="4C05958C">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lang w:val="en-US" w:eastAsia="zh-CN"/>
              </w:rPr>
              <w:t>个月</w:t>
            </w:r>
          </w:p>
        </w:tc>
      </w:tr>
      <w:tr w14:paraId="022E33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47" w:type="pct"/>
            <w:tcMar>
              <w:top w:w="16" w:type="dxa"/>
              <w:left w:w="16" w:type="dxa"/>
              <w:right w:w="16" w:type="dxa"/>
            </w:tcMar>
            <w:vAlign w:val="center"/>
          </w:tcPr>
          <w:p w14:paraId="3FD2CB66">
            <w:pPr>
              <w:adjustRightInd w:val="0"/>
              <w:snapToGrid w:val="0"/>
              <w:jc w:val="center"/>
              <w:rPr>
                <w:rFonts w:hint="default" w:ascii="黑体" w:hAnsi="黑体" w:eastAsia="黑体" w:cs="黑体"/>
                <w:color w:val="auto"/>
                <w:sz w:val="24"/>
                <w:szCs w:val="24"/>
                <w:highlight w:val="none"/>
              </w:rPr>
            </w:pPr>
            <w:r>
              <w:rPr>
                <w:rFonts w:hint="default" w:ascii="黑体" w:hAnsi="黑体" w:eastAsia="黑体" w:cs="黑体"/>
                <w:color w:val="auto"/>
                <w:sz w:val="24"/>
                <w:szCs w:val="24"/>
                <w:highlight w:val="none"/>
              </w:rPr>
              <w:t>是否开工建设</w:t>
            </w:r>
          </w:p>
        </w:tc>
        <w:tc>
          <w:tcPr>
            <w:tcW w:w="1601" w:type="pct"/>
            <w:vAlign w:val="center"/>
          </w:tcPr>
          <w:p w14:paraId="25613C7B">
            <w:pPr>
              <w:adjustRightInd w:val="0"/>
              <w:snapToGrid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FE"/>
            </w:r>
            <w:r>
              <w:rPr>
                <w:rFonts w:hint="default" w:ascii="Times New Roman" w:hAnsi="Times New Roman" w:cs="Times New Roman"/>
                <w:color w:val="auto"/>
                <w:sz w:val="24"/>
                <w:szCs w:val="24"/>
                <w:highlight w:val="none"/>
              </w:rPr>
              <w:t>否</w:t>
            </w:r>
          </w:p>
          <w:p w14:paraId="7E70B7A0">
            <w:pPr>
              <w:adjustRightInd w:val="0"/>
              <w:snapToGrid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w:char="00A8"/>
            </w:r>
            <w:r>
              <w:rPr>
                <w:rFonts w:hint="default" w:ascii="Times New Roman" w:hAnsi="Times New Roman" w:cs="Times New Roman"/>
                <w:color w:val="auto"/>
                <w:sz w:val="24"/>
                <w:szCs w:val="24"/>
                <w:highlight w:val="none"/>
              </w:rPr>
              <w:t>是：</w:t>
            </w:r>
            <w:r>
              <w:rPr>
                <w:rFonts w:hint="default" w:ascii="Times New Roman" w:hAnsi="Times New Roman" w:cs="Times New Roman"/>
                <w:color w:val="auto"/>
                <w:sz w:val="24"/>
                <w:szCs w:val="24"/>
                <w:highlight w:val="none"/>
                <w:u w:val="single"/>
              </w:rPr>
              <w:t xml:space="preserve"> </w:t>
            </w:r>
            <w:r>
              <w:rPr>
                <w:rFonts w:hint="eastAsia" w:cs="Times New Roman"/>
                <w:color w:val="auto"/>
                <w:sz w:val="24"/>
                <w:szCs w:val="24"/>
                <w:highlight w:val="none"/>
                <w:u w:val="single"/>
                <w:lang w:val="en-US" w:eastAsia="zh-CN"/>
              </w:rPr>
              <w:t>/</w:t>
            </w:r>
            <w:r>
              <w:rPr>
                <w:rFonts w:hint="default" w:ascii="Times New Roman" w:hAnsi="Times New Roman" w:cs="Times New Roman"/>
                <w:color w:val="auto"/>
                <w:sz w:val="24"/>
                <w:szCs w:val="24"/>
                <w:highlight w:val="none"/>
                <w:u w:val="single"/>
              </w:rPr>
              <w:t xml:space="preserve">  </w:t>
            </w:r>
          </w:p>
        </w:tc>
        <w:tc>
          <w:tcPr>
            <w:tcW w:w="841" w:type="pct"/>
            <w:tcMar>
              <w:top w:w="16" w:type="dxa"/>
              <w:left w:w="16" w:type="dxa"/>
              <w:right w:w="16" w:type="dxa"/>
            </w:tcMar>
            <w:vAlign w:val="center"/>
          </w:tcPr>
          <w:p w14:paraId="57CFE3D3">
            <w:pPr>
              <w:adjustRightInd w:val="0"/>
              <w:snapToGrid w:val="0"/>
              <w:jc w:val="center"/>
              <w:rPr>
                <w:rFonts w:hint="eastAsia" w:ascii="黑体" w:hAnsi="黑体" w:eastAsia="黑体" w:cs="黑体"/>
                <w:color w:val="auto"/>
                <w:spacing w:val="-6"/>
                <w:sz w:val="24"/>
                <w:szCs w:val="24"/>
                <w:highlight w:val="none"/>
              </w:rPr>
            </w:pPr>
            <w:r>
              <w:rPr>
                <w:rFonts w:hint="eastAsia" w:ascii="黑体" w:hAnsi="黑体" w:eastAsia="黑体" w:cs="黑体"/>
                <w:color w:val="auto"/>
                <w:spacing w:val="-6"/>
                <w:sz w:val="24"/>
                <w:szCs w:val="24"/>
                <w:highlight w:val="none"/>
              </w:rPr>
              <w:t>用地（用海）</w:t>
            </w:r>
          </w:p>
          <w:p w14:paraId="6615E339">
            <w:pPr>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spacing w:val="-6"/>
                <w:sz w:val="24"/>
                <w:szCs w:val="24"/>
                <w:highlight w:val="none"/>
              </w:rPr>
              <w:t>面积（m</w:t>
            </w:r>
            <w:r>
              <w:rPr>
                <w:rFonts w:hint="eastAsia" w:ascii="黑体" w:hAnsi="黑体" w:eastAsia="黑体" w:cs="黑体"/>
                <w:color w:val="auto"/>
                <w:spacing w:val="-6"/>
                <w:sz w:val="24"/>
                <w:szCs w:val="24"/>
                <w:highlight w:val="none"/>
                <w:vertAlign w:val="superscript"/>
              </w:rPr>
              <w:t>2</w:t>
            </w:r>
            <w:r>
              <w:rPr>
                <w:rFonts w:hint="eastAsia" w:ascii="黑体" w:hAnsi="黑体" w:eastAsia="黑体" w:cs="黑体"/>
                <w:color w:val="auto"/>
                <w:spacing w:val="-6"/>
                <w:sz w:val="24"/>
                <w:szCs w:val="24"/>
                <w:highlight w:val="none"/>
              </w:rPr>
              <w:t>）</w:t>
            </w:r>
          </w:p>
        </w:tc>
        <w:tc>
          <w:tcPr>
            <w:tcW w:w="2009" w:type="pct"/>
            <w:vAlign w:val="center"/>
          </w:tcPr>
          <w:p w14:paraId="12910AA5">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3480</w:t>
            </w:r>
          </w:p>
        </w:tc>
      </w:tr>
      <w:tr w14:paraId="50198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7" w:type="pct"/>
            <w:vAlign w:val="center"/>
          </w:tcPr>
          <w:p w14:paraId="091A42C4">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黑体" w:hAnsi="黑体" w:eastAsia="黑体" w:cs="黑体"/>
                <w:color w:val="auto"/>
                <w:kern w:val="0"/>
                <w:sz w:val="24"/>
                <w:szCs w:val="24"/>
                <w:highlight w:val="none"/>
              </w:rPr>
              <w:t>专项评价设置情况</w:t>
            </w:r>
          </w:p>
        </w:tc>
        <w:tc>
          <w:tcPr>
            <w:tcW w:w="4452" w:type="pct"/>
            <w:gridSpan w:val="3"/>
            <w:vAlign w:val="center"/>
          </w:tcPr>
          <w:p w14:paraId="7BEA7C69">
            <w:pPr>
              <w:autoSpaceDE w:val="0"/>
              <w:autoSpaceDN w:val="0"/>
              <w:adjustRightInd w:val="0"/>
              <w:snapToGrid w:val="0"/>
              <w:spacing w:line="360" w:lineRule="auto"/>
              <w:ind w:left="0" w:leftChars="0" w:right="0" w:rightChars="0" w:firstLine="480" w:firstLineChars="200"/>
              <w:jc w:val="both"/>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b w:val="0"/>
                <w:bCs w:val="0"/>
                <w:color w:val="auto"/>
                <w:sz w:val="24"/>
                <w:szCs w:val="24"/>
                <w:highlight w:val="none"/>
                <w:lang w:val="en-US" w:eastAsia="zh-CN"/>
              </w:rPr>
              <w:t>本项目无需设置专项评价。确定依据见下表：</w:t>
            </w:r>
          </w:p>
          <w:p w14:paraId="517FDFF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rPr>
            </w:pPr>
            <w:r>
              <w:rPr>
                <w:rFonts w:hint="eastAsia" w:ascii="Times New Roman" w:hAnsi="Times New Roman" w:eastAsia="黑体" w:cs="Times New Roman"/>
                <w:b w:val="0"/>
                <w:bCs w:val="0"/>
                <w:color w:val="auto"/>
                <w:kern w:val="0"/>
                <w:sz w:val="24"/>
                <w:szCs w:val="24"/>
                <w:highlight w:val="none"/>
                <w:lang w:val="en-US" w:eastAsia="zh-CN"/>
              </w:rPr>
              <w:t>表1</w:t>
            </w:r>
            <w:r>
              <w:rPr>
                <w:rFonts w:hint="default" w:ascii="Times New Roman" w:hAnsi="Times New Roman" w:eastAsia="黑体" w:cs="Times New Roman"/>
                <w:b w:val="0"/>
                <w:bCs w:val="0"/>
                <w:color w:val="auto"/>
                <w:kern w:val="0"/>
                <w:sz w:val="24"/>
                <w:szCs w:val="24"/>
                <w:highlight w:val="none"/>
                <w:lang w:val="en-US" w:eastAsia="zh-CN"/>
              </w:rPr>
              <w:t>-1</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rPr>
              <w:t>专项评价设置</w:t>
            </w:r>
            <w:r>
              <w:rPr>
                <w:rFonts w:hint="default" w:ascii="Times New Roman" w:hAnsi="Times New Roman" w:eastAsia="黑体" w:cs="Times New Roman"/>
                <w:b w:val="0"/>
                <w:bCs w:val="0"/>
                <w:color w:val="auto"/>
                <w:kern w:val="0"/>
                <w:sz w:val="24"/>
                <w:szCs w:val="24"/>
                <w:highlight w:val="none"/>
                <w:lang w:eastAsia="zh-CN"/>
              </w:rPr>
              <w:t>情况一览</w:t>
            </w:r>
            <w:r>
              <w:rPr>
                <w:rFonts w:hint="default" w:ascii="Times New Roman" w:hAnsi="Times New Roman" w:eastAsia="黑体" w:cs="Times New Roman"/>
                <w:b w:val="0"/>
                <w:bCs w:val="0"/>
                <w:color w:val="auto"/>
                <w:kern w:val="0"/>
                <w:sz w:val="24"/>
                <w:szCs w:val="24"/>
                <w:highlight w:val="none"/>
              </w:rPr>
              <w:t>表</w:t>
            </w:r>
          </w:p>
          <w:tbl>
            <w:tblPr>
              <w:tblStyle w:val="2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902"/>
              <w:gridCol w:w="3163"/>
              <w:gridCol w:w="2819"/>
              <w:gridCol w:w="686"/>
            </w:tblGrid>
            <w:tr w14:paraId="34518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96"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13EA73FB">
                  <w:pPr>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专项评价的类别</w:t>
                  </w:r>
                </w:p>
              </w:tc>
              <w:tc>
                <w:tcPr>
                  <w:tcW w:w="2089"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39B03A5D">
                  <w:pPr>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设置原则</w:t>
                  </w:r>
                </w:p>
              </w:tc>
              <w:tc>
                <w:tcPr>
                  <w:tcW w:w="186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31D47974">
                  <w:pPr>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本项目情况</w:t>
                  </w:r>
                </w:p>
              </w:tc>
              <w:tc>
                <w:tcPr>
                  <w:tcW w:w="451"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3629FC57">
                  <w:pPr>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是否设置专项</w:t>
                  </w:r>
                </w:p>
              </w:tc>
            </w:tr>
            <w:tr w14:paraId="64E53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96"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584BCDB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w:t>
                  </w:r>
                </w:p>
              </w:tc>
              <w:tc>
                <w:tcPr>
                  <w:tcW w:w="2089"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7638C3EC">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kern w:val="0"/>
                      <w:szCs w:val="21"/>
                      <w:highlight w:val="none"/>
                    </w:rPr>
                    <w:t>排放废气含有毒有害污染物、二噁英、苯并[</w:t>
                  </w:r>
                  <w:r>
                    <w:rPr>
                      <w:rFonts w:hint="default" w:ascii="Times New Roman" w:hAnsi="Times New Roman" w:cs="Times New Roman"/>
                      <w:i/>
                      <w:iCs/>
                      <w:color w:val="auto"/>
                      <w:kern w:val="0"/>
                      <w:szCs w:val="21"/>
                      <w:highlight w:val="none"/>
                    </w:rPr>
                    <w:t>a</w:t>
                  </w:r>
                  <w:r>
                    <w:rPr>
                      <w:rFonts w:hint="default" w:ascii="Times New Roman" w:hAnsi="Times New Roman" w:cs="Times New Roman"/>
                      <w:color w:val="auto"/>
                      <w:kern w:val="0"/>
                      <w:szCs w:val="21"/>
                      <w:highlight w:val="none"/>
                    </w:rPr>
                    <w:t>]芘、氰化物、氯气且厂界外500米范围内有环境空气保护目标的建设项目</w:t>
                  </w:r>
                  <w:r>
                    <w:rPr>
                      <w:rFonts w:hint="default" w:ascii="Times New Roman" w:hAnsi="Times New Roman" w:cs="Times New Roman"/>
                      <w:color w:val="auto"/>
                      <w:kern w:val="0"/>
                      <w:szCs w:val="21"/>
                      <w:highlight w:val="none"/>
                      <w:lang w:eastAsia="zh-CN"/>
                    </w:rPr>
                    <w:t>。</w:t>
                  </w:r>
                </w:p>
              </w:tc>
              <w:tc>
                <w:tcPr>
                  <w:tcW w:w="186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2D12052D">
                  <w:pPr>
                    <w:jc w:val="center"/>
                    <w:rPr>
                      <w:rFonts w:hint="default" w:ascii="Times New Roman" w:hAnsi="Times New Roman" w:cs="Times New Roman"/>
                      <w:color w:val="auto"/>
                      <w:szCs w:val="21"/>
                      <w:highlight w:val="none"/>
                    </w:rPr>
                  </w:pPr>
                  <w:r>
                    <w:rPr>
                      <w:rFonts w:hint="eastAsia" w:ascii="Times New Roman" w:hAnsi="Times New Roman" w:cs="Times New Roman"/>
                      <w:color w:val="auto"/>
                      <w:kern w:val="0"/>
                      <w:szCs w:val="21"/>
                      <w:highlight w:val="none"/>
                      <w:lang w:eastAsia="zh-CN"/>
                    </w:rPr>
                    <w:t>项目</w:t>
                  </w:r>
                  <w:r>
                    <w:rPr>
                      <w:rFonts w:hint="eastAsia" w:cs="Times New Roman"/>
                      <w:color w:val="auto"/>
                      <w:kern w:val="0"/>
                      <w:szCs w:val="21"/>
                      <w:highlight w:val="none"/>
                      <w:lang w:eastAsia="zh-CN"/>
                    </w:rPr>
                    <w:t>排放</w:t>
                  </w:r>
                  <w:r>
                    <w:rPr>
                      <w:rFonts w:hint="eastAsia" w:ascii="Times New Roman" w:hAnsi="Times New Roman" w:cs="Times New Roman"/>
                      <w:color w:val="auto"/>
                      <w:kern w:val="0"/>
                      <w:szCs w:val="21"/>
                      <w:highlight w:val="none"/>
                      <w:lang w:eastAsia="zh-CN"/>
                    </w:rPr>
                    <w:t>废气不涉及</w:t>
                  </w:r>
                  <w:r>
                    <w:rPr>
                      <w:rFonts w:hint="default" w:ascii="Times New Roman" w:hAnsi="Times New Roman" w:cs="Times New Roman"/>
                      <w:color w:val="auto"/>
                      <w:kern w:val="0"/>
                      <w:szCs w:val="21"/>
                      <w:highlight w:val="none"/>
                    </w:rPr>
                    <w:t>有毒有害污染物、二噁英、苯并[</w:t>
                  </w:r>
                  <w:r>
                    <w:rPr>
                      <w:rFonts w:hint="default" w:ascii="Times New Roman" w:hAnsi="Times New Roman" w:cs="Times New Roman"/>
                      <w:i/>
                      <w:iCs/>
                      <w:color w:val="auto"/>
                      <w:kern w:val="0"/>
                      <w:szCs w:val="21"/>
                      <w:highlight w:val="none"/>
                    </w:rPr>
                    <w:t>a</w:t>
                  </w:r>
                  <w:r>
                    <w:rPr>
                      <w:rFonts w:hint="default" w:ascii="Times New Roman" w:hAnsi="Times New Roman" w:cs="Times New Roman"/>
                      <w:color w:val="auto"/>
                      <w:kern w:val="0"/>
                      <w:szCs w:val="21"/>
                      <w:highlight w:val="none"/>
                    </w:rPr>
                    <w:t>]芘、氰化物、氯气</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因此</w:t>
                  </w:r>
                  <w:r>
                    <w:rPr>
                      <w:rFonts w:hint="default" w:ascii="Times New Roman" w:hAnsi="Times New Roman" w:cs="Times New Roman"/>
                      <w:color w:val="auto"/>
                      <w:szCs w:val="21"/>
                      <w:highlight w:val="none"/>
                    </w:rPr>
                    <w:t>无需设置大气专章。</w:t>
                  </w:r>
                </w:p>
              </w:tc>
              <w:tc>
                <w:tcPr>
                  <w:tcW w:w="451"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587946E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否</w:t>
                  </w:r>
                </w:p>
              </w:tc>
            </w:tr>
            <w:tr w14:paraId="23DDD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96"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48AE5AA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w:t>
                  </w:r>
                </w:p>
              </w:tc>
              <w:tc>
                <w:tcPr>
                  <w:tcW w:w="2089"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4D757487">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kern w:val="0"/>
                      <w:szCs w:val="21"/>
                      <w:highlight w:val="none"/>
                    </w:rPr>
                    <w:t>新增工业废水直排建设项目（槽罐车外送污水处理厂的除外）；新增废水直排的污水集中处理厂</w:t>
                  </w:r>
                  <w:r>
                    <w:rPr>
                      <w:rFonts w:hint="default" w:ascii="Times New Roman" w:hAnsi="Times New Roman" w:cs="Times New Roman"/>
                      <w:color w:val="auto"/>
                      <w:kern w:val="0"/>
                      <w:szCs w:val="21"/>
                      <w:highlight w:val="none"/>
                      <w:lang w:eastAsia="zh-CN"/>
                    </w:rPr>
                    <w:t>。</w:t>
                  </w:r>
                </w:p>
              </w:tc>
              <w:tc>
                <w:tcPr>
                  <w:tcW w:w="186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683D8DE2">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lang w:val="en-US" w:eastAsia="zh-CN"/>
                    </w:rPr>
                    <w:t>本项目</w:t>
                  </w:r>
                  <w:r>
                    <w:rPr>
                      <w:rFonts w:hint="eastAsia" w:cs="Times New Roman"/>
                      <w:color w:val="auto"/>
                      <w:sz w:val="21"/>
                      <w:szCs w:val="21"/>
                      <w:lang w:val="en-US" w:eastAsia="zh-CN"/>
                    </w:rPr>
                    <w:t>不涉及</w:t>
                  </w:r>
                  <w:r>
                    <w:rPr>
                      <w:rFonts w:hint="default" w:ascii="Times New Roman" w:hAnsi="Times New Roman" w:cs="Times New Roman"/>
                      <w:color w:val="auto"/>
                      <w:kern w:val="0"/>
                      <w:szCs w:val="21"/>
                      <w:highlight w:val="none"/>
                    </w:rPr>
                    <w:t>工业废水直排</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不属于</w:t>
                  </w:r>
                  <w:r>
                    <w:rPr>
                      <w:rFonts w:hint="default" w:ascii="Times New Roman" w:hAnsi="Times New Roman" w:cs="Times New Roman"/>
                      <w:color w:val="auto"/>
                      <w:kern w:val="0"/>
                      <w:szCs w:val="21"/>
                      <w:highlight w:val="none"/>
                    </w:rPr>
                    <w:t>污水集中处理厂</w:t>
                  </w:r>
                  <w:r>
                    <w:rPr>
                      <w:rFonts w:hint="eastAsia" w:ascii="Times New Roman" w:hAnsi="Times New Roman" w:eastAsia="宋体" w:cs="Times New Roman"/>
                      <w:b w:val="0"/>
                      <w:bCs w:val="0"/>
                      <w:color w:val="auto"/>
                      <w:sz w:val="21"/>
                      <w:szCs w:val="21"/>
                      <w:highlight w:val="none"/>
                      <w:lang w:eastAsia="zh-CN"/>
                    </w:rPr>
                    <w:t>。</w:t>
                  </w:r>
                </w:p>
              </w:tc>
              <w:tc>
                <w:tcPr>
                  <w:tcW w:w="451"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2413C4B9">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否</w:t>
                  </w:r>
                </w:p>
              </w:tc>
            </w:tr>
            <w:tr w14:paraId="4EC67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96"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79239EE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环境风险</w:t>
                  </w:r>
                </w:p>
              </w:tc>
              <w:tc>
                <w:tcPr>
                  <w:tcW w:w="2089"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75D25F3C">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kern w:val="0"/>
                      <w:szCs w:val="21"/>
                      <w:highlight w:val="none"/>
                    </w:rPr>
                    <w:t>有毒有害和易燃易爆危险物质存储量超过临界量的建设项目</w:t>
                  </w:r>
                  <w:r>
                    <w:rPr>
                      <w:rFonts w:hint="default" w:ascii="Times New Roman" w:hAnsi="Times New Roman" w:cs="Times New Roman"/>
                      <w:color w:val="auto"/>
                      <w:kern w:val="0"/>
                      <w:szCs w:val="21"/>
                      <w:highlight w:val="none"/>
                      <w:lang w:eastAsia="zh-CN"/>
                    </w:rPr>
                    <w:t>。</w:t>
                  </w:r>
                </w:p>
              </w:tc>
              <w:tc>
                <w:tcPr>
                  <w:tcW w:w="186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0968DEF7">
                  <w:pPr>
                    <w:jc w:val="center"/>
                    <w:rPr>
                      <w:rFonts w:hint="default" w:ascii="Times New Roman" w:hAnsi="Times New Roman" w:eastAsia="宋体" w:cs="Times New Roman"/>
                      <w:color w:val="auto"/>
                      <w:szCs w:val="21"/>
                      <w:highlight w:val="none"/>
                      <w:lang w:eastAsia="zh-CN"/>
                    </w:rPr>
                  </w:pPr>
                  <w:r>
                    <w:rPr>
                      <w:rFonts w:hint="eastAsia" w:ascii="宋体" w:hAnsi="宋体" w:eastAsia="宋体" w:cs="宋体"/>
                      <w:color w:val="auto"/>
                      <w:sz w:val="21"/>
                      <w:szCs w:val="21"/>
                    </w:rPr>
                    <w:t>本项目</w:t>
                  </w:r>
                  <w:r>
                    <w:rPr>
                      <w:rFonts w:hint="eastAsia" w:ascii="宋体" w:hAnsi="宋体" w:cs="宋体"/>
                      <w:color w:val="auto"/>
                      <w:sz w:val="21"/>
                      <w:szCs w:val="21"/>
                      <w:lang w:eastAsia="zh-CN"/>
                    </w:rPr>
                    <w:t>不涉及</w:t>
                  </w:r>
                  <w:r>
                    <w:rPr>
                      <w:rFonts w:hint="default" w:ascii="Times New Roman" w:hAnsi="Times New Roman" w:cs="Times New Roman"/>
                      <w:color w:val="auto"/>
                      <w:kern w:val="0"/>
                      <w:szCs w:val="21"/>
                      <w:highlight w:val="none"/>
                    </w:rPr>
                    <w:t>有毒有害和易燃易爆危险物质</w:t>
                  </w:r>
                  <w:r>
                    <w:rPr>
                      <w:rFonts w:hint="eastAsia" w:ascii="宋体" w:hAnsi="宋体" w:eastAsia="宋体" w:cs="宋体"/>
                      <w:color w:val="auto"/>
                      <w:sz w:val="21"/>
                      <w:szCs w:val="21"/>
                      <w:lang w:eastAsia="zh-CN"/>
                    </w:rPr>
                    <w:t>。</w:t>
                  </w:r>
                </w:p>
              </w:tc>
              <w:tc>
                <w:tcPr>
                  <w:tcW w:w="451"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4BD0E3B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否</w:t>
                  </w:r>
                </w:p>
              </w:tc>
            </w:tr>
            <w:tr w14:paraId="0016B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96"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7435CD7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w:t>
                  </w:r>
                </w:p>
              </w:tc>
              <w:tc>
                <w:tcPr>
                  <w:tcW w:w="2089"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67134D56">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kern w:val="0"/>
                      <w:szCs w:val="21"/>
                      <w:highlight w:val="none"/>
                    </w:rPr>
                    <w:t>取水口下游500米范围内有重要水生生物的自然产卵场、索饵场、越冬场和洄游通道的新增河道取水的污染类建设项目</w:t>
                  </w:r>
                  <w:r>
                    <w:rPr>
                      <w:rFonts w:hint="default" w:ascii="Times New Roman" w:hAnsi="Times New Roman" w:cs="Times New Roman"/>
                      <w:color w:val="auto"/>
                      <w:kern w:val="0"/>
                      <w:szCs w:val="21"/>
                      <w:highlight w:val="none"/>
                      <w:lang w:eastAsia="zh-CN"/>
                    </w:rPr>
                    <w:t>。</w:t>
                  </w:r>
                </w:p>
              </w:tc>
              <w:tc>
                <w:tcPr>
                  <w:tcW w:w="186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25F1E5D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r>
                    <w:rPr>
                      <w:rFonts w:hint="eastAsia" w:cs="Times New Roman"/>
                      <w:color w:val="auto"/>
                      <w:szCs w:val="21"/>
                      <w:highlight w:val="none"/>
                      <w:lang w:val="en-US" w:eastAsia="zh-CN"/>
                    </w:rPr>
                    <w:t>不属于</w:t>
                  </w:r>
                  <w:r>
                    <w:rPr>
                      <w:rFonts w:hint="default" w:ascii="Times New Roman" w:hAnsi="Times New Roman" w:cs="Times New Roman"/>
                      <w:color w:val="auto"/>
                      <w:kern w:val="0"/>
                      <w:szCs w:val="21"/>
                      <w:highlight w:val="none"/>
                    </w:rPr>
                    <w:t>河道取水的污染类建设项目</w:t>
                  </w:r>
                  <w:r>
                    <w:rPr>
                      <w:rFonts w:hint="default" w:ascii="Times New Roman" w:hAnsi="Times New Roman" w:cs="Times New Roman"/>
                      <w:color w:val="auto"/>
                      <w:szCs w:val="21"/>
                      <w:highlight w:val="none"/>
                    </w:rPr>
                    <w:t>。</w:t>
                  </w:r>
                </w:p>
              </w:tc>
              <w:tc>
                <w:tcPr>
                  <w:tcW w:w="451"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12334E8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否</w:t>
                  </w:r>
                </w:p>
              </w:tc>
            </w:tr>
            <w:tr w14:paraId="37C5B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96"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15B5183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海洋</w:t>
                  </w:r>
                </w:p>
              </w:tc>
              <w:tc>
                <w:tcPr>
                  <w:tcW w:w="2089"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56752E6B">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直接向海排放污染物的海洋工程建设项目</w:t>
                  </w:r>
                  <w:r>
                    <w:rPr>
                      <w:rFonts w:hint="default" w:ascii="Times New Roman" w:hAnsi="Times New Roman" w:cs="Times New Roman"/>
                      <w:color w:val="auto"/>
                      <w:szCs w:val="21"/>
                      <w:highlight w:val="none"/>
                      <w:lang w:eastAsia="zh-CN"/>
                    </w:rPr>
                    <w:t>。</w:t>
                  </w:r>
                </w:p>
              </w:tc>
              <w:tc>
                <w:tcPr>
                  <w:tcW w:w="1862"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779CD248">
                  <w:pPr>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不涉及</w:t>
                  </w:r>
                  <w:r>
                    <w:rPr>
                      <w:rFonts w:hint="default" w:ascii="Times New Roman" w:hAnsi="Times New Roman" w:cs="Times New Roman"/>
                      <w:color w:val="auto"/>
                      <w:szCs w:val="21"/>
                      <w:highlight w:val="none"/>
                      <w:lang w:eastAsia="zh-CN"/>
                    </w:rPr>
                    <w:t>。</w:t>
                  </w:r>
                </w:p>
              </w:tc>
              <w:tc>
                <w:tcPr>
                  <w:tcW w:w="451"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14:paraId="131533D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否</w:t>
                  </w:r>
                </w:p>
              </w:tc>
            </w:tr>
            <w:tr w14:paraId="46F30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000" w:type="pct"/>
                  <w:gridSpan w:val="4"/>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14:paraId="3F072CE7">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注：1.废气中有毒有害污染物指纳入《有毒有害大气污染物名录》的污染物（不包括无排放标准的污染物）。</w:t>
                  </w:r>
                </w:p>
                <w:p w14:paraId="569336F2">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2.环境空气保护目标指自然保护区、风景名胜区、居住区、文化区和农村地区中人群较集中的区域。</w:t>
                  </w:r>
                </w:p>
                <w:p w14:paraId="7E26E19C">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jc w:val="left"/>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3.临界量及其计算方法可参考《建设项目环境风险评价技术导则》（HJ 169）附录B、附录C。</w:t>
                  </w:r>
                </w:p>
              </w:tc>
            </w:tr>
          </w:tbl>
          <w:p w14:paraId="256AB46A">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left"/>
              <w:textAlignment w:val="auto"/>
              <w:rPr>
                <w:rFonts w:hint="default" w:ascii="Times New Roman" w:hAnsi="Times New Roman" w:cs="Times New Roman"/>
                <w:color w:val="auto"/>
                <w:kern w:val="0"/>
                <w:sz w:val="24"/>
                <w:highlight w:val="none"/>
              </w:rPr>
            </w:pPr>
          </w:p>
        </w:tc>
      </w:tr>
      <w:tr w14:paraId="52C1BE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1" w:hRule="atLeast"/>
          <w:jc w:val="center"/>
        </w:trPr>
        <w:tc>
          <w:tcPr>
            <w:tcW w:w="547" w:type="pct"/>
            <w:vAlign w:val="center"/>
          </w:tcPr>
          <w:p w14:paraId="235616B0">
            <w:pPr>
              <w:autoSpaceDE w:val="0"/>
              <w:autoSpaceDN w:val="0"/>
              <w:adjustRightInd w:val="0"/>
              <w:snapToGrid w:val="0"/>
              <w:jc w:val="center"/>
              <w:rPr>
                <w:rFonts w:hint="eastAsia" w:ascii="黑体" w:hAnsi="黑体" w:eastAsia="黑体" w:cs="黑体"/>
                <w:color w:val="auto"/>
                <w:kern w:val="0"/>
                <w:sz w:val="24"/>
                <w:highlight w:val="none"/>
              </w:rPr>
            </w:pPr>
            <w:r>
              <w:rPr>
                <w:rFonts w:hint="eastAsia" w:ascii="黑体" w:hAnsi="黑体" w:eastAsia="黑体" w:cs="黑体"/>
                <w:color w:val="auto"/>
                <w:sz w:val="24"/>
                <w:highlight w:val="none"/>
              </w:rPr>
              <w:t>规划情况</w:t>
            </w:r>
          </w:p>
        </w:tc>
        <w:tc>
          <w:tcPr>
            <w:tcW w:w="4452" w:type="pct"/>
            <w:gridSpan w:val="3"/>
            <w:vAlign w:val="center"/>
          </w:tcPr>
          <w:p w14:paraId="35133C5D">
            <w:pPr>
              <w:keepNext w:val="0"/>
              <w:keepLines w:val="0"/>
              <w:pageBreakBefore w:val="0"/>
              <w:kinsoku/>
              <w:wordWrap/>
              <w:overflowPunct/>
              <w:topLinePunct w:val="0"/>
              <w:autoSpaceDE w:val="0"/>
              <w:autoSpaceDN w:val="0"/>
              <w:bidi w:val="0"/>
              <w:adjustRightInd w:val="0"/>
              <w:snapToGrid w:val="0"/>
              <w:spacing w:line="360" w:lineRule="auto"/>
              <w:jc w:val="left"/>
              <w:textAlignment w:val="auto"/>
              <w:rPr>
                <w:rFonts w:hint="eastAsia" w:ascii="Times New Roman" w:hAnsi="Times New Roman" w:eastAsia="宋体" w:cs="Times New Roman"/>
                <w:color w:val="auto"/>
                <w:sz w:val="24"/>
                <w:highlight w:val="none"/>
              </w:rPr>
            </w:pPr>
            <w:r>
              <w:rPr>
                <w:rFonts w:hint="eastAsia"/>
                <w:color w:val="auto"/>
                <w:sz w:val="24"/>
                <w:highlight w:val="none"/>
                <w:lang w:val="en-US" w:eastAsia="zh-CN"/>
              </w:rPr>
              <w:t>1、</w:t>
            </w:r>
            <w:r>
              <w:rPr>
                <w:rFonts w:hint="eastAsia"/>
                <w:color w:val="auto"/>
                <w:sz w:val="24"/>
                <w:highlight w:val="none"/>
              </w:rPr>
              <w:t>相关规划</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沂源县</w:t>
            </w:r>
            <w:r>
              <w:rPr>
                <w:rFonts w:hint="eastAsia" w:ascii="Times New Roman" w:hAnsi="Times New Roman" w:eastAsia="宋体" w:cs="Times New Roman"/>
                <w:color w:val="auto"/>
                <w:sz w:val="24"/>
                <w:highlight w:val="none"/>
                <w:lang w:eastAsia="zh-CN"/>
              </w:rPr>
              <w:t>国土空间</w:t>
            </w:r>
            <w:r>
              <w:rPr>
                <w:rFonts w:hint="eastAsia" w:ascii="Times New Roman" w:hAnsi="Times New Roman" w:eastAsia="宋体" w:cs="Times New Roman"/>
                <w:color w:val="auto"/>
                <w:sz w:val="24"/>
                <w:highlight w:val="none"/>
                <w:lang w:val="en-US" w:eastAsia="zh-CN"/>
              </w:rPr>
              <w:t>总体</w:t>
            </w:r>
            <w:r>
              <w:rPr>
                <w:rFonts w:hint="eastAsia" w:ascii="Times New Roman" w:hAnsi="Times New Roman" w:eastAsia="宋体" w:cs="Times New Roman"/>
                <w:color w:val="auto"/>
                <w:sz w:val="24"/>
                <w:highlight w:val="none"/>
                <w:lang w:eastAsia="zh-CN"/>
              </w:rPr>
              <w:t>规划</w:t>
            </w:r>
            <w:r>
              <w:rPr>
                <w:rFonts w:hint="default" w:ascii="Times New Roman" w:hAnsi="Times New Roman" w:eastAsia="宋体" w:cs="Times New Roman"/>
                <w:color w:val="auto"/>
                <w:sz w:val="24"/>
                <w:highlight w:val="none"/>
              </w:rPr>
              <w:t>（202</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-2035年）</w:t>
            </w:r>
            <w:r>
              <w:rPr>
                <w:rFonts w:hint="eastAsia" w:ascii="Times New Roman" w:hAnsi="Times New Roman" w:eastAsia="宋体" w:cs="Times New Roman"/>
                <w:color w:val="auto"/>
                <w:sz w:val="24"/>
                <w:highlight w:val="none"/>
              </w:rPr>
              <w:t>》</w:t>
            </w:r>
          </w:p>
          <w:p w14:paraId="0AF1C990">
            <w:pPr>
              <w:keepNext w:val="0"/>
              <w:keepLines w:val="0"/>
              <w:pageBreakBefore w:val="0"/>
              <w:kinsoku/>
              <w:wordWrap/>
              <w:overflowPunct/>
              <w:topLinePunct w:val="0"/>
              <w:autoSpaceDE w:val="0"/>
              <w:autoSpaceDN w:val="0"/>
              <w:bidi w:val="0"/>
              <w:adjustRightInd w:val="0"/>
              <w:snapToGrid w:val="0"/>
              <w:spacing w:line="360" w:lineRule="auto"/>
              <w:jc w:val="left"/>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rPr>
              <w:t>审批机关：</w:t>
            </w:r>
            <w:r>
              <w:rPr>
                <w:rFonts w:hint="eastAsia" w:ascii="Times New Roman" w:hAnsi="Times New Roman" w:eastAsia="宋体" w:cs="Times New Roman"/>
                <w:color w:val="auto"/>
                <w:sz w:val="24"/>
                <w:highlight w:val="none"/>
                <w:lang w:val="en-US" w:eastAsia="zh-CN"/>
              </w:rPr>
              <w:t>山东省</w:t>
            </w:r>
            <w:r>
              <w:rPr>
                <w:rFonts w:hint="eastAsia"/>
                <w:color w:val="auto"/>
                <w:sz w:val="24"/>
                <w:highlight w:val="none"/>
              </w:rPr>
              <w:t>人民政</w:t>
            </w:r>
            <w:r>
              <w:rPr>
                <w:rFonts w:hint="eastAsia" w:ascii="Times New Roman" w:hAnsi="Times New Roman" w:eastAsia="宋体" w:cs="Times New Roman"/>
                <w:color w:val="auto"/>
                <w:sz w:val="24"/>
                <w:highlight w:val="none"/>
                <w:lang w:eastAsia="zh-CN"/>
              </w:rPr>
              <w:t>府</w:t>
            </w:r>
          </w:p>
          <w:p w14:paraId="3C28EED3">
            <w:pPr>
              <w:keepNext w:val="0"/>
              <w:keepLines w:val="0"/>
              <w:pageBreakBefore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sz w:val="24"/>
                <w:highlight w:val="none"/>
                <w:lang w:eastAsia="zh-CN"/>
              </w:rPr>
              <w:t>审批文件名称及文号：《</w:t>
            </w:r>
            <w:r>
              <w:rPr>
                <w:rFonts w:hint="eastAsia" w:ascii="Times New Roman" w:hAnsi="Times New Roman" w:eastAsia="宋体" w:cs="Times New Roman"/>
                <w:color w:val="auto"/>
                <w:sz w:val="24"/>
                <w:highlight w:val="none"/>
                <w:lang w:val="en-US" w:eastAsia="zh-CN"/>
              </w:rPr>
              <w:t>山东省</w:t>
            </w:r>
            <w:r>
              <w:rPr>
                <w:rFonts w:hint="default" w:ascii="Times New Roman" w:hAnsi="Times New Roman" w:eastAsia="宋体" w:cs="Times New Roman"/>
                <w:color w:val="auto"/>
                <w:sz w:val="24"/>
                <w:highlight w:val="none"/>
                <w:lang w:eastAsia="zh-CN"/>
              </w:rPr>
              <w:t>人民政府关于</w:t>
            </w:r>
            <w:r>
              <w:rPr>
                <w:rFonts w:hint="eastAsia" w:ascii="Times New Roman" w:hAnsi="Times New Roman" w:eastAsia="宋体" w:cs="Times New Roman"/>
                <w:color w:val="auto"/>
                <w:sz w:val="24"/>
                <w:highlight w:val="none"/>
                <w:lang w:val="en-US" w:eastAsia="zh-CN"/>
              </w:rPr>
              <w:t>桓台县、高青县、沂源县</w:t>
            </w:r>
            <w:r>
              <w:rPr>
                <w:rFonts w:hint="default" w:ascii="Times New Roman" w:hAnsi="Times New Roman" w:eastAsia="宋体" w:cs="Times New Roman"/>
                <w:color w:val="auto"/>
                <w:sz w:val="24"/>
                <w:highlight w:val="none"/>
                <w:lang w:eastAsia="zh-CN"/>
              </w:rPr>
              <w:t>国土空间</w:t>
            </w:r>
            <w:r>
              <w:rPr>
                <w:rFonts w:hint="eastAsia" w:ascii="Times New Roman" w:hAnsi="Times New Roman" w:eastAsia="宋体" w:cs="Times New Roman"/>
                <w:color w:val="auto"/>
                <w:sz w:val="24"/>
                <w:highlight w:val="none"/>
                <w:lang w:val="en-US" w:eastAsia="zh-CN"/>
              </w:rPr>
              <w:t>总体</w:t>
            </w:r>
            <w:r>
              <w:rPr>
                <w:rFonts w:hint="default" w:ascii="Times New Roman" w:hAnsi="Times New Roman" w:eastAsia="宋体" w:cs="Times New Roman"/>
                <w:color w:val="auto"/>
                <w:sz w:val="24"/>
                <w:highlight w:val="none"/>
                <w:lang w:eastAsia="zh-CN"/>
              </w:rPr>
              <w:t>规划（2021—2035年）的批复</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鲁</w:t>
            </w:r>
            <w:r>
              <w:rPr>
                <w:rFonts w:hint="default" w:ascii="Times New Roman" w:hAnsi="Times New Roman" w:eastAsia="宋体" w:cs="Times New Roman"/>
                <w:color w:val="auto"/>
                <w:sz w:val="24"/>
                <w:highlight w:val="none"/>
                <w:lang w:eastAsia="zh-CN"/>
              </w:rPr>
              <w:t>政字〔2024〕</w:t>
            </w:r>
            <w:r>
              <w:rPr>
                <w:rFonts w:hint="eastAsia"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号</w:t>
            </w:r>
            <w:r>
              <w:rPr>
                <w:rFonts w:hint="eastAsia" w:ascii="Times New Roman" w:hAnsi="Times New Roman" w:eastAsia="宋体" w:cs="Times New Roman"/>
                <w:color w:val="auto"/>
                <w:sz w:val="24"/>
                <w:highlight w:val="none"/>
                <w:lang w:eastAsia="zh-CN"/>
              </w:rPr>
              <w:t>）</w:t>
            </w:r>
          </w:p>
        </w:tc>
      </w:tr>
      <w:tr w14:paraId="279FD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547" w:type="pct"/>
            <w:vAlign w:val="center"/>
          </w:tcPr>
          <w:p w14:paraId="51E3E0A7">
            <w:pPr>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规划环境影</w:t>
            </w:r>
          </w:p>
          <w:p w14:paraId="032FF18D">
            <w:pPr>
              <w:autoSpaceDE w:val="0"/>
              <w:autoSpaceDN w:val="0"/>
              <w:adjustRightInd w:val="0"/>
              <w:snapToGrid w:val="0"/>
              <w:jc w:val="center"/>
              <w:rPr>
                <w:rFonts w:hint="eastAsia" w:ascii="黑体" w:hAnsi="黑体" w:eastAsia="黑体" w:cs="黑体"/>
                <w:color w:val="auto"/>
                <w:kern w:val="0"/>
                <w:sz w:val="24"/>
                <w:highlight w:val="none"/>
              </w:rPr>
            </w:pPr>
            <w:r>
              <w:rPr>
                <w:rFonts w:hint="eastAsia" w:ascii="黑体" w:hAnsi="黑体" w:eastAsia="黑体" w:cs="黑体"/>
                <w:color w:val="auto"/>
                <w:sz w:val="24"/>
                <w:szCs w:val="24"/>
                <w:highlight w:val="none"/>
              </w:rPr>
              <w:t>响评价情况</w:t>
            </w:r>
          </w:p>
        </w:tc>
        <w:tc>
          <w:tcPr>
            <w:tcW w:w="4452" w:type="pct"/>
            <w:gridSpan w:val="3"/>
            <w:vAlign w:val="center"/>
          </w:tcPr>
          <w:p w14:paraId="6472BBC5">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w:t>
            </w:r>
          </w:p>
        </w:tc>
      </w:tr>
      <w:tr w14:paraId="3383BB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9" w:hRule="atLeast"/>
          <w:jc w:val="center"/>
        </w:trPr>
        <w:tc>
          <w:tcPr>
            <w:tcW w:w="547" w:type="pct"/>
            <w:vAlign w:val="center"/>
          </w:tcPr>
          <w:p w14:paraId="4DA08EAC">
            <w:pPr>
              <w:autoSpaceDE w:val="0"/>
              <w:autoSpaceDN w:val="0"/>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kern w:val="0"/>
                <w:sz w:val="24"/>
                <w:szCs w:val="24"/>
                <w:highlight w:val="none"/>
              </w:rPr>
              <w:t>规划及规划环境影响评价符合性分析</w:t>
            </w:r>
          </w:p>
        </w:tc>
        <w:tc>
          <w:tcPr>
            <w:tcW w:w="4452" w:type="pct"/>
            <w:gridSpan w:val="3"/>
            <w:vAlign w:val="center"/>
          </w:tcPr>
          <w:p w14:paraId="2EBC197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lang w:val="en-US" w:eastAsia="zh-CN"/>
              </w:rPr>
            </w:pPr>
            <w:r>
              <w:rPr>
                <w:rFonts w:hint="eastAsia" w:cs="Times New Roman"/>
                <w:color w:val="auto"/>
                <w:sz w:val="24"/>
                <w:szCs w:val="24"/>
                <w:highlight w:val="none"/>
                <w:lang w:val="en-US" w:eastAsia="zh-CN"/>
              </w:rPr>
              <w:t>1、本项目与《沂源县国</w:t>
            </w:r>
            <w:r>
              <w:rPr>
                <w:rFonts w:hint="eastAsia" w:ascii="Times New Roman" w:hAnsi="Times New Roman" w:eastAsia="宋体" w:cs="Times New Roman"/>
                <w:sz w:val="24"/>
                <w:lang w:val="en-US" w:eastAsia="zh-CN"/>
              </w:rPr>
              <w:t>土空间总体规划（</w:t>
            </w:r>
            <w:r>
              <w:rPr>
                <w:rFonts w:hint="eastAsia" w:cs="Times New Roman"/>
                <w:sz w:val="24"/>
                <w:lang w:val="en-US" w:eastAsia="zh-CN"/>
              </w:rPr>
              <w:t>2021</w:t>
            </w:r>
            <w:r>
              <w:rPr>
                <w:rFonts w:hint="eastAsia" w:ascii="Times New Roman" w:hAnsi="Times New Roman" w:eastAsia="宋体" w:cs="Times New Roman"/>
                <w:sz w:val="24"/>
                <w:lang w:val="en-US" w:eastAsia="zh-CN"/>
              </w:rPr>
              <w:t>-2035）》符合性分析</w:t>
            </w:r>
          </w:p>
          <w:p w14:paraId="449FE41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ascii="Times New Roman" w:hAnsi="Times New Roman" w:eastAsia="宋体" w:cs="Times New Roman"/>
                <w:sz w:val="24"/>
                <w:lang w:val="en-US" w:eastAsia="zh-CN"/>
              </w:rPr>
              <w:t>项目厂区位于山东省</w:t>
            </w:r>
            <w:r>
              <w:rPr>
                <w:rFonts w:hint="eastAsia" w:cs="Times New Roman"/>
                <w:color w:val="auto"/>
                <w:sz w:val="24"/>
                <w:szCs w:val="24"/>
                <w:highlight w:val="none"/>
                <w:lang w:val="en-US" w:eastAsia="zh-CN"/>
              </w:rPr>
              <w:t>淄博市沂源县张家坡镇政通路88号</w:t>
            </w:r>
            <w:r>
              <w:rPr>
                <w:rFonts w:hint="eastAsia" w:ascii="Times New Roman" w:hAnsi="Times New Roman" w:eastAsia="宋体" w:cs="Times New Roman"/>
                <w:sz w:val="24"/>
                <w:lang w:val="en-US" w:eastAsia="zh-CN"/>
              </w:rPr>
              <w:t>，本项目租赁车间仓库及办公室，不新征占地</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根据</w:t>
            </w:r>
            <w:r>
              <w:rPr>
                <w:rFonts w:hint="eastAsia" w:cs="Times New Roman"/>
                <w:color w:val="auto"/>
                <w:sz w:val="24"/>
                <w:szCs w:val="24"/>
                <w:highlight w:val="none"/>
                <w:lang w:val="en-US" w:eastAsia="zh-CN"/>
              </w:rPr>
              <w:t>《沂源县国</w:t>
            </w:r>
            <w:r>
              <w:rPr>
                <w:rFonts w:hint="eastAsia" w:ascii="Times New Roman" w:hAnsi="Times New Roman" w:eastAsia="宋体" w:cs="Times New Roman"/>
                <w:sz w:val="24"/>
                <w:lang w:val="en-US" w:eastAsia="zh-CN"/>
              </w:rPr>
              <w:t>土空间总体规划（</w:t>
            </w:r>
            <w:r>
              <w:rPr>
                <w:rFonts w:hint="eastAsia" w:cs="Times New Roman"/>
                <w:sz w:val="24"/>
                <w:lang w:val="en-US" w:eastAsia="zh-CN"/>
              </w:rPr>
              <w:t>2021</w:t>
            </w:r>
            <w:r>
              <w:rPr>
                <w:rFonts w:hint="eastAsia" w:ascii="Times New Roman" w:hAnsi="Times New Roman" w:eastAsia="宋体" w:cs="Times New Roman"/>
                <w:sz w:val="24"/>
                <w:lang w:val="en-US" w:eastAsia="zh-CN"/>
              </w:rPr>
              <w:t>-2035）</w:t>
            </w:r>
            <w:r>
              <w:rPr>
                <w:rFonts w:hint="eastAsia" w:ascii="Times New Roman" w:hAnsi="Times New Roman" w:eastAsia="宋体" w:cs="Times New Roman"/>
                <w:color w:val="auto"/>
                <w:sz w:val="24"/>
                <w:lang w:val="en-US" w:eastAsia="zh-CN"/>
              </w:rPr>
              <w:t>》，项目用地属于工业用地，符合规划要求。</w:t>
            </w:r>
            <w:r>
              <w:rPr>
                <w:rFonts w:hint="eastAsia" w:cs="Times New Roman"/>
                <w:color w:val="auto"/>
                <w:sz w:val="24"/>
                <w:szCs w:val="24"/>
                <w:highlight w:val="none"/>
                <w:lang w:val="en-US" w:eastAsia="zh-CN"/>
              </w:rPr>
              <w:t>沂源县国</w:t>
            </w:r>
            <w:r>
              <w:rPr>
                <w:rFonts w:hint="eastAsia" w:ascii="Times New Roman" w:hAnsi="Times New Roman" w:eastAsia="宋体" w:cs="Times New Roman"/>
                <w:color w:val="auto"/>
                <w:sz w:val="24"/>
                <w:lang w:val="en-US" w:eastAsia="zh-CN"/>
              </w:rPr>
              <w:t>土空间总体规划见附图</w:t>
            </w:r>
            <w:r>
              <w:rPr>
                <w:rFonts w:hint="eastAsia" w:cs="Times New Roman"/>
                <w:color w:val="auto"/>
                <w:sz w:val="24"/>
                <w:lang w:val="en-US" w:eastAsia="zh-CN"/>
              </w:rPr>
              <w:t>7</w:t>
            </w:r>
            <w:r>
              <w:rPr>
                <w:rFonts w:hint="eastAsia" w:ascii="Times New Roman" w:hAnsi="Times New Roman" w:eastAsia="宋体" w:cs="Times New Roman"/>
                <w:sz w:val="24"/>
                <w:lang w:val="en-US" w:eastAsia="zh-CN"/>
              </w:rPr>
              <w:t>。</w:t>
            </w:r>
          </w:p>
        </w:tc>
      </w:tr>
      <w:tr w14:paraId="0ED7CF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97" w:hRule="atLeast"/>
          <w:jc w:val="center"/>
        </w:trPr>
        <w:tc>
          <w:tcPr>
            <w:tcW w:w="547" w:type="pct"/>
            <w:vAlign w:val="center"/>
          </w:tcPr>
          <w:p w14:paraId="753F9306">
            <w:pPr>
              <w:autoSpaceDE w:val="0"/>
              <w:autoSpaceDN w:val="0"/>
              <w:adjustRightInd w:val="0"/>
              <w:snapToGrid w:val="0"/>
              <w:jc w:val="center"/>
              <w:rPr>
                <w:rFonts w:hint="eastAsia" w:ascii="黑体" w:hAnsi="黑体" w:eastAsia="黑体" w:cs="黑体"/>
                <w:color w:val="auto"/>
                <w:sz w:val="24"/>
                <w:szCs w:val="24"/>
                <w:highlight w:val="none"/>
              </w:rPr>
            </w:pPr>
            <w:r>
              <w:rPr>
                <w:rFonts w:hint="eastAsia" w:ascii="黑体" w:hAnsi="黑体" w:eastAsia="黑体" w:cs="黑体"/>
                <w:color w:val="auto"/>
                <w:kern w:val="0"/>
                <w:sz w:val="24"/>
                <w:szCs w:val="24"/>
                <w:highlight w:val="none"/>
              </w:rPr>
              <w:t>其他符合性分析</w:t>
            </w:r>
          </w:p>
        </w:tc>
        <w:tc>
          <w:tcPr>
            <w:tcW w:w="4452" w:type="pct"/>
            <w:gridSpan w:val="3"/>
            <w:vAlign w:val="center"/>
          </w:tcPr>
          <w:p w14:paraId="5496ECF2">
            <w:pPr>
              <w:numPr>
                <w:ilvl w:val="0"/>
                <w:numId w:val="2"/>
              </w:num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产业政策符合性分析</w:t>
            </w:r>
          </w:p>
          <w:p w14:paraId="429F1F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eastAsia"/>
                <w:sz w:val="24"/>
              </w:rPr>
              <w:t>项目不属于国家发改委发布的《产业结构调整指导目录（</w:t>
            </w:r>
            <w:r>
              <w:rPr>
                <w:sz w:val="24"/>
              </w:rPr>
              <w:t>20</w:t>
            </w:r>
            <w:r>
              <w:rPr>
                <w:rFonts w:hint="eastAsia"/>
                <w:sz w:val="24"/>
              </w:rPr>
              <w:t>24年本）》中“鼓励类”、“限制类”和“淘汰类”行列，属于允许建设项目，符合国家产业政策。本项目所用设备、生产工艺不属于淄博市《全市重点淘汰的落后工艺技术、装备及产品目录》中落后的工艺技术、装备及产品项目，不属于淄博市人民政府办公厅发布的《关于印发淄博市产业结构调整指导意见和指导目录的通知》（淄政办发</w:t>
            </w:r>
            <w:r>
              <w:rPr>
                <w:sz w:val="24"/>
              </w:rPr>
              <w:t>[20</w:t>
            </w:r>
            <w:r>
              <w:rPr>
                <w:color w:val="auto"/>
                <w:sz w:val="24"/>
                <w:highlight w:val="none"/>
              </w:rPr>
              <w:t>11]35</w:t>
            </w:r>
            <w:r>
              <w:rPr>
                <w:rFonts w:hint="eastAsia"/>
                <w:color w:val="auto"/>
                <w:sz w:val="24"/>
                <w:highlight w:val="none"/>
              </w:rPr>
              <w:t>号）中“鼓励类”、“限制类”和“淘汰类”行列，属于允许建设项目，符合淄博的产业政策。该项目为备案制，已取得山东省建设项目备案证明，项目代码为</w:t>
            </w:r>
            <w:r>
              <w:rPr>
                <w:rFonts w:hint="eastAsia" w:ascii="Times New Roman" w:hAnsi="Times New Roman" w:eastAsia="宋体" w:cs="Times New Roman"/>
                <w:color w:val="auto"/>
                <w:sz w:val="24"/>
                <w:highlight w:val="none"/>
                <w:lang w:eastAsia="zh-CN"/>
              </w:rPr>
              <w:t>2</w:t>
            </w:r>
            <w:r>
              <w:rPr>
                <w:rFonts w:hint="eastAsia" w:ascii="Times New Roman" w:hAnsi="Times New Roman" w:eastAsia="宋体" w:cs="Times New Roman"/>
                <w:color w:val="auto"/>
                <w:sz w:val="24"/>
                <w:highlight w:val="none"/>
                <w:lang w:val="en-US" w:eastAsia="zh-CN"/>
              </w:rPr>
              <w:t>503</w:t>
            </w:r>
            <w:r>
              <w:rPr>
                <w:rFonts w:hint="eastAsia" w:ascii="Times New Roman" w:hAnsi="Times New Roman" w:eastAsia="宋体" w:cs="Times New Roman"/>
                <w:color w:val="auto"/>
                <w:sz w:val="24"/>
                <w:highlight w:val="none"/>
                <w:lang w:eastAsia="zh-CN"/>
              </w:rPr>
              <w:t>-3703</w:t>
            </w:r>
            <w:r>
              <w:rPr>
                <w:rFonts w:hint="eastAsia" w:ascii="Times New Roman" w:hAnsi="Times New Roman" w:eastAsia="宋体" w:cs="Times New Roman"/>
                <w:color w:val="auto"/>
                <w:sz w:val="24"/>
                <w:highlight w:val="none"/>
                <w:lang w:val="en-US" w:eastAsia="zh-CN"/>
              </w:rPr>
              <w:t>23</w:t>
            </w:r>
            <w:r>
              <w:rPr>
                <w:rFonts w:hint="eastAsia" w:ascii="Times New Roman" w:hAnsi="Times New Roman" w:eastAsia="宋体" w:cs="Times New Roman"/>
                <w:color w:val="auto"/>
                <w:sz w:val="24"/>
                <w:highlight w:val="none"/>
                <w:lang w:eastAsia="zh-CN"/>
              </w:rPr>
              <w:t>-89-0</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925132</w:t>
            </w:r>
            <w:r>
              <w:rPr>
                <w:rFonts w:hint="eastAsia"/>
                <w:color w:val="auto"/>
                <w:sz w:val="24"/>
                <w:highlight w:val="none"/>
              </w:rPr>
              <w:t>。</w:t>
            </w:r>
          </w:p>
          <w:p w14:paraId="444AAE4D">
            <w:pPr>
              <w:numPr>
                <w:ilvl w:val="0"/>
                <w:numId w:val="2"/>
              </w:num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土地利用规划符合性分析</w:t>
            </w:r>
          </w:p>
          <w:p w14:paraId="1A2AF5B4">
            <w:pPr>
              <w:adjustRightInd w:val="0"/>
              <w:snapToGrid w:val="0"/>
              <w:spacing w:line="360" w:lineRule="auto"/>
              <w:ind w:firstLine="480" w:firstLineChars="200"/>
              <w:rPr>
                <w:rFonts w:hint="eastAsia"/>
                <w:color w:val="auto"/>
                <w:sz w:val="24"/>
                <w:highlight w:val="none"/>
                <w:lang w:val="en-US" w:eastAsia="zh-CN"/>
              </w:rPr>
            </w:pPr>
            <w:r>
              <w:rPr>
                <w:color w:val="auto"/>
                <w:kern w:val="0"/>
                <w:sz w:val="24"/>
                <w:highlight w:val="none"/>
              </w:rPr>
              <w:t>本项目位于</w:t>
            </w:r>
            <w:r>
              <w:rPr>
                <w:rFonts w:hint="eastAsia" w:cs="Times New Roman"/>
                <w:color w:val="auto"/>
                <w:sz w:val="24"/>
                <w:szCs w:val="24"/>
                <w:highlight w:val="none"/>
                <w:lang w:val="en-US" w:eastAsia="zh-CN"/>
              </w:rPr>
              <w:t>淄博市沂源县张家坡镇政通路88号，租赁现有厂房</w:t>
            </w:r>
            <w:r>
              <w:rPr>
                <w:color w:val="auto"/>
                <w:sz w:val="24"/>
                <w:highlight w:val="none"/>
              </w:rPr>
              <w:t>。</w:t>
            </w:r>
            <w:r>
              <w:rPr>
                <w:rFonts w:hint="eastAsia"/>
                <w:color w:val="auto"/>
                <w:sz w:val="24"/>
                <w:highlight w:val="none"/>
                <w:lang w:val="en-US" w:eastAsia="zh-CN"/>
              </w:rPr>
              <w:t>根据《沂源县国土空间总体规划》（2021-2035）县域国土空间控制线规划图（附图7），本项目选址不占用永久基本农田和生态保护红线区域，符合区域生态保护红线和一般生态空间保护要求。</w:t>
            </w:r>
          </w:p>
          <w:p w14:paraId="5DED426D">
            <w:pPr>
              <w:adjustRightInd w:val="0"/>
              <w:snapToGrid w:val="0"/>
              <w:spacing w:line="360" w:lineRule="auto"/>
              <w:ind w:firstLine="480" w:firstLineChars="200"/>
              <w:rPr>
                <w:rFonts w:hint="eastAsia"/>
                <w:color w:val="auto"/>
                <w:sz w:val="24"/>
                <w:highlight w:val="none"/>
                <w:lang w:val="en-US" w:eastAsia="zh-CN"/>
              </w:rPr>
            </w:pPr>
            <w:r>
              <w:rPr>
                <w:rFonts w:hint="eastAsia" w:cs="Times New Roman"/>
                <w:color w:val="auto"/>
                <w:kern w:val="0"/>
                <w:sz w:val="24"/>
                <w:highlight w:val="none"/>
                <w:lang w:val="en-US" w:eastAsia="zh-CN"/>
              </w:rPr>
              <w:t>根</w:t>
            </w:r>
            <w:r>
              <w:rPr>
                <w:rFonts w:hint="eastAsia" w:cs="Times New Roman"/>
                <w:color w:val="auto"/>
                <w:sz w:val="24"/>
                <w:szCs w:val="24"/>
                <w:highlight w:val="none"/>
                <w:lang w:val="en-US" w:eastAsia="zh-CN"/>
              </w:rPr>
              <w:t>据</w:t>
            </w:r>
            <w:r>
              <w:rPr>
                <w:rFonts w:hint="eastAsia"/>
                <w:color w:val="auto"/>
                <w:sz w:val="24"/>
                <w:highlight w:val="none"/>
                <w:lang w:val="en-US" w:eastAsia="zh-CN"/>
              </w:rPr>
              <w:t>沂源县人民政府</w:t>
            </w:r>
            <w:r>
              <w:rPr>
                <w:rFonts w:hint="eastAsia" w:cs="Times New Roman"/>
                <w:color w:val="auto"/>
                <w:sz w:val="24"/>
                <w:szCs w:val="24"/>
                <w:highlight w:val="none"/>
                <w:lang w:val="en-US" w:eastAsia="zh-CN"/>
              </w:rPr>
              <w:t>《关于公布各镇（街道）工业聚集区名单的通知》</w:t>
            </w:r>
            <w:r>
              <w:rPr>
                <w:rFonts w:hint="eastAsia" w:ascii="Times New Roman" w:hAnsi="Times New Roman" w:eastAsia="宋体" w:cs="Times New Roman"/>
                <w:color w:val="auto"/>
                <w:kern w:val="0"/>
                <w:sz w:val="24"/>
                <w:highlight w:val="none"/>
                <w:lang w:val="en-US" w:eastAsia="zh-CN"/>
              </w:rPr>
              <w:t>（</w:t>
            </w:r>
            <w:r>
              <w:rPr>
                <w:rFonts w:hint="eastAsia" w:cs="Times New Roman"/>
                <w:color w:val="auto"/>
                <w:kern w:val="0"/>
                <w:sz w:val="24"/>
                <w:highlight w:val="none"/>
                <w:lang w:val="en-US" w:eastAsia="zh-CN"/>
              </w:rPr>
              <w:t>源政办字</w:t>
            </w:r>
            <w:r>
              <w:rPr>
                <w:rFonts w:hint="default" w:ascii="Times New Roman" w:hAnsi="Times New Roman" w:eastAsia="宋体" w:cs="Times New Roman"/>
                <w:color w:val="auto"/>
                <w:kern w:val="0"/>
                <w:sz w:val="24"/>
                <w:highlight w:val="none"/>
                <w:lang w:val="en-US" w:eastAsia="zh-CN"/>
              </w:rPr>
              <w:t>[202</w:t>
            </w:r>
            <w:r>
              <w:rPr>
                <w:rFonts w:hint="eastAsia" w:cs="Times New Roman"/>
                <w:color w:val="auto"/>
                <w:kern w:val="0"/>
                <w:sz w:val="24"/>
                <w:highlight w:val="none"/>
                <w:lang w:val="en-US" w:eastAsia="zh-CN"/>
              </w:rPr>
              <w:t>1</w:t>
            </w:r>
            <w:r>
              <w:rPr>
                <w:rFonts w:hint="default" w:ascii="Times New Roman" w:hAnsi="Times New Roman" w:eastAsia="宋体" w:cs="Times New Roman"/>
                <w:color w:val="auto"/>
                <w:kern w:val="0"/>
                <w:sz w:val="24"/>
                <w:highlight w:val="none"/>
                <w:lang w:val="en-US" w:eastAsia="zh-CN"/>
              </w:rPr>
              <w:t>]</w:t>
            </w:r>
            <w:r>
              <w:rPr>
                <w:rFonts w:hint="eastAsia" w:cs="Times New Roman"/>
                <w:color w:val="auto"/>
                <w:kern w:val="0"/>
                <w:sz w:val="24"/>
                <w:highlight w:val="none"/>
                <w:lang w:val="en-US" w:eastAsia="zh-CN"/>
              </w:rPr>
              <w:t>58</w:t>
            </w:r>
            <w:r>
              <w:rPr>
                <w:rFonts w:hint="default" w:ascii="Times New Roman" w:hAnsi="Times New Roman" w:eastAsia="宋体" w:cs="Times New Roman"/>
                <w:color w:val="auto"/>
                <w:kern w:val="0"/>
                <w:sz w:val="24"/>
                <w:highlight w:val="none"/>
                <w:lang w:val="en-US" w:eastAsia="zh-CN"/>
              </w:rPr>
              <w:t>号</w:t>
            </w:r>
            <w:r>
              <w:rPr>
                <w:rFonts w:hint="eastAsia" w:ascii="Times New Roman" w:hAnsi="Times New Roman" w:eastAsia="宋体" w:cs="Times New Roman"/>
                <w:color w:val="auto"/>
                <w:kern w:val="0"/>
                <w:sz w:val="24"/>
                <w:highlight w:val="none"/>
                <w:lang w:val="en-US" w:eastAsia="zh-CN"/>
              </w:rPr>
              <w:t>）</w:t>
            </w:r>
            <w:r>
              <w:rPr>
                <w:rFonts w:hint="eastAsia" w:cs="Times New Roman"/>
                <w:color w:val="auto"/>
                <w:sz w:val="24"/>
                <w:szCs w:val="24"/>
                <w:highlight w:val="none"/>
                <w:lang w:val="en-US" w:eastAsia="zh-CN"/>
              </w:rPr>
              <w:t>，本项目位于张家坡镇驻地片区工业聚集区内，</w:t>
            </w:r>
            <w:r>
              <w:rPr>
                <w:rFonts w:hint="eastAsia" w:ascii="Times New Roman" w:hAnsi="Times New Roman" w:eastAsia="宋体" w:cs="Times New Roman"/>
                <w:color w:val="auto"/>
                <w:kern w:val="0"/>
                <w:sz w:val="24"/>
                <w:highlight w:val="none"/>
              </w:rPr>
              <w:t>详</w:t>
            </w:r>
            <w:r>
              <w:rPr>
                <w:rFonts w:ascii="Times New Roman" w:hAnsi="Times New Roman" w:eastAsia="宋体" w:cs="Times New Roman"/>
                <w:color w:val="auto"/>
                <w:kern w:val="0"/>
                <w:sz w:val="24"/>
                <w:highlight w:val="none"/>
              </w:rPr>
              <w:t>见</w:t>
            </w:r>
            <w:r>
              <w:rPr>
                <w:rFonts w:hint="eastAsia" w:cs="Times New Roman"/>
                <w:color w:val="auto"/>
                <w:kern w:val="0"/>
                <w:sz w:val="24"/>
                <w:highlight w:val="none"/>
                <w:lang w:val="en-US" w:eastAsia="zh-CN"/>
              </w:rPr>
              <w:t>附件6，本项目与</w:t>
            </w:r>
            <w:r>
              <w:rPr>
                <w:rFonts w:hint="eastAsia" w:cs="Times New Roman"/>
                <w:color w:val="auto"/>
                <w:sz w:val="24"/>
                <w:szCs w:val="24"/>
                <w:highlight w:val="none"/>
                <w:lang w:val="en-US" w:eastAsia="zh-CN"/>
              </w:rPr>
              <w:t>张家坡镇驻地片区工业聚集区位置关系见</w:t>
            </w:r>
            <w:r>
              <w:rPr>
                <w:rFonts w:hint="eastAsia" w:cs="Times New Roman"/>
                <w:color w:val="auto"/>
                <w:kern w:val="0"/>
                <w:sz w:val="24"/>
                <w:highlight w:val="none"/>
                <w:lang w:val="en-US" w:eastAsia="zh-CN"/>
              </w:rPr>
              <w:t>附图3。</w:t>
            </w:r>
          </w:p>
          <w:p w14:paraId="78D9745F">
            <w:pPr>
              <w:numPr>
                <w:ilvl w:val="0"/>
                <w:numId w:val="2"/>
              </w:num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与张家坡镇国土空间规划符合性分析</w:t>
            </w:r>
          </w:p>
          <w:p w14:paraId="4C693924">
            <w:pPr>
              <w:adjustRightInd w:val="0"/>
              <w:snapToGrid w:val="0"/>
              <w:spacing w:line="360" w:lineRule="auto"/>
              <w:ind w:firstLine="480" w:firstLineChars="200"/>
              <w:rPr>
                <w:rFonts w:ascii="Times New Roman" w:hAnsi="Times New Roman" w:eastAsia="宋体" w:cs="Times New Roman"/>
                <w:color w:val="auto"/>
                <w:kern w:val="0"/>
                <w:sz w:val="24"/>
                <w:highlight w:val="none"/>
              </w:rPr>
            </w:pPr>
            <w:r>
              <w:rPr>
                <w:rFonts w:hint="eastAsia"/>
                <w:color w:val="auto"/>
                <w:sz w:val="24"/>
                <w:highlight w:val="none"/>
                <w:lang w:val="en-US" w:eastAsia="zh-CN"/>
              </w:rPr>
              <w:t>根据《淄博市沂源县张家坡镇国土空间规划（2021-2035年）》中相关要求</w:t>
            </w:r>
            <w:r>
              <w:rPr>
                <w:rFonts w:ascii="Times New Roman" w:hAnsi="Times New Roman" w:eastAsia="宋体" w:cs="Times New Roman"/>
                <w:color w:val="auto"/>
                <w:kern w:val="0"/>
                <w:sz w:val="24"/>
                <w:highlight w:val="none"/>
              </w:rPr>
              <w:t>，</w:t>
            </w:r>
            <w:r>
              <w:rPr>
                <w:rFonts w:hint="eastAsia" w:cs="Times New Roman"/>
                <w:color w:val="auto"/>
                <w:kern w:val="0"/>
                <w:sz w:val="24"/>
                <w:highlight w:val="none"/>
                <w:lang w:val="en-US" w:eastAsia="zh-CN"/>
              </w:rPr>
              <w:t>本项目不占用永久基本农田，不在</w:t>
            </w:r>
            <w:r>
              <w:rPr>
                <w:rFonts w:hint="eastAsia"/>
                <w:color w:val="auto"/>
                <w:sz w:val="24"/>
                <w:highlight w:val="none"/>
                <w:lang w:val="en-US" w:eastAsia="zh-CN"/>
              </w:rPr>
              <w:t>生态保护红线区域内，</w:t>
            </w:r>
            <w:r>
              <w:rPr>
                <w:rFonts w:ascii="Times New Roman" w:hAnsi="Times New Roman" w:eastAsia="宋体" w:cs="Times New Roman"/>
                <w:color w:val="auto"/>
                <w:kern w:val="0"/>
                <w:sz w:val="24"/>
                <w:highlight w:val="none"/>
              </w:rPr>
              <w:t>用地</w:t>
            </w:r>
            <w:r>
              <w:rPr>
                <w:rFonts w:hint="eastAsia" w:cs="Times New Roman"/>
                <w:color w:val="auto"/>
                <w:kern w:val="0"/>
                <w:sz w:val="24"/>
                <w:highlight w:val="none"/>
                <w:lang w:val="en-US" w:eastAsia="zh-CN"/>
              </w:rPr>
              <w:t>性质</w:t>
            </w:r>
            <w:r>
              <w:rPr>
                <w:rFonts w:ascii="Times New Roman" w:hAnsi="Times New Roman" w:eastAsia="宋体" w:cs="Times New Roman"/>
                <w:color w:val="auto"/>
                <w:kern w:val="0"/>
                <w:sz w:val="24"/>
                <w:highlight w:val="none"/>
              </w:rPr>
              <w:t>为</w:t>
            </w:r>
            <w:r>
              <w:rPr>
                <w:rFonts w:hint="eastAsia" w:cs="Times New Roman"/>
                <w:color w:val="auto"/>
                <w:kern w:val="0"/>
                <w:sz w:val="24"/>
                <w:highlight w:val="none"/>
                <w:lang w:val="en-US" w:eastAsia="zh-CN"/>
              </w:rPr>
              <w:t>工业</w:t>
            </w:r>
            <w:r>
              <w:rPr>
                <w:rFonts w:ascii="Times New Roman" w:hAnsi="Times New Roman" w:eastAsia="宋体" w:cs="Times New Roman"/>
                <w:color w:val="auto"/>
                <w:kern w:val="0"/>
                <w:sz w:val="24"/>
                <w:highlight w:val="none"/>
              </w:rPr>
              <w:t>用地</w:t>
            </w:r>
            <w:r>
              <w:rPr>
                <w:rFonts w:hint="eastAsia" w:cs="Times New Roman"/>
                <w:color w:val="auto"/>
                <w:kern w:val="0"/>
                <w:sz w:val="24"/>
                <w:highlight w:val="none"/>
                <w:lang w:eastAsia="zh-CN"/>
              </w:rPr>
              <w:t>，</w:t>
            </w:r>
            <w:r>
              <w:rPr>
                <w:rFonts w:hint="eastAsia" w:cs="Times New Roman"/>
                <w:color w:val="auto"/>
                <w:kern w:val="0"/>
                <w:sz w:val="24"/>
                <w:highlight w:val="none"/>
                <w:lang w:val="en-US" w:eastAsia="zh-CN"/>
              </w:rPr>
              <w:t>项目选址符合</w:t>
            </w:r>
            <w:r>
              <w:rPr>
                <w:rFonts w:hint="eastAsia"/>
                <w:color w:val="auto"/>
                <w:sz w:val="24"/>
                <w:highlight w:val="none"/>
                <w:lang w:val="en-US" w:eastAsia="zh-CN"/>
              </w:rPr>
              <w:t>《淄博市沂源县张家坡镇国土空间规划（2021-2035年）》，</w:t>
            </w:r>
            <w:r>
              <w:rPr>
                <w:rFonts w:hint="eastAsia" w:cs="Times New Roman"/>
                <w:color w:val="auto"/>
                <w:kern w:val="0"/>
                <w:sz w:val="24"/>
                <w:highlight w:val="none"/>
                <w:lang w:val="en-US" w:eastAsia="zh-CN"/>
              </w:rPr>
              <w:t>本项目与张家坡镇国土空间规划位置关系详见附图10</w:t>
            </w:r>
            <w:r>
              <w:rPr>
                <w:rFonts w:ascii="Times New Roman" w:hAnsi="Times New Roman" w:eastAsia="宋体" w:cs="Times New Roman"/>
                <w:color w:val="auto"/>
                <w:kern w:val="0"/>
                <w:sz w:val="24"/>
                <w:highlight w:val="none"/>
              </w:rPr>
              <w:t>。</w:t>
            </w:r>
          </w:p>
          <w:p w14:paraId="36AC7D31">
            <w:pPr>
              <w:numPr>
                <w:ilvl w:val="0"/>
                <w:numId w:val="2"/>
              </w:numPr>
              <w:spacing w:line="360" w:lineRule="auto"/>
              <w:rPr>
                <w:rFonts w:hint="eastAsia" w:ascii="Times New Roman" w:hAnsi="Times New Roman" w:eastAsia="宋体" w:cs="Times New Roman"/>
                <w:sz w:val="24"/>
                <w:lang w:val="en-US" w:eastAsia="zh-CN"/>
              </w:rPr>
            </w:pPr>
            <w:r>
              <w:rPr>
                <w:rFonts w:hint="eastAsia" w:eastAsia="黑体" w:cs="Times New Roman"/>
                <w:color w:val="auto"/>
                <w:sz w:val="24"/>
                <w:szCs w:val="24"/>
                <w:highlight w:val="none"/>
                <w:lang w:val="en-US" w:eastAsia="zh-CN"/>
              </w:rPr>
              <w:t>与张家坡镇驻地片区工业聚集区准入行业符合性分析</w:t>
            </w:r>
          </w:p>
          <w:p w14:paraId="2441E848">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cs="Times New Roman"/>
                <w:color w:val="auto"/>
                <w:sz w:val="24"/>
                <w:szCs w:val="24"/>
                <w:highlight w:val="none"/>
                <w:lang w:val="en-US" w:eastAsia="zh-CN"/>
              </w:rPr>
            </w:pPr>
            <w:r>
              <w:rPr>
                <w:color w:val="auto"/>
                <w:kern w:val="0"/>
                <w:sz w:val="24"/>
                <w:highlight w:val="none"/>
              </w:rPr>
              <w:t>本项目位于</w:t>
            </w:r>
            <w:r>
              <w:rPr>
                <w:rFonts w:hint="eastAsia" w:cs="Times New Roman"/>
                <w:color w:val="auto"/>
                <w:sz w:val="24"/>
                <w:szCs w:val="24"/>
                <w:highlight w:val="none"/>
                <w:lang w:val="en-US" w:eastAsia="zh-CN"/>
              </w:rPr>
              <w:t>张家坡镇驻地片区工业聚集区内，</w:t>
            </w:r>
            <w:r>
              <w:rPr>
                <w:rFonts w:hint="eastAsia" w:ascii="Times New Roman" w:hAnsi="Times New Roman" w:eastAsia="宋体" w:cs="Times New Roman"/>
                <w:kern w:val="2"/>
                <w:sz w:val="24"/>
                <w:szCs w:val="24"/>
                <w:lang w:val="en-US" w:eastAsia="zh-CN" w:bidi="ar-SA"/>
              </w:rPr>
              <w:t>根据沂源县人民政府《关于公布各镇（街道）工业聚集区名单的通知》（源政办字</w:t>
            </w:r>
            <w:r>
              <w:rPr>
                <w:rFonts w:hint="default" w:ascii="Times New Roman" w:hAnsi="Times New Roman" w:eastAsia="宋体" w:cs="Times New Roman"/>
                <w:kern w:val="2"/>
                <w:sz w:val="24"/>
                <w:szCs w:val="24"/>
                <w:lang w:val="en-US" w:eastAsia="zh-CN" w:bidi="ar-SA"/>
              </w:rPr>
              <w:t>[202</w:t>
            </w:r>
            <w:r>
              <w:rPr>
                <w:rFonts w:hint="eastAsia" w:ascii="Times New Roman" w:hAnsi="Times New Roman" w:eastAsia="宋体" w:cs="Times New Roman"/>
                <w:kern w:val="2"/>
                <w:sz w:val="24"/>
                <w:szCs w:val="24"/>
                <w:lang w:val="en-US" w:eastAsia="zh-CN" w:bidi="ar-SA"/>
              </w:rPr>
              <w:t>1</w:t>
            </w:r>
            <w:r>
              <w:rPr>
                <w:rFonts w:hint="default" w:ascii="Times New Roman" w:hAnsi="Times New Roman" w:eastAsia="宋体"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58</w:t>
            </w:r>
            <w:r>
              <w:rPr>
                <w:rFonts w:hint="default" w:ascii="Times New Roman" w:hAnsi="Times New Roman" w:eastAsia="宋体" w:cs="Times New Roman"/>
                <w:kern w:val="2"/>
                <w:sz w:val="24"/>
                <w:szCs w:val="24"/>
                <w:lang w:val="en-US" w:eastAsia="zh-CN" w:bidi="ar-SA"/>
              </w:rPr>
              <w:t>号</w:t>
            </w:r>
            <w:r>
              <w:rPr>
                <w:rFonts w:hint="eastAsia" w:ascii="Times New Roman" w:hAnsi="Times New Roman" w:eastAsia="宋体" w:cs="Times New Roman"/>
                <w:kern w:val="2"/>
                <w:sz w:val="24"/>
                <w:szCs w:val="24"/>
                <w:lang w:val="en-US" w:eastAsia="zh-CN" w:bidi="ar-SA"/>
              </w:rPr>
              <w:t>）</w:t>
            </w:r>
            <w:r>
              <w:rPr>
                <w:rFonts w:hint="eastAsia" w:ascii="Times New Roman" w:hAnsi="Times New Roman" w:cs="Times New Roman"/>
                <w:kern w:val="2"/>
                <w:sz w:val="24"/>
                <w:szCs w:val="24"/>
                <w:lang w:val="en-US" w:eastAsia="zh-CN" w:bidi="ar-SA"/>
              </w:rPr>
              <w:t>文中工业聚集区发展方向：“按照工业链式集群发展要求，重点发展新医药、新材料、电子信息、智能装备等四强产业和特色食品饮料产业。一律不得建设限制类和淘汰类工业项目、新上“两高一资”项目和化工项目以及新增过剩和落</w:t>
            </w:r>
            <w:r>
              <w:rPr>
                <w:rFonts w:hint="eastAsia" w:cs="Times New Roman"/>
                <w:color w:val="auto"/>
                <w:sz w:val="24"/>
                <w:szCs w:val="24"/>
                <w:highlight w:val="none"/>
                <w:lang w:val="en-US" w:eastAsia="zh-CN"/>
              </w:rPr>
              <w:t>后产能。”</w:t>
            </w:r>
          </w:p>
          <w:p w14:paraId="47473E04">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本项目不属于《产业结构调整指导目录（2024年本）》中的建设限制类和淘汰类工业项目，本项目不属于</w:t>
            </w:r>
            <w:r>
              <w:rPr>
                <w:rFonts w:hint="eastAsia" w:ascii="Times New Roman" w:hAnsi="Times New Roman" w:cs="Times New Roman"/>
                <w:kern w:val="2"/>
                <w:sz w:val="24"/>
                <w:szCs w:val="24"/>
                <w:lang w:val="en-US" w:eastAsia="zh-CN" w:bidi="ar-SA"/>
              </w:rPr>
              <w:t>“两高一资”项目和化工项目，符合</w:t>
            </w:r>
            <w:r>
              <w:rPr>
                <w:rFonts w:hint="eastAsia" w:cs="Times New Roman"/>
                <w:color w:val="auto"/>
                <w:sz w:val="24"/>
                <w:szCs w:val="24"/>
                <w:highlight w:val="none"/>
                <w:lang w:val="en-US" w:eastAsia="zh-CN"/>
              </w:rPr>
              <w:t>张家坡镇驻地片区工业聚集区发展方向要求。</w:t>
            </w:r>
          </w:p>
          <w:p w14:paraId="4CFDF256">
            <w:pPr>
              <w:numPr>
                <w:ilvl w:val="0"/>
                <w:numId w:val="2"/>
              </w:num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与生态环境分区管控要求</w:t>
            </w:r>
            <w:r>
              <w:rPr>
                <w:rFonts w:hint="default" w:ascii="Times New Roman" w:hAnsi="Times New Roman" w:eastAsia="黑体" w:cs="Times New Roman"/>
                <w:color w:val="auto"/>
                <w:sz w:val="24"/>
                <w:szCs w:val="24"/>
                <w:highlight w:val="none"/>
                <w:lang w:val="en-US" w:eastAsia="zh-CN"/>
              </w:rPr>
              <w:t>符合性分析</w:t>
            </w:r>
          </w:p>
          <w:p w14:paraId="5B093CE9">
            <w:pPr>
              <w:adjustRightInd w:val="0"/>
              <w:snapToGrid w:val="0"/>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根据生态环境部于2024年7月6日发布的《关于印发&lt;生态环境分区管控管理暂行规定&gt;的通知》（环环评[2024]41号），本项目符合性分析如下：</w:t>
            </w:r>
          </w:p>
          <w:p w14:paraId="02BBDDA9">
            <w:pPr>
              <w:numPr>
                <w:ilvl w:val="0"/>
                <w:numId w:val="3"/>
              </w:numPr>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与生态保护红线符合性分析</w:t>
            </w:r>
          </w:p>
          <w:p w14:paraId="245F0B7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en-US" w:eastAsia="zh-CN"/>
              </w:rPr>
              <w:t>表1-1  与生态保护红线符合性分析一览表</w:t>
            </w:r>
          </w:p>
          <w:tbl>
            <w:tblPr>
              <w:tblStyle w:val="27"/>
              <w:tblW w:w="7481" w:type="dxa"/>
              <w:tblInd w:w="12"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305"/>
              <w:gridCol w:w="1985"/>
              <w:gridCol w:w="1702"/>
              <w:gridCol w:w="1758"/>
              <w:gridCol w:w="731"/>
            </w:tblGrid>
            <w:tr w14:paraId="7519F192">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0" w:hRule="atLeast"/>
              </w:trPr>
              <w:tc>
                <w:tcPr>
                  <w:tcW w:w="1305" w:type="dxa"/>
                  <w:tcBorders>
                    <w:tl2br w:val="nil"/>
                    <w:tr2bl w:val="nil"/>
                  </w:tcBorders>
                  <w:noWrap w:val="0"/>
                  <w:vAlign w:val="center"/>
                </w:tcPr>
                <w:p w14:paraId="4BF620C3">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类别</w:t>
                  </w:r>
                </w:p>
              </w:tc>
              <w:tc>
                <w:tcPr>
                  <w:tcW w:w="1985" w:type="dxa"/>
                  <w:tcBorders>
                    <w:tl2br w:val="nil"/>
                    <w:tr2bl w:val="nil"/>
                  </w:tcBorders>
                  <w:noWrap w:val="0"/>
                  <w:vAlign w:val="center"/>
                </w:tcPr>
                <w:p w14:paraId="66AC041E">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对应管控要求</w:t>
                  </w:r>
                </w:p>
              </w:tc>
              <w:tc>
                <w:tcPr>
                  <w:tcW w:w="1702" w:type="dxa"/>
                  <w:tcBorders>
                    <w:tl2br w:val="nil"/>
                    <w:tr2bl w:val="nil"/>
                  </w:tcBorders>
                  <w:noWrap w:val="0"/>
                  <w:vAlign w:val="center"/>
                </w:tcPr>
                <w:p w14:paraId="29AC72C7">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现状</w:t>
                  </w:r>
                </w:p>
              </w:tc>
              <w:tc>
                <w:tcPr>
                  <w:tcW w:w="1758" w:type="dxa"/>
                  <w:tcBorders>
                    <w:tl2br w:val="nil"/>
                    <w:tr2bl w:val="nil"/>
                  </w:tcBorders>
                  <w:noWrap w:val="0"/>
                  <w:vAlign w:val="center"/>
                </w:tcPr>
                <w:p w14:paraId="3BE26B34">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项目对应情况介绍</w:t>
                  </w:r>
                </w:p>
              </w:tc>
              <w:tc>
                <w:tcPr>
                  <w:tcW w:w="731" w:type="dxa"/>
                  <w:tcBorders>
                    <w:tl2br w:val="nil"/>
                    <w:tr2bl w:val="nil"/>
                  </w:tcBorders>
                  <w:noWrap w:val="0"/>
                  <w:vAlign w:val="center"/>
                </w:tcPr>
                <w:p w14:paraId="255E9299">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符合性</w:t>
                  </w:r>
                </w:p>
              </w:tc>
            </w:tr>
            <w:tr w14:paraId="305C58AF">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1305" w:type="dxa"/>
                  <w:tcBorders>
                    <w:tl2br w:val="nil"/>
                    <w:tr2bl w:val="nil"/>
                  </w:tcBorders>
                  <w:noWrap w:val="0"/>
                  <w:vAlign w:val="center"/>
                </w:tcPr>
                <w:p w14:paraId="148C3753">
                  <w:pPr>
                    <w:snapToGrid w:val="0"/>
                    <w:spacing w:beforeLines="0" w:afterLine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生态保护红线</w:t>
                  </w:r>
                </w:p>
              </w:tc>
              <w:tc>
                <w:tcPr>
                  <w:tcW w:w="1985" w:type="dxa"/>
                  <w:tcBorders>
                    <w:tl2br w:val="nil"/>
                    <w:tr2bl w:val="nil"/>
                  </w:tcBorders>
                  <w:noWrap w:val="0"/>
                  <w:vAlign w:val="center"/>
                </w:tcPr>
                <w:p w14:paraId="5002B19A">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全市生态保护红线充分衔接最新成果数据，主要生态系统服务功能为防风固沙、水土保持及水源涵养。一般生态空间涵盖水产种质资源保护区、城市集中式饮用水水源保护区等各类受保护区域，以及生态公益林等其他需保护区。</w:t>
                  </w:r>
                </w:p>
              </w:tc>
              <w:tc>
                <w:tcPr>
                  <w:tcW w:w="1702" w:type="dxa"/>
                  <w:tcBorders>
                    <w:tl2br w:val="nil"/>
                    <w:tr2bl w:val="nil"/>
                  </w:tcBorders>
                  <w:noWrap w:val="0"/>
                  <w:vAlign w:val="center"/>
                </w:tcPr>
                <w:p w14:paraId="30D77EB4">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本项目</w:t>
                  </w:r>
                  <w:r>
                    <w:rPr>
                      <w:rFonts w:hint="eastAsia" w:ascii="Times New Roman" w:hAnsi="Times New Roman" w:eastAsia="宋体" w:cs="Times New Roman"/>
                      <w:sz w:val="21"/>
                      <w:szCs w:val="21"/>
                      <w:lang w:eastAsia="zh-CN"/>
                    </w:rPr>
                    <w:t>位于</w:t>
                  </w:r>
                  <w:r>
                    <w:rPr>
                      <w:rFonts w:hint="eastAsia" w:ascii="Times New Roman" w:hAnsi="Times New Roman" w:eastAsia="宋体" w:cs="Times New Roman"/>
                      <w:sz w:val="21"/>
                      <w:szCs w:val="21"/>
                      <w:lang w:val="en-US" w:eastAsia="zh-CN"/>
                    </w:rPr>
                    <w:t>淄博市沂源县张家坡镇政通路88号。</w:t>
                  </w:r>
                </w:p>
              </w:tc>
              <w:tc>
                <w:tcPr>
                  <w:tcW w:w="1758" w:type="dxa"/>
                  <w:tcBorders>
                    <w:tl2br w:val="nil"/>
                    <w:tr2bl w:val="nil"/>
                  </w:tcBorders>
                  <w:noWrap w:val="0"/>
                  <w:vAlign w:val="center"/>
                </w:tcPr>
                <w:p w14:paraId="1A73D274">
                  <w:pPr>
                    <w:snapToGrid w:val="0"/>
                    <w:jc w:val="center"/>
                    <w:rPr>
                      <w:rFonts w:hint="default" w:ascii="Times New Roman" w:hAnsi="Times New Roman" w:cs="Times New Roman"/>
                      <w:sz w:val="21"/>
                      <w:szCs w:val="21"/>
                    </w:rPr>
                  </w:pPr>
                  <w:r>
                    <w:rPr>
                      <w:rFonts w:hint="eastAsia" w:ascii="Times New Roman" w:hAnsi="Times New Roman" w:eastAsia="宋体" w:cs="Times New Roman"/>
                      <w:sz w:val="21"/>
                      <w:szCs w:val="21"/>
                    </w:rPr>
                    <w:t>本项目位于</w:t>
                  </w:r>
                  <w:r>
                    <w:rPr>
                      <w:rFonts w:hint="eastAsia" w:ascii="Times New Roman" w:hAnsi="Times New Roman" w:eastAsia="宋体" w:cs="Times New Roman"/>
                      <w:sz w:val="21"/>
                      <w:szCs w:val="21"/>
                      <w:lang w:val="en-US" w:eastAsia="zh-CN"/>
                    </w:rPr>
                    <w:t>淄博市沂源县张家坡镇政通路88号，</w:t>
                  </w:r>
                  <w:r>
                    <w:rPr>
                      <w:rFonts w:hint="eastAsia" w:ascii="Times New Roman" w:hAnsi="Times New Roman" w:eastAsia="宋体" w:cs="Times New Roman"/>
                      <w:sz w:val="21"/>
                      <w:szCs w:val="21"/>
                    </w:rPr>
                    <w:t>不</w:t>
                  </w:r>
                  <w:r>
                    <w:rPr>
                      <w:rFonts w:hint="eastAsia" w:cs="Times New Roman"/>
                      <w:sz w:val="21"/>
                      <w:szCs w:val="21"/>
                      <w:lang w:val="en-US" w:eastAsia="zh-CN"/>
                    </w:rPr>
                    <w:t>占用</w:t>
                  </w:r>
                  <w:r>
                    <w:rPr>
                      <w:rFonts w:hint="eastAsia" w:ascii="Times New Roman" w:hAnsi="Times New Roman" w:eastAsia="宋体" w:cs="Times New Roman"/>
                      <w:sz w:val="21"/>
                      <w:szCs w:val="21"/>
                    </w:rPr>
                    <w:t>永久基本农田</w:t>
                  </w:r>
                  <w:r>
                    <w:rPr>
                      <w:rFonts w:hint="eastAsia" w:cs="Times New Roman"/>
                      <w:sz w:val="21"/>
                      <w:szCs w:val="21"/>
                      <w:lang w:eastAsia="zh-CN"/>
                    </w:rPr>
                    <w:t>，</w:t>
                  </w:r>
                  <w:r>
                    <w:rPr>
                      <w:rFonts w:hint="eastAsia" w:cs="Times New Roman"/>
                      <w:sz w:val="21"/>
                      <w:szCs w:val="21"/>
                      <w:lang w:val="en-US" w:eastAsia="zh-CN"/>
                    </w:rPr>
                    <w:t>不在</w:t>
                  </w:r>
                  <w:r>
                    <w:rPr>
                      <w:rFonts w:hint="eastAsia" w:ascii="Times New Roman" w:hAnsi="Times New Roman" w:eastAsia="宋体" w:cs="Times New Roman"/>
                      <w:sz w:val="21"/>
                      <w:szCs w:val="21"/>
                    </w:rPr>
                    <w:t>生态保护红线内</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本项目用地属于工业用地</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val="en-US" w:eastAsia="zh-CN"/>
                    </w:rPr>
                    <w:t>项目</w:t>
                  </w:r>
                  <w:r>
                    <w:rPr>
                      <w:rFonts w:hint="eastAsia" w:cs="Times New Roman"/>
                      <w:sz w:val="21"/>
                      <w:szCs w:val="21"/>
                      <w:lang w:val="en-US" w:eastAsia="zh-CN"/>
                    </w:rPr>
                    <w:t>租赁已建成</w:t>
                  </w:r>
                  <w:r>
                    <w:rPr>
                      <w:rFonts w:hint="eastAsia" w:ascii="Times New Roman" w:hAnsi="Times New Roman" w:eastAsia="宋体" w:cs="Times New Roman"/>
                      <w:sz w:val="21"/>
                      <w:szCs w:val="21"/>
                      <w:lang w:val="en-US" w:eastAsia="zh-CN"/>
                    </w:rPr>
                    <w:t>厂房建设，不新建厂房，不新增用地。见附图7。</w:t>
                  </w:r>
                </w:p>
              </w:tc>
              <w:tc>
                <w:tcPr>
                  <w:tcW w:w="731" w:type="dxa"/>
                  <w:tcBorders>
                    <w:tl2br w:val="nil"/>
                    <w:tr2bl w:val="nil"/>
                  </w:tcBorders>
                  <w:noWrap w:val="0"/>
                  <w:vAlign w:val="center"/>
                </w:tcPr>
                <w:p w14:paraId="72AFC57B">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14:paraId="1533A53D">
            <w:pPr>
              <w:numPr>
                <w:ilvl w:val="0"/>
                <w:numId w:val="3"/>
              </w:numPr>
              <w:autoSpaceDE w:val="0"/>
              <w:autoSpaceDN w:val="0"/>
              <w:adjustRightInd w:val="0"/>
              <w:snapToGrid w:val="0"/>
              <w:spacing w:line="360" w:lineRule="auto"/>
              <w:ind w:left="0" w:leftChars="0"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与环境质量底线符合性分析</w:t>
            </w:r>
          </w:p>
          <w:p w14:paraId="0B27FB2B">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center"/>
              <w:textAlignment w:val="auto"/>
              <w:rPr>
                <w:rFonts w:hint="eastAsia" w:ascii="Times New Roman" w:hAnsi="Times New Roman" w:eastAsia="黑体" w:cs="Times New Roman"/>
                <w:b/>
                <w:bCs/>
                <w:iCs/>
                <w:kern w:val="2"/>
                <w:sz w:val="21"/>
                <w:szCs w:val="21"/>
                <w:lang w:val="en-US" w:eastAsia="zh-CN" w:bidi="ar-SA"/>
              </w:rPr>
            </w:pPr>
            <w:r>
              <w:rPr>
                <w:rFonts w:hint="eastAsia" w:ascii="Times New Roman" w:hAnsi="Times New Roman" w:eastAsia="黑体" w:cs="Times New Roman"/>
                <w:b w:val="0"/>
                <w:bCs w:val="0"/>
                <w:color w:val="auto"/>
                <w:kern w:val="0"/>
                <w:sz w:val="24"/>
                <w:szCs w:val="24"/>
                <w:highlight w:val="none"/>
                <w:lang w:val="en-US" w:eastAsia="zh-CN"/>
              </w:rPr>
              <w:t>表1-2  与环境质量底线符合性分析一览表</w:t>
            </w:r>
          </w:p>
          <w:tbl>
            <w:tblPr>
              <w:tblStyle w:val="27"/>
              <w:tblW w:w="7481" w:type="dxa"/>
              <w:tblInd w:w="12"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305"/>
              <w:gridCol w:w="1849"/>
              <w:gridCol w:w="1838"/>
              <w:gridCol w:w="1758"/>
              <w:gridCol w:w="731"/>
            </w:tblGrid>
            <w:tr w14:paraId="254C5051">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50" w:hRule="atLeast"/>
              </w:trPr>
              <w:tc>
                <w:tcPr>
                  <w:tcW w:w="1305" w:type="dxa"/>
                  <w:tcBorders>
                    <w:tl2br w:val="nil"/>
                    <w:tr2bl w:val="nil"/>
                  </w:tcBorders>
                  <w:noWrap w:val="0"/>
                  <w:vAlign w:val="center"/>
                </w:tcPr>
                <w:p w14:paraId="5A30797C">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类别</w:t>
                  </w:r>
                </w:p>
              </w:tc>
              <w:tc>
                <w:tcPr>
                  <w:tcW w:w="1849" w:type="dxa"/>
                  <w:tcBorders>
                    <w:tl2br w:val="nil"/>
                    <w:tr2bl w:val="nil"/>
                  </w:tcBorders>
                  <w:noWrap w:val="0"/>
                  <w:vAlign w:val="center"/>
                </w:tcPr>
                <w:p w14:paraId="08A8A681">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对应管控要求</w:t>
                  </w:r>
                </w:p>
              </w:tc>
              <w:tc>
                <w:tcPr>
                  <w:tcW w:w="1838" w:type="dxa"/>
                  <w:tcBorders>
                    <w:tl2br w:val="nil"/>
                    <w:tr2bl w:val="nil"/>
                  </w:tcBorders>
                  <w:noWrap w:val="0"/>
                  <w:vAlign w:val="center"/>
                </w:tcPr>
                <w:p w14:paraId="1E8BB4EF">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现状</w:t>
                  </w:r>
                </w:p>
              </w:tc>
              <w:tc>
                <w:tcPr>
                  <w:tcW w:w="1758" w:type="dxa"/>
                  <w:tcBorders>
                    <w:tl2br w:val="nil"/>
                    <w:tr2bl w:val="nil"/>
                  </w:tcBorders>
                  <w:noWrap w:val="0"/>
                  <w:vAlign w:val="center"/>
                </w:tcPr>
                <w:p w14:paraId="2759462B">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项目对应情况介绍</w:t>
                  </w:r>
                </w:p>
              </w:tc>
              <w:tc>
                <w:tcPr>
                  <w:tcW w:w="731" w:type="dxa"/>
                  <w:tcBorders>
                    <w:tl2br w:val="nil"/>
                    <w:tr2bl w:val="nil"/>
                  </w:tcBorders>
                  <w:noWrap w:val="0"/>
                  <w:vAlign w:val="center"/>
                </w:tcPr>
                <w:p w14:paraId="5EAC3935">
                  <w:pPr>
                    <w:snapToGrid w:val="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符合性</w:t>
                  </w:r>
                </w:p>
              </w:tc>
            </w:tr>
            <w:tr w14:paraId="31071E8D">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428" w:hRule="atLeast"/>
              </w:trPr>
              <w:tc>
                <w:tcPr>
                  <w:tcW w:w="1305" w:type="dxa"/>
                  <w:vMerge w:val="restart"/>
                  <w:tcBorders>
                    <w:tl2br w:val="nil"/>
                    <w:tr2bl w:val="nil"/>
                  </w:tcBorders>
                  <w:noWrap w:val="0"/>
                  <w:vAlign w:val="center"/>
                </w:tcPr>
                <w:p w14:paraId="13D20A13">
                  <w:pPr>
                    <w:snapToGrid w:val="0"/>
                    <w:spacing w:beforeLines="0" w:afterLine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环境质量底线</w:t>
                  </w:r>
                </w:p>
              </w:tc>
              <w:tc>
                <w:tcPr>
                  <w:tcW w:w="1849" w:type="dxa"/>
                  <w:tcBorders>
                    <w:tl2br w:val="nil"/>
                    <w:tr2bl w:val="nil"/>
                  </w:tcBorders>
                  <w:noWrap w:val="0"/>
                  <w:vAlign w:val="center"/>
                </w:tcPr>
                <w:p w14:paraId="3B210F75">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全市水环境质量持续改善，国控、省控、市控断面优良水质比例稳步提升，全面消除劣Ⅴ类水质控制断面，国控断面优良水质比例不低于50%，省控及以上断面优良水质比例不低于30%；县级及以上城市集中式饮用水水源水质全部达到或优于Ⅲ类；建成区黑臭水体全面消除，镇村黑臭水体数量持续减少。</w:t>
                  </w:r>
                </w:p>
              </w:tc>
              <w:tc>
                <w:tcPr>
                  <w:tcW w:w="1838" w:type="dxa"/>
                  <w:tcBorders>
                    <w:tl2br w:val="nil"/>
                    <w:tr2bl w:val="nil"/>
                  </w:tcBorders>
                  <w:noWrap w:val="0"/>
                  <w:vAlign w:val="center"/>
                </w:tcPr>
                <w:p w14:paraId="48F385BF">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highlight w:val="none"/>
                      <w:lang w:eastAsia="zh-CN"/>
                    </w:rPr>
                    <w:t>项目所在地最近的地表水为</w:t>
                  </w:r>
                  <w:r>
                    <w:rPr>
                      <w:rFonts w:hint="eastAsia" w:cs="Times New Roman"/>
                      <w:szCs w:val="21"/>
                      <w:highlight w:val="none"/>
                      <w:lang w:val="en-US" w:eastAsia="zh-CN"/>
                    </w:rPr>
                    <w:t>沂河</w:t>
                  </w:r>
                  <w:r>
                    <w:rPr>
                      <w:rFonts w:hint="eastAsia" w:ascii="Times New Roman" w:hAnsi="Times New Roman" w:eastAsia="宋体" w:cs="Times New Roman"/>
                      <w:szCs w:val="21"/>
                      <w:highlight w:val="none"/>
                      <w:lang w:eastAsia="zh-CN"/>
                    </w:rPr>
                    <w:t>。</w:t>
                  </w:r>
                  <w:r>
                    <w:rPr>
                      <w:rFonts w:hint="default" w:ascii="Times New Roman" w:hAnsi="Times New Roman" w:eastAsia="宋体" w:cs="Times New Roman"/>
                      <w:szCs w:val="21"/>
                      <w:highlight w:val="none"/>
                      <w:lang w:val="en-US" w:eastAsia="zh-CN"/>
                    </w:rPr>
                    <w:t>根据淄博市生态环境局发布的《20</w:t>
                  </w:r>
                  <w:r>
                    <w:rPr>
                      <w:rFonts w:hint="eastAsia" w:ascii="Times New Roman" w:hAnsi="Times New Roman" w:eastAsia="宋体" w:cs="Times New Roman"/>
                      <w:szCs w:val="21"/>
                      <w:highlight w:val="none"/>
                      <w:lang w:val="en-US" w:eastAsia="zh-CN"/>
                    </w:rPr>
                    <w:t>2</w:t>
                  </w:r>
                  <w:r>
                    <w:rPr>
                      <w:rFonts w:hint="eastAsia" w:cs="Times New Roman"/>
                      <w:szCs w:val="21"/>
                      <w:highlight w:val="none"/>
                      <w:lang w:val="en-US" w:eastAsia="zh-CN"/>
                    </w:rPr>
                    <w:t>4</w:t>
                  </w:r>
                  <w:r>
                    <w:rPr>
                      <w:rFonts w:hint="default" w:ascii="Times New Roman" w:hAnsi="Times New Roman" w:eastAsia="宋体" w:cs="Times New Roman"/>
                      <w:szCs w:val="21"/>
                      <w:highlight w:val="none"/>
                      <w:lang w:val="en-US" w:eastAsia="zh-CN"/>
                    </w:rPr>
                    <w:t>年1</w:t>
                  </w:r>
                  <w:r>
                    <w:rPr>
                      <w:rFonts w:hint="eastAsia" w:cs="Times New Roman"/>
                      <w:szCs w:val="21"/>
                      <w:highlight w:val="none"/>
                      <w:lang w:val="en-US" w:eastAsia="zh-CN"/>
                    </w:rPr>
                    <w:t>月</w:t>
                  </w:r>
                  <w:r>
                    <w:rPr>
                      <w:rFonts w:hint="default" w:ascii="Times New Roman" w:hAnsi="Times New Roman" w:eastAsia="宋体" w:cs="Times New Roman"/>
                      <w:szCs w:val="21"/>
                      <w:highlight w:val="none"/>
                      <w:lang w:val="en-US" w:eastAsia="zh-CN"/>
                    </w:rPr>
                    <w:t>—</w:t>
                  </w:r>
                  <w:r>
                    <w:rPr>
                      <w:rFonts w:hint="eastAsia" w:ascii="Times New Roman" w:hAnsi="Times New Roman" w:eastAsia="宋体" w:cs="Times New Roman"/>
                      <w:szCs w:val="21"/>
                      <w:highlight w:val="none"/>
                      <w:lang w:val="en-US" w:eastAsia="zh-CN"/>
                    </w:rPr>
                    <w:t>1</w:t>
                  </w:r>
                  <w:r>
                    <w:rPr>
                      <w:rFonts w:hint="eastAsia" w:cs="Times New Roman"/>
                      <w:szCs w:val="21"/>
                      <w:highlight w:val="none"/>
                      <w:lang w:val="en-US" w:eastAsia="zh-CN"/>
                    </w:rPr>
                    <w:t>2</w:t>
                  </w:r>
                  <w:r>
                    <w:rPr>
                      <w:rFonts w:hint="default" w:ascii="Times New Roman" w:hAnsi="Times New Roman" w:eastAsia="宋体" w:cs="Times New Roman"/>
                      <w:szCs w:val="21"/>
                      <w:highlight w:val="none"/>
                      <w:lang w:val="en-US" w:eastAsia="zh-CN"/>
                    </w:rPr>
                    <w:t>月全市地表水环境质量状况》，</w:t>
                  </w:r>
                  <w:r>
                    <w:rPr>
                      <w:rFonts w:hint="eastAsia" w:ascii="Times New Roman" w:hAnsi="Times New Roman" w:eastAsia="宋体" w:cs="Times New Roman"/>
                      <w:szCs w:val="21"/>
                      <w:highlight w:val="none"/>
                      <w:lang w:val="en-US" w:eastAsia="zh-CN"/>
                    </w:rPr>
                    <w:t>沂源县国控断面韩旺大桥</w:t>
                  </w:r>
                  <w:r>
                    <w:rPr>
                      <w:rFonts w:hint="default" w:ascii="Times New Roman" w:hAnsi="Times New Roman" w:eastAsia="宋体" w:cs="Times New Roman"/>
                      <w:szCs w:val="21"/>
                      <w:highlight w:val="none"/>
                      <w:lang w:val="en-US" w:eastAsia="zh-CN"/>
                    </w:rPr>
                    <w:t>水质满足《地表水环境质量标准》(GB3838-2002</w:t>
                  </w:r>
                  <w:r>
                    <w:rPr>
                      <w:rFonts w:hint="eastAsia" w:ascii="Times New Roman" w:hAnsi="Times New Roman" w:eastAsia="宋体" w:cs="Times New Roman"/>
                      <w:szCs w:val="21"/>
                      <w:highlight w:val="none"/>
                      <w:lang w:val="en-US" w:eastAsia="zh-CN"/>
                    </w:rPr>
                    <w:t>）Ⅳ</w:t>
                  </w:r>
                  <w:r>
                    <w:rPr>
                      <w:rFonts w:hint="default" w:ascii="Times New Roman" w:hAnsi="Times New Roman" w:eastAsia="宋体" w:cs="Times New Roman"/>
                      <w:szCs w:val="21"/>
                      <w:highlight w:val="none"/>
                      <w:lang w:val="en-US" w:eastAsia="zh-CN"/>
                    </w:rPr>
                    <w:t>类水质要求。</w:t>
                  </w:r>
                </w:p>
              </w:tc>
              <w:tc>
                <w:tcPr>
                  <w:tcW w:w="1758" w:type="dxa"/>
                  <w:tcBorders>
                    <w:tl2br w:val="nil"/>
                    <w:tr2bl w:val="nil"/>
                  </w:tcBorders>
                  <w:noWrap w:val="0"/>
                  <w:vAlign w:val="center"/>
                </w:tcPr>
                <w:p w14:paraId="1810ACC8">
                  <w:pPr>
                    <w:snapToGrid w:val="0"/>
                    <w:jc w:val="center"/>
                    <w:rPr>
                      <w:rFonts w:hint="default" w:ascii="Times New Roman" w:hAnsi="Times New Roman" w:cs="Times New Roman"/>
                      <w:sz w:val="21"/>
                      <w:szCs w:val="21"/>
                    </w:rPr>
                  </w:pPr>
                  <w:r>
                    <w:rPr>
                      <w:rFonts w:hint="eastAsia"/>
                      <w:lang w:val="en-US" w:eastAsia="zh-CN"/>
                    </w:rPr>
                    <w:t>本项目生产废水不外排</w:t>
                  </w:r>
                  <w:r>
                    <w:rPr>
                      <w:rFonts w:hint="eastAsia" w:ascii="Times New Roman" w:hAnsi="Times New Roman"/>
                      <w:szCs w:val="21"/>
                      <w:highlight w:val="none"/>
                      <w:lang w:val="en-US" w:eastAsia="zh-CN"/>
                    </w:rPr>
                    <w:t>，</w:t>
                  </w:r>
                  <w:r>
                    <w:rPr>
                      <w:rFonts w:hint="eastAsia"/>
                      <w:szCs w:val="21"/>
                      <w:highlight w:val="none"/>
                      <w:lang w:val="en-US" w:eastAsia="zh-CN"/>
                    </w:rPr>
                    <w:t>生活污水经化粪池收集处理后由环卫部门定期清运，</w:t>
                  </w:r>
                  <w:r>
                    <w:rPr>
                      <w:rFonts w:hint="eastAsia" w:ascii="Times New Roman" w:hAnsi="Times New Roman"/>
                      <w:szCs w:val="21"/>
                      <w:highlight w:val="none"/>
                      <w:lang w:eastAsia="zh-CN"/>
                    </w:rPr>
                    <w:t>不直接排入地表水体，</w:t>
                  </w:r>
                  <w:r>
                    <w:rPr>
                      <w:rFonts w:hint="default" w:ascii="Times New Roman" w:hAnsi="Times New Roman" w:cs="Times New Roman"/>
                      <w:sz w:val="21"/>
                      <w:szCs w:val="21"/>
                    </w:rPr>
                    <w:t>对周围地表水环境影响较小</w:t>
                  </w:r>
                  <w:r>
                    <w:rPr>
                      <w:rFonts w:hint="eastAsia" w:ascii="Times New Roman" w:hAnsi="Times New Roman" w:cs="Times New Roman"/>
                      <w:sz w:val="21"/>
                      <w:szCs w:val="21"/>
                      <w:lang w:eastAsia="zh-CN"/>
                    </w:rPr>
                    <w:t>。</w:t>
                  </w:r>
                </w:p>
              </w:tc>
              <w:tc>
                <w:tcPr>
                  <w:tcW w:w="731" w:type="dxa"/>
                  <w:tcBorders>
                    <w:tl2br w:val="nil"/>
                    <w:tr2bl w:val="nil"/>
                  </w:tcBorders>
                  <w:noWrap w:val="0"/>
                  <w:vAlign w:val="center"/>
                </w:tcPr>
                <w:p w14:paraId="0C93054E">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5B318D85">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1305" w:type="dxa"/>
                  <w:vMerge w:val="continue"/>
                  <w:tcBorders>
                    <w:tl2br w:val="nil"/>
                    <w:tr2bl w:val="nil"/>
                  </w:tcBorders>
                  <w:noWrap w:val="0"/>
                  <w:vAlign w:val="center"/>
                </w:tcPr>
                <w:p w14:paraId="585E426B">
                  <w:pPr>
                    <w:snapToGrid w:val="0"/>
                    <w:spacing w:beforeLines="0" w:afterLines="0"/>
                    <w:jc w:val="center"/>
                    <w:rPr>
                      <w:rFonts w:hint="eastAsia" w:ascii="Times New Roman" w:hAnsi="Times New Roman" w:eastAsia="宋体" w:cs="Times New Roman"/>
                      <w:sz w:val="21"/>
                      <w:szCs w:val="21"/>
                    </w:rPr>
                  </w:pPr>
                </w:p>
              </w:tc>
              <w:tc>
                <w:tcPr>
                  <w:tcW w:w="1849" w:type="dxa"/>
                  <w:tcBorders>
                    <w:tl2br w:val="nil"/>
                    <w:tr2bl w:val="nil"/>
                  </w:tcBorders>
                  <w:noWrap w:val="0"/>
                  <w:vAlign w:val="center"/>
                </w:tcPr>
                <w:p w14:paraId="0D5A7A52">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大气环境质量持续改善，全市PM</w:t>
                  </w:r>
                  <w:r>
                    <w:rPr>
                      <w:rFonts w:hint="default" w:ascii="Times New Roman" w:hAnsi="Times New Roman" w:eastAsia="宋体" w:cs="Times New Roman"/>
                      <w:sz w:val="21"/>
                      <w:szCs w:val="21"/>
                      <w:vertAlign w:val="subscript"/>
                    </w:rPr>
                    <w:t>2.5</w:t>
                  </w:r>
                  <w:r>
                    <w:rPr>
                      <w:rFonts w:hint="eastAsia" w:ascii="Times New Roman" w:hAnsi="Times New Roman" w:eastAsia="宋体" w:cs="Times New Roman"/>
                      <w:sz w:val="21"/>
                      <w:szCs w:val="21"/>
                    </w:rPr>
                    <w:t>浓度不高于48</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 w:val="21"/>
                      <w:szCs w:val="21"/>
                    </w:rPr>
                    <w:t>，空气质量优良天数比率不低于70%，臭氧污染得到有效遏制。</w:t>
                  </w:r>
                </w:p>
              </w:tc>
              <w:tc>
                <w:tcPr>
                  <w:tcW w:w="1838" w:type="dxa"/>
                  <w:tcBorders>
                    <w:tl2br w:val="nil"/>
                    <w:tr2bl w:val="nil"/>
                  </w:tcBorders>
                  <w:noWrap w:val="0"/>
                  <w:vAlign w:val="center"/>
                </w:tcPr>
                <w:p w14:paraId="5B0D8DA3">
                  <w:pPr>
                    <w:snapToGrid w:val="0"/>
                    <w:spacing w:beforeLines="0" w:afterLine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highlight w:val="none"/>
                      <w:lang w:val="en-US" w:eastAsia="zh-CN"/>
                    </w:rPr>
                    <w:t>根据</w:t>
                  </w:r>
                  <w:r>
                    <w:rPr>
                      <w:rFonts w:hint="eastAsia" w:ascii="Times New Roman" w:hAnsi="Times New Roman" w:eastAsia="宋体" w:cs="Times New Roman"/>
                      <w:szCs w:val="21"/>
                      <w:highlight w:val="none"/>
                      <w:lang w:eastAsia="zh-CN"/>
                    </w:rPr>
                    <w:t>淄博市生态环境局202</w:t>
                  </w:r>
                  <w:r>
                    <w:rPr>
                      <w:rFonts w:hint="eastAsia" w:ascii="Times New Roman" w:hAnsi="Times New Roman" w:eastAsia="宋体" w:cs="Times New Roman"/>
                      <w:szCs w:val="21"/>
                      <w:highlight w:val="none"/>
                      <w:lang w:val="en-US" w:eastAsia="zh-CN"/>
                    </w:rPr>
                    <w:t>4</w:t>
                  </w:r>
                  <w:r>
                    <w:rPr>
                      <w:rFonts w:hint="eastAsia" w:ascii="Times New Roman" w:hAnsi="Times New Roman" w:eastAsia="宋体" w:cs="Times New Roman"/>
                      <w:szCs w:val="21"/>
                      <w:highlight w:val="none"/>
                      <w:lang w:eastAsia="zh-CN"/>
                    </w:rPr>
                    <w:t>年</w:t>
                  </w:r>
                  <w:r>
                    <w:rPr>
                      <w:rFonts w:hint="eastAsia" w:ascii="Times New Roman" w:hAnsi="Times New Roman" w:eastAsia="宋体" w:cs="Times New Roman"/>
                      <w:szCs w:val="21"/>
                      <w:highlight w:val="none"/>
                      <w:lang w:val="en-US" w:eastAsia="zh-CN"/>
                    </w:rPr>
                    <w:t>2</w:t>
                  </w:r>
                  <w:r>
                    <w:rPr>
                      <w:rFonts w:hint="eastAsia" w:ascii="Times New Roman" w:hAnsi="Times New Roman" w:eastAsia="宋体" w:cs="Times New Roman"/>
                      <w:szCs w:val="21"/>
                      <w:highlight w:val="none"/>
                      <w:lang w:eastAsia="zh-CN"/>
                    </w:rPr>
                    <w:t>月</w:t>
                  </w:r>
                  <w:r>
                    <w:rPr>
                      <w:rFonts w:hint="eastAsia" w:ascii="Times New Roman" w:hAnsi="Times New Roman" w:eastAsia="宋体" w:cs="Times New Roman"/>
                      <w:szCs w:val="21"/>
                      <w:highlight w:val="none"/>
                      <w:lang w:val="en-US" w:eastAsia="zh-CN"/>
                    </w:rPr>
                    <w:t>7</w:t>
                  </w:r>
                  <w:r>
                    <w:rPr>
                      <w:rFonts w:hint="eastAsia" w:ascii="Times New Roman" w:hAnsi="Times New Roman" w:eastAsia="宋体" w:cs="Times New Roman"/>
                      <w:szCs w:val="21"/>
                      <w:highlight w:val="none"/>
                      <w:lang w:eastAsia="zh-CN"/>
                    </w:rPr>
                    <w:t>日发布的《202</w:t>
                  </w:r>
                  <w:r>
                    <w:rPr>
                      <w:rFonts w:hint="eastAsia" w:ascii="Times New Roman" w:hAnsi="Times New Roman" w:eastAsia="宋体" w:cs="Times New Roman"/>
                      <w:szCs w:val="21"/>
                      <w:highlight w:val="none"/>
                      <w:lang w:val="en-US" w:eastAsia="zh-CN"/>
                    </w:rPr>
                    <w:t>3</w:t>
                  </w:r>
                  <w:r>
                    <w:rPr>
                      <w:rFonts w:hint="eastAsia" w:ascii="Times New Roman" w:hAnsi="Times New Roman" w:eastAsia="宋体" w:cs="Times New Roman"/>
                      <w:szCs w:val="21"/>
                      <w:highlight w:val="none"/>
                      <w:lang w:eastAsia="zh-CN"/>
                    </w:rPr>
                    <w:t>年12月份及全年环境空气质量情况通报》，</w:t>
                  </w:r>
                  <w:r>
                    <w:rPr>
                      <w:rFonts w:hint="eastAsia" w:cs="Times New Roman"/>
                      <w:szCs w:val="21"/>
                      <w:highlight w:val="none"/>
                      <w:lang w:val="en-US" w:eastAsia="zh-CN"/>
                    </w:rPr>
                    <w:t>沂源县</w:t>
                  </w:r>
                  <w:r>
                    <w:rPr>
                      <w:rFonts w:hint="eastAsia" w:ascii="Times New Roman" w:hAnsi="Times New Roman" w:eastAsia="宋体" w:cs="Times New Roman"/>
                      <w:szCs w:val="21"/>
                      <w:highlight w:val="none"/>
                      <w:lang w:eastAsia="zh-CN"/>
                    </w:rPr>
                    <w:t>环境空气中污染物SO</w:t>
                  </w:r>
                  <w:r>
                    <w:rPr>
                      <w:rFonts w:hint="eastAsia" w:ascii="Times New Roman" w:hAnsi="Times New Roman" w:eastAsia="宋体" w:cs="Times New Roman"/>
                      <w:szCs w:val="21"/>
                      <w:highlight w:val="none"/>
                      <w:vertAlign w:val="subscript"/>
                      <w:lang w:eastAsia="zh-CN"/>
                    </w:rPr>
                    <w:t>2</w:t>
                  </w:r>
                  <w:r>
                    <w:rPr>
                      <w:rFonts w:hint="eastAsia" w:ascii="Times New Roman" w:hAnsi="Times New Roman" w:eastAsia="宋体" w:cs="Times New Roman"/>
                      <w:szCs w:val="21"/>
                      <w:highlight w:val="none"/>
                      <w:lang w:eastAsia="zh-CN"/>
                    </w:rPr>
                    <w:t>（</w:t>
                  </w:r>
                  <w:r>
                    <w:rPr>
                      <w:rFonts w:hint="eastAsia" w:cs="Times New Roman"/>
                      <w:szCs w:val="21"/>
                      <w:highlight w:val="none"/>
                      <w:lang w:val="en-US" w:eastAsia="zh-CN"/>
                    </w:rPr>
                    <w:t>10</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Cs w:val="21"/>
                      <w:highlight w:val="none"/>
                      <w:lang w:eastAsia="zh-CN"/>
                    </w:rPr>
                    <w:t>）、NO</w:t>
                  </w:r>
                  <w:r>
                    <w:rPr>
                      <w:rFonts w:hint="eastAsia" w:ascii="Times New Roman" w:hAnsi="Times New Roman" w:eastAsia="宋体" w:cs="Times New Roman"/>
                      <w:szCs w:val="21"/>
                      <w:highlight w:val="none"/>
                      <w:vertAlign w:val="subscript"/>
                      <w:lang w:eastAsia="zh-CN"/>
                    </w:rPr>
                    <w:t>2</w:t>
                  </w:r>
                  <w:r>
                    <w:rPr>
                      <w:rFonts w:hint="eastAsia" w:ascii="Times New Roman" w:hAnsi="Times New Roman" w:eastAsia="宋体" w:cs="Times New Roman"/>
                      <w:szCs w:val="21"/>
                      <w:highlight w:val="none"/>
                      <w:lang w:eastAsia="zh-CN"/>
                    </w:rPr>
                    <w:t>（</w:t>
                  </w:r>
                  <w:r>
                    <w:rPr>
                      <w:rFonts w:hint="eastAsia" w:cs="Times New Roman"/>
                      <w:szCs w:val="21"/>
                      <w:highlight w:val="none"/>
                      <w:lang w:val="en-US" w:eastAsia="zh-CN"/>
                    </w:rPr>
                    <w:t>24</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Cs w:val="21"/>
                      <w:highlight w:val="none"/>
                      <w:lang w:eastAsia="zh-CN"/>
                    </w:rPr>
                    <w:t>）、CO（</w:t>
                  </w:r>
                  <w:r>
                    <w:rPr>
                      <w:rFonts w:hint="eastAsia" w:ascii="Times New Roman" w:hAnsi="Times New Roman" w:eastAsia="宋体" w:cs="Times New Roman"/>
                      <w:szCs w:val="21"/>
                      <w:highlight w:val="none"/>
                      <w:lang w:val="en-US" w:eastAsia="zh-CN"/>
                    </w:rPr>
                    <w:t>1.</w:t>
                  </w:r>
                  <w:r>
                    <w:rPr>
                      <w:rFonts w:hint="eastAsia" w:cs="Times New Roman"/>
                      <w:szCs w:val="21"/>
                      <w:highlight w:val="none"/>
                      <w:lang w:val="en-US" w:eastAsia="zh-CN"/>
                    </w:rPr>
                    <w:t>2</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Cs w:val="21"/>
                      <w:highlight w:val="none"/>
                      <w:lang w:eastAsia="zh-CN"/>
                    </w:rPr>
                    <w:t>）、PM</w:t>
                  </w:r>
                  <w:r>
                    <w:rPr>
                      <w:rFonts w:hint="eastAsia" w:ascii="Times New Roman" w:hAnsi="Times New Roman" w:eastAsia="宋体" w:cs="Times New Roman"/>
                      <w:szCs w:val="21"/>
                      <w:highlight w:val="none"/>
                      <w:vertAlign w:val="subscript"/>
                      <w:lang w:eastAsia="zh-CN"/>
                    </w:rPr>
                    <w:t>10</w:t>
                  </w:r>
                  <w:r>
                    <w:rPr>
                      <w:rFonts w:hint="eastAsia" w:ascii="Times New Roman" w:hAnsi="Times New Roman" w:eastAsia="宋体" w:cs="Times New Roman"/>
                      <w:szCs w:val="21"/>
                      <w:highlight w:val="none"/>
                      <w:lang w:eastAsia="zh-CN"/>
                    </w:rPr>
                    <w:t>（</w:t>
                  </w:r>
                  <w:r>
                    <w:rPr>
                      <w:rFonts w:hint="eastAsia" w:cs="Times New Roman"/>
                      <w:szCs w:val="21"/>
                      <w:highlight w:val="none"/>
                      <w:lang w:val="en-US" w:eastAsia="zh-CN"/>
                    </w:rPr>
                    <w:t>65</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Cs w:val="21"/>
                      <w:highlight w:val="none"/>
                      <w:lang w:eastAsia="zh-CN"/>
                    </w:rPr>
                    <w:t>）、PM</w:t>
                  </w:r>
                  <w:r>
                    <w:rPr>
                      <w:rFonts w:hint="eastAsia" w:ascii="Times New Roman" w:hAnsi="Times New Roman" w:eastAsia="宋体" w:cs="Times New Roman"/>
                      <w:szCs w:val="21"/>
                      <w:highlight w:val="none"/>
                      <w:vertAlign w:val="subscript"/>
                      <w:lang w:eastAsia="zh-CN"/>
                    </w:rPr>
                    <w:t>2.5</w:t>
                  </w:r>
                  <w:r>
                    <w:rPr>
                      <w:rFonts w:hint="eastAsia" w:ascii="Times New Roman" w:hAnsi="Times New Roman" w:eastAsia="宋体" w:cs="Times New Roman"/>
                      <w:szCs w:val="21"/>
                      <w:highlight w:val="none"/>
                      <w:lang w:eastAsia="zh-CN"/>
                    </w:rPr>
                    <w:t>（</w:t>
                  </w:r>
                  <w:r>
                    <w:rPr>
                      <w:rFonts w:hint="eastAsia" w:cs="Times New Roman"/>
                      <w:szCs w:val="21"/>
                      <w:highlight w:val="none"/>
                      <w:lang w:val="en-US" w:eastAsia="zh-CN"/>
                    </w:rPr>
                    <w:t>38</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Cs w:val="21"/>
                      <w:highlight w:val="none"/>
                      <w:lang w:eastAsia="zh-CN"/>
                    </w:rPr>
                    <w:t>）、O</w:t>
                  </w:r>
                  <w:r>
                    <w:rPr>
                      <w:rFonts w:hint="eastAsia" w:ascii="Times New Roman" w:hAnsi="Times New Roman" w:eastAsia="宋体" w:cs="Times New Roman"/>
                      <w:szCs w:val="21"/>
                      <w:highlight w:val="none"/>
                      <w:vertAlign w:val="subscript"/>
                      <w:lang w:val="en-US" w:eastAsia="zh-CN"/>
                    </w:rPr>
                    <w:t>3</w:t>
                  </w:r>
                  <w:r>
                    <w:rPr>
                      <w:rFonts w:hint="eastAsia" w:ascii="Times New Roman" w:hAnsi="Times New Roman" w:eastAsia="宋体" w:cs="Times New Roman"/>
                      <w:szCs w:val="21"/>
                      <w:highlight w:val="none"/>
                      <w:lang w:eastAsia="zh-CN"/>
                    </w:rPr>
                    <w:t>（</w:t>
                  </w:r>
                  <w:r>
                    <w:rPr>
                      <w:rFonts w:hint="eastAsia" w:cs="Times New Roman"/>
                      <w:szCs w:val="21"/>
                      <w:highlight w:val="none"/>
                      <w:lang w:val="en-US" w:eastAsia="zh-CN"/>
                    </w:rPr>
                    <w:t>171</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szCs w:val="21"/>
                      <w:highlight w:val="none"/>
                      <w:lang w:eastAsia="zh-CN"/>
                    </w:rPr>
                    <w:t>）最大8小时平均浓度，</w:t>
                  </w:r>
                  <w:r>
                    <w:rPr>
                      <w:rFonts w:hint="eastAsia" w:ascii="Times New Roman" w:hAnsi="Times New Roman" w:eastAsia="宋体" w:cs="Times New Roman"/>
                      <w:color w:val="auto"/>
                      <w:sz w:val="21"/>
                      <w:szCs w:val="21"/>
                    </w:rPr>
                    <w:t>不</w:t>
                  </w:r>
                  <w:r>
                    <w:rPr>
                      <w:rFonts w:hint="eastAsia" w:ascii="Times New Roman" w:hAnsi="Times New Roman" w:eastAsia="宋体" w:cs="Times New Roman"/>
                      <w:color w:val="auto"/>
                      <w:sz w:val="21"/>
                      <w:szCs w:val="21"/>
                      <w:lang w:eastAsia="zh-CN"/>
                    </w:rPr>
                    <w:t>符合</w:t>
                  </w:r>
                  <w:r>
                    <w:rPr>
                      <w:rFonts w:hint="eastAsia" w:ascii="Times New Roman" w:hAnsi="Times New Roman" w:eastAsia="宋体" w:cs="Times New Roman"/>
                      <w:color w:val="auto"/>
                      <w:sz w:val="21"/>
                      <w:szCs w:val="21"/>
                    </w:rPr>
                    <w:t>《环境空气质量标准》（GB3095-2012）二级标准及修改单的要求</w:t>
                  </w:r>
                  <w:r>
                    <w:rPr>
                      <w:rFonts w:hint="eastAsia" w:cs="Times New Roman"/>
                      <w:color w:val="auto"/>
                      <w:sz w:val="21"/>
                      <w:szCs w:val="21"/>
                      <w:lang w:eastAsia="zh-CN"/>
                    </w:rPr>
                    <w:t>（</w:t>
                  </w:r>
                  <w:r>
                    <w:rPr>
                      <w:rFonts w:hint="eastAsia" w:ascii="Times New Roman" w:hAnsi="Times New Roman" w:eastAsia="宋体" w:cs="Times New Roman"/>
                      <w:color w:val="auto"/>
                      <w:sz w:val="21"/>
                      <w:szCs w:val="21"/>
                    </w:rPr>
                    <w:t>PM</w:t>
                  </w:r>
                  <w:r>
                    <w:rPr>
                      <w:rFonts w:hint="eastAsia" w:ascii="Times New Roman" w:hAnsi="Times New Roman" w:eastAsia="宋体" w:cs="Times New Roman"/>
                      <w:color w:val="auto"/>
                      <w:sz w:val="21"/>
                      <w:szCs w:val="21"/>
                      <w:vertAlign w:val="subscript"/>
                    </w:rPr>
                    <w:t>10</w:t>
                  </w:r>
                  <w:r>
                    <w:rPr>
                      <w:rFonts w:hint="eastAsia" w:ascii="Times New Roman" w:hAnsi="Times New Roman" w:eastAsia="宋体" w:cs="Times New Roman"/>
                      <w:color w:val="auto"/>
                      <w:sz w:val="21"/>
                      <w:szCs w:val="21"/>
                    </w:rPr>
                    <w:t>（70</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eastAsia" w:ascii="Times New Roman" w:hAnsi="Times New Roman" w:eastAsia="宋体" w:cs="Times New Roman"/>
                      <w:color w:val="auto"/>
                      <w:sz w:val="21"/>
                      <w:szCs w:val="21"/>
                      <w:vertAlign w:val="superscript"/>
                    </w:rPr>
                    <w:t>3</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2.5</w:t>
                  </w:r>
                  <w:r>
                    <w:rPr>
                      <w:rFonts w:hint="eastAsia"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35μg/m</w:t>
                  </w:r>
                  <w:r>
                    <w:rPr>
                      <w:rFonts w:hint="default" w:ascii="Times New Roman" w:hAnsi="Times New Roman" w:eastAsia="宋体" w:cs="Times New Roman"/>
                      <w:color w:val="auto"/>
                      <w:sz w:val="21"/>
                      <w:szCs w:val="21"/>
                      <w:vertAlign w:val="superscript"/>
                    </w:rPr>
                    <w:t>3</w:t>
                  </w:r>
                  <w:r>
                    <w:rPr>
                      <w:rFonts w:hint="eastAsia"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r>
                    <w:rPr>
                      <w:rFonts w:hint="eastAsia" w:ascii="Times New Roman" w:hAnsi="Times New Roman" w:eastAsia="宋体" w:cs="Times New Roman"/>
                      <w:color w:val="auto"/>
                      <w:sz w:val="21"/>
                      <w:szCs w:val="21"/>
                    </w:rPr>
                    <w:t>（160</w:t>
                  </w:r>
                  <w:r>
                    <w:rPr>
                      <w:rFonts w:hint="default" w:ascii="Times New Roman" w:hAnsi="Times New Roman" w:eastAsia="宋体" w:cs="Times New Roman"/>
                      <w:color w:val="auto"/>
                      <w:sz w:val="21"/>
                      <w:szCs w:val="21"/>
                    </w:rPr>
                    <w:t>μ</w:t>
                  </w:r>
                  <w:r>
                    <w:rPr>
                      <w:rFonts w:hint="eastAsia" w:ascii="Times New Roman" w:hAnsi="Times New Roman" w:eastAsia="宋体" w:cs="Times New Roman"/>
                      <w:color w:val="auto"/>
                      <w:sz w:val="21"/>
                      <w:szCs w:val="21"/>
                    </w:rPr>
                    <w:t>g/m</w:t>
                  </w:r>
                  <w:r>
                    <w:rPr>
                      <w:rFonts w:hint="default" w:ascii="Times New Roman" w:hAnsi="Times New Roman" w:eastAsia="宋体" w:cs="Times New Roman"/>
                      <w:color w:val="auto"/>
                      <w:sz w:val="21"/>
                      <w:szCs w:val="21"/>
                      <w:vertAlign w:val="superscript"/>
                    </w:rPr>
                    <w:t>3</w:t>
                  </w:r>
                  <w:r>
                    <w:rPr>
                      <w:rFonts w:hint="eastAsia" w:ascii="Times New Roman" w:hAnsi="Times New Roman" w:eastAsia="宋体" w:cs="Times New Roman"/>
                      <w:color w:val="auto"/>
                      <w:sz w:val="21"/>
                      <w:szCs w:val="21"/>
                    </w:rPr>
                    <w:t>）</w:t>
                  </w:r>
                  <w:r>
                    <w:rPr>
                      <w:rFonts w:hint="eastAsia" w:cs="Times New Roman"/>
                      <w:color w:val="auto"/>
                      <w:sz w:val="21"/>
                      <w:szCs w:val="21"/>
                      <w:lang w:eastAsia="zh-CN"/>
                    </w:rPr>
                    <w:t>），</w:t>
                  </w:r>
                  <w:r>
                    <w:rPr>
                      <w:rFonts w:hint="eastAsia" w:ascii="Times New Roman" w:hAnsi="Times New Roman" w:eastAsia="宋体" w:cs="Times New Roman"/>
                      <w:sz w:val="21"/>
                      <w:szCs w:val="21"/>
                    </w:rPr>
                    <w:t>项目处在不达标区。</w:t>
                  </w:r>
                </w:p>
              </w:tc>
              <w:tc>
                <w:tcPr>
                  <w:tcW w:w="1758" w:type="dxa"/>
                  <w:tcBorders>
                    <w:tl2br w:val="nil"/>
                    <w:tr2bl w:val="nil"/>
                  </w:tcBorders>
                  <w:noWrap w:val="0"/>
                  <w:vAlign w:val="center"/>
                </w:tcPr>
                <w:p w14:paraId="60C48AF6">
                  <w:pPr>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eastAsia="zh-CN"/>
                    </w:rPr>
                    <w:t>项目生产过程中产生的废气经处理后，可以达标排放，对周围环境空气影响较小，不会突破环境空气质量底线。</w:t>
                  </w:r>
                </w:p>
              </w:tc>
              <w:tc>
                <w:tcPr>
                  <w:tcW w:w="731" w:type="dxa"/>
                  <w:tcBorders>
                    <w:tl2br w:val="nil"/>
                    <w:tr2bl w:val="nil"/>
                  </w:tcBorders>
                  <w:noWrap w:val="0"/>
                  <w:vAlign w:val="center"/>
                </w:tcPr>
                <w:p w14:paraId="77E701E0">
                  <w:pPr>
                    <w:snapToGrid w:val="0"/>
                    <w:jc w:val="center"/>
                    <w:rPr>
                      <w:rFonts w:hint="default" w:ascii="Times New Roman" w:hAnsi="Times New Roman" w:cs="Times New Roman"/>
                      <w:sz w:val="21"/>
                      <w:szCs w:val="21"/>
                    </w:rPr>
                  </w:pPr>
                </w:p>
              </w:tc>
            </w:tr>
            <w:tr w14:paraId="439CE6B1">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PrEx>
              <w:tc>
                <w:tcPr>
                  <w:tcW w:w="1305" w:type="dxa"/>
                  <w:vMerge w:val="continue"/>
                  <w:tcBorders>
                    <w:tl2br w:val="nil"/>
                    <w:tr2bl w:val="nil"/>
                  </w:tcBorders>
                  <w:noWrap w:val="0"/>
                  <w:vAlign w:val="center"/>
                </w:tcPr>
                <w:p w14:paraId="27EEA4E1">
                  <w:pPr>
                    <w:snapToGrid w:val="0"/>
                    <w:spacing w:beforeLines="0" w:afterLines="0"/>
                    <w:jc w:val="center"/>
                    <w:rPr>
                      <w:rFonts w:hint="eastAsia" w:ascii="Times New Roman" w:hAnsi="Times New Roman" w:eastAsia="宋体" w:cs="Times New Roman"/>
                      <w:sz w:val="21"/>
                      <w:szCs w:val="21"/>
                    </w:rPr>
                  </w:pPr>
                </w:p>
              </w:tc>
              <w:tc>
                <w:tcPr>
                  <w:tcW w:w="1849" w:type="dxa"/>
                  <w:tcBorders>
                    <w:tl2br w:val="nil"/>
                    <w:tr2bl w:val="nil"/>
                  </w:tcBorders>
                  <w:noWrap w:val="0"/>
                  <w:vAlign w:val="center"/>
                </w:tcPr>
                <w:p w14:paraId="464F40DE">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土壤环境质量稳定改善，农用地、建设用地土壤环境风险防控能力逐步提升。全市受污染耕地安全利用率和污染地块安全利用率分别不低于95%。</w:t>
                  </w:r>
                  <w:r>
                    <w:rPr>
                      <w:rFonts w:hint="default" w:ascii="Times New Roman" w:hAnsi="Times New Roman" w:eastAsia="宋体" w:cs="Times New Roman"/>
                      <w:sz w:val="21"/>
                      <w:szCs w:val="21"/>
                      <w:lang w:val="en-US" w:eastAsia="zh-CN"/>
                    </w:rPr>
                    <w:t>环境质量改善目标动态衔接</w:t>
                  </w:r>
                  <w:r>
                    <w:rPr>
                      <w:rFonts w:hint="eastAsia" w:ascii="Times New Roman" w:hAnsi="Times New Roman" w:eastAsia="宋体" w:cs="宋体"/>
                      <w:sz w:val="21"/>
                      <w:szCs w:val="21"/>
                      <w:lang w:val="en-US" w:eastAsia="zh-CN"/>
                    </w:rPr>
                    <w:t>“十四五”</w:t>
                  </w:r>
                  <w:r>
                    <w:rPr>
                      <w:rFonts w:hint="default" w:ascii="Times New Roman" w:hAnsi="Times New Roman" w:eastAsia="宋体" w:cs="Times New Roman"/>
                      <w:sz w:val="21"/>
                      <w:szCs w:val="21"/>
                      <w:lang w:val="en-US" w:eastAsia="zh-CN"/>
                    </w:rPr>
                    <w:t>生态环境质量考核指标，以</w:t>
                  </w:r>
                  <w:r>
                    <w:rPr>
                      <w:rFonts w:hint="eastAsia" w:ascii="Times New Roman" w:hAnsi="Times New Roman" w:eastAsia="宋体" w:cs="宋体"/>
                      <w:sz w:val="21"/>
                      <w:szCs w:val="21"/>
                      <w:lang w:val="en-US" w:eastAsia="zh-CN"/>
                    </w:rPr>
                    <w:t>“十四五”生</w:t>
                  </w:r>
                  <w:r>
                    <w:rPr>
                      <w:rFonts w:hint="default" w:ascii="Times New Roman" w:hAnsi="Times New Roman" w:eastAsia="宋体" w:cs="Times New Roman"/>
                      <w:sz w:val="21"/>
                      <w:szCs w:val="21"/>
                      <w:lang w:val="en-US" w:eastAsia="zh-CN"/>
                    </w:rPr>
                    <w:t>态环境质量考核指标为准。</w:t>
                  </w:r>
                </w:p>
              </w:tc>
              <w:tc>
                <w:tcPr>
                  <w:tcW w:w="1838" w:type="dxa"/>
                  <w:tcBorders>
                    <w:tl2br w:val="nil"/>
                    <w:tr2bl w:val="nil"/>
                  </w:tcBorders>
                  <w:noWrap w:val="0"/>
                  <w:vAlign w:val="center"/>
                </w:tcPr>
                <w:p w14:paraId="643D48CA">
                  <w:pPr>
                    <w:snapToGrid w:val="0"/>
                    <w:spacing w:beforeLines="0" w:afterLine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本项目对土壤环境影响较小。</w:t>
                  </w:r>
                  <w:r>
                    <w:rPr>
                      <w:rFonts w:hint="default" w:ascii="Times New Roman" w:hAnsi="Times New Roman" w:eastAsia="宋体" w:cs="Times New Roman"/>
                      <w:sz w:val="21"/>
                      <w:szCs w:val="21"/>
                      <w:lang w:val="en-US" w:eastAsia="zh-CN"/>
                    </w:rPr>
                    <w:t>项目所在地属于</w:t>
                  </w:r>
                  <w:r>
                    <w:rPr>
                      <w:rFonts w:hint="eastAsia" w:cs="Times New Roman"/>
                      <w:sz w:val="21"/>
                      <w:szCs w:val="21"/>
                      <w:lang w:val="en-US" w:eastAsia="zh-CN"/>
                    </w:rPr>
                    <w:t>2</w:t>
                  </w:r>
                  <w:r>
                    <w:rPr>
                      <w:rFonts w:hint="default" w:ascii="Times New Roman" w:hAnsi="Times New Roman" w:eastAsia="宋体" w:cs="Times New Roman"/>
                      <w:sz w:val="21"/>
                      <w:szCs w:val="21"/>
                      <w:lang w:val="en-US" w:eastAsia="zh-CN"/>
                    </w:rPr>
                    <w:t>类声环境功能区，所在地无重大噪声源，评价区域内声环境质量现状满足《声环境质量标准》（GB3096-2008）的</w:t>
                  </w:r>
                  <w:r>
                    <w:rPr>
                      <w:rFonts w:hint="eastAsia" w:cs="Times New Roman"/>
                      <w:sz w:val="21"/>
                      <w:szCs w:val="21"/>
                      <w:lang w:val="en-US" w:eastAsia="zh-CN"/>
                    </w:rPr>
                    <w:t>2</w:t>
                  </w:r>
                  <w:r>
                    <w:rPr>
                      <w:rFonts w:hint="default" w:ascii="Times New Roman" w:hAnsi="Times New Roman" w:eastAsia="宋体" w:cs="Times New Roman"/>
                      <w:sz w:val="21"/>
                      <w:szCs w:val="21"/>
                      <w:lang w:val="en-US" w:eastAsia="zh-CN"/>
                    </w:rPr>
                    <w:t>类声环境功能区要求，声环境质量良好。</w:t>
                  </w:r>
                </w:p>
              </w:tc>
              <w:tc>
                <w:tcPr>
                  <w:tcW w:w="1758" w:type="dxa"/>
                  <w:tcBorders>
                    <w:tl2br w:val="nil"/>
                    <w:tr2bl w:val="nil"/>
                  </w:tcBorders>
                  <w:noWrap w:val="0"/>
                  <w:vAlign w:val="center"/>
                </w:tcPr>
                <w:p w14:paraId="656A86FA">
                  <w:pPr>
                    <w:snapToGrid w:val="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项目对地下水和土壤的影响较小；项目</w:t>
                  </w:r>
                  <w:r>
                    <w:rPr>
                      <w:rFonts w:hint="eastAsia" w:ascii="Times New Roman" w:hAnsi="Times New Roman" w:cs="Times New Roman"/>
                      <w:sz w:val="21"/>
                      <w:szCs w:val="21"/>
                      <w:lang w:eastAsia="zh-CN"/>
                    </w:rPr>
                    <w:t>固体废物</w:t>
                  </w:r>
                  <w:r>
                    <w:rPr>
                      <w:rFonts w:hint="default" w:ascii="Times New Roman" w:hAnsi="Times New Roman" w:cs="Times New Roman"/>
                      <w:sz w:val="21"/>
                      <w:szCs w:val="21"/>
                    </w:rPr>
                    <w:t>妥善贮存，不会对土壤</w:t>
                  </w:r>
                  <w:r>
                    <w:rPr>
                      <w:rFonts w:hint="eastAsia" w:ascii="Times New Roman" w:hAnsi="Times New Roman" w:cs="Times New Roman"/>
                      <w:sz w:val="21"/>
                      <w:szCs w:val="21"/>
                      <w:lang w:eastAsia="zh-CN"/>
                    </w:rPr>
                    <w:t>和地下水</w:t>
                  </w:r>
                  <w:r>
                    <w:rPr>
                      <w:rFonts w:hint="default" w:ascii="Times New Roman" w:hAnsi="Times New Roman" w:cs="Times New Roman"/>
                      <w:sz w:val="21"/>
                      <w:szCs w:val="21"/>
                    </w:rPr>
                    <w:t>环境造成污染。</w:t>
                  </w:r>
                  <w:r>
                    <w:rPr>
                      <w:rFonts w:hint="default" w:ascii="Times New Roman" w:hAnsi="Times New Roman" w:eastAsia="宋体" w:cs="Times New Roman"/>
                      <w:sz w:val="21"/>
                      <w:szCs w:val="21"/>
                      <w:highlight w:val="none"/>
                      <w:lang w:eastAsia="zh-CN"/>
                    </w:rPr>
                    <w:t>厂界噪声达标，项目噪声对环境影响较小</w:t>
                  </w:r>
                  <w:r>
                    <w:rPr>
                      <w:rFonts w:hint="eastAsia" w:ascii="Times New Roman" w:hAnsi="Times New Roman" w:eastAsia="宋体" w:cs="Times New Roman"/>
                      <w:sz w:val="21"/>
                      <w:szCs w:val="21"/>
                      <w:highlight w:val="none"/>
                      <w:lang w:eastAsia="zh-CN"/>
                    </w:rPr>
                    <w:t>。</w:t>
                  </w:r>
                </w:p>
              </w:tc>
              <w:tc>
                <w:tcPr>
                  <w:tcW w:w="731" w:type="dxa"/>
                  <w:tcBorders>
                    <w:tl2br w:val="nil"/>
                    <w:tr2bl w:val="nil"/>
                  </w:tcBorders>
                  <w:noWrap w:val="0"/>
                  <w:vAlign w:val="center"/>
                </w:tcPr>
                <w:p w14:paraId="21DFB21E">
                  <w:pPr>
                    <w:snapToGrid w:val="0"/>
                    <w:jc w:val="center"/>
                    <w:rPr>
                      <w:rFonts w:hint="default" w:ascii="Times New Roman" w:hAnsi="Times New Roman" w:cs="Times New Roman"/>
                      <w:sz w:val="21"/>
                      <w:szCs w:val="21"/>
                    </w:rPr>
                  </w:pPr>
                </w:p>
              </w:tc>
            </w:tr>
          </w:tbl>
          <w:p w14:paraId="19E341D9">
            <w:pPr>
              <w:keepNext w:val="0"/>
              <w:keepLines w:val="0"/>
              <w:pageBreakBefore w:val="0"/>
              <w:widowControl w:val="0"/>
              <w:numPr>
                <w:ilvl w:val="0"/>
                <w:numId w:val="3"/>
              </w:numPr>
              <w:kinsoku/>
              <w:wordWrap/>
              <w:overflowPunct/>
              <w:topLinePunct w:val="0"/>
              <w:autoSpaceDE w:val="0"/>
              <w:autoSpaceDN w:val="0"/>
              <w:bidi w:val="0"/>
              <w:adjustRightInd w:val="0"/>
              <w:snapToGrid w:val="0"/>
              <w:spacing w:line="360" w:lineRule="auto"/>
              <w:ind w:left="0" w:leftChars="0" w:firstLine="0" w:firstLineChars="0"/>
              <w:jc w:val="left"/>
              <w:textAlignment w:val="auto"/>
              <w:rPr>
                <w:rFonts w:hint="eastAsia"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资源利用上线符合性</w:t>
            </w:r>
            <w:r>
              <w:rPr>
                <w:rFonts w:hint="eastAsia" w:cs="Times New Roman"/>
                <w:color w:val="auto"/>
                <w:kern w:val="0"/>
                <w:sz w:val="24"/>
                <w:szCs w:val="24"/>
                <w:highlight w:val="none"/>
                <w:lang w:val="en-US" w:eastAsia="zh-CN"/>
              </w:rPr>
              <w:t>分析</w:t>
            </w:r>
          </w:p>
          <w:p w14:paraId="656E603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en-US" w:eastAsia="zh-CN"/>
              </w:rPr>
              <w:t>表1-3  与资源利用上线符合性分析一览表</w:t>
            </w:r>
          </w:p>
          <w:tbl>
            <w:tblPr>
              <w:tblStyle w:val="28"/>
              <w:tblW w:w="75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809"/>
              <w:gridCol w:w="1514"/>
              <w:gridCol w:w="1514"/>
              <w:gridCol w:w="1514"/>
            </w:tblGrid>
            <w:tr w14:paraId="13FC8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8" w:type="dxa"/>
                  <w:vAlign w:val="center"/>
                </w:tcPr>
                <w:p w14:paraId="6C6211F3">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类别</w:t>
                  </w:r>
                </w:p>
              </w:tc>
              <w:tc>
                <w:tcPr>
                  <w:tcW w:w="1809" w:type="dxa"/>
                  <w:vAlign w:val="center"/>
                </w:tcPr>
                <w:p w14:paraId="5A21537A">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对应管控要求</w:t>
                  </w:r>
                </w:p>
              </w:tc>
              <w:tc>
                <w:tcPr>
                  <w:tcW w:w="1514" w:type="dxa"/>
                  <w:vAlign w:val="center"/>
                </w:tcPr>
                <w:p w14:paraId="6204866A">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现状</w:t>
                  </w:r>
                </w:p>
              </w:tc>
              <w:tc>
                <w:tcPr>
                  <w:tcW w:w="1514" w:type="dxa"/>
                  <w:vAlign w:val="center"/>
                </w:tcPr>
                <w:p w14:paraId="08F416B7">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项目对应情况介绍</w:t>
                  </w:r>
                </w:p>
              </w:tc>
              <w:tc>
                <w:tcPr>
                  <w:tcW w:w="1514" w:type="dxa"/>
                  <w:vAlign w:val="center"/>
                </w:tcPr>
                <w:p w14:paraId="55FEBAE1">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符合性</w:t>
                  </w:r>
                </w:p>
              </w:tc>
            </w:tr>
            <w:tr w14:paraId="6E61C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8" w:type="dxa"/>
                  <w:vAlign w:val="center"/>
                </w:tcPr>
                <w:p w14:paraId="4EC6898C">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资源利用上线</w:t>
                  </w:r>
                </w:p>
              </w:tc>
              <w:tc>
                <w:tcPr>
                  <w:tcW w:w="1809" w:type="dxa"/>
                  <w:vAlign w:val="center"/>
                </w:tcPr>
                <w:p w14:paraId="1ECA77F5">
                  <w:pPr>
                    <w:snapToGrid w:val="0"/>
                    <w:spacing w:beforeLines="0" w:afterLines="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强化节约集约利用，持续提升资源</w:t>
                  </w:r>
                </w:p>
                <w:p w14:paraId="316BCE32">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rPr>
                    <w:t>能源利用效率，水资源利用、土地资源利用、能源消耗等达到省下达的总量和强度控制目标。优化调整能源结构，实施煤炭消费减量替代和能源消费总量控制，能源消费总量完成省下达任务，煤炭消费量实现负增长，进一步降低万元国内生产总值能耗，严格落实高污染燃料</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rPr>
                    <w:t>禁燃区管控要求，加快清洁能源、新能源和可再生能源推广利用。</w:t>
                  </w:r>
                </w:p>
              </w:tc>
              <w:tc>
                <w:tcPr>
                  <w:tcW w:w="1514" w:type="dxa"/>
                  <w:vAlign w:val="center"/>
                </w:tcPr>
                <w:p w14:paraId="748715B5">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项目所用资源主要为水、电，项目用水由</w:t>
                  </w:r>
                  <w:r>
                    <w:rPr>
                      <w:rFonts w:hint="eastAsia" w:cs="Times New Roman"/>
                      <w:sz w:val="21"/>
                      <w:szCs w:val="21"/>
                      <w:lang w:val="en-US" w:eastAsia="zh-CN"/>
                    </w:rPr>
                    <w:t>沂源县</w:t>
                  </w:r>
                  <w:r>
                    <w:rPr>
                      <w:rFonts w:hint="default" w:ascii="Times New Roman" w:hAnsi="Times New Roman" w:cs="Times New Roman"/>
                      <w:sz w:val="21"/>
                      <w:szCs w:val="21"/>
                    </w:rPr>
                    <w:t>供水管网</w:t>
                  </w:r>
                  <w:r>
                    <w:rPr>
                      <w:rFonts w:hint="default" w:ascii="Times New Roman" w:hAnsi="Times New Roman" w:cs="Times New Roman"/>
                      <w:sz w:val="21"/>
                      <w:szCs w:val="21"/>
                      <w:lang w:eastAsia="zh-CN"/>
                    </w:rPr>
                    <w:t>供给</w:t>
                  </w:r>
                  <w:r>
                    <w:rPr>
                      <w:rFonts w:hint="default" w:ascii="Times New Roman" w:hAnsi="Times New Roman" w:cs="Times New Roman"/>
                      <w:sz w:val="21"/>
                      <w:szCs w:val="21"/>
                    </w:rPr>
                    <w:t>；项目供电由</w:t>
                  </w:r>
                  <w:r>
                    <w:rPr>
                      <w:rFonts w:hint="eastAsia" w:cs="Times New Roman"/>
                      <w:sz w:val="21"/>
                      <w:szCs w:val="21"/>
                      <w:lang w:val="en-US" w:eastAsia="zh-CN"/>
                    </w:rPr>
                    <w:t>沂源</w:t>
                  </w:r>
                  <w:r>
                    <w:rPr>
                      <w:rFonts w:hint="eastAsia" w:ascii="Times New Roman" w:hAnsi="Times New Roman" w:cs="Times New Roman"/>
                      <w:sz w:val="21"/>
                      <w:szCs w:val="21"/>
                      <w:lang w:eastAsia="zh-CN"/>
                    </w:rPr>
                    <w:t>国家电网</w:t>
                  </w:r>
                  <w:r>
                    <w:rPr>
                      <w:rFonts w:hint="default" w:ascii="Times New Roman" w:hAnsi="Times New Roman" w:cs="Times New Roman"/>
                      <w:sz w:val="21"/>
                      <w:szCs w:val="21"/>
                    </w:rPr>
                    <w:t>供给，年用电</w:t>
                  </w:r>
                  <w:r>
                    <w:rPr>
                      <w:rFonts w:hint="default" w:ascii="Times New Roman" w:hAnsi="Times New Roman" w:cs="Times New Roman"/>
                      <w:color w:val="000000"/>
                      <w:sz w:val="21"/>
                      <w:szCs w:val="21"/>
                    </w:rPr>
                    <w:t>量</w:t>
                  </w:r>
                  <w:r>
                    <w:rPr>
                      <w:rFonts w:hint="eastAsia" w:cs="Times New Roman"/>
                      <w:color w:val="000000"/>
                      <w:sz w:val="21"/>
                      <w:szCs w:val="21"/>
                      <w:lang w:val="en-US" w:eastAsia="zh-CN"/>
                    </w:rPr>
                    <w:t>200</w:t>
                  </w:r>
                  <w:r>
                    <w:rPr>
                      <w:rFonts w:hint="default" w:ascii="Times New Roman" w:hAnsi="Times New Roman" w:cs="Times New Roman"/>
                      <w:color w:val="000000"/>
                      <w:sz w:val="21"/>
                      <w:szCs w:val="21"/>
                    </w:rPr>
                    <w:t>万kWh。项</w:t>
                  </w:r>
                  <w:r>
                    <w:rPr>
                      <w:rFonts w:hint="default" w:ascii="Times New Roman" w:hAnsi="Times New Roman" w:cs="Times New Roman"/>
                      <w:sz w:val="21"/>
                      <w:szCs w:val="21"/>
                    </w:rPr>
                    <w:t>目资源利用量相对于区域资源利用总量较少，符合资源利用上</w:t>
                  </w:r>
                  <w:r>
                    <w:rPr>
                      <w:rFonts w:hint="eastAsia" w:ascii="Times New Roman" w:hAnsi="Times New Roman" w:cs="Times New Roman"/>
                      <w:sz w:val="21"/>
                      <w:szCs w:val="21"/>
                      <w:lang w:eastAsia="zh-CN"/>
                    </w:rPr>
                    <w:t>线</w:t>
                  </w:r>
                  <w:r>
                    <w:rPr>
                      <w:rFonts w:hint="default" w:ascii="Times New Roman" w:hAnsi="Times New Roman" w:cs="Times New Roman"/>
                      <w:sz w:val="21"/>
                      <w:szCs w:val="21"/>
                    </w:rPr>
                    <w:t>的要求。</w:t>
                  </w:r>
                </w:p>
              </w:tc>
              <w:tc>
                <w:tcPr>
                  <w:tcW w:w="1514" w:type="dxa"/>
                  <w:vAlign w:val="center"/>
                </w:tcPr>
                <w:p w14:paraId="11AB43A9">
                  <w:pPr>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本项目</w:t>
                  </w:r>
                  <w:r>
                    <w:rPr>
                      <w:rFonts w:hint="default" w:ascii="Times New Roman" w:hAnsi="Times New Roman" w:eastAsia="宋体" w:cs="Times New Roman"/>
                      <w:sz w:val="21"/>
                      <w:szCs w:val="21"/>
                      <w:lang w:val="en-US" w:eastAsia="zh-CN"/>
                    </w:rPr>
                    <w:t>用电量</w:t>
                  </w:r>
                  <w:r>
                    <w:rPr>
                      <w:rFonts w:hint="eastAsia" w:cs="Times New Roman"/>
                      <w:sz w:val="21"/>
                      <w:szCs w:val="21"/>
                      <w:lang w:val="en-US" w:eastAsia="zh-CN"/>
                    </w:rPr>
                    <w:t>200</w:t>
                  </w:r>
                  <w:r>
                    <w:rPr>
                      <w:rFonts w:hint="default" w:ascii="Times New Roman" w:hAnsi="Times New Roman" w:eastAsia="宋体" w:cs="Times New Roman"/>
                      <w:sz w:val="21"/>
                      <w:szCs w:val="21"/>
                      <w:lang w:val="en-US" w:eastAsia="zh-CN"/>
                    </w:rPr>
                    <w:t>万kWh/a，由</w:t>
                  </w:r>
                  <w:r>
                    <w:rPr>
                      <w:rFonts w:hint="eastAsia" w:cs="Times New Roman"/>
                      <w:sz w:val="21"/>
                      <w:szCs w:val="21"/>
                      <w:lang w:val="en-US" w:eastAsia="zh-CN"/>
                    </w:rPr>
                    <w:t>沂源</w:t>
                  </w:r>
                  <w:r>
                    <w:rPr>
                      <w:rFonts w:hint="eastAsia" w:ascii="Times New Roman" w:hAnsi="Times New Roman" w:cs="Times New Roman"/>
                      <w:sz w:val="21"/>
                      <w:szCs w:val="21"/>
                      <w:lang w:eastAsia="zh-CN"/>
                    </w:rPr>
                    <w:t>国家电网</w:t>
                  </w:r>
                  <w:r>
                    <w:rPr>
                      <w:rFonts w:hint="default" w:ascii="Times New Roman" w:hAnsi="Times New Roman" w:cs="Times New Roman"/>
                      <w:sz w:val="21"/>
                      <w:szCs w:val="21"/>
                    </w:rPr>
                    <w:t>供给</w:t>
                  </w:r>
                  <w:r>
                    <w:rPr>
                      <w:rFonts w:hint="default" w:ascii="Times New Roman" w:hAnsi="Times New Roman" w:eastAsia="宋体" w:cs="Times New Roman"/>
                      <w:sz w:val="21"/>
                      <w:szCs w:val="21"/>
                      <w:lang w:val="en-US" w:eastAsia="zh-CN"/>
                    </w:rPr>
                    <w:t>。</w:t>
                  </w:r>
                </w:p>
              </w:tc>
              <w:tc>
                <w:tcPr>
                  <w:tcW w:w="1514" w:type="dxa"/>
                  <w:vAlign w:val="center"/>
                </w:tcPr>
                <w:p w14:paraId="17E980D8">
                  <w:pPr>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符合</w:t>
                  </w:r>
                </w:p>
              </w:tc>
            </w:tr>
          </w:tbl>
          <w:p w14:paraId="4499529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（4）生态环境准入清单</w:t>
            </w:r>
          </w:p>
          <w:p w14:paraId="30D2FB5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根据淄博市生态环境委员会办公室关于印发《淄博市2023年生态环境分区管控成果动态更新项目生态环境准入清单》的通知内划定的生态环境分区范围可知，项</w:t>
            </w:r>
            <w:r>
              <w:rPr>
                <w:rFonts w:hint="eastAsia" w:ascii="Times New Roman" w:hAnsi="Times New Roman" w:eastAsia="宋体" w:cs="Times New Roman"/>
                <w:color w:val="auto"/>
                <w:sz w:val="24"/>
                <w:szCs w:val="24"/>
                <w:highlight w:val="none"/>
                <w:lang w:val="en-US" w:eastAsia="zh-CN"/>
              </w:rPr>
              <w:t>目位于</w:t>
            </w:r>
            <w:r>
              <w:rPr>
                <w:rFonts w:hint="eastAsia" w:cs="Times New Roman"/>
                <w:color w:val="auto"/>
                <w:sz w:val="24"/>
                <w:szCs w:val="24"/>
                <w:highlight w:val="none"/>
                <w:lang w:val="en-US" w:eastAsia="zh-CN"/>
              </w:rPr>
              <w:t>张家坡镇</w:t>
            </w:r>
            <w:r>
              <w:rPr>
                <w:rFonts w:hint="eastAsia" w:ascii="Times New Roman" w:hAnsi="Times New Roman" w:eastAsia="宋体" w:cs="Times New Roman"/>
                <w:color w:val="auto"/>
                <w:sz w:val="24"/>
                <w:szCs w:val="24"/>
                <w:highlight w:val="none"/>
                <w:lang w:val="en-US" w:eastAsia="zh-CN"/>
              </w:rPr>
              <w:t>，为</w:t>
            </w:r>
            <w:r>
              <w:rPr>
                <w:rFonts w:hint="eastAsia" w:cs="Times New Roman"/>
                <w:color w:val="auto"/>
                <w:sz w:val="24"/>
                <w:szCs w:val="24"/>
                <w:highlight w:val="none"/>
                <w:lang w:val="en-US" w:eastAsia="zh-CN"/>
              </w:rPr>
              <w:t>优先保护</w:t>
            </w:r>
            <w:r>
              <w:rPr>
                <w:rFonts w:hint="eastAsia" w:ascii="Times New Roman" w:hAnsi="Times New Roman" w:eastAsia="宋体" w:cs="Times New Roman"/>
                <w:color w:val="auto"/>
                <w:sz w:val="24"/>
                <w:szCs w:val="24"/>
                <w:highlight w:val="none"/>
                <w:lang w:val="en-US" w:eastAsia="zh-CN"/>
              </w:rPr>
              <w:t>单元</w:t>
            </w:r>
            <w:r>
              <w:rPr>
                <w:rFonts w:hint="default" w:ascii="Times New Roman" w:hAnsi="Times New Roman" w:eastAsia="宋体" w:cs="Times New Roman"/>
                <w:color w:val="auto"/>
                <w:sz w:val="24"/>
                <w:szCs w:val="24"/>
                <w:highlight w:val="none"/>
                <w:lang w:val="en-US" w:eastAsia="zh-CN"/>
              </w:rPr>
              <w:t>，具体符合性分析见下表</w:t>
            </w:r>
            <w:r>
              <w:rPr>
                <w:rFonts w:hint="eastAsia" w:ascii="Times New Roman" w:hAnsi="Times New Roman" w:eastAsia="宋体" w:cs="Times New Roman"/>
                <w:color w:val="auto"/>
                <w:sz w:val="24"/>
                <w:szCs w:val="24"/>
                <w:highlight w:val="none"/>
                <w:lang w:val="en-US" w:eastAsia="zh-CN"/>
              </w:rPr>
              <w:t>。</w:t>
            </w:r>
          </w:p>
          <w:p w14:paraId="3A5F3B7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en-US" w:eastAsia="zh-CN"/>
              </w:rPr>
              <w:t>表1-4  与生态环境准入清单符合性分析一览表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5"/>
              <w:gridCol w:w="752"/>
              <w:gridCol w:w="2634"/>
              <w:gridCol w:w="2440"/>
              <w:gridCol w:w="992"/>
            </w:tblGrid>
            <w:tr w14:paraId="4FC34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5" w:type="pct"/>
                  <w:gridSpan w:val="2"/>
                  <w:vAlign w:val="center"/>
                </w:tcPr>
                <w:p w14:paraId="199D3283">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类别</w:t>
                  </w:r>
                </w:p>
              </w:tc>
              <w:tc>
                <w:tcPr>
                  <w:tcW w:w="1738" w:type="pct"/>
                  <w:vAlign w:val="center"/>
                </w:tcPr>
                <w:p w14:paraId="63321F40">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对应管控要求</w:t>
                  </w:r>
                </w:p>
              </w:tc>
              <w:tc>
                <w:tcPr>
                  <w:tcW w:w="1610" w:type="pct"/>
                  <w:vAlign w:val="center"/>
                </w:tcPr>
                <w:p w14:paraId="06C6D167">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现状</w:t>
                  </w:r>
                </w:p>
              </w:tc>
              <w:tc>
                <w:tcPr>
                  <w:tcW w:w="655" w:type="pct"/>
                  <w:vAlign w:val="center"/>
                </w:tcPr>
                <w:p w14:paraId="0218D5AB">
                  <w:pPr>
                    <w:snapToGrid w:val="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符合性</w:t>
                  </w:r>
                </w:p>
              </w:tc>
            </w:tr>
            <w:tr w14:paraId="6A12C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restart"/>
                  <w:vAlign w:val="center"/>
                </w:tcPr>
                <w:p w14:paraId="5826C8DB">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cs="Times New Roman"/>
                      <w:color w:val="auto"/>
                      <w:kern w:val="0"/>
                      <w:sz w:val="21"/>
                      <w:szCs w:val="21"/>
                      <w:lang w:val="en-US" w:eastAsia="zh-CN"/>
                    </w:rPr>
                    <w:t>淄博市</w:t>
                  </w:r>
                  <w:r>
                    <w:rPr>
                      <w:rFonts w:hint="default" w:ascii="Times New Roman" w:hAnsi="Times New Roman" w:cs="Times New Roman"/>
                      <w:color w:val="auto"/>
                      <w:kern w:val="0"/>
                      <w:sz w:val="21"/>
                      <w:szCs w:val="21"/>
                      <w:lang w:val="en-US" w:eastAsia="zh-CN"/>
                    </w:rPr>
                    <w:t>2023年生态环境分区管控成果动态更新项目生态环境准入清单</w:t>
                  </w:r>
                </w:p>
              </w:tc>
              <w:tc>
                <w:tcPr>
                  <w:tcW w:w="495" w:type="pct"/>
                  <w:vMerge w:val="restart"/>
                  <w:vAlign w:val="center"/>
                </w:tcPr>
                <w:p w14:paraId="4AECF4D2">
                  <w:pPr>
                    <w:snapToGrid w:val="0"/>
                    <w:spacing w:beforeLines="0" w:afterLine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color w:val="auto"/>
                      <w:kern w:val="0"/>
                      <w:sz w:val="21"/>
                      <w:szCs w:val="21"/>
                      <w:lang w:val="en-US" w:eastAsia="zh-CN"/>
                    </w:rPr>
                    <w:t>空间布局约束</w:t>
                  </w:r>
                </w:p>
              </w:tc>
              <w:tc>
                <w:tcPr>
                  <w:tcW w:w="1738" w:type="pct"/>
                  <w:vAlign w:val="center"/>
                </w:tcPr>
                <w:p w14:paraId="7F269013">
                  <w:pPr>
                    <w:widowControl/>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1.禁止新建、扩建《产业结构调整指导目录》（现行）明确的淘汰类项目和引入《市场准入负面清单》（现行）禁止准入类事项；鼓励对列入《产业结构调整指导目录》的限制类、淘汰类工业项目进行淘汰和提升改造。</w:t>
                  </w:r>
                </w:p>
              </w:tc>
              <w:tc>
                <w:tcPr>
                  <w:tcW w:w="1610" w:type="pct"/>
                  <w:vAlign w:val="center"/>
                </w:tcPr>
                <w:p w14:paraId="24C4C798">
                  <w:pPr>
                    <w:pStyle w:val="126"/>
                    <w:ind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项目不属于《产业结构调整指导目录</w:t>
                  </w:r>
                  <w:r>
                    <w:rPr>
                      <w:rFonts w:hint="default" w:ascii="Times New Roman" w:hAnsi="Times New Roman" w:eastAsia="宋体" w:cs="Times New Roman"/>
                      <w:b w:val="0"/>
                      <w:bCs w:val="0"/>
                      <w:color w:val="auto"/>
                      <w:kern w:val="2"/>
                      <w:sz w:val="21"/>
                      <w:szCs w:val="21"/>
                      <w:highlight w:val="none"/>
                      <w:lang w:val="en-US" w:eastAsia="zh-CN" w:bidi="ar-SA"/>
                    </w:rPr>
                    <w:t>(20</w:t>
                  </w:r>
                  <w:r>
                    <w:rPr>
                      <w:rFonts w:hint="eastAsia" w:ascii="Times New Roman" w:hAnsi="Times New Roman" w:eastAsia="宋体" w:cs="Times New Roman"/>
                      <w:b w:val="0"/>
                      <w:bCs w:val="0"/>
                      <w:color w:val="auto"/>
                      <w:kern w:val="2"/>
                      <w:sz w:val="21"/>
                      <w:szCs w:val="21"/>
                      <w:highlight w:val="none"/>
                      <w:lang w:val="en-US" w:eastAsia="zh-CN" w:bidi="ar-SA"/>
                    </w:rPr>
                    <w:t>24年本</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发改委令第7号</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淘汰类项目</w:t>
                  </w:r>
                  <w:r>
                    <w:rPr>
                      <w:rFonts w:hint="eastAsia" w:eastAsia="宋体" w:cs="Times New Roman"/>
                      <w:b w:val="0"/>
                      <w:bCs w:val="0"/>
                      <w:color w:val="auto"/>
                      <w:kern w:val="2"/>
                      <w:sz w:val="21"/>
                      <w:szCs w:val="21"/>
                      <w:highlight w:val="none"/>
                      <w:lang w:val="en-US" w:eastAsia="zh-CN" w:bidi="ar-SA"/>
                    </w:rPr>
                    <w:t>、限制类项目</w:t>
                  </w:r>
                  <w:r>
                    <w:rPr>
                      <w:rFonts w:hint="eastAsia" w:ascii="Times New Roman" w:hAnsi="Times New Roman" w:eastAsia="宋体" w:cs="Times New Roman"/>
                      <w:b w:val="0"/>
                      <w:bCs w:val="0"/>
                      <w:color w:val="auto"/>
                      <w:kern w:val="2"/>
                      <w:sz w:val="21"/>
                      <w:szCs w:val="21"/>
                      <w:highlight w:val="none"/>
                      <w:lang w:val="en-US" w:eastAsia="zh-CN" w:bidi="ar-SA"/>
                    </w:rPr>
                    <w:t>和引入《市场准入负面清单》（现行）禁止准</w:t>
                  </w:r>
                  <w:r>
                    <w:rPr>
                      <w:rFonts w:hint="eastAsia" w:ascii="Times New Roman" w:hAnsi="Times New Roman" w:eastAsia="宋体" w:cs="Times New Roman"/>
                      <w:color w:val="auto"/>
                      <w:kern w:val="0"/>
                      <w:sz w:val="21"/>
                      <w:szCs w:val="21"/>
                      <w:lang w:val="en-US" w:eastAsia="zh-CN" w:bidi="ar-SA"/>
                    </w:rPr>
                    <w:t>入类事项</w:t>
                  </w:r>
                  <w:r>
                    <w:rPr>
                      <w:rFonts w:hint="eastAsia" w:eastAsia="宋体" w:cs="Times New Roman"/>
                      <w:color w:val="auto"/>
                      <w:kern w:val="0"/>
                      <w:sz w:val="21"/>
                      <w:szCs w:val="21"/>
                      <w:lang w:val="en-US" w:eastAsia="zh-CN" w:bidi="ar-SA"/>
                    </w:rPr>
                    <w:t>。</w:t>
                  </w:r>
                </w:p>
              </w:tc>
              <w:tc>
                <w:tcPr>
                  <w:tcW w:w="655" w:type="pct"/>
                  <w:vMerge w:val="restart"/>
                  <w:vAlign w:val="center"/>
                </w:tcPr>
                <w:p w14:paraId="7726F1B5">
                  <w:pPr>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符合</w:t>
                  </w:r>
                </w:p>
              </w:tc>
            </w:tr>
            <w:tr w14:paraId="2D0C0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031E90E6">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2084EF23">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2C25B37B">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2.</w:t>
                  </w:r>
                  <w:r>
                    <w:rPr>
                      <w:rStyle w:val="124"/>
                      <w:rFonts w:hint="default" w:ascii="Times New Roman" w:hAnsi="Times New Roman" w:cs="Times New Roman" w:eastAsiaTheme="majorEastAsia"/>
                      <w:color w:val="auto"/>
                      <w:sz w:val="21"/>
                      <w:szCs w:val="21"/>
                      <w:lang w:val="en-US" w:eastAsia="zh-CN" w:bidi="ar"/>
                    </w:rPr>
                    <w:t>生态保护红线内禁止城镇化和工业化活动，严禁开展不符合主体功能定位的各类开发活动。对生态保护红线的管理，严格按照《关于在国土空间规划中统筹划定落实三条控制线的指导意见》（</w:t>
                  </w:r>
                  <w:r>
                    <w:rPr>
                      <w:rStyle w:val="125"/>
                      <w:rFonts w:hint="default" w:ascii="Times New Roman" w:hAnsi="Times New Roman" w:cs="Times New Roman" w:eastAsiaTheme="majorEastAsia"/>
                      <w:color w:val="auto"/>
                      <w:sz w:val="21"/>
                      <w:szCs w:val="21"/>
                      <w:lang w:val="en-US" w:eastAsia="zh-CN" w:bidi="ar"/>
                    </w:rPr>
                    <w:t>2019</w:t>
                  </w:r>
                  <w:r>
                    <w:rPr>
                      <w:rStyle w:val="124"/>
                      <w:rFonts w:hint="default" w:ascii="Times New Roman" w:hAnsi="Times New Roman" w:cs="Times New Roman" w:eastAsiaTheme="majorEastAsia"/>
                      <w:color w:val="auto"/>
                      <w:sz w:val="21"/>
                      <w:szCs w:val="21"/>
                      <w:lang w:val="en-US" w:eastAsia="zh-CN" w:bidi="ar"/>
                    </w:rPr>
                    <w:t>年</w:t>
                  </w:r>
                  <w:r>
                    <w:rPr>
                      <w:rStyle w:val="125"/>
                      <w:rFonts w:hint="default" w:ascii="Times New Roman" w:hAnsi="Times New Roman" w:cs="Times New Roman" w:eastAsiaTheme="majorEastAsia"/>
                      <w:color w:val="auto"/>
                      <w:sz w:val="21"/>
                      <w:szCs w:val="21"/>
                      <w:lang w:val="en-US" w:eastAsia="zh-CN" w:bidi="ar"/>
                    </w:rPr>
                    <w:t>11</w:t>
                  </w:r>
                  <w:r>
                    <w:rPr>
                      <w:rStyle w:val="124"/>
                      <w:rFonts w:hint="default" w:ascii="Times New Roman" w:hAnsi="Times New Roman" w:cs="Times New Roman" w:eastAsiaTheme="majorEastAsia"/>
                      <w:color w:val="auto"/>
                      <w:sz w:val="21"/>
                      <w:szCs w:val="21"/>
                      <w:lang w:val="en-US" w:eastAsia="zh-CN" w:bidi="ar"/>
                    </w:rPr>
                    <w:t>月）、《关于划定并严守生态保护红线的若干意见》《自然生态空间用途管制办法（试行）》（国土资发〔</w:t>
                  </w:r>
                  <w:r>
                    <w:rPr>
                      <w:rStyle w:val="125"/>
                      <w:rFonts w:hint="default" w:ascii="Times New Roman" w:hAnsi="Times New Roman" w:cs="Times New Roman" w:eastAsiaTheme="majorEastAsia"/>
                      <w:color w:val="auto"/>
                      <w:sz w:val="21"/>
                      <w:szCs w:val="21"/>
                      <w:lang w:val="en-US" w:eastAsia="zh-CN" w:bidi="ar"/>
                    </w:rPr>
                    <w:t>2017</w:t>
                  </w:r>
                  <w:r>
                    <w:rPr>
                      <w:rStyle w:val="124"/>
                      <w:rFonts w:hint="default" w:ascii="Times New Roman" w:hAnsi="Times New Roman" w:cs="Times New Roman" w:eastAsiaTheme="majorEastAsia"/>
                      <w:color w:val="auto"/>
                      <w:sz w:val="21"/>
                      <w:szCs w:val="21"/>
                      <w:lang w:val="en-US" w:eastAsia="zh-CN" w:bidi="ar"/>
                    </w:rPr>
                    <w:t>〕</w:t>
                  </w:r>
                  <w:r>
                    <w:rPr>
                      <w:rStyle w:val="125"/>
                      <w:rFonts w:hint="default" w:ascii="Times New Roman" w:hAnsi="Times New Roman" w:cs="Times New Roman" w:eastAsiaTheme="majorEastAsia"/>
                      <w:color w:val="auto"/>
                      <w:sz w:val="21"/>
                      <w:szCs w:val="21"/>
                      <w:lang w:val="en-US" w:eastAsia="zh-CN" w:bidi="ar"/>
                    </w:rPr>
                    <w:t>33</w:t>
                  </w:r>
                  <w:r>
                    <w:rPr>
                      <w:rStyle w:val="124"/>
                      <w:rFonts w:hint="default" w:ascii="Times New Roman" w:hAnsi="Times New Roman" w:cs="Times New Roman" w:eastAsiaTheme="majorEastAsia"/>
                      <w:color w:val="auto"/>
                      <w:sz w:val="21"/>
                      <w:szCs w:val="21"/>
                      <w:lang w:val="en-US" w:eastAsia="zh-CN" w:bidi="ar"/>
                    </w:rPr>
                    <w:t>号）等相关要求管控。</w:t>
                  </w:r>
                </w:p>
              </w:tc>
              <w:tc>
                <w:tcPr>
                  <w:tcW w:w="1610" w:type="pct"/>
                  <w:vAlign w:val="center"/>
                </w:tcPr>
                <w:p w14:paraId="53BC7824">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企业位于</w:t>
                  </w:r>
                  <w:r>
                    <w:rPr>
                      <w:rFonts w:hint="eastAsia" w:ascii="Times New Roman" w:hAnsi="Times New Roman" w:eastAsia="宋体" w:cs="Times New Roman"/>
                      <w:sz w:val="21"/>
                      <w:szCs w:val="21"/>
                      <w:lang w:val="en-US" w:eastAsia="zh-CN"/>
                    </w:rPr>
                    <w:t>淄博市沂源县张家坡镇政通路88号</w:t>
                  </w:r>
                  <w:r>
                    <w:rPr>
                      <w:rFonts w:hint="eastAsia" w:ascii="Times New Roman" w:hAnsi="Times New Roman" w:cs="Times New Roman"/>
                      <w:color w:val="auto"/>
                      <w:kern w:val="0"/>
                      <w:sz w:val="21"/>
                      <w:szCs w:val="21"/>
                      <w:lang w:val="en-US" w:eastAsia="zh-CN"/>
                    </w:rPr>
                    <w:t>，</w:t>
                  </w:r>
                  <w:r>
                    <w:rPr>
                      <w:rFonts w:hint="eastAsia" w:cs="Times New Roman"/>
                      <w:color w:val="auto"/>
                      <w:kern w:val="0"/>
                      <w:sz w:val="21"/>
                      <w:szCs w:val="21"/>
                      <w:lang w:val="en-US" w:eastAsia="zh-CN"/>
                    </w:rPr>
                    <w:t>不在生态</w:t>
                  </w:r>
                  <w:r>
                    <w:rPr>
                      <w:rStyle w:val="124"/>
                      <w:rFonts w:hint="default" w:ascii="Times New Roman" w:hAnsi="Times New Roman" w:cs="Times New Roman" w:eastAsiaTheme="majorEastAsia"/>
                      <w:color w:val="auto"/>
                      <w:sz w:val="21"/>
                      <w:szCs w:val="21"/>
                      <w:lang w:val="en-US" w:eastAsia="zh-CN" w:bidi="ar"/>
                    </w:rPr>
                    <w:t>保护红线内</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4DCBAA43">
                  <w:pPr>
                    <w:snapToGrid w:val="0"/>
                    <w:jc w:val="center"/>
                    <w:rPr>
                      <w:rFonts w:hint="default" w:ascii="Times New Roman" w:hAnsi="Times New Roman" w:cs="Times New Roman"/>
                      <w:sz w:val="21"/>
                      <w:szCs w:val="21"/>
                    </w:rPr>
                  </w:pPr>
                </w:p>
              </w:tc>
            </w:tr>
            <w:tr w14:paraId="6E652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489555B7">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3C05FB0A">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43B2376A">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3.</w:t>
                  </w:r>
                  <w:r>
                    <w:rPr>
                      <w:rStyle w:val="124"/>
                      <w:rFonts w:hint="default" w:ascii="Times New Roman" w:hAnsi="Times New Roman" w:cs="Times New Roman" w:eastAsiaTheme="majorEastAsia"/>
                      <w:color w:val="auto"/>
                      <w:sz w:val="21"/>
                      <w:szCs w:val="21"/>
                      <w:lang w:val="en-US" w:eastAsia="zh-CN" w:bidi="ar"/>
                    </w:rPr>
                    <w:t>生态保护红线外的生态空间，依法依规以保护为主，严格限制大规模、高强度的区域开发，并根据其主导生态功能进行分类管控。</w:t>
                  </w:r>
                </w:p>
              </w:tc>
              <w:tc>
                <w:tcPr>
                  <w:tcW w:w="1610" w:type="pct"/>
                  <w:vAlign w:val="center"/>
                </w:tcPr>
                <w:p w14:paraId="0A394DA3">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本项目位于</w:t>
                  </w:r>
                  <w:r>
                    <w:rPr>
                      <w:rFonts w:hint="eastAsia" w:ascii="Times New Roman" w:hAnsi="Times New Roman" w:eastAsia="宋体" w:cs="Times New Roman"/>
                      <w:sz w:val="21"/>
                      <w:szCs w:val="21"/>
                      <w:lang w:val="en-US" w:eastAsia="zh-CN"/>
                    </w:rPr>
                    <w:t>淄博市沂源县张家坡镇政通路88号</w:t>
                  </w:r>
                  <w:r>
                    <w:rPr>
                      <w:rFonts w:hint="eastAsia" w:ascii="Times New Roman" w:hAnsi="Times New Roman" w:cs="Times New Roman"/>
                      <w:color w:val="auto"/>
                      <w:kern w:val="0"/>
                      <w:sz w:val="21"/>
                      <w:szCs w:val="21"/>
                      <w:lang w:val="en-US" w:eastAsia="zh-CN"/>
                    </w:rPr>
                    <w:t>，</w:t>
                  </w:r>
                  <w:r>
                    <w:rPr>
                      <w:rFonts w:hint="eastAsia" w:cs="Times New Roman"/>
                      <w:color w:val="auto"/>
                      <w:kern w:val="0"/>
                      <w:sz w:val="21"/>
                      <w:szCs w:val="21"/>
                      <w:lang w:val="en-US" w:eastAsia="zh-CN"/>
                    </w:rPr>
                    <w:t>不在生态</w:t>
                  </w:r>
                  <w:r>
                    <w:rPr>
                      <w:rStyle w:val="124"/>
                      <w:rFonts w:hint="default" w:ascii="Times New Roman" w:hAnsi="Times New Roman" w:cs="Times New Roman" w:eastAsiaTheme="majorEastAsia"/>
                      <w:color w:val="auto"/>
                      <w:sz w:val="21"/>
                      <w:szCs w:val="21"/>
                      <w:lang w:val="en-US" w:eastAsia="zh-CN" w:bidi="ar"/>
                    </w:rPr>
                    <w:t>保护红线内</w:t>
                  </w:r>
                  <w:r>
                    <w:rPr>
                      <w:rStyle w:val="124"/>
                      <w:rFonts w:hint="eastAsia" w:ascii="Times New Roman" w:hAnsi="Times New Roman" w:cs="Times New Roman" w:eastAsiaTheme="majorEastAsia"/>
                      <w:color w:val="auto"/>
                      <w:sz w:val="21"/>
                      <w:szCs w:val="21"/>
                      <w:lang w:val="en-US" w:eastAsia="zh-CN" w:bidi="ar"/>
                    </w:rPr>
                    <w:t>，</w:t>
                  </w:r>
                  <w:r>
                    <w:rPr>
                      <w:rFonts w:hint="eastAsia" w:ascii="Times New Roman" w:hAnsi="Times New Roman" w:eastAsia="宋体" w:cs="Times New Roman"/>
                      <w:sz w:val="21"/>
                      <w:szCs w:val="21"/>
                      <w:lang w:val="en-US" w:eastAsia="zh-CN"/>
                    </w:rPr>
                    <w:t>项目</w:t>
                  </w:r>
                  <w:r>
                    <w:rPr>
                      <w:rFonts w:hint="eastAsia" w:cs="Times New Roman"/>
                      <w:sz w:val="21"/>
                      <w:szCs w:val="21"/>
                      <w:lang w:val="en-US" w:eastAsia="zh-CN"/>
                    </w:rPr>
                    <w:t>租赁已建成</w:t>
                  </w:r>
                  <w:r>
                    <w:rPr>
                      <w:rFonts w:hint="eastAsia" w:ascii="Times New Roman" w:hAnsi="Times New Roman" w:eastAsia="宋体" w:cs="Times New Roman"/>
                      <w:sz w:val="21"/>
                      <w:szCs w:val="21"/>
                      <w:lang w:val="en-US" w:eastAsia="zh-CN"/>
                    </w:rPr>
                    <w:t>厂房建设，不新建厂房，不新增用地。</w:t>
                  </w:r>
                </w:p>
              </w:tc>
              <w:tc>
                <w:tcPr>
                  <w:tcW w:w="655" w:type="pct"/>
                  <w:vMerge w:val="continue"/>
                  <w:vAlign w:val="center"/>
                </w:tcPr>
                <w:p w14:paraId="1563F615">
                  <w:pPr>
                    <w:snapToGrid w:val="0"/>
                    <w:jc w:val="center"/>
                    <w:rPr>
                      <w:rFonts w:hint="default" w:ascii="Times New Roman" w:hAnsi="Times New Roman" w:cs="Times New Roman"/>
                      <w:sz w:val="21"/>
                      <w:szCs w:val="21"/>
                    </w:rPr>
                  </w:pPr>
                </w:p>
              </w:tc>
            </w:tr>
            <w:tr w14:paraId="7BE20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44C3252B">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6A973D90">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0ADD0B7E">
                  <w:pPr>
                    <w:widowControl/>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rPr>
                    <w:t>4.</w:t>
                  </w:r>
                  <w:r>
                    <w:rPr>
                      <w:rStyle w:val="124"/>
                      <w:rFonts w:hint="default" w:ascii="Times New Roman" w:hAnsi="Times New Roman" w:cs="Times New Roman" w:eastAsiaTheme="majorEastAsia"/>
                      <w:color w:val="auto"/>
                      <w:sz w:val="21"/>
                      <w:szCs w:val="21"/>
                      <w:lang w:val="en-US" w:eastAsia="zh-CN" w:bidi="ar"/>
                    </w:rPr>
                    <w:t>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610" w:type="pct"/>
                  <w:vAlign w:val="center"/>
                </w:tcPr>
                <w:p w14:paraId="22A89D55">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本项目不属于</w:t>
                  </w:r>
                  <w:r>
                    <w:rPr>
                      <w:rStyle w:val="124"/>
                      <w:rFonts w:hint="default" w:ascii="Times New Roman" w:hAnsi="Times New Roman" w:cs="Times New Roman" w:eastAsiaTheme="majorEastAsia"/>
                      <w:color w:val="auto"/>
                      <w:sz w:val="21"/>
                      <w:szCs w:val="21"/>
                      <w:lang w:val="en-US" w:eastAsia="zh-CN" w:bidi="ar"/>
                    </w:rPr>
                    <w:t>有色金属冶炼、石油加工、化工、焦化、电镀、制革等行业</w:t>
                  </w:r>
                  <w:r>
                    <w:rPr>
                      <w:rStyle w:val="124"/>
                      <w:rFonts w:hint="eastAsia" w:ascii="Times New Roman" w:hAnsi="Times New Roman" w:cs="Times New Roman" w:eastAsiaTheme="majorEastAsia"/>
                      <w:color w:val="auto"/>
                      <w:sz w:val="21"/>
                      <w:szCs w:val="21"/>
                      <w:lang w:val="en-US" w:eastAsia="zh-CN" w:bidi="ar"/>
                    </w:rPr>
                    <w:t>，不占用</w:t>
                  </w:r>
                  <w:r>
                    <w:rPr>
                      <w:rStyle w:val="124"/>
                      <w:rFonts w:hint="default" w:ascii="Times New Roman" w:hAnsi="Times New Roman" w:cs="Times New Roman" w:eastAsiaTheme="majorEastAsia"/>
                      <w:color w:val="auto"/>
                      <w:sz w:val="21"/>
                      <w:szCs w:val="21"/>
                      <w:lang w:val="en-US" w:eastAsia="zh-CN" w:bidi="ar"/>
                    </w:rPr>
                    <w:t>永久基本农田</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6EBBC146">
                  <w:pPr>
                    <w:snapToGrid w:val="0"/>
                    <w:jc w:val="center"/>
                    <w:rPr>
                      <w:rFonts w:hint="default" w:ascii="Times New Roman" w:hAnsi="Times New Roman" w:cs="Times New Roman"/>
                      <w:sz w:val="21"/>
                      <w:szCs w:val="21"/>
                    </w:rPr>
                  </w:pPr>
                </w:p>
              </w:tc>
            </w:tr>
            <w:tr w14:paraId="28237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0E8FC64A">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31843DCB">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6C5C0B69">
                  <w:pPr>
                    <w:widowControl/>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rPr>
                    <w:t>5.</w:t>
                  </w:r>
                  <w:r>
                    <w:rPr>
                      <w:rStyle w:val="124"/>
                      <w:rFonts w:hint="default" w:ascii="Times New Roman" w:hAnsi="Times New Roman" w:cs="Times New Roman" w:eastAsiaTheme="majorEastAsia"/>
                      <w:color w:val="auto"/>
                      <w:sz w:val="21"/>
                      <w:szCs w:val="21"/>
                      <w:lang w:val="en-US" w:eastAsia="zh-CN" w:bidi="ar"/>
                    </w:rPr>
                    <w:t>按照《沂河（跋山水库以上段）岸线利用管理规划》等要求管理沂河岸线。</w:t>
                  </w:r>
                </w:p>
              </w:tc>
              <w:tc>
                <w:tcPr>
                  <w:tcW w:w="1610" w:type="pct"/>
                  <w:vAlign w:val="center"/>
                </w:tcPr>
                <w:p w14:paraId="7416BA38">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本项目位于</w:t>
                  </w:r>
                  <w:r>
                    <w:rPr>
                      <w:rFonts w:hint="eastAsia" w:ascii="Times New Roman" w:hAnsi="Times New Roman" w:eastAsia="宋体" w:cs="Times New Roman"/>
                      <w:sz w:val="21"/>
                      <w:szCs w:val="21"/>
                      <w:lang w:val="en-US" w:eastAsia="zh-CN"/>
                    </w:rPr>
                    <w:t>淄博市沂源县张家坡镇政通路88号</w:t>
                  </w:r>
                  <w:r>
                    <w:rPr>
                      <w:rFonts w:hint="eastAsia" w:ascii="Times New Roman" w:hAnsi="Times New Roman" w:cs="Times New Roman"/>
                      <w:color w:val="auto"/>
                      <w:kern w:val="0"/>
                      <w:sz w:val="21"/>
                      <w:szCs w:val="21"/>
                      <w:lang w:val="en-US" w:eastAsia="zh-CN"/>
                    </w:rPr>
                    <w:t>，不位于</w:t>
                  </w:r>
                  <w:r>
                    <w:rPr>
                      <w:rStyle w:val="124"/>
                      <w:rFonts w:hint="default" w:ascii="Times New Roman" w:hAnsi="Times New Roman" w:cs="Times New Roman" w:eastAsiaTheme="majorEastAsia"/>
                      <w:color w:val="auto"/>
                      <w:sz w:val="21"/>
                      <w:szCs w:val="21"/>
                      <w:lang w:val="en-US" w:eastAsia="zh-CN" w:bidi="ar"/>
                    </w:rPr>
                    <w:t>沂河岸线</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4880ABA7">
                  <w:pPr>
                    <w:snapToGrid w:val="0"/>
                    <w:jc w:val="center"/>
                    <w:rPr>
                      <w:rFonts w:hint="default" w:ascii="Times New Roman" w:hAnsi="Times New Roman" w:cs="Times New Roman"/>
                      <w:sz w:val="21"/>
                      <w:szCs w:val="21"/>
                    </w:rPr>
                  </w:pPr>
                </w:p>
              </w:tc>
            </w:tr>
            <w:tr w14:paraId="02377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35EA5C95">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661C66F1">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0EB1FBED">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6.</w:t>
                  </w:r>
                  <w:r>
                    <w:rPr>
                      <w:rStyle w:val="124"/>
                      <w:rFonts w:hint="default" w:ascii="Times New Roman" w:hAnsi="Times New Roman" w:cs="Times New Roman" w:eastAsiaTheme="majorEastAsia"/>
                      <w:color w:val="auto"/>
                      <w:sz w:val="21"/>
                      <w:szCs w:val="21"/>
                      <w:lang w:val="en-US" w:eastAsia="zh-CN" w:bidi="ar"/>
                    </w:rPr>
                    <w:t>污水处理设施不健全、未正常运行或污水管网未覆盖的地区，未配套污水处理设施的项目不得建设。</w:t>
                  </w:r>
                </w:p>
              </w:tc>
              <w:tc>
                <w:tcPr>
                  <w:tcW w:w="1610" w:type="pct"/>
                  <w:vAlign w:val="center"/>
                </w:tcPr>
                <w:p w14:paraId="49D63134">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w:t>
                  </w:r>
                  <w:r>
                    <w:rPr>
                      <w:rFonts w:hint="eastAsia"/>
                      <w:lang w:val="en-US" w:eastAsia="zh-CN"/>
                    </w:rPr>
                    <w:t>生产废水全部回用，不外排</w:t>
                  </w:r>
                  <w:r>
                    <w:rPr>
                      <w:rFonts w:hint="eastAsia" w:ascii="Times New Roman" w:hAnsi="Times New Roman"/>
                      <w:szCs w:val="21"/>
                      <w:highlight w:val="none"/>
                      <w:lang w:val="en-US" w:eastAsia="zh-CN"/>
                    </w:rPr>
                    <w:t>，</w:t>
                  </w:r>
                  <w:r>
                    <w:rPr>
                      <w:rFonts w:hint="eastAsia"/>
                      <w:szCs w:val="21"/>
                      <w:highlight w:val="none"/>
                      <w:lang w:val="en-US" w:eastAsia="zh-CN"/>
                    </w:rPr>
                    <w:t>生活污水经化粪池收集处理后由环卫部门定期清运，</w:t>
                  </w:r>
                  <w:r>
                    <w:rPr>
                      <w:rFonts w:hint="eastAsia" w:ascii="Times New Roman" w:hAnsi="Times New Roman"/>
                      <w:szCs w:val="21"/>
                      <w:highlight w:val="none"/>
                      <w:lang w:eastAsia="zh-CN"/>
                    </w:rPr>
                    <w:t>不直接排入地表水体</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6FEEDDBA">
                  <w:pPr>
                    <w:snapToGrid w:val="0"/>
                    <w:jc w:val="center"/>
                    <w:rPr>
                      <w:rFonts w:hint="default" w:ascii="Times New Roman" w:hAnsi="Times New Roman" w:cs="Times New Roman"/>
                      <w:sz w:val="21"/>
                      <w:szCs w:val="21"/>
                    </w:rPr>
                  </w:pPr>
                </w:p>
              </w:tc>
            </w:tr>
            <w:tr w14:paraId="13570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6757856B">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214D75F3">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209859B3">
                  <w:pPr>
                    <w:widowControl/>
                    <w:rPr>
                      <w:rFonts w:hint="eastAsia" w:ascii="Times New Roman" w:hAnsi="Times New Roman" w:cs="Times New Roman"/>
                      <w:color w:val="auto"/>
                      <w:kern w:val="0"/>
                      <w:sz w:val="21"/>
                      <w:szCs w:val="21"/>
                      <w:lang w:val="en-US" w:eastAsia="zh-CN"/>
                    </w:rPr>
                  </w:pPr>
                  <w:r>
                    <w:rPr>
                      <w:rStyle w:val="127"/>
                      <w:rFonts w:hint="eastAsia" w:ascii="Times New Roman" w:hAnsi="Times New Roman" w:cs="Times New Roman" w:eastAsiaTheme="majorEastAsia"/>
                      <w:color w:val="auto"/>
                      <w:sz w:val="21"/>
                      <w:szCs w:val="21"/>
                      <w:lang w:val="en-US" w:eastAsia="zh-CN" w:bidi="ar"/>
                    </w:rPr>
                    <w:t>7.</w:t>
                  </w:r>
                  <w:r>
                    <w:rPr>
                      <w:rStyle w:val="127"/>
                      <w:rFonts w:hint="default" w:ascii="Times New Roman" w:hAnsi="Times New Roman" w:cs="Times New Roman" w:eastAsiaTheme="majorEastAsia"/>
                      <w:color w:val="auto"/>
                      <w:sz w:val="21"/>
                      <w:szCs w:val="21"/>
                      <w:lang w:val="en-US" w:eastAsia="zh-CN" w:bidi="ar"/>
                    </w:rPr>
                    <w:t>新建有污染物排放的工业项目，除在安全生产等方面有特殊要求的以外，应当进入工业园区或工业聚集区。</w:t>
                  </w:r>
                </w:p>
              </w:tc>
              <w:tc>
                <w:tcPr>
                  <w:tcW w:w="1610" w:type="pct"/>
                  <w:vAlign w:val="center"/>
                </w:tcPr>
                <w:p w14:paraId="23FDCFAA">
                  <w:pPr>
                    <w:widowControl/>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本项目位于淄博市沂源县张家坡镇政通路88号，租赁现有厂房进行建设。</w:t>
                  </w:r>
                </w:p>
              </w:tc>
              <w:tc>
                <w:tcPr>
                  <w:tcW w:w="655" w:type="pct"/>
                  <w:vMerge w:val="continue"/>
                  <w:vAlign w:val="center"/>
                </w:tcPr>
                <w:p w14:paraId="3749BEAF">
                  <w:pPr>
                    <w:snapToGrid w:val="0"/>
                    <w:jc w:val="center"/>
                    <w:rPr>
                      <w:rFonts w:hint="default" w:ascii="Times New Roman" w:hAnsi="Times New Roman" w:cs="Times New Roman"/>
                      <w:sz w:val="21"/>
                      <w:szCs w:val="21"/>
                    </w:rPr>
                  </w:pPr>
                </w:p>
              </w:tc>
            </w:tr>
            <w:tr w14:paraId="482FA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4536FEAD">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574B528F">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4C214D1F">
                  <w:pPr>
                    <w:widowControl/>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8</w:t>
                  </w:r>
                  <w:r>
                    <w:rPr>
                      <w:rFonts w:hint="default" w:ascii="Times New Roman" w:hAnsi="Times New Roman" w:cs="Times New Roman"/>
                      <w:color w:val="auto"/>
                      <w:kern w:val="0"/>
                      <w:sz w:val="21"/>
                      <w:szCs w:val="21"/>
                      <w:lang w:val="en-US" w:eastAsia="zh-CN"/>
                    </w:rPr>
                    <w:t>.</w:t>
                  </w:r>
                  <w:r>
                    <w:rPr>
                      <w:rStyle w:val="127"/>
                      <w:rFonts w:hint="default" w:ascii="Times New Roman" w:hAnsi="Times New Roman" w:cs="Times New Roman" w:eastAsiaTheme="majorEastAsia"/>
                      <w:color w:val="auto"/>
                      <w:sz w:val="21"/>
                      <w:szCs w:val="21"/>
                      <w:lang w:val="en-US" w:eastAsia="zh-CN" w:bidi="ar"/>
                    </w:rPr>
                    <w:t>按</w:t>
                  </w:r>
                  <w:r>
                    <w:rPr>
                      <w:rStyle w:val="127"/>
                      <w:rFonts w:hint="default" w:ascii="Times New Roman" w:hAnsi="Times New Roman" w:cs="宋体" w:eastAsiaTheme="minorEastAsia"/>
                      <w:color w:val="auto"/>
                      <w:sz w:val="21"/>
                      <w:szCs w:val="21"/>
                      <w:lang w:val="en-US" w:eastAsia="zh-CN" w:bidi="ar"/>
                    </w:rPr>
                    <w:t>照省市要求，严格控制</w:t>
                  </w:r>
                  <w:r>
                    <w:rPr>
                      <w:rStyle w:val="128"/>
                      <w:rFonts w:hint="default" w:ascii="Times New Roman" w:hAnsi="Times New Roman" w:cs="宋体" w:eastAsiaTheme="minorEastAsia"/>
                      <w:color w:val="auto"/>
                      <w:sz w:val="21"/>
                      <w:szCs w:val="21"/>
                      <w:lang w:val="en-US" w:eastAsia="zh-CN" w:bidi="ar"/>
                    </w:rPr>
                    <w:t>“</w:t>
                  </w:r>
                  <w:r>
                    <w:rPr>
                      <w:rStyle w:val="127"/>
                      <w:rFonts w:hint="default" w:ascii="Times New Roman" w:hAnsi="Times New Roman" w:cs="宋体" w:eastAsiaTheme="minorEastAsia"/>
                      <w:color w:val="auto"/>
                      <w:sz w:val="21"/>
                      <w:szCs w:val="21"/>
                      <w:lang w:val="en-US" w:eastAsia="zh-CN" w:bidi="ar"/>
                    </w:rPr>
                    <w:t>两高</w:t>
                  </w:r>
                  <w:r>
                    <w:rPr>
                      <w:rStyle w:val="128"/>
                      <w:rFonts w:hint="default" w:ascii="Times New Roman" w:hAnsi="Times New Roman" w:cs="宋体" w:eastAsiaTheme="minorEastAsia"/>
                      <w:color w:val="auto"/>
                      <w:sz w:val="21"/>
                      <w:szCs w:val="21"/>
                      <w:lang w:val="en-US" w:eastAsia="zh-CN" w:bidi="ar"/>
                    </w:rPr>
                    <w:t>”</w:t>
                  </w:r>
                  <w:r>
                    <w:rPr>
                      <w:rStyle w:val="127"/>
                      <w:rFonts w:hint="default" w:ascii="Times New Roman" w:hAnsi="Times New Roman" w:cs="宋体" w:eastAsiaTheme="minorEastAsia"/>
                      <w:color w:val="auto"/>
                      <w:sz w:val="21"/>
                      <w:szCs w:val="21"/>
                      <w:lang w:val="en-US" w:eastAsia="zh-CN" w:bidi="ar"/>
                    </w:rPr>
                    <w:t>项目</w:t>
                  </w:r>
                  <w:r>
                    <w:rPr>
                      <w:rStyle w:val="127"/>
                      <w:rFonts w:hint="default" w:ascii="Times New Roman" w:hAnsi="Times New Roman" w:cs="Times New Roman" w:eastAsiaTheme="majorEastAsia"/>
                      <w:color w:val="auto"/>
                      <w:sz w:val="21"/>
                      <w:szCs w:val="21"/>
                      <w:lang w:val="en-US" w:eastAsia="zh-CN" w:bidi="ar"/>
                    </w:rPr>
                    <w:t>，新建</w:t>
                  </w:r>
                  <w:r>
                    <w:rPr>
                      <w:rStyle w:val="128"/>
                      <w:rFonts w:hint="default" w:ascii="Times New Roman" w:hAnsi="Times New Roman" w:cs="Times New Roman" w:eastAsiaTheme="majorEastAsia"/>
                      <w:color w:val="auto"/>
                      <w:sz w:val="21"/>
                      <w:szCs w:val="21"/>
                      <w:lang w:val="en-US" w:eastAsia="zh-CN" w:bidi="ar"/>
                    </w:rPr>
                    <w:t>“</w:t>
                  </w:r>
                  <w:r>
                    <w:rPr>
                      <w:rStyle w:val="127"/>
                      <w:rFonts w:hint="default" w:ascii="Times New Roman" w:hAnsi="Times New Roman" w:cs="Times New Roman" w:eastAsiaTheme="majorEastAsia"/>
                      <w:color w:val="auto"/>
                      <w:sz w:val="21"/>
                      <w:szCs w:val="21"/>
                      <w:lang w:val="en-US" w:eastAsia="zh-CN" w:bidi="ar"/>
                    </w:rPr>
                    <w:t>两高</w:t>
                  </w:r>
                  <w:r>
                    <w:rPr>
                      <w:rStyle w:val="128"/>
                      <w:rFonts w:hint="default" w:ascii="Times New Roman" w:hAnsi="Times New Roman" w:cs="Times New Roman" w:eastAsiaTheme="majorEastAsia"/>
                      <w:color w:val="auto"/>
                      <w:sz w:val="21"/>
                      <w:szCs w:val="21"/>
                      <w:lang w:val="en-US" w:eastAsia="zh-CN" w:bidi="ar"/>
                    </w:rPr>
                    <w:t>”</w:t>
                  </w:r>
                  <w:r>
                    <w:rPr>
                      <w:rStyle w:val="127"/>
                      <w:rFonts w:hint="default" w:ascii="Times New Roman" w:hAnsi="Times New Roman" w:cs="Times New Roman" w:eastAsiaTheme="majorEastAsia"/>
                      <w:color w:val="auto"/>
                      <w:sz w:val="21"/>
                      <w:szCs w:val="21"/>
                      <w:lang w:val="en-US" w:eastAsia="zh-CN" w:bidi="ar"/>
                    </w:rPr>
                    <w:t>项目实行</w:t>
                  </w:r>
                  <w:r>
                    <w:rPr>
                      <w:rStyle w:val="128"/>
                      <w:rFonts w:hint="default" w:ascii="Times New Roman" w:hAnsi="Times New Roman" w:cs="Times New Roman" w:eastAsiaTheme="majorEastAsia"/>
                      <w:color w:val="auto"/>
                      <w:sz w:val="21"/>
                      <w:szCs w:val="21"/>
                      <w:lang w:val="en-US" w:eastAsia="zh-CN" w:bidi="ar"/>
                    </w:rPr>
                    <w:t>“</w:t>
                  </w:r>
                  <w:r>
                    <w:rPr>
                      <w:rStyle w:val="127"/>
                      <w:rFonts w:hint="default" w:ascii="Times New Roman" w:hAnsi="Times New Roman" w:cs="Times New Roman" w:eastAsiaTheme="majorEastAsia"/>
                      <w:color w:val="auto"/>
                      <w:sz w:val="21"/>
                      <w:szCs w:val="21"/>
                      <w:lang w:val="en-US" w:eastAsia="zh-CN" w:bidi="ar"/>
                    </w:rPr>
                    <w:t>五个减量替代</w:t>
                  </w:r>
                  <w:r>
                    <w:rPr>
                      <w:rStyle w:val="128"/>
                      <w:rFonts w:hint="default" w:ascii="Times New Roman" w:hAnsi="Times New Roman" w:cs="Times New Roman" w:eastAsiaTheme="majorEastAsia"/>
                      <w:color w:val="auto"/>
                      <w:sz w:val="21"/>
                      <w:szCs w:val="21"/>
                      <w:lang w:val="en-US" w:eastAsia="zh-CN" w:bidi="ar"/>
                    </w:rPr>
                    <w:t>”</w:t>
                  </w:r>
                  <w:r>
                    <w:rPr>
                      <w:rStyle w:val="127"/>
                      <w:rFonts w:hint="default" w:ascii="Times New Roman" w:hAnsi="Times New Roman" w:cs="Times New Roman" w:eastAsiaTheme="majorEastAsia"/>
                      <w:color w:val="auto"/>
                      <w:sz w:val="21"/>
                      <w:szCs w:val="21"/>
                      <w:lang w:val="en-US" w:eastAsia="zh-CN" w:bidi="ar"/>
                    </w:rPr>
                    <w:t>。</w:t>
                  </w:r>
                </w:p>
              </w:tc>
              <w:tc>
                <w:tcPr>
                  <w:tcW w:w="1610" w:type="pct"/>
                  <w:vAlign w:val="center"/>
                </w:tcPr>
                <w:p w14:paraId="5197F579">
                  <w:pPr>
                    <w:widowControl/>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本项目不属于两高项目</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12A7EB9A">
                  <w:pPr>
                    <w:snapToGrid w:val="0"/>
                    <w:jc w:val="center"/>
                    <w:rPr>
                      <w:rFonts w:hint="default" w:ascii="Times New Roman" w:hAnsi="Times New Roman" w:cs="Times New Roman"/>
                      <w:sz w:val="21"/>
                      <w:szCs w:val="21"/>
                    </w:rPr>
                  </w:pPr>
                </w:p>
              </w:tc>
            </w:tr>
            <w:tr w14:paraId="4BCD4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0BF649A5">
                  <w:pPr>
                    <w:snapToGrid w:val="0"/>
                    <w:spacing w:beforeLines="0" w:afterLines="0"/>
                    <w:jc w:val="center"/>
                    <w:rPr>
                      <w:rFonts w:hint="eastAsia" w:cs="Times New Roman"/>
                      <w:color w:val="auto"/>
                      <w:kern w:val="0"/>
                      <w:sz w:val="21"/>
                      <w:szCs w:val="21"/>
                      <w:lang w:val="en-US" w:eastAsia="zh-CN"/>
                    </w:rPr>
                  </w:pPr>
                </w:p>
              </w:tc>
              <w:tc>
                <w:tcPr>
                  <w:tcW w:w="495" w:type="pct"/>
                  <w:vMerge w:val="restart"/>
                  <w:vAlign w:val="center"/>
                </w:tcPr>
                <w:p w14:paraId="0D6054FE">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污染物排放管控</w:t>
                  </w:r>
                </w:p>
              </w:tc>
              <w:tc>
                <w:tcPr>
                  <w:tcW w:w="1738" w:type="pct"/>
                  <w:vAlign w:val="center"/>
                </w:tcPr>
                <w:p w14:paraId="6C6028CA">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1.</w:t>
                  </w:r>
                  <w:r>
                    <w:rPr>
                      <w:rFonts w:hint="default" w:ascii="Times New Roman" w:hAnsi="Times New Roman" w:cs="Times New Roman"/>
                      <w:color w:val="auto"/>
                      <w:kern w:val="0"/>
                      <w:sz w:val="21"/>
                      <w:szCs w:val="21"/>
                      <w:lang w:val="en-US" w:eastAsia="zh-CN"/>
                    </w:rPr>
                    <w:t>涉</w:t>
                  </w:r>
                  <w:r>
                    <w:rPr>
                      <w:rFonts w:hint="eastAsia" w:ascii="Times New Roman" w:hAnsi="Times New Roman" w:cs="Times New Roman"/>
                      <w:color w:val="auto"/>
                      <w:kern w:val="0"/>
                      <w:sz w:val="21"/>
                      <w:szCs w:val="21"/>
                      <w:lang w:val="en-US" w:eastAsia="zh-CN"/>
                    </w:rPr>
                    <w:t>“两高”</w:t>
                  </w:r>
                  <w:r>
                    <w:rPr>
                      <w:rFonts w:hint="default" w:ascii="Times New Roman" w:hAnsi="Times New Roman" w:cs="Times New Roman"/>
                      <w:color w:val="auto"/>
                      <w:kern w:val="0"/>
                      <w:sz w:val="21"/>
                      <w:szCs w:val="21"/>
                      <w:lang w:val="en-US" w:eastAsia="zh-CN"/>
                    </w:rPr>
                    <w:t>项目企业应当积极实施节能改造提升，提高能源使用效率，推进节能减排。</w:t>
                  </w:r>
                </w:p>
              </w:tc>
              <w:tc>
                <w:tcPr>
                  <w:tcW w:w="1610" w:type="pct"/>
                  <w:vAlign w:val="center"/>
                </w:tcPr>
                <w:p w14:paraId="3488BBD5">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w:t>
                  </w:r>
                  <w:r>
                    <w:rPr>
                      <w:rFonts w:hint="eastAsia" w:cs="Times New Roman"/>
                      <w:color w:val="auto"/>
                      <w:kern w:val="0"/>
                      <w:sz w:val="21"/>
                      <w:szCs w:val="21"/>
                      <w:lang w:val="en-US" w:eastAsia="zh-CN"/>
                    </w:rPr>
                    <w:t>不属于</w:t>
                  </w:r>
                  <w:r>
                    <w:rPr>
                      <w:rFonts w:hint="eastAsia" w:ascii="Times New Roman" w:hAnsi="Times New Roman" w:cs="Times New Roman"/>
                      <w:color w:val="auto"/>
                      <w:kern w:val="0"/>
                      <w:sz w:val="21"/>
                      <w:szCs w:val="21"/>
                      <w:lang w:val="en-US" w:eastAsia="zh-CN"/>
                    </w:rPr>
                    <w:t>两高项目。</w:t>
                  </w:r>
                </w:p>
              </w:tc>
              <w:tc>
                <w:tcPr>
                  <w:tcW w:w="655" w:type="pct"/>
                  <w:vMerge w:val="restart"/>
                  <w:vAlign w:val="center"/>
                </w:tcPr>
                <w:p w14:paraId="01095988">
                  <w:pPr>
                    <w:snapToGrid w:val="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符合</w:t>
                  </w:r>
                </w:p>
              </w:tc>
            </w:tr>
            <w:tr w14:paraId="5976F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40B73E32">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686C7DAF">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25500B2D">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2.落实主要污染物总量替代要求。按照山东省生态环境厅《关于印发山东省建设项目主要大气污染物排放总量替代指标核算及管理办法的通知》，实施动态管控替代。</w:t>
                  </w:r>
                </w:p>
              </w:tc>
              <w:tc>
                <w:tcPr>
                  <w:tcW w:w="1610" w:type="pct"/>
                  <w:vAlign w:val="center"/>
                </w:tcPr>
                <w:p w14:paraId="2DCB4D8E">
                  <w:pPr>
                    <w:widowControl/>
                    <w:jc w:val="center"/>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本项目</w:t>
                  </w:r>
                  <w:r>
                    <w:rPr>
                      <w:rFonts w:hint="eastAsia" w:cs="Times New Roman"/>
                      <w:color w:val="auto"/>
                      <w:kern w:val="0"/>
                      <w:sz w:val="21"/>
                      <w:szCs w:val="21"/>
                      <w:lang w:val="en-US" w:eastAsia="zh-CN"/>
                    </w:rPr>
                    <w:t>污染物排放按照要求进行倍量替代</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3A6E5503">
                  <w:pPr>
                    <w:snapToGrid w:val="0"/>
                    <w:jc w:val="center"/>
                    <w:rPr>
                      <w:rFonts w:hint="default" w:ascii="Times New Roman" w:hAnsi="Times New Roman" w:cs="Times New Roman"/>
                      <w:sz w:val="21"/>
                      <w:szCs w:val="21"/>
                    </w:rPr>
                  </w:pPr>
                </w:p>
              </w:tc>
            </w:tr>
            <w:tr w14:paraId="2621A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3BE21F44">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686CC0CE">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48715F77">
                  <w:pPr>
                    <w:widowControl/>
                    <w:rPr>
                      <w:rFonts w:hint="eastAsia" w:ascii="Times New Roman" w:hAnsi="Times New Roman" w:eastAsia="宋体" w:cs="Times New Roman"/>
                      <w:color w:val="auto"/>
                      <w:kern w:val="0"/>
                      <w:sz w:val="21"/>
                      <w:szCs w:val="21"/>
                      <w:lang w:val="en-US" w:eastAsia="zh-CN" w:bidi="ar-SA"/>
                    </w:rPr>
                  </w:pPr>
                  <w:r>
                    <w:rPr>
                      <w:rStyle w:val="125"/>
                      <w:rFonts w:hint="default" w:ascii="Times New Roman" w:hAnsi="Times New Roman" w:cs="Times New Roman" w:eastAsiaTheme="majorEastAsia"/>
                      <w:color w:val="auto"/>
                      <w:sz w:val="21"/>
                      <w:szCs w:val="21"/>
                      <w:lang w:val="en-US" w:eastAsia="zh-CN" w:bidi="ar"/>
                    </w:rPr>
                    <w:t>3.</w:t>
                  </w:r>
                  <w:r>
                    <w:rPr>
                      <w:rStyle w:val="124"/>
                      <w:rFonts w:hint="default" w:ascii="Times New Roman" w:hAnsi="Times New Roman" w:cs="Times New Roman" w:eastAsiaTheme="majorEastAsia"/>
                      <w:color w:val="auto"/>
                      <w:sz w:val="21"/>
                      <w:szCs w:val="21"/>
                      <w:lang w:val="en-US" w:eastAsia="zh-CN" w:bidi="ar"/>
                    </w:rPr>
                    <w:t>废水应当按照要求进行预处理，达到行业排放标准或是综合排放标准后方可排放。</w:t>
                  </w:r>
                </w:p>
              </w:tc>
              <w:tc>
                <w:tcPr>
                  <w:tcW w:w="1610" w:type="pct"/>
                  <w:vAlign w:val="center"/>
                </w:tcPr>
                <w:p w14:paraId="6C9F18BC">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本项目生产废水</w:t>
                  </w:r>
                  <w:r>
                    <w:rPr>
                      <w:rFonts w:hint="eastAsia" w:cs="Times New Roman"/>
                      <w:color w:val="auto"/>
                      <w:kern w:val="0"/>
                      <w:sz w:val="21"/>
                      <w:szCs w:val="21"/>
                      <w:lang w:val="en-US" w:eastAsia="zh-CN"/>
                    </w:rPr>
                    <w:t>全部回用，不外排</w:t>
                  </w:r>
                  <w:r>
                    <w:rPr>
                      <w:rFonts w:hint="eastAsia" w:ascii="Times New Roman" w:hAnsi="Times New Roman" w:cs="Times New Roman"/>
                      <w:color w:val="auto"/>
                      <w:kern w:val="0"/>
                      <w:sz w:val="21"/>
                      <w:szCs w:val="21"/>
                      <w:lang w:val="en-US" w:eastAsia="zh-CN"/>
                    </w:rPr>
                    <w:t>，生活废水</w:t>
                  </w:r>
                  <w:r>
                    <w:rPr>
                      <w:rFonts w:hint="eastAsia" w:cs="Times New Roman"/>
                      <w:color w:val="auto"/>
                      <w:kern w:val="0"/>
                      <w:sz w:val="21"/>
                      <w:szCs w:val="21"/>
                      <w:lang w:val="en-US" w:eastAsia="zh-CN"/>
                    </w:rPr>
                    <w:t>经化粪池收集处理后由环卫部门定期清运</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4A4C6603">
                  <w:pPr>
                    <w:snapToGrid w:val="0"/>
                    <w:jc w:val="center"/>
                    <w:rPr>
                      <w:rFonts w:hint="default" w:ascii="Times New Roman" w:hAnsi="Times New Roman" w:cs="Times New Roman"/>
                      <w:sz w:val="21"/>
                      <w:szCs w:val="21"/>
                    </w:rPr>
                  </w:pPr>
                </w:p>
              </w:tc>
            </w:tr>
            <w:tr w14:paraId="3DF30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46BD38DF">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723B8238">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225E56E1">
                  <w:pPr>
                    <w:widowControl/>
                    <w:rPr>
                      <w:rFonts w:hint="eastAsia" w:ascii="Times New Roman" w:hAnsi="Times New Roman" w:eastAsia="宋体" w:cs="Times New Roman"/>
                      <w:color w:val="auto"/>
                      <w:kern w:val="0"/>
                      <w:sz w:val="21"/>
                      <w:szCs w:val="21"/>
                      <w:lang w:val="en-US" w:eastAsia="zh-CN" w:bidi="ar-SA"/>
                    </w:rPr>
                  </w:pPr>
                  <w:r>
                    <w:rPr>
                      <w:rStyle w:val="125"/>
                      <w:rFonts w:hint="default" w:ascii="Times New Roman" w:hAnsi="Times New Roman" w:cs="Times New Roman" w:eastAsiaTheme="majorEastAsia"/>
                      <w:color w:val="auto"/>
                      <w:sz w:val="21"/>
                      <w:szCs w:val="21"/>
                      <w:lang w:val="en-US" w:eastAsia="zh-CN" w:bidi="ar"/>
                    </w:rPr>
                    <w:t>4.</w:t>
                  </w:r>
                  <w:r>
                    <w:rPr>
                      <w:rStyle w:val="124"/>
                      <w:rFonts w:hint="default" w:ascii="Times New Roman" w:hAnsi="Times New Roman" w:cs="Times New Roman" w:eastAsiaTheme="majorEastAsia"/>
                      <w:color w:val="auto"/>
                      <w:sz w:val="21"/>
                      <w:szCs w:val="21"/>
                      <w:lang w:val="en-US" w:eastAsia="zh-CN" w:bidi="ar"/>
                    </w:rPr>
                    <w:t>禁止工业废水和生活污水未经处理直排环境；原则上除工业污水集中处理设施、城镇污水处理厂外不得新建入河排污口。</w:t>
                  </w:r>
                </w:p>
              </w:tc>
              <w:tc>
                <w:tcPr>
                  <w:tcW w:w="1610" w:type="pct"/>
                  <w:vAlign w:val="center"/>
                </w:tcPr>
                <w:p w14:paraId="13A44F30">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本项目生产废水</w:t>
                  </w:r>
                  <w:r>
                    <w:rPr>
                      <w:rFonts w:hint="eastAsia" w:cs="Times New Roman"/>
                      <w:color w:val="auto"/>
                      <w:kern w:val="0"/>
                      <w:sz w:val="21"/>
                      <w:szCs w:val="21"/>
                      <w:lang w:val="en-US" w:eastAsia="zh-CN"/>
                    </w:rPr>
                    <w:t>全部回用，不外排</w:t>
                  </w:r>
                  <w:r>
                    <w:rPr>
                      <w:rFonts w:hint="eastAsia" w:ascii="Times New Roman" w:hAnsi="Times New Roman" w:cs="Times New Roman"/>
                      <w:color w:val="auto"/>
                      <w:kern w:val="0"/>
                      <w:sz w:val="21"/>
                      <w:szCs w:val="21"/>
                      <w:lang w:val="en-US" w:eastAsia="zh-CN"/>
                    </w:rPr>
                    <w:t>，生活废水</w:t>
                  </w:r>
                  <w:r>
                    <w:rPr>
                      <w:rFonts w:hint="eastAsia" w:cs="Times New Roman"/>
                      <w:color w:val="auto"/>
                      <w:kern w:val="0"/>
                      <w:sz w:val="21"/>
                      <w:szCs w:val="21"/>
                      <w:lang w:val="en-US" w:eastAsia="zh-CN"/>
                    </w:rPr>
                    <w:t>经化粪池收集处理后由环卫部门定期清运</w:t>
                  </w:r>
                  <w:r>
                    <w:rPr>
                      <w:rFonts w:hint="eastAsia" w:ascii="Times New Roman" w:hAnsi="Times New Roman" w:cs="Times New Roman"/>
                      <w:color w:val="auto"/>
                      <w:kern w:val="0"/>
                      <w:sz w:val="21"/>
                      <w:szCs w:val="21"/>
                      <w:lang w:val="en-US" w:eastAsia="zh-CN"/>
                    </w:rPr>
                    <w:t>。不直接排入地表水体，不新建入河排污口。</w:t>
                  </w:r>
                </w:p>
              </w:tc>
              <w:tc>
                <w:tcPr>
                  <w:tcW w:w="655" w:type="pct"/>
                  <w:vMerge w:val="continue"/>
                  <w:vAlign w:val="center"/>
                </w:tcPr>
                <w:p w14:paraId="53CC5AA1">
                  <w:pPr>
                    <w:snapToGrid w:val="0"/>
                    <w:jc w:val="center"/>
                    <w:rPr>
                      <w:rFonts w:hint="default" w:ascii="Times New Roman" w:hAnsi="Times New Roman" w:cs="Times New Roman"/>
                      <w:sz w:val="21"/>
                      <w:szCs w:val="21"/>
                    </w:rPr>
                  </w:pPr>
                </w:p>
              </w:tc>
            </w:tr>
            <w:tr w14:paraId="36BCC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6A7A6C89">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549DE416">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187C6920">
                  <w:pPr>
                    <w:widowControl/>
                    <w:rPr>
                      <w:rFonts w:hint="eastAsia" w:ascii="Times New Roman" w:hAnsi="Times New Roman" w:eastAsia="宋体" w:cs="Times New Roman"/>
                      <w:color w:val="auto"/>
                      <w:kern w:val="0"/>
                      <w:sz w:val="21"/>
                      <w:szCs w:val="21"/>
                      <w:lang w:val="en-US" w:eastAsia="zh-CN" w:bidi="ar-SA"/>
                    </w:rPr>
                  </w:pPr>
                  <w:r>
                    <w:rPr>
                      <w:rStyle w:val="125"/>
                      <w:rFonts w:hint="default" w:ascii="Times New Roman" w:hAnsi="Times New Roman" w:cs="Times New Roman" w:eastAsiaTheme="majorEastAsia"/>
                      <w:color w:val="auto"/>
                      <w:sz w:val="21"/>
                      <w:szCs w:val="21"/>
                      <w:lang w:val="en-US" w:eastAsia="zh-CN" w:bidi="ar"/>
                    </w:rPr>
                    <w:t>5.</w:t>
                  </w:r>
                  <w:r>
                    <w:rPr>
                      <w:rStyle w:val="124"/>
                      <w:rFonts w:hint="eastAsia" w:ascii="Times New Roman" w:hAnsi="Times New Roman" w:cs="Times New Roman" w:eastAsiaTheme="majorEastAsia"/>
                      <w:color w:val="auto"/>
                      <w:sz w:val="21"/>
                      <w:szCs w:val="21"/>
                      <w:lang w:val="en-US" w:eastAsia="zh-CN" w:bidi="ar"/>
                    </w:rPr>
                    <w:t>涉VOCs排放的行业，严格按照淄博市行业环境管控要求，实施源头替代，建立健全治理设施，确保污染物稳定达标排放，做到持证排污。</w:t>
                  </w:r>
                </w:p>
              </w:tc>
              <w:tc>
                <w:tcPr>
                  <w:tcW w:w="1610" w:type="pct"/>
                  <w:vAlign w:val="center"/>
                </w:tcPr>
                <w:p w14:paraId="25AFDD46">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lang w:eastAsia="zh-CN"/>
                    </w:rPr>
                    <w:t>本项目</w:t>
                  </w:r>
                  <w:r>
                    <w:rPr>
                      <w:rFonts w:hint="eastAsia" w:ascii="Times New Roman" w:hAnsi="Times New Roman"/>
                      <w:lang w:val="en-US" w:eastAsia="zh-CN"/>
                    </w:rPr>
                    <w:t>将严格</w:t>
                  </w:r>
                  <w:r>
                    <w:rPr>
                      <w:rFonts w:hint="eastAsia" w:ascii="Times New Roman" w:hAnsi="Times New Roman"/>
                      <w:lang w:eastAsia="zh-CN"/>
                    </w:rPr>
                    <w:t>落实</w:t>
                  </w:r>
                  <w:r>
                    <w:rPr>
                      <w:rFonts w:hint="eastAsia" w:ascii="Times New Roman" w:hAnsi="Times New Roman"/>
                      <w:lang w:val="en-US" w:eastAsia="zh-CN"/>
                    </w:rPr>
                    <w:t>VOCs总量控制，</w:t>
                  </w:r>
                  <w:r>
                    <w:rPr>
                      <w:rFonts w:hint="eastAsia" w:ascii="Times New Roman" w:hAnsi="Times New Roman"/>
                      <w:lang w:eastAsia="zh-CN"/>
                    </w:rPr>
                    <w:t>严格按照污染物总量替代要求申请总量</w:t>
                  </w:r>
                  <w:r>
                    <w:rPr>
                      <w:rFonts w:hint="eastAsia" w:ascii="Times New Roman" w:hAnsi="Times New Roman"/>
                    </w:rPr>
                    <w:t>。</w:t>
                  </w:r>
                  <w:r>
                    <w:rPr>
                      <w:rFonts w:hint="eastAsia" w:ascii="Times New Roman" w:hAnsi="Times New Roman" w:cs="Times New Roman"/>
                      <w:color w:val="auto"/>
                      <w:kern w:val="0"/>
                      <w:sz w:val="21"/>
                      <w:szCs w:val="21"/>
                      <w:lang w:val="en-US" w:eastAsia="zh-CN"/>
                    </w:rPr>
                    <w:t>本项目</w:t>
                  </w:r>
                  <w:r>
                    <w:rPr>
                      <w:rFonts w:hint="eastAsia" w:cs="Times New Roman"/>
                      <w:color w:val="auto"/>
                      <w:kern w:val="0"/>
                      <w:sz w:val="21"/>
                      <w:szCs w:val="21"/>
                      <w:lang w:val="en-US" w:eastAsia="zh-CN"/>
                    </w:rPr>
                    <w:t>废气经环保设施处理后能够达标排放</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531DDA84">
                  <w:pPr>
                    <w:snapToGrid w:val="0"/>
                    <w:jc w:val="center"/>
                    <w:rPr>
                      <w:rFonts w:hint="default" w:ascii="Times New Roman" w:hAnsi="Times New Roman" w:cs="Times New Roman"/>
                      <w:sz w:val="21"/>
                      <w:szCs w:val="21"/>
                    </w:rPr>
                  </w:pPr>
                </w:p>
              </w:tc>
            </w:tr>
            <w:tr w14:paraId="5748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2CC904EA">
                  <w:pPr>
                    <w:snapToGrid w:val="0"/>
                    <w:spacing w:beforeLines="0" w:afterLines="0"/>
                    <w:jc w:val="center"/>
                    <w:rPr>
                      <w:rFonts w:hint="eastAsia" w:cs="Times New Roman"/>
                      <w:color w:val="auto"/>
                      <w:kern w:val="0"/>
                      <w:sz w:val="21"/>
                      <w:szCs w:val="21"/>
                      <w:lang w:val="en-US" w:eastAsia="zh-CN"/>
                    </w:rPr>
                  </w:pPr>
                </w:p>
              </w:tc>
              <w:tc>
                <w:tcPr>
                  <w:tcW w:w="495" w:type="pct"/>
                  <w:vMerge w:val="restart"/>
                  <w:vAlign w:val="center"/>
                </w:tcPr>
                <w:p w14:paraId="0D6E1EE3">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环境风险管控</w:t>
                  </w:r>
                </w:p>
              </w:tc>
              <w:tc>
                <w:tcPr>
                  <w:tcW w:w="1738" w:type="pct"/>
                  <w:vAlign w:val="center"/>
                </w:tcPr>
                <w:p w14:paraId="24570330">
                  <w:pPr>
                    <w:widowControl/>
                    <w:rPr>
                      <w:rFonts w:hint="eastAsia" w:ascii="Times New Roman" w:hAnsi="Times New Roman" w:eastAsia="宋体" w:cs="Times New Roman"/>
                      <w:color w:val="auto"/>
                      <w:kern w:val="0"/>
                      <w:sz w:val="21"/>
                      <w:szCs w:val="21"/>
                      <w:lang w:val="en-US" w:eastAsia="zh-CN" w:bidi="ar-SA"/>
                    </w:rPr>
                  </w:pPr>
                  <w:r>
                    <w:rPr>
                      <w:rStyle w:val="125"/>
                      <w:rFonts w:hint="default" w:ascii="Times New Roman" w:hAnsi="Times New Roman" w:cs="Times New Roman" w:eastAsiaTheme="majorEastAsia"/>
                      <w:color w:val="auto"/>
                      <w:sz w:val="21"/>
                      <w:szCs w:val="21"/>
                      <w:lang w:val="en-US" w:eastAsia="zh-CN" w:bidi="ar"/>
                    </w:rPr>
                    <w:t>1.</w:t>
                  </w:r>
                  <w:r>
                    <w:rPr>
                      <w:rStyle w:val="124"/>
                      <w:rFonts w:hint="default" w:ascii="Times New Roman" w:hAnsi="Times New Roman" w:cs="Times New Roman" w:eastAsiaTheme="majorEastAsia"/>
                      <w:color w:val="auto"/>
                      <w:sz w:val="21"/>
                      <w:szCs w:val="21"/>
                      <w:lang w:val="en-US" w:eastAsia="zh-CN" w:bidi="ar"/>
                    </w:rPr>
                    <w:t>建立生态保护红线常态化日常巡护。</w:t>
                  </w:r>
                </w:p>
              </w:tc>
              <w:tc>
                <w:tcPr>
                  <w:tcW w:w="1610" w:type="pct"/>
                  <w:vAlign w:val="center"/>
                </w:tcPr>
                <w:p w14:paraId="23E3C8FF">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w:t>
                  </w:r>
                  <w:r>
                    <w:rPr>
                      <w:rFonts w:hint="eastAsia" w:cs="Times New Roman"/>
                      <w:color w:val="auto"/>
                      <w:kern w:val="0"/>
                      <w:sz w:val="21"/>
                      <w:szCs w:val="21"/>
                      <w:lang w:val="en-US" w:eastAsia="zh-CN"/>
                    </w:rPr>
                    <w:t>不在生态保护红线内</w:t>
                  </w:r>
                  <w:r>
                    <w:rPr>
                      <w:rFonts w:hint="eastAsia" w:ascii="Times New Roman" w:hAnsi="Times New Roman" w:cs="Times New Roman"/>
                      <w:color w:val="auto"/>
                      <w:kern w:val="0"/>
                      <w:sz w:val="21"/>
                      <w:szCs w:val="21"/>
                      <w:lang w:val="en-US" w:eastAsia="zh-CN"/>
                    </w:rPr>
                    <w:t>。</w:t>
                  </w:r>
                </w:p>
              </w:tc>
              <w:tc>
                <w:tcPr>
                  <w:tcW w:w="655" w:type="pct"/>
                  <w:vMerge w:val="restart"/>
                  <w:vAlign w:val="center"/>
                </w:tcPr>
                <w:p w14:paraId="0272B8BC">
                  <w:pPr>
                    <w:snapToGrid w:val="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符合</w:t>
                  </w:r>
                </w:p>
              </w:tc>
            </w:tr>
            <w:tr w14:paraId="0DA92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0BFE4AB6">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5446FFDC">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623198C2">
                  <w:pPr>
                    <w:widowControl/>
                    <w:rPr>
                      <w:rFonts w:hint="eastAsia" w:ascii="Times New Roman" w:hAnsi="Times New Roman" w:eastAsia="宋体" w:cs="Times New Roman"/>
                      <w:color w:val="auto"/>
                      <w:kern w:val="0"/>
                      <w:sz w:val="21"/>
                      <w:szCs w:val="21"/>
                      <w:lang w:val="en-US" w:eastAsia="zh-CN" w:bidi="ar-SA"/>
                    </w:rPr>
                  </w:pPr>
                  <w:r>
                    <w:rPr>
                      <w:rStyle w:val="125"/>
                      <w:rFonts w:hint="default" w:ascii="Times New Roman" w:hAnsi="Times New Roman" w:cs="Times New Roman" w:eastAsiaTheme="majorEastAsia"/>
                      <w:color w:val="auto"/>
                      <w:sz w:val="21"/>
                      <w:szCs w:val="21"/>
                      <w:lang w:val="en-US" w:eastAsia="zh-CN" w:bidi="ar"/>
                    </w:rPr>
                    <w:t>2.</w:t>
                  </w:r>
                  <w:r>
                    <w:rPr>
                      <w:rStyle w:val="124"/>
                      <w:rFonts w:hint="default" w:ascii="Times New Roman" w:hAnsi="Times New Roman" w:cs="Times New Roman" w:eastAsiaTheme="majorEastAsia"/>
                      <w:color w:val="auto"/>
                      <w:sz w:val="21"/>
                      <w:szCs w:val="21"/>
                      <w:lang w:val="en-US" w:eastAsia="zh-CN" w:bidi="ar"/>
                    </w:rPr>
                    <w:t>严格规范自然保护区范围和功能区调整，遏制不合理调整和非法</w:t>
                  </w:r>
                  <w:r>
                    <w:rPr>
                      <w:rStyle w:val="125"/>
                      <w:rFonts w:hint="default" w:ascii="Times New Roman" w:hAnsi="Times New Roman" w:cs="Times New Roman" w:eastAsiaTheme="majorEastAsia"/>
                      <w:color w:val="auto"/>
                      <w:sz w:val="21"/>
                      <w:szCs w:val="21"/>
                      <w:lang w:val="en-US" w:eastAsia="zh-CN" w:bidi="ar"/>
                    </w:rPr>
                    <w:t>“</w:t>
                  </w:r>
                  <w:r>
                    <w:rPr>
                      <w:rStyle w:val="124"/>
                      <w:rFonts w:hint="default" w:ascii="Times New Roman" w:hAnsi="Times New Roman" w:cs="Times New Roman" w:eastAsiaTheme="majorEastAsia"/>
                      <w:color w:val="auto"/>
                      <w:sz w:val="21"/>
                      <w:szCs w:val="21"/>
                      <w:lang w:val="en-US" w:eastAsia="zh-CN" w:bidi="ar"/>
                    </w:rPr>
                    <w:t>瘦身</w:t>
                  </w:r>
                  <w:r>
                    <w:rPr>
                      <w:rStyle w:val="125"/>
                      <w:rFonts w:hint="default" w:ascii="Times New Roman" w:hAnsi="Times New Roman" w:cs="Times New Roman" w:eastAsiaTheme="majorEastAsia"/>
                      <w:color w:val="auto"/>
                      <w:sz w:val="21"/>
                      <w:szCs w:val="21"/>
                      <w:lang w:val="en-US" w:eastAsia="zh-CN" w:bidi="ar"/>
                    </w:rPr>
                    <w:t>”</w:t>
                  </w:r>
                  <w:r>
                    <w:rPr>
                      <w:rStyle w:val="124"/>
                      <w:rFonts w:hint="default" w:ascii="Times New Roman" w:hAnsi="Times New Roman" w:cs="Times New Roman" w:eastAsiaTheme="majorEastAsia"/>
                      <w:color w:val="auto"/>
                      <w:sz w:val="21"/>
                      <w:szCs w:val="21"/>
                      <w:lang w:val="en-US" w:eastAsia="zh-CN" w:bidi="ar"/>
                    </w:rPr>
                    <w:t>。</w:t>
                  </w:r>
                </w:p>
              </w:tc>
              <w:tc>
                <w:tcPr>
                  <w:tcW w:w="1610" w:type="pct"/>
                  <w:vAlign w:val="center"/>
                </w:tcPr>
                <w:p w14:paraId="653C9C46">
                  <w:pPr>
                    <w:widowControl/>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本项目不在自然保护区范围内</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5F4C9F8A">
                  <w:pPr>
                    <w:snapToGrid w:val="0"/>
                    <w:jc w:val="center"/>
                    <w:rPr>
                      <w:rFonts w:hint="default" w:ascii="Times New Roman" w:hAnsi="Times New Roman" w:cs="Times New Roman"/>
                      <w:sz w:val="21"/>
                      <w:szCs w:val="21"/>
                    </w:rPr>
                  </w:pPr>
                </w:p>
              </w:tc>
            </w:tr>
            <w:tr w14:paraId="27B93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031AB1C4">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535E38BB">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6DAEE6CC">
                  <w:pPr>
                    <w:widowControl/>
                    <w:rPr>
                      <w:rFonts w:hint="eastAsia" w:ascii="Times New Roman" w:hAnsi="Times New Roman" w:eastAsia="宋体" w:cs="Times New Roman"/>
                      <w:color w:val="auto"/>
                      <w:kern w:val="0"/>
                      <w:sz w:val="21"/>
                      <w:szCs w:val="21"/>
                      <w:lang w:val="en-US" w:eastAsia="zh-CN" w:bidi="ar-SA"/>
                    </w:rPr>
                  </w:pPr>
                  <w:r>
                    <w:rPr>
                      <w:rStyle w:val="125"/>
                      <w:rFonts w:hint="default" w:ascii="Times New Roman" w:hAnsi="Times New Roman" w:cs="Times New Roman" w:eastAsiaTheme="majorEastAsia"/>
                      <w:color w:val="auto"/>
                      <w:sz w:val="21"/>
                      <w:szCs w:val="21"/>
                      <w:lang w:val="en-US" w:eastAsia="zh-CN" w:bidi="ar"/>
                    </w:rPr>
                    <w:t>3.</w:t>
                  </w:r>
                  <w:r>
                    <w:rPr>
                      <w:rStyle w:val="124"/>
                      <w:rFonts w:hint="default" w:ascii="Times New Roman" w:hAnsi="Times New Roman" w:cs="Times New Roman" w:eastAsiaTheme="majorEastAsia"/>
                      <w:color w:val="auto"/>
                      <w:sz w:val="21"/>
                      <w:szCs w:val="21"/>
                      <w:lang w:val="en-US" w:eastAsia="zh-CN" w:bidi="ar"/>
                    </w:rPr>
                    <w:t>加强农田土壤、灌溉水的监测，对周边区域环境风险源进行评估。</w:t>
                  </w:r>
                </w:p>
              </w:tc>
              <w:tc>
                <w:tcPr>
                  <w:tcW w:w="1610" w:type="pct"/>
                  <w:vAlign w:val="center"/>
                </w:tcPr>
                <w:p w14:paraId="6DDFFFFA">
                  <w:pPr>
                    <w:widowControl/>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本项目用地为工业用地，不涉及农田</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4E14C80C">
                  <w:pPr>
                    <w:snapToGrid w:val="0"/>
                    <w:jc w:val="center"/>
                    <w:rPr>
                      <w:rFonts w:hint="default" w:ascii="Times New Roman" w:hAnsi="Times New Roman" w:cs="Times New Roman"/>
                      <w:sz w:val="21"/>
                      <w:szCs w:val="21"/>
                    </w:rPr>
                  </w:pPr>
                </w:p>
              </w:tc>
            </w:tr>
            <w:tr w14:paraId="3D484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16C11682">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6BFE94C4">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39736F01">
                  <w:pPr>
                    <w:widowControl/>
                    <w:rPr>
                      <w:rFonts w:hint="eastAsia" w:ascii="Times New Roman" w:hAnsi="Times New Roman" w:eastAsia="宋体" w:cs="Times New Roman"/>
                      <w:color w:val="auto"/>
                      <w:kern w:val="0"/>
                      <w:sz w:val="21"/>
                      <w:szCs w:val="21"/>
                      <w:lang w:val="en-US" w:eastAsia="zh-CN" w:bidi="ar-SA"/>
                    </w:rPr>
                  </w:pPr>
                  <w:r>
                    <w:rPr>
                      <w:rStyle w:val="128"/>
                      <w:rFonts w:hint="default" w:ascii="Times New Roman" w:hAnsi="Times New Roman" w:cs="Times New Roman" w:eastAsiaTheme="majorEastAsia"/>
                      <w:color w:val="auto"/>
                      <w:sz w:val="21"/>
                      <w:szCs w:val="21"/>
                      <w:lang w:val="en-US" w:eastAsia="zh-CN" w:bidi="ar"/>
                    </w:rPr>
                    <w:t>4.</w:t>
                  </w:r>
                  <w:r>
                    <w:rPr>
                      <w:rStyle w:val="127"/>
                      <w:rFonts w:hint="default" w:ascii="Times New Roman" w:hAnsi="Times New Roman" w:cs="Times New Roman" w:eastAsiaTheme="majorEastAsia"/>
                      <w:color w:val="auto"/>
                      <w:sz w:val="21"/>
                      <w:szCs w:val="21"/>
                      <w:lang w:val="en-US" w:eastAsia="zh-CN" w:bidi="ar"/>
                    </w:rPr>
                    <w:t>按照省市要求，做好清洁取暖改造工作。</w:t>
                  </w:r>
                </w:p>
              </w:tc>
              <w:tc>
                <w:tcPr>
                  <w:tcW w:w="1610" w:type="pct"/>
                  <w:vAlign w:val="center"/>
                </w:tcPr>
                <w:p w14:paraId="0A47228E">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w:t>
                  </w:r>
                  <w:r>
                    <w:rPr>
                      <w:rFonts w:hint="eastAsia" w:cs="Times New Roman"/>
                      <w:color w:val="auto"/>
                      <w:kern w:val="0"/>
                      <w:sz w:val="21"/>
                      <w:szCs w:val="21"/>
                      <w:lang w:val="en-US" w:eastAsia="zh-CN"/>
                    </w:rPr>
                    <w:t>采用空调取暖</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0AE55A1A">
                  <w:pPr>
                    <w:snapToGrid w:val="0"/>
                    <w:jc w:val="center"/>
                    <w:rPr>
                      <w:rFonts w:hint="default" w:ascii="Times New Roman" w:hAnsi="Times New Roman" w:cs="Times New Roman"/>
                      <w:sz w:val="21"/>
                      <w:szCs w:val="21"/>
                    </w:rPr>
                  </w:pPr>
                </w:p>
              </w:tc>
            </w:tr>
            <w:tr w14:paraId="1D080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3B31C4C8">
                  <w:pPr>
                    <w:snapToGrid w:val="0"/>
                    <w:spacing w:beforeLines="0" w:afterLines="0"/>
                    <w:jc w:val="center"/>
                    <w:rPr>
                      <w:rFonts w:hint="eastAsia" w:cs="Times New Roman"/>
                      <w:color w:val="auto"/>
                      <w:kern w:val="0"/>
                      <w:sz w:val="21"/>
                      <w:szCs w:val="21"/>
                      <w:lang w:val="en-US" w:eastAsia="zh-CN"/>
                    </w:rPr>
                  </w:pPr>
                </w:p>
              </w:tc>
              <w:tc>
                <w:tcPr>
                  <w:tcW w:w="495" w:type="pct"/>
                  <w:vMerge w:val="restart"/>
                  <w:vAlign w:val="center"/>
                </w:tcPr>
                <w:p w14:paraId="00D74080">
                  <w:pPr>
                    <w:widowControl/>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资源开发效率要求</w:t>
                  </w:r>
                </w:p>
              </w:tc>
              <w:tc>
                <w:tcPr>
                  <w:tcW w:w="1738" w:type="pct"/>
                  <w:vAlign w:val="center"/>
                </w:tcPr>
                <w:p w14:paraId="04701338">
                  <w:pPr>
                    <w:widowControl/>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1.加强农业节水，提高水资源使用效率。</w:t>
                  </w:r>
                </w:p>
              </w:tc>
              <w:tc>
                <w:tcPr>
                  <w:tcW w:w="1610" w:type="pct"/>
                  <w:vAlign w:val="center"/>
                </w:tcPr>
                <w:p w14:paraId="409D2945">
                  <w:pPr>
                    <w:widowControl/>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本项目生产废水全部回用，不外排</w:t>
                  </w:r>
                  <w:r>
                    <w:rPr>
                      <w:rFonts w:hint="default" w:ascii="Times New Roman" w:hAnsi="Times New Roman" w:cs="Times New Roman"/>
                      <w:color w:val="auto"/>
                      <w:kern w:val="0"/>
                      <w:sz w:val="21"/>
                      <w:szCs w:val="21"/>
                      <w:lang w:val="en-US" w:eastAsia="zh-CN"/>
                    </w:rPr>
                    <w:t>。</w:t>
                  </w:r>
                </w:p>
              </w:tc>
              <w:tc>
                <w:tcPr>
                  <w:tcW w:w="655" w:type="pct"/>
                  <w:vMerge w:val="restart"/>
                  <w:vAlign w:val="center"/>
                </w:tcPr>
                <w:p w14:paraId="0BEE7AAB">
                  <w:pPr>
                    <w:snapToGrid w:val="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符合</w:t>
                  </w:r>
                </w:p>
              </w:tc>
            </w:tr>
            <w:tr w14:paraId="409A2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372E7C59">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188A304E">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2CC1218F">
                  <w:pPr>
                    <w:widowControl/>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2.提升土地集约化水平。</w:t>
                  </w:r>
                </w:p>
              </w:tc>
              <w:tc>
                <w:tcPr>
                  <w:tcW w:w="1610" w:type="pct"/>
                  <w:vAlign w:val="center"/>
                </w:tcPr>
                <w:p w14:paraId="0317D324">
                  <w:pPr>
                    <w:widowControl/>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本项目租赁已建成的厂房，不新增用地</w:t>
                  </w:r>
                  <w:r>
                    <w:rPr>
                      <w:rFonts w:hint="eastAsia" w:ascii="Times New Roman" w:hAnsi="Times New Roman" w:cs="Times New Roman"/>
                      <w:color w:val="auto"/>
                      <w:kern w:val="0"/>
                      <w:sz w:val="21"/>
                      <w:szCs w:val="21"/>
                      <w:lang w:val="en-US" w:eastAsia="zh-CN"/>
                    </w:rPr>
                    <w:t>。</w:t>
                  </w:r>
                </w:p>
              </w:tc>
              <w:tc>
                <w:tcPr>
                  <w:tcW w:w="655" w:type="pct"/>
                  <w:vMerge w:val="continue"/>
                  <w:vAlign w:val="center"/>
                </w:tcPr>
                <w:p w14:paraId="77594EA9">
                  <w:pPr>
                    <w:snapToGrid w:val="0"/>
                    <w:jc w:val="center"/>
                    <w:rPr>
                      <w:rFonts w:hint="default" w:ascii="Times New Roman" w:hAnsi="Times New Roman" w:cs="Times New Roman"/>
                      <w:sz w:val="21"/>
                      <w:szCs w:val="21"/>
                    </w:rPr>
                  </w:pPr>
                </w:p>
              </w:tc>
            </w:tr>
            <w:tr w14:paraId="78DFF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9" w:type="pct"/>
                  <w:vMerge w:val="continue"/>
                  <w:vAlign w:val="center"/>
                </w:tcPr>
                <w:p w14:paraId="01530879">
                  <w:pPr>
                    <w:snapToGrid w:val="0"/>
                    <w:spacing w:beforeLines="0" w:afterLines="0"/>
                    <w:jc w:val="center"/>
                    <w:rPr>
                      <w:rFonts w:hint="eastAsia" w:cs="Times New Roman"/>
                      <w:color w:val="auto"/>
                      <w:kern w:val="0"/>
                      <w:sz w:val="21"/>
                      <w:szCs w:val="21"/>
                      <w:lang w:val="en-US" w:eastAsia="zh-CN"/>
                    </w:rPr>
                  </w:pPr>
                </w:p>
              </w:tc>
              <w:tc>
                <w:tcPr>
                  <w:tcW w:w="495" w:type="pct"/>
                  <w:vMerge w:val="continue"/>
                  <w:vAlign w:val="center"/>
                </w:tcPr>
                <w:p w14:paraId="37B63050">
                  <w:pPr>
                    <w:snapToGrid w:val="0"/>
                    <w:spacing w:beforeLines="0" w:afterLines="0"/>
                    <w:jc w:val="center"/>
                    <w:rPr>
                      <w:rFonts w:hint="eastAsia" w:ascii="Times New Roman" w:hAnsi="Times New Roman" w:cs="Times New Roman"/>
                      <w:color w:val="auto"/>
                      <w:kern w:val="0"/>
                      <w:sz w:val="21"/>
                      <w:szCs w:val="21"/>
                      <w:lang w:val="en-US" w:eastAsia="zh-CN"/>
                    </w:rPr>
                  </w:pPr>
                </w:p>
              </w:tc>
              <w:tc>
                <w:tcPr>
                  <w:tcW w:w="1738" w:type="pct"/>
                  <w:vAlign w:val="center"/>
                </w:tcPr>
                <w:p w14:paraId="58D7837B">
                  <w:pPr>
                    <w:widowControl/>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3.调整能源利用结构，控制煤炭消费量，实现减量化，鼓励使用清洁能源、新能源和可再生能源。</w:t>
                  </w:r>
                </w:p>
              </w:tc>
              <w:tc>
                <w:tcPr>
                  <w:tcW w:w="1610" w:type="pct"/>
                  <w:vAlign w:val="center"/>
                </w:tcPr>
                <w:p w14:paraId="44DE298A">
                  <w:pPr>
                    <w:widowControl/>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rPr>
                    <w:t>本项目不涉及高污染燃料和煤炭消费</w:t>
                  </w:r>
                  <w:r>
                    <w:rPr>
                      <w:rFonts w:hint="default" w:ascii="Times New Roman" w:hAnsi="Times New Roman" w:cs="Times New Roman"/>
                      <w:color w:val="auto"/>
                      <w:kern w:val="0"/>
                      <w:sz w:val="21"/>
                      <w:szCs w:val="21"/>
                      <w:lang w:val="en-US" w:eastAsia="zh-CN"/>
                    </w:rPr>
                    <w:t>。</w:t>
                  </w:r>
                </w:p>
              </w:tc>
              <w:tc>
                <w:tcPr>
                  <w:tcW w:w="655" w:type="pct"/>
                  <w:vMerge w:val="continue"/>
                  <w:vAlign w:val="center"/>
                </w:tcPr>
                <w:p w14:paraId="5B3648F9">
                  <w:pPr>
                    <w:snapToGrid w:val="0"/>
                    <w:jc w:val="center"/>
                    <w:rPr>
                      <w:rFonts w:hint="default" w:ascii="Times New Roman" w:hAnsi="Times New Roman" w:cs="Times New Roman"/>
                      <w:sz w:val="21"/>
                      <w:szCs w:val="21"/>
                    </w:rPr>
                  </w:pPr>
                </w:p>
              </w:tc>
            </w:tr>
          </w:tbl>
          <w:p w14:paraId="18A29DDA">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rPr>
              <w:t>综上分析，在落实区域环境保护治理措施的前提下，项目建设符合</w:t>
            </w:r>
            <w:r>
              <w:rPr>
                <w:rFonts w:hint="eastAsia" w:ascii="Times New Roman" w:hAnsi="Times New Roman" w:eastAsia="宋体" w:cs="Times New Roman"/>
                <w:color w:val="auto"/>
                <w:kern w:val="0"/>
                <w:sz w:val="24"/>
                <w:szCs w:val="24"/>
                <w:highlight w:val="none"/>
                <w:lang w:val="en-US" w:eastAsia="zh-CN"/>
              </w:rPr>
              <w:t>生态环境分区管控要求。</w:t>
            </w:r>
          </w:p>
          <w:p w14:paraId="62181747">
            <w:p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2</w:t>
            </w:r>
            <w:r>
              <w:rPr>
                <w:rFonts w:hint="eastAsia" w:ascii="Times New Roman" w:hAnsi="Times New Roman" w:eastAsia="黑体" w:cs="Times New Roman"/>
                <w:color w:val="auto"/>
                <w:sz w:val="24"/>
                <w:szCs w:val="24"/>
                <w:highlight w:val="none"/>
                <w:lang w:val="en-US" w:eastAsia="zh-CN"/>
              </w:rPr>
              <w:t>、与淄博市国土空间总体规划符合性分析</w:t>
            </w:r>
          </w:p>
          <w:p w14:paraId="69FDB4F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w:t>
            </w:r>
            <w:r>
              <w:rPr>
                <w:rFonts w:hint="eastAsia" w:ascii="Times New Roman" w:hAnsi="Times New Roman" w:eastAsia="宋体" w:cs="Times New Roman"/>
                <w:color w:val="auto"/>
                <w:sz w:val="24"/>
                <w:szCs w:val="24"/>
                <w:highlight w:val="none"/>
                <w:lang w:val="en-US" w:eastAsia="zh-CN"/>
              </w:rPr>
              <w:t>淄博市沂源县张家坡镇政通路88号</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根据《淄博市国土空间总体规划（2021-2035年）》，本项目所在地不占用永久基本农田</w:t>
            </w:r>
            <w:r>
              <w:rPr>
                <w:rFonts w:hint="eastAsia" w:cs="Times New Roman"/>
                <w:color w:val="auto"/>
                <w:sz w:val="24"/>
                <w:szCs w:val="24"/>
                <w:highlight w:val="none"/>
                <w:lang w:val="en-US" w:eastAsia="zh-CN"/>
              </w:rPr>
              <w:t>，不在</w:t>
            </w:r>
            <w:r>
              <w:rPr>
                <w:rFonts w:hint="eastAsia" w:ascii="Times New Roman" w:hAnsi="Times New Roman" w:eastAsia="宋体" w:cs="Times New Roman"/>
                <w:color w:val="auto"/>
                <w:sz w:val="24"/>
                <w:szCs w:val="24"/>
                <w:highlight w:val="none"/>
                <w:lang w:val="en-US" w:eastAsia="zh-CN"/>
              </w:rPr>
              <w:t>生态保护红线</w:t>
            </w:r>
            <w:r>
              <w:rPr>
                <w:rFonts w:hint="eastAsia" w:cs="Times New Roman"/>
                <w:color w:val="auto"/>
                <w:sz w:val="24"/>
                <w:szCs w:val="24"/>
                <w:highlight w:val="none"/>
                <w:lang w:val="en-US" w:eastAsia="zh-CN"/>
              </w:rPr>
              <w:t>范围内。项目所在位置符合《沂源县国</w:t>
            </w:r>
            <w:r>
              <w:rPr>
                <w:rFonts w:hint="eastAsia" w:ascii="Times New Roman" w:hAnsi="Times New Roman" w:eastAsia="宋体" w:cs="Times New Roman"/>
                <w:sz w:val="24"/>
                <w:lang w:val="en-US" w:eastAsia="zh-CN"/>
              </w:rPr>
              <w:t>土空间总体规划（</w:t>
            </w:r>
            <w:r>
              <w:rPr>
                <w:rFonts w:hint="eastAsia" w:cs="Times New Roman"/>
                <w:sz w:val="24"/>
                <w:lang w:val="en-US" w:eastAsia="zh-CN"/>
              </w:rPr>
              <w:t>2021</w:t>
            </w:r>
            <w:r>
              <w:rPr>
                <w:rFonts w:hint="eastAsia" w:ascii="Times New Roman" w:hAnsi="Times New Roman" w:eastAsia="宋体" w:cs="Times New Roman"/>
                <w:sz w:val="24"/>
                <w:lang w:val="en-US" w:eastAsia="zh-CN"/>
              </w:rPr>
              <w:t>-2035）</w:t>
            </w:r>
            <w:r>
              <w:rPr>
                <w:rFonts w:hint="eastAsia" w:ascii="Times New Roman" w:hAnsi="Times New Roman" w:eastAsia="宋体" w:cs="Times New Roman"/>
                <w:color w:val="auto"/>
                <w:sz w:val="24"/>
                <w:lang w:val="en-US" w:eastAsia="zh-CN"/>
              </w:rPr>
              <w:t>》的要求，且位于</w:t>
            </w:r>
            <w:r>
              <w:rPr>
                <w:rFonts w:hint="eastAsia" w:cs="Times New Roman"/>
                <w:color w:val="auto"/>
                <w:sz w:val="24"/>
                <w:szCs w:val="24"/>
                <w:highlight w:val="none"/>
                <w:lang w:val="en-US" w:eastAsia="zh-CN"/>
              </w:rPr>
              <w:t>张家坡镇驻地片区工业聚集区内。本项目租赁现有厂房，</w:t>
            </w:r>
            <w:r>
              <w:rPr>
                <w:rFonts w:hint="eastAsia" w:ascii="Times New Roman" w:hAnsi="Times New Roman" w:eastAsia="宋体" w:cs="Times New Roman"/>
                <w:color w:val="auto"/>
                <w:sz w:val="24"/>
                <w:szCs w:val="24"/>
                <w:highlight w:val="none"/>
                <w:lang w:val="en-US" w:eastAsia="zh-CN"/>
              </w:rPr>
              <w:t>不新建厂房，不新增用地，符合淄博市国土空间总体规划要求。项目在</w:t>
            </w:r>
            <w:r>
              <w:rPr>
                <w:rFonts w:hint="eastAsia" w:cs="Times New Roman"/>
                <w:color w:val="auto"/>
                <w:sz w:val="24"/>
                <w:szCs w:val="24"/>
                <w:highlight w:val="none"/>
                <w:lang w:val="en-US" w:eastAsia="zh-CN"/>
              </w:rPr>
              <w:t>《淄博市国土空间总体规划（2012-2035年）》</w:t>
            </w:r>
            <w:r>
              <w:rPr>
                <w:rFonts w:hint="eastAsia" w:ascii="Times New Roman" w:hAnsi="Times New Roman" w:eastAsia="宋体" w:cs="Times New Roman"/>
                <w:color w:val="auto"/>
                <w:sz w:val="24"/>
                <w:szCs w:val="24"/>
                <w:highlight w:val="none"/>
                <w:lang w:val="en-US" w:eastAsia="zh-CN"/>
              </w:rPr>
              <w:t>中位置见附图6。</w:t>
            </w:r>
          </w:p>
          <w:p w14:paraId="520CF727">
            <w:pPr>
              <w:spacing w:line="360" w:lineRule="auto"/>
              <w:rPr>
                <w:rFonts w:hint="eastAsia"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3、与淄博市饮用水水源保护区相对位置符合性</w:t>
            </w:r>
          </w:p>
          <w:p w14:paraId="3D801FE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根据《关于印发淄博市饮用水水源保护区划分方案的通知》（淄环发[2019]46号）及《</w:t>
            </w:r>
            <w:r>
              <w:rPr>
                <w:rFonts w:hint="default" w:ascii="Times New Roman" w:hAnsi="Times New Roman" w:eastAsia="宋体" w:cs="Times New Roman"/>
                <w:color w:val="auto"/>
                <w:sz w:val="24"/>
                <w:szCs w:val="24"/>
                <w:highlight w:val="none"/>
                <w:lang w:val="en-US" w:eastAsia="zh-CN"/>
              </w:rPr>
              <w:t>淄博市</w:t>
            </w:r>
            <w:r>
              <w:rPr>
                <w:rFonts w:hint="eastAsia" w:ascii="Times New Roman" w:hAnsi="Times New Roman" w:eastAsia="宋体" w:cs="Times New Roman"/>
                <w:color w:val="auto"/>
                <w:sz w:val="24"/>
                <w:szCs w:val="24"/>
                <w:highlight w:val="none"/>
                <w:lang w:val="en-US" w:eastAsia="zh-CN"/>
              </w:rPr>
              <w:t>饮用水水源保护区划分方案》、《淄博市水利局关于公布淄博市部分饮用水水源地退出重要饮用水水源地名录的通知》，淄博市城镇以上集中式饮用水源地共18处，其中地表水源地3处，地下水源地15处。其中</w:t>
            </w:r>
            <w:r>
              <w:rPr>
                <w:rFonts w:hint="eastAsia" w:cs="Times New Roman"/>
                <w:color w:val="auto"/>
                <w:sz w:val="24"/>
                <w:szCs w:val="24"/>
                <w:highlight w:val="none"/>
                <w:lang w:val="en-US" w:eastAsia="zh-CN"/>
              </w:rPr>
              <w:t>沂源县</w:t>
            </w:r>
            <w:r>
              <w:rPr>
                <w:rFonts w:hint="eastAsia" w:ascii="Times New Roman" w:hAnsi="Times New Roman" w:eastAsia="宋体" w:cs="Times New Roman"/>
                <w:color w:val="auto"/>
                <w:sz w:val="24"/>
                <w:szCs w:val="24"/>
                <w:highlight w:val="none"/>
                <w:lang w:val="en-US" w:eastAsia="zh-CN"/>
              </w:rPr>
              <w:t>城镇以上集中式饮用水源地包括</w:t>
            </w:r>
            <w:r>
              <w:rPr>
                <w:rFonts w:hint="eastAsia" w:cs="Times New Roman"/>
                <w:color w:val="auto"/>
                <w:sz w:val="24"/>
                <w:szCs w:val="24"/>
                <w:highlight w:val="none"/>
                <w:lang w:val="en-US" w:eastAsia="zh-CN"/>
              </w:rPr>
              <w:t>响泉-龙洞泉</w:t>
            </w:r>
            <w:r>
              <w:rPr>
                <w:rFonts w:hint="eastAsia" w:ascii="Times New Roman" w:hAnsi="Times New Roman" w:eastAsia="宋体" w:cs="Times New Roman"/>
                <w:color w:val="auto"/>
                <w:sz w:val="24"/>
                <w:szCs w:val="24"/>
                <w:highlight w:val="none"/>
                <w:lang w:val="en-US" w:eastAsia="zh-CN"/>
              </w:rPr>
              <w:t>水源地、</w:t>
            </w:r>
            <w:r>
              <w:rPr>
                <w:rFonts w:hint="eastAsia" w:cs="Times New Roman"/>
                <w:color w:val="auto"/>
                <w:sz w:val="24"/>
                <w:szCs w:val="24"/>
                <w:highlight w:val="none"/>
                <w:lang w:val="en-US" w:eastAsia="zh-CN"/>
              </w:rPr>
              <w:t>钓鱼台</w:t>
            </w:r>
            <w:r>
              <w:rPr>
                <w:rFonts w:hint="eastAsia" w:ascii="Times New Roman" w:hAnsi="Times New Roman" w:eastAsia="宋体" w:cs="Times New Roman"/>
                <w:color w:val="auto"/>
                <w:sz w:val="24"/>
                <w:szCs w:val="24"/>
                <w:highlight w:val="none"/>
                <w:lang w:val="en-US" w:eastAsia="zh-CN"/>
              </w:rPr>
              <w:t>水源地、</w:t>
            </w:r>
            <w:r>
              <w:rPr>
                <w:rFonts w:hint="eastAsia" w:cs="Times New Roman"/>
                <w:color w:val="auto"/>
                <w:sz w:val="24"/>
                <w:szCs w:val="24"/>
                <w:highlight w:val="none"/>
                <w:lang w:val="en-US" w:eastAsia="zh-CN"/>
              </w:rPr>
              <w:t>芝芳</w:t>
            </w:r>
            <w:r>
              <w:rPr>
                <w:rFonts w:hint="eastAsia" w:ascii="Times New Roman" w:hAnsi="Times New Roman" w:eastAsia="宋体" w:cs="Times New Roman"/>
                <w:color w:val="auto"/>
                <w:sz w:val="24"/>
                <w:szCs w:val="24"/>
                <w:highlight w:val="none"/>
                <w:lang w:val="en-US" w:eastAsia="zh-CN"/>
              </w:rPr>
              <w:t>水源地。</w:t>
            </w:r>
          </w:p>
          <w:p w14:paraId="022C173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本项目位于淄博市沂源县张家坡镇政通路88号。距离项目最近的饮用水源保护区为厂区</w:t>
            </w:r>
            <w:r>
              <w:rPr>
                <w:rFonts w:hint="eastAsia" w:cs="Times New Roman"/>
                <w:color w:val="auto"/>
                <w:sz w:val="24"/>
                <w:szCs w:val="24"/>
                <w:highlight w:val="none"/>
                <w:lang w:val="en-US" w:eastAsia="zh-CN"/>
              </w:rPr>
              <w:t>西北方向</w:t>
            </w:r>
            <w:r>
              <w:rPr>
                <w:rFonts w:hint="eastAsia" w:ascii="Times New Roman" w:hAnsi="Times New Roman" w:eastAsia="宋体" w:cs="Times New Roman"/>
                <w:color w:val="auto"/>
                <w:sz w:val="24"/>
                <w:szCs w:val="24"/>
                <w:highlight w:val="none"/>
                <w:lang w:val="en-US" w:eastAsia="zh-CN"/>
              </w:rPr>
              <w:t>距离</w:t>
            </w:r>
            <w:r>
              <w:rPr>
                <w:rFonts w:hint="eastAsia" w:cs="Times New Roman"/>
                <w:color w:val="auto"/>
                <w:sz w:val="24"/>
                <w:szCs w:val="24"/>
                <w:highlight w:val="none"/>
                <w:lang w:val="en-US" w:eastAsia="zh-CN"/>
              </w:rPr>
              <w:t>30k</w:t>
            </w:r>
            <w:r>
              <w:rPr>
                <w:rFonts w:hint="eastAsia" w:ascii="Times New Roman" w:hAnsi="Times New Roman" w:eastAsia="宋体" w:cs="Times New Roman"/>
                <w:color w:val="auto"/>
                <w:sz w:val="24"/>
                <w:szCs w:val="24"/>
                <w:highlight w:val="none"/>
                <w:lang w:val="en-US" w:eastAsia="zh-CN"/>
              </w:rPr>
              <w:t>m的</w:t>
            </w:r>
            <w:r>
              <w:rPr>
                <w:rFonts w:hint="eastAsia" w:cs="Times New Roman"/>
                <w:color w:val="auto"/>
                <w:sz w:val="24"/>
                <w:szCs w:val="24"/>
                <w:highlight w:val="none"/>
                <w:lang w:val="en-US" w:eastAsia="zh-CN"/>
              </w:rPr>
              <w:t>响泉-龙洞泉</w:t>
            </w:r>
            <w:r>
              <w:rPr>
                <w:rFonts w:hint="eastAsia" w:ascii="Times New Roman" w:hAnsi="Times New Roman" w:eastAsia="宋体" w:cs="Times New Roman"/>
                <w:color w:val="auto"/>
                <w:sz w:val="24"/>
                <w:szCs w:val="24"/>
                <w:highlight w:val="none"/>
                <w:lang w:val="en-US" w:eastAsia="zh-CN"/>
              </w:rPr>
              <w:t>水源地，本项目不在饮用水源保护区范围内，详见附图</w:t>
            </w:r>
            <w:r>
              <w:rPr>
                <w:rFonts w:hint="eastAsia"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本项目生产废水全部回用，不外排，生活污水经</w:t>
            </w:r>
            <w:r>
              <w:rPr>
                <w:rFonts w:hint="eastAsia" w:ascii="Times New Roman" w:hAnsi="Times New Roman" w:eastAsia="宋体" w:cs="Times New Roman"/>
                <w:color w:val="auto"/>
                <w:sz w:val="24"/>
                <w:szCs w:val="24"/>
                <w:highlight w:val="none"/>
                <w:lang w:val="en-US" w:eastAsia="zh-CN"/>
              </w:rPr>
              <w:t>化粪池</w:t>
            </w:r>
            <w:r>
              <w:rPr>
                <w:rFonts w:hint="eastAsia" w:cs="Times New Roman"/>
                <w:color w:val="auto"/>
                <w:sz w:val="24"/>
                <w:szCs w:val="24"/>
                <w:highlight w:val="none"/>
                <w:lang w:val="en-US" w:eastAsia="zh-CN"/>
              </w:rPr>
              <w:t>收集</w:t>
            </w:r>
            <w:r>
              <w:rPr>
                <w:rFonts w:hint="eastAsia" w:ascii="Times New Roman" w:hAnsi="Times New Roman" w:eastAsia="宋体" w:cs="Times New Roman"/>
                <w:color w:val="auto"/>
                <w:sz w:val="24"/>
                <w:szCs w:val="24"/>
                <w:highlight w:val="none"/>
                <w:lang w:val="en-US" w:eastAsia="zh-CN"/>
              </w:rPr>
              <w:t>处理后</w:t>
            </w:r>
            <w:r>
              <w:rPr>
                <w:rFonts w:hint="eastAsia" w:cs="Times New Roman"/>
                <w:color w:val="auto"/>
                <w:sz w:val="24"/>
                <w:szCs w:val="24"/>
                <w:highlight w:val="none"/>
                <w:lang w:val="en-US" w:eastAsia="zh-CN"/>
              </w:rPr>
              <w:t>由环卫部门定期清运，不会对区域饮用水水源保护区造成影响。</w:t>
            </w:r>
          </w:p>
          <w:p w14:paraId="3D016A5F">
            <w:pPr>
              <w:spacing w:line="360" w:lineRule="auto"/>
              <w:rPr>
                <w:rFonts w:hint="default"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4、与相关文件要求符合性</w:t>
            </w:r>
          </w:p>
          <w:p w14:paraId="091E088F">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黑体" w:cs="Times New Roman"/>
                <w:b w:val="0"/>
                <w:bCs w:val="0"/>
                <w:color w:val="auto"/>
                <w:kern w:val="0"/>
                <w:sz w:val="24"/>
                <w:szCs w:val="24"/>
                <w:highlight w:val="none"/>
                <w:lang w:eastAsia="zh-CN"/>
              </w:rPr>
            </w:pPr>
            <w:r>
              <w:rPr>
                <w:rFonts w:hint="default" w:ascii="Times New Roman" w:hAnsi="Times New Roman" w:cs="Times New Roman"/>
                <w:bCs/>
                <w:color w:val="auto"/>
                <w:sz w:val="24"/>
                <w:szCs w:val="24"/>
                <w:highlight w:val="none"/>
                <w:lang w:eastAsia="zh-CN"/>
              </w:rPr>
              <w:t>（</w:t>
            </w:r>
            <w:r>
              <w:rPr>
                <w:rFonts w:hint="eastAsia" w:cs="Times New Roman"/>
                <w:bCs/>
                <w:color w:val="auto"/>
                <w:sz w:val="24"/>
                <w:szCs w:val="24"/>
                <w:highlight w:val="none"/>
                <w:lang w:val="en-US" w:eastAsia="zh-CN"/>
              </w:rPr>
              <w:t>1</w:t>
            </w:r>
            <w:r>
              <w:rPr>
                <w:rFonts w:hint="default" w:ascii="Times New Roman" w:hAnsi="Times New Roman" w:cs="Times New Roman"/>
                <w:bCs/>
                <w:color w:val="auto"/>
                <w:sz w:val="24"/>
                <w:szCs w:val="24"/>
                <w:highlight w:val="none"/>
                <w:lang w:eastAsia="zh-CN"/>
              </w:rPr>
              <w:t>）与</w:t>
            </w:r>
            <w:r>
              <w:rPr>
                <w:rFonts w:hint="eastAsia" w:ascii="Times New Roman" w:hAnsi="Times New Roman" w:eastAsia="宋体" w:cs="Times New Roman"/>
                <w:bCs/>
                <w:color w:val="auto"/>
                <w:sz w:val="24"/>
                <w:szCs w:val="24"/>
                <w:highlight w:val="none"/>
                <w:lang w:val="en-US" w:eastAsia="zh-CN"/>
              </w:rPr>
              <w:t>《关于严格项目审批工作坚决防止新上“散乱污”项目的通知》（鲁环字〔2021〕58号）</w:t>
            </w:r>
            <w:r>
              <w:rPr>
                <w:rFonts w:hint="default" w:ascii="Times New Roman" w:hAnsi="Times New Roman" w:cs="Times New Roman"/>
                <w:bCs/>
                <w:color w:val="auto"/>
                <w:sz w:val="24"/>
                <w:szCs w:val="24"/>
                <w:highlight w:val="none"/>
                <w:lang w:eastAsia="zh-CN"/>
              </w:rPr>
              <w:t>符合性分析</w:t>
            </w:r>
          </w:p>
          <w:p w14:paraId="2CF2B89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eastAsia="zh-CN"/>
              </w:rPr>
            </w:pPr>
            <w:r>
              <w:rPr>
                <w:rFonts w:hint="default" w:ascii="Times New Roman" w:hAnsi="Times New Roman" w:eastAsia="黑体" w:cs="Times New Roman"/>
                <w:b w:val="0"/>
                <w:bCs w:val="0"/>
                <w:color w:val="auto"/>
                <w:kern w:val="0"/>
                <w:sz w:val="24"/>
                <w:szCs w:val="24"/>
                <w:highlight w:val="none"/>
                <w:lang w:eastAsia="zh-CN"/>
              </w:rPr>
              <w:t>表</w:t>
            </w:r>
            <w:r>
              <w:rPr>
                <w:rFonts w:hint="default" w:ascii="Times New Roman" w:hAnsi="Times New Roman" w:eastAsia="黑体" w:cs="Times New Roman"/>
                <w:b w:val="0"/>
                <w:bCs w:val="0"/>
                <w:color w:val="auto"/>
                <w:kern w:val="0"/>
                <w:sz w:val="24"/>
                <w:szCs w:val="24"/>
                <w:highlight w:val="none"/>
                <w:lang w:val="en-US" w:eastAsia="zh-CN"/>
              </w:rPr>
              <w:t>1-</w:t>
            </w:r>
            <w:r>
              <w:rPr>
                <w:rFonts w:hint="eastAsia" w:eastAsia="黑体" w:cs="Times New Roman"/>
                <w:b w:val="0"/>
                <w:bCs w:val="0"/>
                <w:color w:val="auto"/>
                <w:kern w:val="0"/>
                <w:sz w:val="24"/>
                <w:szCs w:val="24"/>
                <w:highlight w:val="none"/>
                <w:lang w:val="en-US" w:eastAsia="zh-CN"/>
              </w:rPr>
              <w:t>5</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与</w:t>
            </w:r>
            <w:r>
              <w:rPr>
                <w:rFonts w:hint="eastAsia" w:ascii="Times New Roman" w:hAnsi="Times New Roman" w:eastAsia="黑体" w:cs="Times New Roman"/>
                <w:b w:val="0"/>
                <w:bCs w:val="0"/>
                <w:color w:val="auto"/>
                <w:kern w:val="0"/>
                <w:sz w:val="24"/>
                <w:szCs w:val="24"/>
                <w:highlight w:val="none"/>
                <w:lang w:val="en-US" w:eastAsia="zh-CN"/>
              </w:rPr>
              <w:t>《关于严格项目审批工作坚决防止新上“散乱污”项目的通知》（鲁环字〔2021〕58号）</w:t>
            </w:r>
            <w:r>
              <w:rPr>
                <w:rFonts w:hint="default" w:ascii="Times New Roman" w:hAnsi="Times New Roman" w:eastAsia="黑体" w:cs="Times New Roman"/>
                <w:b w:val="0"/>
                <w:bCs w:val="0"/>
                <w:color w:val="auto"/>
                <w:kern w:val="0"/>
                <w:sz w:val="24"/>
                <w:szCs w:val="24"/>
                <w:highlight w:val="none"/>
                <w:lang w:val="en-US" w:eastAsia="zh-CN"/>
              </w:rPr>
              <w:t>符合性分析</w:t>
            </w:r>
          </w:p>
          <w:tbl>
            <w:tblPr>
              <w:tblStyle w:val="2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4"/>
              <w:gridCol w:w="2546"/>
              <w:gridCol w:w="615"/>
            </w:tblGrid>
            <w:tr w14:paraId="71FC8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noWrap w:val="0"/>
                  <w:tcMar>
                    <w:top w:w="0" w:type="dxa"/>
                    <w:left w:w="28" w:type="dxa"/>
                    <w:bottom w:w="0" w:type="dxa"/>
                    <w:right w:w="28" w:type="dxa"/>
                  </w:tcMar>
                  <w:vAlign w:val="center"/>
                </w:tcPr>
                <w:p w14:paraId="07E3E566">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文件要求</w:t>
                  </w:r>
                </w:p>
              </w:tc>
              <w:tc>
                <w:tcPr>
                  <w:tcW w:w="1680" w:type="pct"/>
                  <w:tcBorders>
                    <w:tl2br w:val="nil"/>
                    <w:tr2bl w:val="nil"/>
                  </w:tcBorders>
                  <w:noWrap w:val="0"/>
                  <w:tcMar>
                    <w:top w:w="0" w:type="dxa"/>
                    <w:left w:w="28" w:type="dxa"/>
                    <w:bottom w:w="0" w:type="dxa"/>
                    <w:right w:w="28" w:type="dxa"/>
                  </w:tcMar>
                  <w:vAlign w:val="center"/>
                </w:tcPr>
                <w:p w14:paraId="6D13E3D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本项目情况</w:t>
                  </w:r>
                </w:p>
              </w:tc>
              <w:tc>
                <w:tcPr>
                  <w:tcW w:w="406" w:type="pct"/>
                  <w:tcBorders>
                    <w:tl2br w:val="nil"/>
                    <w:tr2bl w:val="nil"/>
                  </w:tcBorders>
                  <w:noWrap w:val="0"/>
                  <w:tcMar>
                    <w:top w:w="0" w:type="dxa"/>
                    <w:left w:w="28" w:type="dxa"/>
                    <w:bottom w:w="0" w:type="dxa"/>
                    <w:right w:w="28" w:type="dxa"/>
                  </w:tcMar>
                  <w:vAlign w:val="center"/>
                </w:tcPr>
                <w:p w14:paraId="51D86946">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符合情况</w:t>
                  </w:r>
                </w:p>
              </w:tc>
            </w:tr>
            <w:tr w14:paraId="6F96C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noWrap w:val="0"/>
                  <w:tcMar>
                    <w:top w:w="0" w:type="dxa"/>
                    <w:left w:w="28" w:type="dxa"/>
                    <w:bottom w:w="0" w:type="dxa"/>
                    <w:right w:w="28" w:type="dxa"/>
                  </w:tcMar>
                  <w:vAlign w:val="center"/>
                </w:tcPr>
                <w:p w14:paraId="40E1BF21">
                  <w:pPr>
                    <w:adjustRightInd w:val="0"/>
                    <w:snapToGrid w:val="0"/>
                    <w:rPr>
                      <w:rFonts w:hint="default" w:ascii="Times New Roman" w:hAnsi="Times New Roman" w:eastAsia="宋体" w:cs="Times New Roman"/>
                      <w:color w:val="auto"/>
                      <w:sz w:val="21"/>
                      <w:szCs w:val="21"/>
                      <w:highlight w:val="none"/>
                      <w:lang w:val="en-US" w:eastAsia="zh-CN"/>
                    </w:rPr>
                  </w:pPr>
                  <w:r>
                    <w:rPr>
                      <w:szCs w:val="21"/>
                    </w:rPr>
                    <w:t>一、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w:t>
                  </w:r>
                  <w:r>
                    <w:rPr>
                      <w:rFonts w:hint="eastAsia"/>
                      <w:szCs w:val="21"/>
                      <w:lang w:val="en-US" w:eastAsia="zh-CN"/>
                    </w:rPr>
                    <w:t>24</w:t>
                  </w:r>
                  <w:r>
                    <w:rPr>
                      <w:szCs w:val="21"/>
                    </w:rPr>
                    <w:t>年本）》（如有更新，以更新后文件为准），对鼓励类项目，按照有关规定审批、核准或备案；对限制类项目，禁止新建，</w:t>
                  </w:r>
                  <w:r>
                    <w:rPr>
                      <w:rFonts w:hint="eastAsia"/>
                      <w:szCs w:val="21"/>
                    </w:rPr>
                    <w:t>原有</w:t>
                  </w:r>
                  <w:r>
                    <w:rPr>
                      <w:szCs w:val="21"/>
                    </w:rPr>
                    <w:t>生产能力允许在一定期限内改造升级；对淘汰类项目，市场主体不得进入，行政机关不予审批。</w:t>
                  </w:r>
                </w:p>
              </w:tc>
              <w:tc>
                <w:tcPr>
                  <w:tcW w:w="1680" w:type="pct"/>
                  <w:tcBorders>
                    <w:tl2br w:val="nil"/>
                    <w:tr2bl w:val="nil"/>
                  </w:tcBorders>
                  <w:noWrap w:val="0"/>
                  <w:tcMar>
                    <w:top w:w="0" w:type="dxa"/>
                    <w:left w:w="28" w:type="dxa"/>
                    <w:bottom w:w="0" w:type="dxa"/>
                    <w:right w:w="28" w:type="dxa"/>
                  </w:tcMar>
                  <w:vAlign w:val="center"/>
                </w:tcPr>
                <w:p w14:paraId="7E20C070">
                  <w:pPr>
                    <w:adjustRightInd w:val="0"/>
                    <w:snapToGrid w:val="0"/>
                    <w:rPr>
                      <w:rFonts w:hint="default" w:ascii="Times New Roman" w:hAnsi="Times New Roman" w:eastAsia="宋体" w:cs="Times New Roman"/>
                      <w:szCs w:val="21"/>
                      <w:lang w:val="en-US" w:eastAsia="zh-CN"/>
                    </w:rPr>
                  </w:pPr>
                  <w:r>
                    <w:rPr>
                      <w:rFonts w:ascii="Times New Roman" w:hAnsi="Times New Roman" w:eastAsia="宋体" w:cs="Times New Roman"/>
                      <w:szCs w:val="21"/>
                    </w:rPr>
                    <w:t>根据《产业结构调整指导目录（20</w:t>
                  </w:r>
                  <w:r>
                    <w:rPr>
                      <w:rFonts w:hint="eastAsia" w:ascii="Times New Roman" w:hAnsi="Times New Roman" w:eastAsia="宋体" w:cs="Times New Roman"/>
                      <w:szCs w:val="21"/>
                      <w:lang w:val="en-US" w:eastAsia="zh-CN"/>
                    </w:rPr>
                    <w:t>24</w:t>
                  </w:r>
                  <w:r>
                    <w:rPr>
                      <w:rFonts w:ascii="Times New Roman" w:hAnsi="Times New Roman" w:eastAsia="宋体" w:cs="Times New Roman"/>
                      <w:szCs w:val="21"/>
                    </w:rPr>
                    <w:t>年本）》，本项目属于允许</w:t>
                  </w:r>
                  <w:r>
                    <w:rPr>
                      <w:rFonts w:hint="eastAsia" w:ascii="Times New Roman" w:hAnsi="Times New Roman" w:eastAsia="宋体" w:cs="Times New Roman"/>
                      <w:szCs w:val="21"/>
                    </w:rPr>
                    <w:t>建设</w:t>
                  </w:r>
                  <w:r>
                    <w:rPr>
                      <w:rFonts w:ascii="Times New Roman" w:hAnsi="Times New Roman" w:eastAsia="宋体" w:cs="Times New Roman"/>
                      <w:szCs w:val="21"/>
                    </w:rPr>
                    <w:t>项目，未使用国家明令禁止的淘汰类和限制类的工艺和设备，符合国家产业政策。项目已取得备案。</w:t>
                  </w:r>
                </w:p>
              </w:tc>
              <w:tc>
                <w:tcPr>
                  <w:tcW w:w="406" w:type="pct"/>
                  <w:tcBorders>
                    <w:tl2br w:val="nil"/>
                    <w:tr2bl w:val="nil"/>
                  </w:tcBorders>
                  <w:noWrap w:val="0"/>
                  <w:tcMar>
                    <w:top w:w="0" w:type="dxa"/>
                    <w:left w:w="28" w:type="dxa"/>
                    <w:bottom w:w="0" w:type="dxa"/>
                    <w:right w:w="28" w:type="dxa"/>
                  </w:tcMar>
                  <w:vAlign w:val="center"/>
                </w:tcPr>
                <w:p w14:paraId="4CA47C32">
                  <w:pPr>
                    <w:pStyle w:val="129"/>
                    <w:ind w:firstLine="0" w:firstLineChars="0"/>
                    <w:jc w:val="center"/>
                    <w:rPr>
                      <w:rFonts w:hint="default" w:ascii="Times New Roman" w:hAnsi="Times New Roman" w:cs="Times New Roman"/>
                      <w:color w:val="auto"/>
                      <w:sz w:val="21"/>
                      <w:szCs w:val="21"/>
                      <w:highlight w:val="none"/>
                    </w:rPr>
                  </w:pPr>
                  <w:r>
                    <w:rPr>
                      <w:rFonts w:hint="eastAsia" w:ascii="Times New Roman" w:hAnsi="Times New Roman"/>
                      <w:iCs w:val="0"/>
                      <w:sz w:val="21"/>
                      <w:szCs w:val="24"/>
                    </w:rPr>
                    <w:t>符合</w:t>
                  </w:r>
                </w:p>
              </w:tc>
            </w:tr>
            <w:tr w14:paraId="4E046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noWrap w:val="0"/>
                  <w:tcMar>
                    <w:top w:w="0" w:type="dxa"/>
                    <w:left w:w="28" w:type="dxa"/>
                    <w:bottom w:w="0" w:type="dxa"/>
                    <w:right w:w="28" w:type="dxa"/>
                  </w:tcMar>
                  <w:vAlign w:val="center"/>
                </w:tcPr>
                <w:p w14:paraId="3FE0853D">
                  <w:pPr>
                    <w:adjustRightInd w:val="0"/>
                    <w:snapToGrid w:val="0"/>
                    <w:rPr>
                      <w:rFonts w:hint="default" w:ascii="Times New Roman" w:hAnsi="Times New Roman" w:cs="Times New Roman"/>
                      <w:color w:val="auto"/>
                      <w:sz w:val="21"/>
                      <w:szCs w:val="21"/>
                      <w:highlight w:val="none"/>
                      <w:lang w:val="en-US" w:eastAsia="zh-CN"/>
                    </w:rPr>
                  </w:pPr>
                  <w:r>
                    <w:rPr>
                      <w:szCs w:val="21"/>
                      <w:highlight w:val="none"/>
                    </w:rPr>
                    <w:t>二、强化规划刚性约束。新上项目必须符合国土空间规划、产业发展规划等要求，积极引导产业园区外</w:t>
                  </w:r>
                  <w:r>
                    <w:rPr>
                      <w:rFonts w:hint="eastAsia"/>
                      <w:szCs w:val="21"/>
                      <w:highlight w:val="none"/>
                    </w:rPr>
                    <w:t>“</w:t>
                  </w:r>
                  <w:r>
                    <w:rPr>
                      <w:szCs w:val="21"/>
                      <w:highlight w:val="none"/>
                    </w:rPr>
                    <w:t>散乱污</w:t>
                  </w:r>
                  <w:r>
                    <w:rPr>
                      <w:rFonts w:hint="eastAsia"/>
                      <w:szCs w:val="21"/>
                      <w:highlight w:val="none"/>
                    </w:rPr>
                    <w:t>”</w:t>
                  </w:r>
                  <w:r>
                    <w:rPr>
                      <w:szCs w:val="21"/>
                      <w:highlight w:val="none"/>
                    </w:rPr>
                    <w:t>整治搬迁改造企业进入产业园区或工业集聚区，并鼓励租赁标准厂房。按照</w:t>
                  </w:r>
                  <w:r>
                    <w:rPr>
                      <w:rFonts w:hint="eastAsia"/>
                      <w:szCs w:val="21"/>
                      <w:highlight w:val="none"/>
                    </w:rPr>
                    <w:t>“</w:t>
                  </w:r>
                  <w:r>
                    <w:rPr>
                      <w:szCs w:val="21"/>
                      <w:highlight w:val="none"/>
                    </w:rPr>
                    <w:t>布局集中、用地集约、产业集聚、空间优化</w:t>
                  </w:r>
                  <w:r>
                    <w:rPr>
                      <w:rFonts w:hint="eastAsia"/>
                      <w:szCs w:val="21"/>
                      <w:highlight w:val="none"/>
                    </w:rPr>
                    <w:t>”</w:t>
                  </w:r>
                  <w:r>
                    <w:rPr>
                      <w:szCs w:val="21"/>
                      <w:highlight w:val="none"/>
                    </w:rPr>
                    <w:t>的原则，高标准制定产业发展规划，明确主导产业、布局和产业发展方向，引导企业规范化、规模化、集约化发展。</w:t>
                  </w:r>
                </w:p>
              </w:tc>
              <w:tc>
                <w:tcPr>
                  <w:tcW w:w="1680" w:type="pct"/>
                  <w:tcBorders>
                    <w:tl2br w:val="nil"/>
                    <w:tr2bl w:val="nil"/>
                  </w:tcBorders>
                  <w:noWrap w:val="0"/>
                  <w:tcMar>
                    <w:top w:w="0" w:type="dxa"/>
                    <w:left w:w="28" w:type="dxa"/>
                    <w:bottom w:w="0" w:type="dxa"/>
                    <w:right w:w="28" w:type="dxa"/>
                  </w:tcMar>
                  <w:vAlign w:val="center"/>
                </w:tcPr>
                <w:p w14:paraId="5FE65B1B">
                  <w:pPr>
                    <w:adjustRightInd w:val="0"/>
                    <w:snapToGrid w:val="0"/>
                    <w:rPr>
                      <w:rFonts w:hint="default" w:ascii="Times New Roman" w:hAnsi="Times New Roman" w:eastAsia="宋体" w:cs="Times New Roman"/>
                      <w:szCs w:val="21"/>
                      <w:lang w:val="en-US" w:eastAsia="zh-CN"/>
                    </w:rPr>
                  </w:pPr>
                  <w:r>
                    <w:rPr>
                      <w:rFonts w:ascii="Times New Roman" w:hAnsi="Times New Roman" w:eastAsia="宋体" w:cs="Times New Roman"/>
                      <w:szCs w:val="21"/>
                    </w:rPr>
                    <w:t>本项目</w:t>
                  </w:r>
                  <w:r>
                    <w:rPr>
                      <w:rFonts w:hint="eastAsia" w:ascii="Times New Roman" w:hAnsi="Times New Roman" w:eastAsia="宋体" w:cs="Times New Roman"/>
                      <w:szCs w:val="21"/>
                    </w:rPr>
                    <w:t>为</w:t>
                  </w:r>
                  <w:r>
                    <w:rPr>
                      <w:rFonts w:hint="eastAsia" w:ascii="Times New Roman" w:hAnsi="Times New Roman" w:eastAsia="宋体" w:cs="Times New Roman"/>
                      <w:szCs w:val="21"/>
                      <w:lang w:val="en-US" w:eastAsia="zh-CN"/>
                    </w:rPr>
                    <w:t>新建</w:t>
                  </w:r>
                  <w:r>
                    <w:rPr>
                      <w:rFonts w:hint="eastAsia" w:ascii="Times New Roman" w:hAnsi="Times New Roman" w:eastAsia="宋体" w:cs="Times New Roman"/>
                      <w:szCs w:val="21"/>
                    </w:rPr>
                    <w:t>项目，项目</w:t>
                  </w:r>
                  <w:r>
                    <w:rPr>
                      <w:rFonts w:ascii="Times New Roman" w:hAnsi="Times New Roman" w:eastAsia="宋体" w:cs="Times New Roman"/>
                      <w:szCs w:val="21"/>
                    </w:rPr>
                    <w:t>位于</w:t>
                  </w:r>
                  <w:r>
                    <w:rPr>
                      <w:rFonts w:hint="eastAsia" w:ascii="Times New Roman" w:hAnsi="Times New Roman" w:eastAsia="宋体" w:cs="Times New Roman"/>
                      <w:szCs w:val="21"/>
                      <w:lang w:val="en-US" w:eastAsia="zh-CN"/>
                    </w:rPr>
                    <w:t>淄博市沂源县张家坡镇政通路88号，</w:t>
                  </w:r>
                  <w:r>
                    <w:rPr>
                      <w:rFonts w:hint="eastAsia" w:cs="Times New Roman"/>
                      <w:szCs w:val="21"/>
                      <w:lang w:val="en-US" w:eastAsia="zh-CN"/>
                    </w:rPr>
                    <w:t>位于张家坡镇驻地片区工业聚集区内，详见附件6</w:t>
                  </w:r>
                  <w:r>
                    <w:rPr>
                      <w:rFonts w:hint="eastAsia" w:ascii="Times New Roman" w:hAnsi="Times New Roman" w:eastAsia="宋体" w:cs="Times New Roman"/>
                      <w:szCs w:val="21"/>
                      <w:lang w:val="en-US" w:eastAsia="zh-CN"/>
                    </w:rPr>
                    <w:t>。</w:t>
                  </w:r>
                </w:p>
              </w:tc>
              <w:tc>
                <w:tcPr>
                  <w:tcW w:w="406" w:type="pct"/>
                  <w:tcBorders>
                    <w:tl2br w:val="nil"/>
                    <w:tr2bl w:val="nil"/>
                  </w:tcBorders>
                  <w:noWrap w:val="0"/>
                  <w:tcMar>
                    <w:top w:w="0" w:type="dxa"/>
                    <w:left w:w="28" w:type="dxa"/>
                    <w:bottom w:w="0" w:type="dxa"/>
                    <w:right w:w="28" w:type="dxa"/>
                  </w:tcMar>
                  <w:vAlign w:val="center"/>
                </w:tcPr>
                <w:p w14:paraId="5F4129F0">
                  <w:pPr>
                    <w:pStyle w:val="129"/>
                    <w:ind w:firstLine="0" w:firstLineChars="0"/>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iCs w:val="0"/>
                      <w:sz w:val="21"/>
                      <w:szCs w:val="24"/>
                      <w:lang w:eastAsia="zh-CN"/>
                    </w:rPr>
                    <w:t>符合</w:t>
                  </w:r>
                </w:p>
              </w:tc>
            </w:tr>
            <w:tr w14:paraId="0182D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shd w:val="clear" w:color="auto" w:fill="auto"/>
                  <w:noWrap w:val="0"/>
                  <w:tcMar>
                    <w:top w:w="0" w:type="dxa"/>
                    <w:left w:w="28" w:type="dxa"/>
                    <w:bottom w:w="0" w:type="dxa"/>
                    <w:right w:w="28" w:type="dxa"/>
                  </w:tcMar>
                  <w:vAlign w:val="center"/>
                </w:tcPr>
                <w:p w14:paraId="1D9DF750">
                  <w:pPr>
                    <w:adjustRightInd w:val="0"/>
                    <w:snapToGrid w:val="0"/>
                    <w:rPr>
                      <w:rFonts w:ascii="Times New Roman" w:hAnsi="Times New Roman" w:eastAsia="宋体" w:cs="Times New Roman"/>
                      <w:kern w:val="2"/>
                      <w:sz w:val="21"/>
                      <w:szCs w:val="21"/>
                      <w:highlight w:val="none"/>
                      <w:lang w:val="en-US" w:eastAsia="zh-CN" w:bidi="ar-SA"/>
                    </w:rPr>
                  </w:pPr>
                  <w:r>
                    <w:rPr>
                      <w:szCs w:val="21"/>
                      <w:highlight w:val="none"/>
                    </w:rPr>
                    <w:t>三、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680" w:type="pct"/>
                  <w:tcBorders>
                    <w:tl2br w:val="nil"/>
                    <w:tr2bl w:val="nil"/>
                  </w:tcBorders>
                  <w:shd w:val="clear" w:color="auto" w:fill="auto"/>
                  <w:noWrap w:val="0"/>
                  <w:tcMar>
                    <w:top w:w="0" w:type="dxa"/>
                    <w:left w:w="28" w:type="dxa"/>
                    <w:bottom w:w="0" w:type="dxa"/>
                    <w:right w:w="28" w:type="dxa"/>
                  </w:tcMar>
                  <w:vAlign w:val="center"/>
                </w:tcPr>
                <w:p w14:paraId="18C3BF3F">
                  <w:pPr>
                    <w:adjustRightInd w:val="0"/>
                    <w:snapToGrid w:val="0"/>
                    <w:jc w:val="center"/>
                    <w:rPr>
                      <w:rFonts w:ascii="Times New Roman" w:hAnsi="Times New Roman" w:eastAsia="宋体" w:cs="Times New Roman"/>
                      <w:kern w:val="2"/>
                      <w:sz w:val="21"/>
                      <w:szCs w:val="21"/>
                      <w:highlight w:val="none"/>
                      <w:lang w:val="en-US" w:eastAsia="zh-CN" w:bidi="ar-SA"/>
                    </w:rPr>
                  </w:pPr>
                  <w:r>
                    <w:rPr>
                      <w:rFonts w:ascii="Times New Roman" w:hAnsi="Times New Roman" w:eastAsia="宋体" w:cs="Times New Roman"/>
                      <w:szCs w:val="21"/>
                    </w:rPr>
                    <w:t>本项目</w:t>
                  </w:r>
                  <w:r>
                    <w:rPr>
                      <w:rFonts w:hint="eastAsia" w:ascii="Times New Roman" w:hAnsi="Times New Roman" w:eastAsia="宋体" w:cs="Times New Roman"/>
                      <w:szCs w:val="21"/>
                    </w:rPr>
                    <w:t>为</w:t>
                  </w:r>
                  <w:r>
                    <w:rPr>
                      <w:rFonts w:hint="eastAsia" w:ascii="Times New Roman" w:hAnsi="Times New Roman" w:eastAsia="宋体" w:cs="Times New Roman"/>
                      <w:szCs w:val="21"/>
                      <w:lang w:val="en-US" w:eastAsia="zh-CN"/>
                    </w:rPr>
                    <w:t>新建</w:t>
                  </w:r>
                  <w:r>
                    <w:rPr>
                      <w:rFonts w:hint="eastAsia" w:ascii="Times New Roman" w:hAnsi="Times New Roman" w:eastAsia="宋体" w:cs="Times New Roman"/>
                      <w:szCs w:val="21"/>
                    </w:rPr>
                    <w:t>项目，</w:t>
                  </w:r>
                  <w:r>
                    <w:rPr>
                      <w:rFonts w:hint="eastAsia" w:cs="Times New Roman"/>
                      <w:szCs w:val="21"/>
                      <w:lang w:val="en-US" w:eastAsia="zh-CN"/>
                    </w:rPr>
                    <w:t>位于张家坡镇驻地片区工业聚集区内，详见附件6</w:t>
                  </w:r>
                  <w:r>
                    <w:rPr>
                      <w:rFonts w:hint="eastAsia" w:ascii="Times New Roman" w:hAnsi="Times New Roman" w:eastAsia="宋体" w:cs="Times New Roman"/>
                      <w:szCs w:val="21"/>
                      <w:lang w:val="en-US" w:eastAsia="zh-CN"/>
                    </w:rPr>
                    <w:t>。</w:t>
                  </w:r>
                </w:p>
              </w:tc>
              <w:tc>
                <w:tcPr>
                  <w:tcW w:w="406" w:type="pct"/>
                  <w:tcBorders>
                    <w:tl2br w:val="nil"/>
                    <w:tr2bl w:val="nil"/>
                  </w:tcBorders>
                  <w:noWrap w:val="0"/>
                  <w:tcMar>
                    <w:top w:w="0" w:type="dxa"/>
                    <w:left w:w="28" w:type="dxa"/>
                    <w:bottom w:w="0" w:type="dxa"/>
                    <w:right w:w="28" w:type="dxa"/>
                  </w:tcMar>
                  <w:vAlign w:val="center"/>
                </w:tcPr>
                <w:p w14:paraId="7086542E">
                  <w:pPr>
                    <w:ind w:firstLine="0" w:firstLineChars="0"/>
                    <w:jc w:val="center"/>
                    <w:rPr>
                      <w:rFonts w:hint="eastAsia" w:ascii="Times New Roman" w:hAnsi="Times New Roman"/>
                      <w:iCs w:val="0"/>
                      <w:sz w:val="21"/>
                      <w:szCs w:val="24"/>
                      <w:lang w:eastAsia="zh-CN"/>
                    </w:rPr>
                  </w:pPr>
                  <w:r>
                    <w:rPr>
                      <w:rFonts w:hint="eastAsia" w:ascii="Times New Roman" w:hAnsi="Times New Roman"/>
                      <w:iCs w:val="0"/>
                      <w:sz w:val="21"/>
                      <w:szCs w:val="24"/>
                      <w:lang w:eastAsia="zh-CN"/>
                    </w:rPr>
                    <w:t>符合</w:t>
                  </w:r>
                </w:p>
              </w:tc>
            </w:tr>
            <w:tr w14:paraId="5D541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shd w:val="clear" w:color="auto" w:fill="auto"/>
                  <w:noWrap w:val="0"/>
                  <w:tcMar>
                    <w:top w:w="0" w:type="dxa"/>
                    <w:left w:w="28" w:type="dxa"/>
                    <w:bottom w:w="0" w:type="dxa"/>
                    <w:right w:w="28" w:type="dxa"/>
                  </w:tcMar>
                  <w:vAlign w:val="center"/>
                </w:tcPr>
                <w:p w14:paraId="2C218C4C">
                  <w:pPr>
                    <w:adjustRightInd w:val="0"/>
                    <w:snapToGrid w:val="0"/>
                    <w:rPr>
                      <w:rFonts w:ascii="Times New Roman" w:hAnsi="Times New Roman" w:eastAsia="宋体" w:cs="Times New Roman"/>
                      <w:kern w:val="2"/>
                      <w:sz w:val="21"/>
                      <w:szCs w:val="21"/>
                      <w:lang w:val="en-US" w:eastAsia="zh-CN" w:bidi="ar-SA"/>
                    </w:rPr>
                  </w:pPr>
                  <w:r>
                    <w:rPr>
                      <w:szCs w:val="21"/>
                    </w:rPr>
                    <w:t>四、严把项目环评审批关。新上项目必须严格执行环评审批</w:t>
                  </w:r>
                  <w:r>
                    <w:rPr>
                      <w:rFonts w:hint="eastAsia"/>
                      <w:szCs w:val="21"/>
                    </w:rPr>
                    <w:t>“</w:t>
                  </w:r>
                  <w:r>
                    <w:rPr>
                      <w:szCs w:val="21"/>
                    </w:rPr>
                    <w:t>三挂钩</w:t>
                  </w:r>
                  <w:r>
                    <w:rPr>
                      <w:rFonts w:hint="eastAsia"/>
                      <w:szCs w:val="21"/>
                    </w:rPr>
                    <w:t>”</w:t>
                  </w:r>
                  <w:r>
                    <w:rPr>
                      <w:szCs w:val="21"/>
                    </w:rPr>
                    <w:t>机制和</w:t>
                  </w:r>
                  <w:r>
                    <w:rPr>
                      <w:rFonts w:hint="eastAsia"/>
                      <w:szCs w:val="21"/>
                    </w:rPr>
                    <w:t>“</w:t>
                  </w:r>
                  <w:r>
                    <w:rPr>
                      <w:szCs w:val="21"/>
                    </w:rPr>
                    <w:t>五个不批</w:t>
                  </w:r>
                  <w:r>
                    <w:rPr>
                      <w:rFonts w:hint="eastAsia"/>
                      <w:szCs w:val="21"/>
                    </w:rPr>
                    <w:t>”</w:t>
                  </w:r>
                  <w:r>
                    <w:rPr>
                      <w:szCs w:val="21"/>
                    </w:rPr>
                    <w:t>要求，落实</w:t>
                  </w:r>
                  <w:r>
                    <w:rPr>
                      <w:rFonts w:hint="eastAsia"/>
                      <w:szCs w:val="21"/>
                    </w:rPr>
                    <w:t>“</w:t>
                  </w:r>
                  <w:r>
                    <w:rPr>
                      <w:szCs w:val="21"/>
                    </w:rPr>
                    <w:t>三线一单</w:t>
                  </w:r>
                  <w:r>
                    <w:rPr>
                      <w:rFonts w:hint="eastAsia"/>
                      <w:szCs w:val="21"/>
                    </w:rPr>
                    <w:t>”</w:t>
                  </w:r>
                  <w:r>
                    <w:rPr>
                      <w:szCs w:val="21"/>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1680" w:type="pct"/>
                  <w:tcBorders>
                    <w:tl2br w:val="nil"/>
                    <w:tr2bl w:val="nil"/>
                  </w:tcBorders>
                  <w:shd w:val="clear" w:color="auto" w:fill="auto"/>
                  <w:noWrap w:val="0"/>
                  <w:tcMar>
                    <w:top w:w="0" w:type="dxa"/>
                    <w:left w:w="28" w:type="dxa"/>
                    <w:bottom w:w="0" w:type="dxa"/>
                    <w:right w:w="28" w:type="dxa"/>
                  </w:tcMar>
                  <w:vAlign w:val="center"/>
                </w:tcPr>
                <w:p w14:paraId="729E928B">
                  <w:pPr>
                    <w:adjustRightInd w:val="0"/>
                    <w:snapToGrid w:val="0"/>
                    <w:jc w:val="center"/>
                    <w:rPr>
                      <w:rFonts w:hint="eastAsia" w:ascii="Times New Roman" w:hAnsi="Times New Roman" w:eastAsia="宋体" w:cs="Times New Roman"/>
                      <w:kern w:val="2"/>
                      <w:sz w:val="21"/>
                      <w:szCs w:val="21"/>
                      <w:lang w:val="en-US" w:eastAsia="zh-CN" w:bidi="ar-SA"/>
                    </w:rPr>
                  </w:pPr>
                  <w:r>
                    <w:rPr>
                      <w:szCs w:val="21"/>
                    </w:rPr>
                    <w:t>本项目符合</w:t>
                  </w:r>
                  <w:r>
                    <w:rPr>
                      <w:rFonts w:hint="eastAsia"/>
                      <w:szCs w:val="21"/>
                    </w:rPr>
                    <w:t>“</w:t>
                  </w:r>
                  <w:r>
                    <w:rPr>
                      <w:szCs w:val="21"/>
                    </w:rPr>
                    <w:t>三线一单</w:t>
                  </w:r>
                  <w:r>
                    <w:rPr>
                      <w:rFonts w:hint="eastAsia"/>
                      <w:szCs w:val="21"/>
                    </w:rPr>
                    <w:t>”</w:t>
                  </w:r>
                  <w:r>
                    <w:rPr>
                      <w:szCs w:val="21"/>
                    </w:rPr>
                    <w:t>要求，项目不涉及煤炭使用</w:t>
                  </w:r>
                  <w:r>
                    <w:rPr>
                      <w:rFonts w:hint="eastAsia"/>
                      <w:szCs w:val="21"/>
                      <w:lang w:eastAsia="zh-CN"/>
                    </w:rPr>
                    <w:t>。</w:t>
                  </w:r>
                </w:p>
              </w:tc>
              <w:tc>
                <w:tcPr>
                  <w:tcW w:w="406" w:type="pct"/>
                  <w:tcBorders>
                    <w:tl2br w:val="nil"/>
                    <w:tr2bl w:val="nil"/>
                  </w:tcBorders>
                  <w:noWrap w:val="0"/>
                  <w:tcMar>
                    <w:top w:w="0" w:type="dxa"/>
                    <w:left w:w="28" w:type="dxa"/>
                    <w:bottom w:w="0" w:type="dxa"/>
                    <w:right w:w="28" w:type="dxa"/>
                  </w:tcMar>
                  <w:vAlign w:val="center"/>
                </w:tcPr>
                <w:p w14:paraId="6E4FEFD1">
                  <w:pPr>
                    <w:ind w:firstLine="0" w:firstLineChars="0"/>
                    <w:jc w:val="center"/>
                    <w:rPr>
                      <w:rFonts w:hint="eastAsia" w:ascii="Times New Roman" w:hAnsi="Times New Roman"/>
                      <w:iCs w:val="0"/>
                      <w:sz w:val="21"/>
                      <w:szCs w:val="24"/>
                      <w:lang w:eastAsia="zh-CN"/>
                    </w:rPr>
                  </w:pPr>
                  <w:r>
                    <w:rPr>
                      <w:rFonts w:hint="eastAsia" w:ascii="Times New Roman" w:hAnsi="Times New Roman"/>
                      <w:iCs w:val="0"/>
                      <w:sz w:val="21"/>
                      <w:szCs w:val="24"/>
                      <w:lang w:eastAsia="zh-CN"/>
                    </w:rPr>
                    <w:t>符合</w:t>
                  </w:r>
                </w:p>
              </w:tc>
            </w:tr>
            <w:tr w14:paraId="5F95F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shd w:val="clear" w:color="auto" w:fill="auto"/>
                  <w:noWrap w:val="0"/>
                  <w:tcMar>
                    <w:top w:w="0" w:type="dxa"/>
                    <w:left w:w="28" w:type="dxa"/>
                    <w:bottom w:w="0" w:type="dxa"/>
                    <w:right w:w="28" w:type="dxa"/>
                  </w:tcMar>
                  <w:vAlign w:val="center"/>
                </w:tcPr>
                <w:p w14:paraId="3C7A4DC2">
                  <w:pPr>
                    <w:adjustRightInd w:val="0"/>
                    <w:snapToGrid w:val="0"/>
                    <w:rPr>
                      <w:rFonts w:ascii="Times New Roman" w:hAnsi="Times New Roman" w:eastAsia="宋体" w:cs="Times New Roman"/>
                      <w:kern w:val="2"/>
                      <w:sz w:val="21"/>
                      <w:szCs w:val="21"/>
                      <w:lang w:val="en-US" w:eastAsia="zh-CN" w:bidi="ar-SA"/>
                    </w:rPr>
                  </w:pPr>
                  <w:r>
                    <w:rPr>
                      <w:szCs w:val="21"/>
                    </w:rPr>
                    <w:t>五、建立部门联动协调机制。各级发展改革、工业和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1680" w:type="pct"/>
                  <w:tcBorders>
                    <w:tl2br w:val="nil"/>
                    <w:tr2bl w:val="nil"/>
                  </w:tcBorders>
                  <w:shd w:val="clear" w:color="auto" w:fill="auto"/>
                  <w:noWrap w:val="0"/>
                  <w:tcMar>
                    <w:top w:w="0" w:type="dxa"/>
                    <w:left w:w="28" w:type="dxa"/>
                    <w:bottom w:w="0" w:type="dxa"/>
                    <w:right w:w="28" w:type="dxa"/>
                  </w:tcMar>
                  <w:vAlign w:val="center"/>
                </w:tcPr>
                <w:p w14:paraId="32CE12CE">
                  <w:pPr>
                    <w:adjustRightInd w:val="0"/>
                    <w:snapToGrid w:val="0"/>
                    <w:jc w:val="center"/>
                    <w:rPr>
                      <w:rFonts w:hint="eastAsia" w:ascii="Times New Roman" w:hAnsi="Times New Roman" w:eastAsia="宋体" w:cs="Times New Roman"/>
                      <w:kern w:val="2"/>
                      <w:sz w:val="21"/>
                      <w:szCs w:val="21"/>
                      <w:lang w:val="en-US" w:eastAsia="zh-CN" w:bidi="ar-SA"/>
                    </w:rPr>
                  </w:pPr>
                  <w:r>
                    <w:rPr>
                      <w:szCs w:val="21"/>
                    </w:rPr>
                    <w:t>在落实环保措施情况下项目建设符合要求</w:t>
                  </w:r>
                  <w:r>
                    <w:rPr>
                      <w:rFonts w:hint="eastAsia"/>
                      <w:szCs w:val="21"/>
                      <w:lang w:eastAsia="zh-CN"/>
                    </w:rPr>
                    <w:t>。</w:t>
                  </w:r>
                </w:p>
              </w:tc>
              <w:tc>
                <w:tcPr>
                  <w:tcW w:w="406" w:type="pct"/>
                  <w:tcBorders>
                    <w:tl2br w:val="nil"/>
                    <w:tr2bl w:val="nil"/>
                  </w:tcBorders>
                  <w:noWrap w:val="0"/>
                  <w:tcMar>
                    <w:top w:w="0" w:type="dxa"/>
                    <w:left w:w="28" w:type="dxa"/>
                    <w:bottom w:w="0" w:type="dxa"/>
                    <w:right w:w="28" w:type="dxa"/>
                  </w:tcMar>
                  <w:vAlign w:val="center"/>
                </w:tcPr>
                <w:p w14:paraId="0C7E8C0F">
                  <w:pPr>
                    <w:ind w:firstLine="0" w:firstLineChars="0"/>
                    <w:jc w:val="center"/>
                    <w:rPr>
                      <w:rFonts w:hint="eastAsia" w:ascii="Times New Roman" w:hAnsi="Times New Roman"/>
                      <w:iCs w:val="0"/>
                      <w:sz w:val="21"/>
                      <w:szCs w:val="24"/>
                      <w:lang w:eastAsia="zh-CN"/>
                    </w:rPr>
                  </w:pPr>
                  <w:r>
                    <w:rPr>
                      <w:rFonts w:hint="eastAsia" w:ascii="Times New Roman" w:hAnsi="Times New Roman"/>
                      <w:iCs w:val="0"/>
                      <w:sz w:val="21"/>
                      <w:szCs w:val="24"/>
                      <w:lang w:eastAsia="zh-CN"/>
                    </w:rPr>
                    <w:t>符合</w:t>
                  </w:r>
                </w:p>
              </w:tc>
            </w:tr>
            <w:tr w14:paraId="7739A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3" w:type="pct"/>
                  <w:tcBorders>
                    <w:tl2br w:val="nil"/>
                    <w:tr2bl w:val="nil"/>
                  </w:tcBorders>
                  <w:shd w:val="clear" w:color="auto" w:fill="auto"/>
                  <w:noWrap w:val="0"/>
                  <w:tcMar>
                    <w:top w:w="0" w:type="dxa"/>
                    <w:left w:w="28" w:type="dxa"/>
                    <w:bottom w:w="0" w:type="dxa"/>
                    <w:right w:w="28" w:type="dxa"/>
                  </w:tcMar>
                  <w:vAlign w:val="center"/>
                </w:tcPr>
                <w:p w14:paraId="01DE2015">
                  <w:pPr>
                    <w:adjustRightInd w:val="0"/>
                    <w:snapToGrid w:val="0"/>
                    <w:rPr>
                      <w:rFonts w:ascii="Times New Roman" w:hAnsi="Times New Roman" w:eastAsia="宋体" w:cs="Times New Roman"/>
                      <w:kern w:val="2"/>
                      <w:sz w:val="21"/>
                      <w:szCs w:val="21"/>
                      <w:lang w:val="en-US" w:eastAsia="zh-CN" w:bidi="ar-SA"/>
                    </w:rPr>
                  </w:pPr>
                  <w:r>
                    <w:rPr>
                      <w:szCs w:val="21"/>
                    </w:rPr>
                    <w:t>六、强化日常监管执法。持续加大对违反产业政策、规划、准入规定等违法违规建设行为的查处力度，坚决遏制</w:t>
                  </w:r>
                  <w:r>
                    <w:rPr>
                      <w:rFonts w:hint="eastAsia"/>
                      <w:szCs w:val="21"/>
                    </w:rPr>
                    <w:t>“</w:t>
                  </w:r>
                  <w:r>
                    <w:rPr>
                      <w:szCs w:val="21"/>
                    </w:rPr>
                    <w:t>未批先建</w:t>
                  </w:r>
                  <w:r>
                    <w:rPr>
                      <w:rFonts w:hint="eastAsia"/>
                      <w:szCs w:val="21"/>
                    </w:rPr>
                    <w:t>”</w:t>
                  </w:r>
                  <w:r>
                    <w:rPr>
                      <w:szCs w:val="21"/>
                    </w:rPr>
                    <w:t>等违法行为。畅通群众举报投诉渠道，对</w:t>
                  </w:r>
                  <w:r>
                    <w:rPr>
                      <w:rFonts w:hint="eastAsia"/>
                      <w:szCs w:val="21"/>
                    </w:rPr>
                    <w:t>“</w:t>
                  </w:r>
                  <w:r>
                    <w:rPr>
                      <w:szCs w:val="21"/>
                    </w:rPr>
                    <w:t>散乱污</w:t>
                  </w:r>
                  <w:r>
                    <w:rPr>
                      <w:rFonts w:hint="eastAsia"/>
                      <w:szCs w:val="21"/>
                    </w:rPr>
                    <w:t>”</w:t>
                  </w:r>
                  <w:r>
                    <w:rPr>
                      <w:szCs w:val="21"/>
                    </w:rPr>
                    <w:t>项目做到早发现、早应对、早处置，严防死灰复燃。</w:t>
                  </w:r>
                </w:p>
              </w:tc>
              <w:tc>
                <w:tcPr>
                  <w:tcW w:w="1680" w:type="pct"/>
                  <w:tcBorders>
                    <w:tl2br w:val="nil"/>
                    <w:tr2bl w:val="nil"/>
                  </w:tcBorders>
                  <w:shd w:val="clear" w:color="auto" w:fill="auto"/>
                  <w:noWrap w:val="0"/>
                  <w:tcMar>
                    <w:top w:w="0" w:type="dxa"/>
                    <w:left w:w="28" w:type="dxa"/>
                    <w:bottom w:w="0" w:type="dxa"/>
                    <w:right w:w="28" w:type="dxa"/>
                  </w:tcMar>
                  <w:vAlign w:val="center"/>
                </w:tcPr>
                <w:p w14:paraId="7CCFC5A3">
                  <w:pPr>
                    <w:adjustRightInd w:val="0"/>
                    <w:snapToGrid w:val="0"/>
                    <w:jc w:val="center"/>
                    <w:rPr>
                      <w:rFonts w:hint="eastAsia" w:ascii="Times New Roman" w:hAnsi="Times New Roman" w:eastAsia="宋体" w:cs="Times New Roman"/>
                      <w:kern w:val="2"/>
                      <w:sz w:val="21"/>
                      <w:szCs w:val="21"/>
                      <w:lang w:val="en-US" w:eastAsia="zh-CN" w:bidi="ar-SA"/>
                    </w:rPr>
                  </w:pPr>
                  <w:r>
                    <w:rPr>
                      <w:szCs w:val="21"/>
                    </w:rPr>
                    <w:t>项目不涉及</w:t>
                  </w:r>
                  <w:r>
                    <w:rPr>
                      <w:rFonts w:hint="eastAsia"/>
                      <w:szCs w:val="21"/>
                    </w:rPr>
                    <w:t>“</w:t>
                  </w:r>
                  <w:r>
                    <w:rPr>
                      <w:szCs w:val="21"/>
                    </w:rPr>
                    <w:t>未批先建</w:t>
                  </w:r>
                  <w:r>
                    <w:rPr>
                      <w:rFonts w:hint="eastAsia"/>
                      <w:szCs w:val="21"/>
                    </w:rPr>
                    <w:t>”</w:t>
                  </w:r>
                  <w:r>
                    <w:rPr>
                      <w:szCs w:val="21"/>
                    </w:rPr>
                    <w:t>等违法行为</w:t>
                  </w:r>
                  <w:r>
                    <w:rPr>
                      <w:rFonts w:hint="eastAsia"/>
                      <w:szCs w:val="21"/>
                      <w:lang w:eastAsia="zh-CN"/>
                    </w:rPr>
                    <w:t>。</w:t>
                  </w:r>
                </w:p>
              </w:tc>
              <w:tc>
                <w:tcPr>
                  <w:tcW w:w="406" w:type="pct"/>
                  <w:tcBorders>
                    <w:tl2br w:val="nil"/>
                    <w:tr2bl w:val="nil"/>
                  </w:tcBorders>
                  <w:noWrap w:val="0"/>
                  <w:tcMar>
                    <w:top w:w="0" w:type="dxa"/>
                    <w:left w:w="28" w:type="dxa"/>
                    <w:bottom w:w="0" w:type="dxa"/>
                    <w:right w:w="28" w:type="dxa"/>
                  </w:tcMar>
                  <w:vAlign w:val="center"/>
                </w:tcPr>
                <w:p w14:paraId="1DC64B0F">
                  <w:pPr>
                    <w:pStyle w:val="129"/>
                    <w:ind w:firstLine="0" w:firstLineChars="0"/>
                    <w:jc w:val="center"/>
                    <w:rPr>
                      <w:rFonts w:hint="eastAsia" w:ascii="Times New Roman" w:hAnsi="Times New Roman"/>
                      <w:iCs w:val="0"/>
                      <w:sz w:val="21"/>
                      <w:szCs w:val="24"/>
                      <w:lang w:eastAsia="zh-CN"/>
                    </w:rPr>
                  </w:pPr>
                  <w:r>
                    <w:rPr>
                      <w:rFonts w:hint="eastAsia" w:ascii="Times New Roman" w:hAnsi="Times New Roman"/>
                      <w:iCs w:val="0"/>
                      <w:sz w:val="21"/>
                      <w:szCs w:val="24"/>
                      <w:lang w:eastAsia="zh-CN"/>
                    </w:rPr>
                    <w:t>符合</w:t>
                  </w:r>
                </w:p>
              </w:tc>
            </w:tr>
          </w:tbl>
          <w:p w14:paraId="06F26853">
            <w:pPr>
              <w:pStyle w:val="52"/>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bCs/>
                <w:color w:val="auto"/>
                <w:sz w:val="24"/>
                <w:szCs w:val="24"/>
                <w:highlight w:val="none"/>
              </w:rPr>
              <w:t>综上，</w:t>
            </w:r>
            <w:r>
              <w:rPr>
                <w:rFonts w:hint="eastAsia" w:cs="Times New Roman"/>
                <w:bCs/>
                <w:color w:val="auto"/>
                <w:sz w:val="24"/>
                <w:szCs w:val="24"/>
                <w:highlight w:val="none"/>
                <w:lang w:eastAsia="zh-CN"/>
              </w:rPr>
              <w:t>本</w:t>
            </w:r>
            <w:r>
              <w:rPr>
                <w:rFonts w:hint="default" w:ascii="Times New Roman" w:hAnsi="Times New Roman" w:cs="Times New Roman"/>
                <w:bCs/>
                <w:color w:val="auto"/>
                <w:sz w:val="24"/>
                <w:szCs w:val="24"/>
                <w:highlight w:val="none"/>
              </w:rPr>
              <w:t>项目建设符合</w:t>
            </w:r>
            <w:r>
              <w:rPr>
                <w:rFonts w:hint="eastAsia" w:ascii="Times New Roman" w:hAnsi="Times New Roman" w:eastAsia="宋体" w:cs="Times New Roman"/>
                <w:bCs/>
                <w:color w:val="auto"/>
                <w:sz w:val="24"/>
                <w:szCs w:val="24"/>
                <w:highlight w:val="none"/>
                <w:lang w:val="en-US" w:eastAsia="zh-CN"/>
              </w:rPr>
              <w:t>《关于严格项目审批工作坚决防止新上“散乱污”项目的通知》（鲁环字〔2021〕58号）</w:t>
            </w:r>
            <w:r>
              <w:rPr>
                <w:rFonts w:hint="default" w:ascii="Times New Roman" w:hAnsi="Times New Roman" w:cs="Times New Roman"/>
                <w:bCs/>
                <w:color w:val="auto"/>
                <w:sz w:val="24"/>
                <w:szCs w:val="24"/>
                <w:highlight w:val="none"/>
              </w:rPr>
              <w:t>要求。</w:t>
            </w:r>
          </w:p>
          <w:p w14:paraId="298F63D2">
            <w:pPr>
              <w:pStyle w:val="52"/>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（2）与《山东省空气质量持续改善暨第三轮“四减四增”行动实施方案》（鲁政字[2024]102号）</w:t>
            </w:r>
            <w:r>
              <w:rPr>
                <w:rFonts w:hint="default" w:ascii="Times New Roman" w:hAnsi="Times New Roman" w:cs="Times New Roman"/>
                <w:bCs/>
                <w:color w:val="auto"/>
                <w:sz w:val="24"/>
                <w:szCs w:val="24"/>
                <w:highlight w:val="none"/>
                <w:lang w:eastAsia="zh-CN"/>
              </w:rPr>
              <w:t>符合性分析</w:t>
            </w:r>
          </w:p>
          <w:p w14:paraId="3855767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ascii="Times New Roman" w:hAnsi="Times New Roman" w:eastAsia="黑体" w:cs="Times New Roman"/>
                <w:b w:val="0"/>
                <w:bCs w:val="0"/>
                <w:color w:val="auto"/>
                <w:kern w:val="0"/>
                <w:sz w:val="24"/>
                <w:szCs w:val="24"/>
                <w:highlight w:val="none"/>
                <w:lang w:val="en-US" w:eastAsia="zh-CN"/>
              </w:rPr>
              <w:t>1-</w:t>
            </w:r>
            <w:r>
              <w:rPr>
                <w:rFonts w:hint="eastAsia" w:eastAsia="黑体" w:cs="Times New Roman"/>
                <w:b w:val="0"/>
                <w:bCs w:val="0"/>
                <w:color w:val="auto"/>
                <w:kern w:val="0"/>
                <w:sz w:val="24"/>
                <w:szCs w:val="24"/>
                <w:highlight w:val="none"/>
                <w:lang w:val="en-US" w:eastAsia="zh-CN"/>
              </w:rPr>
              <w:t>6</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与</w:t>
            </w:r>
            <w:r>
              <w:rPr>
                <w:rFonts w:hint="eastAsia" w:ascii="Times New Roman" w:hAnsi="Times New Roman" w:eastAsia="黑体" w:cs="Times New Roman"/>
                <w:b w:val="0"/>
                <w:bCs w:val="0"/>
                <w:color w:val="auto"/>
                <w:kern w:val="0"/>
                <w:sz w:val="24"/>
                <w:szCs w:val="24"/>
                <w:highlight w:val="none"/>
                <w:lang w:val="en-US" w:eastAsia="zh-CN"/>
              </w:rPr>
              <w:t>《山东省空气质量持续改善暨第三轮“四减四增”行动实施方案》（鲁政字[2024]102号）</w:t>
            </w:r>
            <w:r>
              <w:rPr>
                <w:rFonts w:hint="default" w:ascii="Times New Roman" w:hAnsi="Times New Roman" w:eastAsia="黑体" w:cs="Times New Roman"/>
                <w:b w:val="0"/>
                <w:bCs w:val="0"/>
                <w:color w:val="auto"/>
                <w:kern w:val="0"/>
                <w:sz w:val="24"/>
                <w:szCs w:val="24"/>
                <w:highlight w:val="none"/>
                <w:lang w:val="en-US" w:eastAsia="zh-CN"/>
              </w:rPr>
              <w:t>符合性分析</w:t>
            </w:r>
          </w:p>
          <w:tbl>
            <w:tblPr>
              <w:tblStyle w:val="2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3352"/>
              <w:gridCol w:w="1859"/>
              <w:gridCol w:w="865"/>
            </w:tblGrid>
            <w:tr w14:paraId="703D2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8" w:hRule="atLeast"/>
                <w:jc w:val="center"/>
              </w:trPr>
              <w:tc>
                <w:tcPr>
                  <w:tcW w:w="989" w:type="pct"/>
                  <w:noWrap w:val="0"/>
                  <w:tcMar>
                    <w:top w:w="0" w:type="dxa"/>
                    <w:left w:w="28" w:type="dxa"/>
                    <w:bottom w:w="0" w:type="dxa"/>
                    <w:right w:w="28" w:type="dxa"/>
                  </w:tcMar>
                  <w:vAlign w:val="center"/>
                </w:tcPr>
                <w:p w14:paraId="507EEA98">
                  <w:pPr>
                    <w:keepNext w:val="0"/>
                    <w:keepLines w:val="0"/>
                    <w:pageBreakBefore w:val="0"/>
                    <w:kinsoku/>
                    <w:wordWrap/>
                    <w:overflowPunct/>
                    <w:topLinePunct w:val="0"/>
                    <w:autoSpaceDE/>
                    <w:autoSpaceDN/>
                    <w:bidi w:val="0"/>
                    <w:adjustRightInd w:val="0"/>
                    <w:snapToGrid w:val="0"/>
                    <w:spacing w:beforeAutospacing="0" w:line="240" w:lineRule="auto"/>
                    <w:ind w:firstLine="0" w:firstLineChars="0"/>
                    <w:jc w:val="center"/>
                    <w:rPr>
                      <w:rFonts w:hint="eastAsia" w:eastAsia="宋体"/>
                      <w:b w:val="0"/>
                      <w:bCs w:val="0"/>
                      <w:color w:val="auto"/>
                      <w:szCs w:val="21"/>
                      <w:highlight w:val="none"/>
                      <w:lang w:eastAsia="zh-CN"/>
                    </w:rPr>
                  </w:pPr>
                  <w:r>
                    <w:rPr>
                      <w:rFonts w:hint="eastAsia"/>
                      <w:b w:val="0"/>
                      <w:bCs w:val="0"/>
                      <w:color w:val="auto"/>
                      <w:szCs w:val="21"/>
                      <w:highlight w:val="none"/>
                      <w:lang w:eastAsia="zh-CN"/>
                    </w:rPr>
                    <w:t>文件要求</w:t>
                  </w:r>
                </w:p>
              </w:tc>
              <w:tc>
                <w:tcPr>
                  <w:tcW w:w="2212" w:type="pct"/>
                  <w:noWrap w:val="0"/>
                  <w:tcMar>
                    <w:top w:w="0" w:type="dxa"/>
                    <w:left w:w="28" w:type="dxa"/>
                    <w:bottom w:w="0" w:type="dxa"/>
                    <w:right w:w="28" w:type="dxa"/>
                  </w:tcMar>
                  <w:vAlign w:val="center"/>
                </w:tcPr>
                <w:p w14:paraId="14C4E012">
                  <w:pPr>
                    <w:keepNext w:val="0"/>
                    <w:keepLines w:val="0"/>
                    <w:pageBreakBefore w:val="0"/>
                    <w:kinsoku/>
                    <w:wordWrap/>
                    <w:overflowPunct/>
                    <w:topLinePunct w:val="0"/>
                    <w:autoSpaceDE/>
                    <w:autoSpaceDN/>
                    <w:bidi w:val="0"/>
                    <w:adjustRightInd w:val="0"/>
                    <w:snapToGrid w:val="0"/>
                    <w:spacing w:beforeAutospacing="0" w:line="240" w:lineRule="auto"/>
                    <w:ind w:firstLine="0" w:firstLineChars="0"/>
                    <w:jc w:val="center"/>
                    <w:rPr>
                      <w:rFonts w:hint="eastAsia" w:eastAsia="宋体"/>
                      <w:b w:val="0"/>
                      <w:bCs w:val="0"/>
                      <w:color w:val="auto"/>
                      <w:szCs w:val="21"/>
                      <w:highlight w:val="none"/>
                      <w:lang w:eastAsia="zh-CN"/>
                    </w:rPr>
                  </w:pPr>
                  <w:r>
                    <w:rPr>
                      <w:rFonts w:hint="eastAsia"/>
                      <w:b w:val="0"/>
                      <w:bCs w:val="0"/>
                      <w:color w:val="auto"/>
                      <w:szCs w:val="21"/>
                      <w:highlight w:val="none"/>
                      <w:lang w:eastAsia="zh-CN"/>
                    </w:rPr>
                    <w:t>具体规定</w:t>
                  </w:r>
                </w:p>
              </w:tc>
              <w:tc>
                <w:tcPr>
                  <w:tcW w:w="1227" w:type="pct"/>
                  <w:noWrap w:val="0"/>
                  <w:tcMar>
                    <w:top w:w="0" w:type="dxa"/>
                    <w:left w:w="28" w:type="dxa"/>
                    <w:bottom w:w="0" w:type="dxa"/>
                    <w:right w:w="28" w:type="dxa"/>
                  </w:tcMar>
                  <w:vAlign w:val="center"/>
                </w:tcPr>
                <w:p w14:paraId="15AB5F4E">
                  <w:pPr>
                    <w:keepNext w:val="0"/>
                    <w:keepLines w:val="0"/>
                    <w:pageBreakBefore w:val="0"/>
                    <w:kinsoku/>
                    <w:wordWrap/>
                    <w:overflowPunct/>
                    <w:topLinePunct w:val="0"/>
                    <w:autoSpaceDE/>
                    <w:autoSpaceDN/>
                    <w:bidi w:val="0"/>
                    <w:adjustRightInd w:val="0"/>
                    <w:snapToGrid w:val="0"/>
                    <w:spacing w:beforeAutospacing="0" w:line="240" w:lineRule="auto"/>
                    <w:ind w:firstLine="0" w:firstLineChars="0"/>
                    <w:jc w:val="center"/>
                    <w:rPr>
                      <w:b w:val="0"/>
                      <w:bCs w:val="0"/>
                      <w:color w:val="auto"/>
                      <w:szCs w:val="21"/>
                      <w:highlight w:val="none"/>
                    </w:rPr>
                  </w:pPr>
                  <w:r>
                    <w:rPr>
                      <w:b w:val="0"/>
                      <w:bCs w:val="0"/>
                      <w:color w:val="auto"/>
                      <w:szCs w:val="21"/>
                      <w:highlight w:val="none"/>
                    </w:rPr>
                    <w:t>本项目情况</w:t>
                  </w:r>
                </w:p>
              </w:tc>
              <w:tc>
                <w:tcPr>
                  <w:tcW w:w="571" w:type="pct"/>
                  <w:noWrap w:val="0"/>
                  <w:tcMar>
                    <w:top w:w="0" w:type="dxa"/>
                    <w:left w:w="28" w:type="dxa"/>
                    <w:bottom w:w="0" w:type="dxa"/>
                    <w:right w:w="28" w:type="dxa"/>
                  </w:tcMar>
                  <w:vAlign w:val="center"/>
                </w:tcPr>
                <w:p w14:paraId="5301DC97">
                  <w:pPr>
                    <w:keepNext w:val="0"/>
                    <w:keepLines w:val="0"/>
                    <w:pageBreakBefore w:val="0"/>
                    <w:kinsoku/>
                    <w:wordWrap/>
                    <w:overflowPunct/>
                    <w:topLinePunct w:val="0"/>
                    <w:autoSpaceDE/>
                    <w:autoSpaceDN/>
                    <w:bidi w:val="0"/>
                    <w:adjustRightInd w:val="0"/>
                    <w:snapToGrid w:val="0"/>
                    <w:spacing w:beforeAutospacing="0" w:line="240" w:lineRule="auto"/>
                    <w:ind w:firstLine="0" w:firstLineChars="0"/>
                    <w:jc w:val="center"/>
                    <w:rPr>
                      <w:b w:val="0"/>
                      <w:bCs w:val="0"/>
                      <w:color w:val="auto"/>
                      <w:szCs w:val="21"/>
                      <w:highlight w:val="none"/>
                    </w:rPr>
                  </w:pPr>
                  <w:r>
                    <w:rPr>
                      <w:b w:val="0"/>
                      <w:bCs w:val="0"/>
                      <w:color w:val="auto"/>
                      <w:szCs w:val="21"/>
                      <w:highlight w:val="none"/>
                    </w:rPr>
                    <w:t>符合性</w:t>
                  </w:r>
                </w:p>
              </w:tc>
            </w:tr>
            <w:tr w14:paraId="6907D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9" w:type="pct"/>
                  <w:noWrap w:val="0"/>
                  <w:tcMar>
                    <w:top w:w="0" w:type="dxa"/>
                    <w:left w:w="28" w:type="dxa"/>
                    <w:bottom w:w="0" w:type="dxa"/>
                    <w:right w:w="28" w:type="dxa"/>
                  </w:tcMar>
                  <w:vAlign w:val="center"/>
                </w:tcPr>
                <w:p w14:paraId="4470D5EE">
                  <w:pPr>
                    <w:pStyle w:val="126"/>
                    <w:keepNext w:val="0"/>
                    <w:keepLines w:val="0"/>
                    <w:pageBreakBefore w:val="0"/>
                    <w:kinsoku/>
                    <w:wordWrap/>
                    <w:overflowPunct/>
                    <w:topLinePunct w:val="0"/>
                    <w:autoSpaceDE/>
                    <w:autoSpaceDN/>
                    <w:bidi w:val="0"/>
                    <w:adjustRightInd w:val="0"/>
                    <w:snapToGrid w:val="0"/>
                    <w:spacing w:before="0" w:beforeAutospacing="0" w:after="0" w:line="240" w:lineRule="auto"/>
                    <w:ind w:firstLine="0" w:firstLineChars="0"/>
                    <w:rPr>
                      <w:color w:val="auto"/>
                      <w:szCs w:val="21"/>
                      <w:highlight w:val="none"/>
                    </w:rPr>
                  </w:pPr>
                  <w:r>
                    <w:rPr>
                      <w:rFonts w:hint="eastAsia" w:ascii="Times New Roman" w:hAnsi="Times New Roman" w:eastAsia="宋体" w:cs="Times New Roman"/>
                      <w:bCs/>
                      <w:lang w:eastAsia="zh-CN"/>
                    </w:rPr>
                    <w:t>严格环境准入</w:t>
                  </w:r>
                </w:p>
              </w:tc>
              <w:tc>
                <w:tcPr>
                  <w:tcW w:w="2212" w:type="pct"/>
                  <w:noWrap w:val="0"/>
                  <w:tcMar>
                    <w:top w:w="0" w:type="dxa"/>
                    <w:left w:w="28" w:type="dxa"/>
                    <w:bottom w:w="0" w:type="dxa"/>
                    <w:right w:w="28" w:type="dxa"/>
                  </w:tcMar>
                  <w:vAlign w:val="center"/>
                </w:tcPr>
                <w:p w14:paraId="769BF818">
                  <w:pPr>
                    <w:pStyle w:val="126"/>
                    <w:keepNext w:val="0"/>
                    <w:keepLines w:val="0"/>
                    <w:pageBreakBefore w:val="0"/>
                    <w:kinsoku/>
                    <w:wordWrap/>
                    <w:overflowPunct/>
                    <w:topLinePunct w:val="0"/>
                    <w:autoSpaceDE/>
                    <w:autoSpaceDN/>
                    <w:bidi w:val="0"/>
                    <w:adjustRightInd w:val="0"/>
                    <w:snapToGrid w:val="0"/>
                    <w:spacing w:before="0" w:beforeAutospacing="0" w:after="0" w:line="240" w:lineRule="auto"/>
                    <w:ind w:firstLine="0" w:firstLineChars="0"/>
                    <w:jc w:val="left"/>
                    <w:rPr>
                      <w:color w:val="auto"/>
                      <w:szCs w:val="21"/>
                      <w:highlight w:val="none"/>
                    </w:rPr>
                  </w:pPr>
                  <w:r>
                    <w:rPr>
                      <w:rFonts w:ascii="Times New Roman" w:hAnsi="Times New Roman" w:eastAsia="宋体" w:cs="Times New Roman"/>
                      <w:bCs/>
                    </w:rPr>
                    <w:t>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w:t>
                  </w:r>
                </w:p>
              </w:tc>
              <w:tc>
                <w:tcPr>
                  <w:tcW w:w="1227" w:type="pct"/>
                  <w:noWrap w:val="0"/>
                  <w:tcMar>
                    <w:top w:w="0" w:type="dxa"/>
                    <w:left w:w="28" w:type="dxa"/>
                    <w:bottom w:w="0" w:type="dxa"/>
                    <w:right w:w="28" w:type="dxa"/>
                  </w:tcMar>
                  <w:vAlign w:val="center"/>
                </w:tcPr>
                <w:p w14:paraId="6660DEB6">
                  <w:pPr>
                    <w:pStyle w:val="129"/>
                    <w:keepNext w:val="0"/>
                    <w:keepLines w:val="0"/>
                    <w:pageBreakBefore w:val="0"/>
                    <w:kinsoku/>
                    <w:wordWrap/>
                    <w:overflowPunct/>
                    <w:topLinePunct w:val="0"/>
                    <w:autoSpaceDE/>
                    <w:autoSpaceDN/>
                    <w:bidi w:val="0"/>
                    <w:adjustRightInd w:val="0"/>
                    <w:snapToGrid w:val="0"/>
                    <w:spacing w:beforeAutospacing="0" w:line="240" w:lineRule="auto"/>
                    <w:ind w:firstLine="0" w:firstLineChars="0"/>
                    <w:jc w:val="left"/>
                    <w:rPr>
                      <w:rFonts w:hint="eastAsia" w:eastAsia="宋体"/>
                      <w:color w:val="auto"/>
                      <w:szCs w:val="21"/>
                      <w:highlight w:val="none"/>
                      <w:lang w:eastAsia="zh-CN"/>
                    </w:rPr>
                  </w:pPr>
                  <w:r>
                    <w:rPr>
                      <w:rFonts w:hint="eastAsia" w:ascii="Times New Roman" w:hAnsi="Times New Roman" w:eastAsia="宋体" w:cs="Times New Roman"/>
                      <w:bCs/>
                      <w:iCs w:val="0"/>
                      <w:kern w:val="0"/>
                      <w:sz w:val="21"/>
                      <w:szCs w:val="21"/>
                      <w:lang w:val="en-US" w:eastAsia="zh-CN" w:bidi="ar-SA"/>
                    </w:rPr>
                    <w:t>本项目为C2825丙纶纤维制造、C2923塑料丝、绳及编织品制造、C2439其他工艺美术及礼仪用品制造，不属于高耗能、高排放行业和高耗能、高排放项目。</w:t>
                  </w:r>
                </w:p>
              </w:tc>
              <w:tc>
                <w:tcPr>
                  <w:tcW w:w="571" w:type="pct"/>
                  <w:noWrap w:val="0"/>
                  <w:tcMar>
                    <w:top w:w="0" w:type="dxa"/>
                    <w:left w:w="28" w:type="dxa"/>
                    <w:bottom w:w="0" w:type="dxa"/>
                    <w:right w:w="28" w:type="dxa"/>
                  </w:tcMar>
                  <w:vAlign w:val="center"/>
                </w:tcPr>
                <w:p w14:paraId="7560C20F">
                  <w:pPr>
                    <w:keepNext w:val="0"/>
                    <w:keepLines w:val="0"/>
                    <w:pageBreakBefore w:val="0"/>
                    <w:kinsoku/>
                    <w:wordWrap/>
                    <w:overflowPunct/>
                    <w:topLinePunct w:val="0"/>
                    <w:autoSpaceDE/>
                    <w:autoSpaceDN/>
                    <w:bidi w:val="0"/>
                    <w:adjustRightInd w:val="0"/>
                    <w:snapToGrid w:val="0"/>
                    <w:spacing w:beforeAutospacing="0" w:line="240" w:lineRule="auto"/>
                    <w:ind w:firstLine="0" w:firstLineChars="0"/>
                    <w:jc w:val="center"/>
                    <w:rPr>
                      <w:color w:val="auto"/>
                      <w:szCs w:val="21"/>
                      <w:highlight w:val="none"/>
                    </w:rPr>
                  </w:pPr>
                  <w:r>
                    <w:rPr>
                      <w:color w:val="auto"/>
                      <w:szCs w:val="21"/>
                      <w:highlight w:val="none"/>
                    </w:rPr>
                    <w:t>符合</w:t>
                  </w:r>
                </w:p>
              </w:tc>
            </w:tr>
          </w:tbl>
          <w:p w14:paraId="52D4E548">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根据上表分析，项目建设符合《山东省空气质量持续改善暨第三轮“四减四增”行动实施方案》（鲁政字[2024]102号）的相关要求。</w:t>
            </w:r>
          </w:p>
          <w:p w14:paraId="133DF7CD">
            <w:pPr>
              <w:pStyle w:val="52"/>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）与</w:t>
            </w:r>
            <w:r>
              <w:rPr>
                <w:rFonts w:hint="eastAsia" w:ascii="Times New Roman" w:hAnsi="Times New Roman" w:eastAsia="宋体" w:cs="Times New Roman"/>
                <w:bCs/>
                <w:color w:val="auto"/>
                <w:sz w:val="24"/>
                <w:szCs w:val="24"/>
                <w:highlight w:val="none"/>
                <w:lang w:val="en-US" w:eastAsia="zh-CN"/>
              </w:rPr>
              <w:t>《山东省环境保护条例》</w:t>
            </w:r>
            <w:r>
              <w:rPr>
                <w:rFonts w:hint="default" w:ascii="Times New Roman" w:hAnsi="Times New Roman" w:eastAsia="宋体" w:cs="Times New Roman"/>
                <w:bCs/>
                <w:color w:val="auto"/>
                <w:sz w:val="24"/>
                <w:szCs w:val="24"/>
                <w:highlight w:val="none"/>
                <w:lang w:val="en-US" w:eastAsia="zh-CN"/>
              </w:rPr>
              <w:t>的符合性分析</w:t>
            </w:r>
          </w:p>
          <w:p w14:paraId="4E4690B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表1-</w:t>
            </w:r>
            <w:r>
              <w:rPr>
                <w:rFonts w:hint="eastAsia" w:eastAsia="黑体" w:cs="Times New Roman"/>
                <w:b w:val="0"/>
                <w:bCs w:val="0"/>
                <w:color w:val="auto"/>
                <w:kern w:val="0"/>
                <w:sz w:val="24"/>
                <w:szCs w:val="24"/>
                <w:highlight w:val="none"/>
                <w:lang w:val="en-US" w:eastAsia="zh-CN"/>
              </w:rPr>
              <w:t>7</w:t>
            </w:r>
            <w:r>
              <w:rPr>
                <w:rFonts w:hint="eastAsia" w:ascii="Times New Roman" w:hAnsi="Times New Roman" w:eastAsia="黑体" w:cs="Times New Roman"/>
                <w:b w:val="0"/>
                <w:bCs w:val="0"/>
                <w:color w:val="auto"/>
                <w:kern w:val="0"/>
                <w:sz w:val="24"/>
                <w:szCs w:val="24"/>
                <w:highlight w:val="none"/>
                <w:lang w:val="en-US" w:eastAsia="zh-CN"/>
              </w:rPr>
              <w:t xml:space="preserve"> 与《山东省</w:t>
            </w:r>
            <w:r>
              <w:rPr>
                <w:rFonts w:hint="eastAsia" w:eastAsia="黑体" w:cs="Times New Roman"/>
                <w:b w:val="0"/>
                <w:bCs w:val="0"/>
                <w:color w:val="auto"/>
                <w:kern w:val="0"/>
                <w:sz w:val="24"/>
                <w:szCs w:val="24"/>
                <w:highlight w:val="none"/>
                <w:lang w:val="en-US" w:eastAsia="zh-CN"/>
              </w:rPr>
              <w:t>环境保护条例</w:t>
            </w:r>
            <w:r>
              <w:rPr>
                <w:rFonts w:hint="eastAsia" w:ascii="Times New Roman" w:hAnsi="Times New Roman" w:eastAsia="黑体" w:cs="Times New Roman"/>
                <w:b w:val="0"/>
                <w:bCs w:val="0"/>
                <w:color w:val="auto"/>
                <w:kern w:val="0"/>
                <w:sz w:val="24"/>
                <w:szCs w:val="24"/>
                <w:highlight w:val="none"/>
                <w:lang w:val="en-US" w:eastAsia="zh-CN"/>
              </w:rPr>
              <w:t>》</w:t>
            </w:r>
            <w:r>
              <w:rPr>
                <w:rFonts w:hint="default" w:ascii="Times New Roman" w:hAnsi="Times New Roman" w:eastAsia="黑体" w:cs="Times New Roman"/>
                <w:b w:val="0"/>
                <w:bCs w:val="0"/>
                <w:color w:val="auto"/>
                <w:kern w:val="0"/>
                <w:sz w:val="24"/>
                <w:szCs w:val="24"/>
                <w:highlight w:val="none"/>
                <w:lang w:val="en-US" w:eastAsia="zh-CN"/>
              </w:rPr>
              <w:t>符合性分析</w:t>
            </w:r>
          </w:p>
          <w:tbl>
            <w:tblPr>
              <w:tblStyle w:val="27"/>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750"/>
              <w:gridCol w:w="2431"/>
              <w:gridCol w:w="2192"/>
              <w:gridCol w:w="2192"/>
            </w:tblGrid>
            <w:tr w14:paraId="2D8F7F0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749" w:type="dxa"/>
                  <w:tcBorders>
                    <w:tl2br w:val="nil"/>
                    <w:tr2bl w:val="nil"/>
                  </w:tcBorders>
                  <w:noWrap w:val="0"/>
                  <w:tcMar>
                    <w:top w:w="0" w:type="dxa"/>
                    <w:left w:w="28" w:type="dxa"/>
                    <w:bottom w:w="0" w:type="dxa"/>
                    <w:right w:w="28" w:type="dxa"/>
                  </w:tcMar>
                  <w:vAlign w:val="center"/>
                </w:tcPr>
                <w:p w14:paraId="05E482A9">
                  <w:pPr>
                    <w:jc w:val="center"/>
                    <w:rPr>
                      <w:rFonts w:hint="eastAsia" w:ascii="Times New Roman" w:hAnsi="Times New Roman" w:eastAsia="宋体" w:cs="Times New Roman"/>
                      <w:b w:val="0"/>
                      <w:bCs w:val="0"/>
                      <w:color w:val="auto"/>
                      <w:sz w:val="21"/>
                      <w:szCs w:val="21"/>
                      <w:highlight w:val="none"/>
                      <w:lang w:eastAsia="zh-CN"/>
                    </w:rPr>
                  </w:pPr>
                  <w:r>
                    <w:rPr>
                      <w:rFonts w:hint="eastAsia" w:cs="Times New Roman"/>
                      <w:b w:val="0"/>
                      <w:bCs w:val="0"/>
                      <w:color w:val="auto"/>
                      <w:sz w:val="21"/>
                      <w:szCs w:val="21"/>
                      <w:highlight w:val="none"/>
                      <w:lang w:eastAsia="zh-CN"/>
                    </w:rPr>
                    <w:t>序号</w:t>
                  </w:r>
                </w:p>
              </w:tc>
              <w:tc>
                <w:tcPr>
                  <w:tcW w:w="2429" w:type="dxa"/>
                  <w:tcBorders>
                    <w:tl2br w:val="nil"/>
                    <w:tr2bl w:val="nil"/>
                  </w:tcBorders>
                  <w:noWrap w:val="0"/>
                  <w:tcMar>
                    <w:top w:w="0" w:type="dxa"/>
                    <w:left w:w="28" w:type="dxa"/>
                    <w:bottom w:w="0" w:type="dxa"/>
                    <w:right w:w="28" w:type="dxa"/>
                  </w:tcMar>
                  <w:vAlign w:val="center"/>
                </w:tcPr>
                <w:p w14:paraId="2ABC6C40">
                  <w:pPr>
                    <w:jc w:val="center"/>
                    <w:rPr>
                      <w:rFonts w:hint="eastAsia" w:ascii="Times New Roman" w:hAnsi="Times New Roman" w:eastAsia="宋体" w:cs="Times New Roman"/>
                      <w:b w:val="0"/>
                      <w:bCs w:val="0"/>
                      <w:color w:val="auto"/>
                      <w:sz w:val="21"/>
                      <w:szCs w:val="21"/>
                      <w:highlight w:val="none"/>
                      <w:lang w:eastAsia="zh-CN"/>
                    </w:rPr>
                  </w:pPr>
                  <w:r>
                    <w:rPr>
                      <w:rFonts w:hint="eastAsia" w:cs="Times New Roman"/>
                      <w:b w:val="0"/>
                      <w:bCs w:val="0"/>
                      <w:color w:val="auto"/>
                      <w:sz w:val="21"/>
                      <w:szCs w:val="21"/>
                      <w:highlight w:val="none"/>
                      <w:lang w:eastAsia="zh-CN"/>
                    </w:rPr>
                    <w:t>具体规定</w:t>
                  </w:r>
                </w:p>
              </w:tc>
              <w:tc>
                <w:tcPr>
                  <w:tcW w:w="2189" w:type="dxa"/>
                  <w:tcBorders>
                    <w:tl2br w:val="nil"/>
                    <w:tr2bl w:val="nil"/>
                  </w:tcBorders>
                  <w:shd w:val="clear" w:color="auto" w:fill="auto"/>
                  <w:noWrap w:val="0"/>
                  <w:tcMar>
                    <w:top w:w="0" w:type="dxa"/>
                    <w:left w:w="28" w:type="dxa"/>
                    <w:bottom w:w="0" w:type="dxa"/>
                    <w:right w:w="28" w:type="dxa"/>
                  </w:tcMar>
                  <w:vAlign w:val="center"/>
                </w:tcPr>
                <w:p w14:paraId="06F7C78C">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文件要求</w:t>
                  </w:r>
                </w:p>
              </w:tc>
              <w:tc>
                <w:tcPr>
                  <w:tcW w:w="2189" w:type="dxa"/>
                  <w:tcBorders>
                    <w:tl2br w:val="nil"/>
                    <w:tr2bl w:val="nil"/>
                  </w:tcBorders>
                  <w:shd w:val="clear" w:color="auto" w:fill="auto"/>
                  <w:noWrap w:val="0"/>
                  <w:tcMar>
                    <w:top w:w="0" w:type="dxa"/>
                    <w:left w:w="28" w:type="dxa"/>
                    <w:bottom w:w="0" w:type="dxa"/>
                    <w:right w:w="28" w:type="dxa"/>
                  </w:tcMar>
                  <w:vAlign w:val="center"/>
                </w:tcPr>
                <w:p w14:paraId="6C89EE56">
                  <w:pPr>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符合</w:t>
                  </w:r>
                  <w:r>
                    <w:rPr>
                      <w:rFonts w:hint="eastAsia" w:ascii="Times New Roman" w:hAnsi="Times New Roman" w:cs="Times New Roman"/>
                      <w:b w:val="0"/>
                      <w:bCs w:val="0"/>
                      <w:color w:val="auto"/>
                      <w:sz w:val="21"/>
                      <w:szCs w:val="21"/>
                      <w:highlight w:val="none"/>
                      <w:lang w:eastAsia="zh-CN"/>
                    </w:rPr>
                    <w:t>情况</w:t>
                  </w:r>
                </w:p>
              </w:tc>
            </w:tr>
            <w:tr w14:paraId="3CE8D8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749" w:type="dxa"/>
                  <w:tcBorders>
                    <w:tl2br w:val="nil"/>
                    <w:tr2bl w:val="nil"/>
                  </w:tcBorders>
                  <w:shd w:val="clear" w:color="auto" w:fill="auto"/>
                  <w:noWrap w:val="0"/>
                  <w:tcMar>
                    <w:top w:w="0" w:type="dxa"/>
                    <w:left w:w="28" w:type="dxa"/>
                    <w:bottom w:w="0" w:type="dxa"/>
                    <w:right w:w="28" w:type="dxa"/>
                  </w:tcMar>
                  <w:vAlign w:val="center"/>
                </w:tcPr>
                <w:p w14:paraId="2B354F58">
                  <w:pPr>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2429" w:type="dxa"/>
                  <w:tcBorders>
                    <w:tl2br w:val="nil"/>
                    <w:tr2bl w:val="nil"/>
                  </w:tcBorders>
                  <w:shd w:val="clear" w:color="auto" w:fill="auto"/>
                  <w:noWrap w:val="0"/>
                  <w:tcMar>
                    <w:top w:w="0" w:type="dxa"/>
                    <w:left w:w="28" w:type="dxa"/>
                    <w:bottom w:w="0" w:type="dxa"/>
                    <w:right w:w="28" w:type="dxa"/>
                  </w:tcMar>
                  <w:vAlign w:val="center"/>
                </w:tcPr>
                <w:p w14:paraId="35697946">
                  <w:pPr>
                    <w:jc w:val="left"/>
                    <w:rPr>
                      <w:rFonts w:hint="default" w:ascii="宋体" w:hAnsi="宋体" w:eastAsia="宋体" w:cs="宋体"/>
                      <w:color w:val="auto"/>
                      <w:sz w:val="21"/>
                      <w:szCs w:val="21"/>
                      <w:highlight w:val="none"/>
                      <w:lang w:val="en-US" w:eastAsia="zh-CN"/>
                    </w:rPr>
                  </w:pPr>
                  <w:r>
                    <w:rPr>
                      <w:rFonts w:hint="eastAsia" w:ascii="Times New Roman" w:hAnsi="Times New Roman" w:eastAsia="宋体" w:cs="Times New Roman"/>
                      <w:bCs/>
                      <w:kern w:val="0"/>
                      <w:sz w:val="21"/>
                      <w:szCs w:val="21"/>
                      <w:lang w:val="en-US" w:eastAsia="zh-CN" w:bidi="ar-SA"/>
                    </w:rPr>
                    <w:t>新建、改建、扩建建设项目，应当根据环境影响评价文件以及生态环境主管部门审批决定的要求建设环境保护设施、落实环境保护措施。</w:t>
                  </w:r>
                </w:p>
              </w:tc>
              <w:tc>
                <w:tcPr>
                  <w:tcW w:w="2189" w:type="dxa"/>
                  <w:tcBorders>
                    <w:tl2br w:val="nil"/>
                    <w:tr2bl w:val="nil"/>
                  </w:tcBorders>
                  <w:shd w:val="clear" w:color="auto" w:fill="auto"/>
                  <w:noWrap w:val="0"/>
                  <w:tcMar>
                    <w:top w:w="0" w:type="dxa"/>
                    <w:left w:w="28" w:type="dxa"/>
                    <w:bottom w:w="0" w:type="dxa"/>
                    <w:right w:w="28" w:type="dxa"/>
                  </w:tcMar>
                  <w:vAlign w:val="center"/>
                </w:tcPr>
                <w:p w14:paraId="0467B55F">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企业应在环评批复后按照生态环境主管部门审批决定的要求建设环保设施。</w:t>
                  </w:r>
                </w:p>
              </w:tc>
              <w:tc>
                <w:tcPr>
                  <w:tcW w:w="2189" w:type="dxa"/>
                  <w:tcBorders>
                    <w:tl2br w:val="nil"/>
                    <w:tr2bl w:val="nil"/>
                  </w:tcBorders>
                  <w:shd w:val="clear" w:color="auto" w:fill="auto"/>
                  <w:noWrap w:val="0"/>
                  <w:tcMar>
                    <w:top w:w="0" w:type="dxa"/>
                    <w:left w:w="28" w:type="dxa"/>
                    <w:bottom w:w="0" w:type="dxa"/>
                    <w:right w:w="28" w:type="dxa"/>
                  </w:tcMar>
                  <w:vAlign w:val="center"/>
                </w:tcPr>
                <w:p w14:paraId="28B2272B">
                  <w:pPr>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符合</w:t>
                  </w:r>
                </w:p>
              </w:tc>
            </w:tr>
            <w:tr w14:paraId="424E1E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749" w:type="dxa"/>
                  <w:tcBorders>
                    <w:tl2br w:val="nil"/>
                    <w:tr2bl w:val="nil"/>
                  </w:tcBorders>
                  <w:shd w:val="clear" w:color="auto" w:fill="auto"/>
                  <w:noWrap w:val="0"/>
                  <w:tcMar>
                    <w:top w:w="0" w:type="dxa"/>
                    <w:left w:w="28" w:type="dxa"/>
                    <w:bottom w:w="0" w:type="dxa"/>
                    <w:right w:w="28" w:type="dxa"/>
                  </w:tcMar>
                  <w:vAlign w:val="center"/>
                </w:tcPr>
                <w:p w14:paraId="5DF50702">
                  <w:pPr>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2429" w:type="dxa"/>
                  <w:tcBorders>
                    <w:tl2br w:val="nil"/>
                    <w:tr2bl w:val="nil"/>
                  </w:tcBorders>
                  <w:shd w:val="clear" w:color="auto" w:fill="auto"/>
                  <w:noWrap w:val="0"/>
                  <w:tcMar>
                    <w:top w:w="0" w:type="dxa"/>
                    <w:left w:w="28" w:type="dxa"/>
                    <w:bottom w:w="0" w:type="dxa"/>
                    <w:right w:w="28" w:type="dxa"/>
                  </w:tcMar>
                  <w:vAlign w:val="center"/>
                </w:tcPr>
                <w:p w14:paraId="78F54E6B">
                  <w:pPr>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排污单位应当按照环境保护措施的设计要求和排污许可证规定的排放要求，制定完善环境保护管理制度和操作规程，并保障环境保护设施正常运行。</w:t>
                  </w:r>
                </w:p>
              </w:tc>
              <w:tc>
                <w:tcPr>
                  <w:tcW w:w="2189" w:type="dxa"/>
                  <w:tcBorders>
                    <w:tl2br w:val="nil"/>
                    <w:tr2bl w:val="nil"/>
                  </w:tcBorders>
                  <w:shd w:val="clear" w:color="auto" w:fill="auto"/>
                  <w:noWrap w:val="0"/>
                  <w:tcMar>
                    <w:top w:w="0" w:type="dxa"/>
                    <w:left w:w="28" w:type="dxa"/>
                    <w:bottom w:w="0" w:type="dxa"/>
                    <w:right w:w="28" w:type="dxa"/>
                  </w:tcMar>
                  <w:vAlign w:val="center"/>
                </w:tcPr>
                <w:p w14:paraId="0C235059">
                  <w:pPr>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该项目已</w:t>
                  </w:r>
                  <w:r>
                    <w:rPr>
                      <w:rFonts w:hint="eastAsia" w:ascii="宋体" w:hAnsi="宋体" w:eastAsia="宋体" w:cs="宋体"/>
                      <w:color w:val="auto"/>
                      <w:sz w:val="21"/>
                      <w:szCs w:val="21"/>
                      <w:highlight w:val="none"/>
                      <w:lang w:eastAsia="zh-CN"/>
                    </w:rPr>
                    <w:t>制定</w:t>
                  </w:r>
                  <w:r>
                    <w:rPr>
                      <w:rFonts w:hint="eastAsia" w:ascii="宋体" w:hAnsi="宋体" w:eastAsia="宋体" w:cs="宋体"/>
                      <w:color w:val="auto"/>
                      <w:sz w:val="21"/>
                      <w:szCs w:val="21"/>
                      <w:highlight w:val="none"/>
                    </w:rPr>
                    <w:t>企业环保管理制度，能保证环境保护设施的正常运行。</w:t>
                  </w:r>
                </w:p>
              </w:tc>
              <w:tc>
                <w:tcPr>
                  <w:tcW w:w="2189" w:type="dxa"/>
                  <w:tcBorders>
                    <w:tl2br w:val="nil"/>
                    <w:tr2bl w:val="nil"/>
                  </w:tcBorders>
                  <w:shd w:val="clear" w:color="auto" w:fill="auto"/>
                  <w:noWrap w:val="0"/>
                  <w:tcMar>
                    <w:top w:w="0" w:type="dxa"/>
                    <w:left w:w="28" w:type="dxa"/>
                    <w:bottom w:w="0" w:type="dxa"/>
                    <w:right w:w="28" w:type="dxa"/>
                  </w:tcMar>
                  <w:vAlign w:val="center"/>
                </w:tcPr>
                <w:p w14:paraId="73F6E19D">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符合</w:t>
                  </w:r>
                </w:p>
              </w:tc>
            </w:tr>
          </w:tbl>
          <w:p w14:paraId="53216AE9">
            <w:pPr>
              <w:pStyle w:val="52"/>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bCs/>
                <w:color w:val="auto"/>
                <w:sz w:val="24"/>
                <w:szCs w:val="24"/>
                <w:highlight w:val="none"/>
              </w:rPr>
              <w:t>综上，</w:t>
            </w:r>
            <w:r>
              <w:rPr>
                <w:rFonts w:hint="eastAsia" w:cs="Times New Roman"/>
                <w:bCs/>
                <w:color w:val="auto"/>
                <w:sz w:val="24"/>
                <w:szCs w:val="24"/>
                <w:highlight w:val="none"/>
                <w:lang w:eastAsia="zh-CN"/>
              </w:rPr>
              <w:t>本</w:t>
            </w:r>
            <w:r>
              <w:rPr>
                <w:rFonts w:hint="default" w:ascii="Times New Roman" w:hAnsi="Times New Roman" w:cs="Times New Roman"/>
                <w:bCs/>
                <w:color w:val="auto"/>
                <w:sz w:val="24"/>
                <w:szCs w:val="24"/>
                <w:highlight w:val="none"/>
              </w:rPr>
              <w:t>项目建设符合</w:t>
            </w:r>
            <w:r>
              <w:rPr>
                <w:rFonts w:hint="default" w:ascii="Times New Roman" w:hAnsi="Times New Roman" w:cs="Times New Roman"/>
                <w:bCs/>
                <w:color w:val="auto"/>
                <w:sz w:val="24"/>
                <w:szCs w:val="24"/>
                <w:highlight w:val="none"/>
                <w:lang w:eastAsia="zh-CN"/>
              </w:rPr>
              <w:t>《</w:t>
            </w:r>
            <w:r>
              <w:rPr>
                <w:rFonts w:hint="eastAsia" w:ascii="Times New Roman" w:hAnsi="Times New Roman" w:cs="Times New Roman"/>
                <w:bCs/>
                <w:color w:val="auto"/>
                <w:sz w:val="24"/>
                <w:szCs w:val="24"/>
                <w:highlight w:val="none"/>
                <w:lang w:val="en-US" w:eastAsia="zh-CN"/>
              </w:rPr>
              <w:t>山东省环境保护条例</w:t>
            </w:r>
            <w:r>
              <w:rPr>
                <w:rFonts w:hint="default" w:ascii="Times New Roman" w:hAnsi="Times New Roman" w:cs="Times New Roman"/>
                <w:bCs/>
                <w:color w:val="auto"/>
                <w:sz w:val="24"/>
                <w:szCs w:val="24"/>
                <w:highlight w:val="none"/>
                <w:lang w:eastAsia="zh-CN"/>
              </w:rPr>
              <w:t>》</w:t>
            </w:r>
            <w:r>
              <w:rPr>
                <w:rFonts w:hint="eastAsia" w:ascii="Times New Roman" w:hAnsi="Times New Roman" w:cs="Times New Roman"/>
                <w:bCs/>
                <w:color w:val="auto"/>
                <w:sz w:val="24"/>
                <w:szCs w:val="24"/>
                <w:highlight w:val="none"/>
                <w:lang w:eastAsia="zh-CN"/>
              </w:rPr>
              <w:t>的</w:t>
            </w:r>
            <w:r>
              <w:rPr>
                <w:rFonts w:hint="default" w:ascii="Times New Roman" w:hAnsi="Times New Roman" w:cs="Times New Roman"/>
                <w:bCs/>
                <w:color w:val="auto"/>
                <w:sz w:val="24"/>
                <w:szCs w:val="24"/>
                <w:highlight w:val="none"/>
              </w:rPr>
              <w:t>要求。</w:t>
            </w:r>
          </w:p>
          <w:p w14:paraId="09F8D913">
            <w:pPr>
              <w:pStyle w:val="52"/>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4</w:t>
            </w:r>
            <w:r>
              <w:rPr>
                <w:rFonts w:hint="default" w:ascii="Times New Roman" w:hAnsi="Times New Roman" w:eastAsia="宋体" w:cs="Times New Roman"/>
                <w:b w:val="0"/>
                <w:bCs/>
                <w:color w:val="auto"/>
                <w:sz w:val="24"/>
                <w:szCs w:val="24"/>
                <w:highlight w:val="none"/>
                <w:lang w:val="en-US" w:eastAsia="zh-CN"/>
              </w:rPr>
              <w:t>）</w:t>
            </w:r>
            <w:r>
              <w:rPr>
                <w:rFonts w:hint="eastAsia" w:ascii="Times New Roman" w:hAnsi="Times New Roman" w:eastAsia="宋体" w:cs="Times New Roman"/>
                <w:b w:val="0"/>
                <w:bCs/>
                <w:color w:val="auto"/>
                <w:sz w:val="24"/>
                <w:szCs w:val="24"/>
                <w:highlight w:val="none"/>
                <w:lang w:val="en-US" w:eastAsia="zh-CN"/>
              </w:rPr>
              <w:t>与《关于印发山东省涉挥发性有机物企业分行业治理指导意见的通知》（鲁环发[2019]146号）符合性分析</w:t>
            </w:r>
          </w:p>
          <w:p w14:paraId="06F0A16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表1-</w:t>
            </w:r>
            <w:r>
              <w:rPr>
                <w:rFonts w:hint="eastAsia" w:eastAsia="黑体" w:cs="Times New Roman"/>
                <w:b w:val="0"/>
                <w:bCs w:val="0"/>
                <w:color w:val="auto"/>
                <w:kern w:val="0"/>
                <w:sz w:val="24"/>
                <w:szCs w:val="24"/>
                <w:highlight w:val="none"/>
                <w:lang w:val="en-US" w:eastAsia="zh-CN"/>
              </w:rPr>
              <w:t>8</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与</w:t>
            </w:r>
            <w:r>
              <w:rPr>
                <w:rFonts w:hint="eastAsia" w:ascii="Times New Roman" w:hAnsi="Times New Roman" w:eastAsia="黑体" w:cs="Times New Roman"/>
                <w:b w:val="0"/>
                <w:bCs w:val="0"/>
                <w:color w:val="auto"/>
                <w:kern w:val="0"/>
                <w:sz w:val="24"/>
                <w:szCs w:val="24"/>
                <w:highlight w:val="none"/>
                <w:lang w:val="en-US" w:eastAsia="zh-CN"/>
              </w:rPr>
              <w:t>《关于印发山东省涉挥发性有机物企业分行业治理指导意见的通知》（鲁环发[2019]146号）</w:t>
            </w:r>
            <w:r>
              <w:rPr>
                <w:rFonts w:hint="default" w:ascii="Times New Roman" w:hAnsi="Times New Roman" w:eastAsia="黑体" w:cs="Times New Roman"/>
                <w:b w:val="0"/>
                <w:bCs w:val="0"/>
                <w:color w:val="auto"/>
                <w:kern w:val="0"/>
                <w:sz w:val="24"/>
                <w:szCs w:val="24"/>
                <w:highlight w:val="none"/>
                <w:lang w:val="en-US" w:eastAsia="zh-CN"/>
              </w:rPr>
              <w:t>符合性分析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fixed"/>
              <w:tblCellMar>
                <w:top w:w="0" w:type="dxa"/>
                <w:left w:w="108" w:type="dxa"/>
                <w:bottom w:w="0" w:type="dxa"/>
                <w:right w:w="108" w:type="dxa"/>
              </w:tblCellMar>
            </w:tblPr>
            <w:tblGrid>
              <w:gridCol w:w="1253"/>
              <w:gridCol w:w="3244"/>
              <w:gridCol w:w="2093"/>
              <w:gridCol w:w="984"/>
            </w:tblGrid>
            <w:tr w14:paraId="560313BA">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32" w:hRule="atLeast"/>
              </w:trPr>
              <w:tc>
                <w:tcPr>
                  <w:tcW w:w="827" w:type="pct"/>
                  <w:tcBorders>
                    <w:tl2br w:val="nil"/>
                    <w:tr2bl w:val="nil"/>
                  </w:tcBorders>
                  <w:noWrap w:val="0"/>
                  <w:vAlign w:val="center"/>
                </w:tcPr>
                <w:p w14:paraId="488EB13C">
                  <w:pPr>
                    <w:pStyle w:val="105"/>
                    <w:spacing w:line="240" w:lineRule="auto"/>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分类</w:t>
                  </w:r>
                </w:p>
              </w:tc>
              <w:tc>
                <w:tcPr>
                  <w:tcW w:w="2140" w:type="pct"/>
                  <w:tcBorders>
                    <w:tl2br w:val="nil"/>
                    <w:tr2bl w:val="nil"/>
                  </w:tcBorders>
                  <w:noWrap w:val="0"/>
                  <w:vAlign w:val="center"/>
                </w:tcPr>
                <w:p w14:paraId="21B5D77A">
                  <w:pPr>
                    <w:pStyle w:val="105"/>
                    <w:spacing w:line="240" w:lineRule="auto"/>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文件要求</w:t>
                  </w:r>
                </w:p>
              </w:tc>
              <w:tc>
                <w:tcPr>
                  <w:tcW w:w="1381" w:type="pct"/>
                  <w:tcBorders>
                    <w:tl2br w:val="nil"/>
                    <w:tr2bl w:val="nil"/>
                  </w:tcBorders>
                  <w:noWrap w:val="0"/>
                  <w:vAlign w:val="center"/>
                </w:tcPr>
                <w:p w14:paraId="75D16416">
                  <w:pPr>
                    <w:pStyle w:val="105"/>
                    <w:spacing w:line="240" w:lineRule="auto"/>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项目情况</w:t>
                  </w:r>
                </w:p>
              </w:tc>
              <w:tc>
                <w:tcPr>
                  <w:tcW w:w="649" w:type="pct"/>
                  <w:tcBorders>
                    <w:tl2br w:val="nil"/>
                    <w:tr2bl w:val="nil"/>
                  </w:tcBorders>
                  <w:noWrap w:val="0"/>
                  <w:vAlign w:val="center"/>
                </w:tcPr>
                <w:p w14:paraId="1ED31227">
                  <w:pPr>
                    <w:pStyle w:val="105"/>
                    <w:spacing w:line="240" w:lineRule="auto"/>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符合性</w:t>
                  </w:r>
                </w:p>
              </w:tc>
            </w:tr>
            <w:tr w14:paraId="2227B1A3">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827" w:type="pct"/>
                  <w:vMerge w:val="restart"/>
                  <w:tcBorders>
                    <w:tl2br w:val="nil"/>
                    <w:tr2bl w:val="nil"/>
                  </w:tcBorders>
                  <w:noWrap w:val="0"/>
                  <w:vAlign w:val="center"/>
                </w:tcPr>
                <w:p w14:paraId="40A84F8A">
                  <w:pPr>
                    <w:pStyle w:val="105"/>
                    <w:spacing w:line="240" w:lineRule="auto"/>
                    <w:rPr>
                      <w:rFonts w:hint="eastAsia" w:ascii="Times New Roman" w:hAnsi="Times New Roman" w:eastAsia="宋体" w:cs="Times New Roman"/>
                      <w:lang w:eastAsia="zh-CN"/>
                    </w:rPr>
                  </w:pPr>
                  <w:r>
                    <w:rPr>
                      <w:rFonts w:hint="default" w:ascii="Times New Roman" w:hAnsi="Times New Roman" w:cs="Times New Roman"/>
                    </w:rPr>
                    <w:t>（二）</w:t>
                  </w:r>
                  <w:r>
                    <w:rPr>
                      <w:rFonts w:hint="eastAsia" w:ascii="Times New Roman" w:hAnsi="Times New Roman" w:cs="Times New Roman"/>
                      <w:lang w:eastAsia="zh-CN"/>
                    </w:rPr>
                    <w:t>加强过程控制</w:t>
                  </w:r>
                </w:p>
              </w:tc>
              <w:tc>
                <w:tcPr>
                  <w:tcW w:w="2140" w:type="pct"/>
                  <w:tcBorders>
                    <w:tl2br w:val="nil"/>
                    <w:tr2bl w:val="nil"/>
                  </w:tcBorders>
                  <w:noWrap w:val="0"/>
                  <w:vAlign w:val="center"/>
                </w:tcPr>
                <w:p w14:paraId="675013D5">
                  <w:pPr>
                    <w:pStyle w:val="105"/>
                    <w:spacing w:line="240" w:lineRule="auto"/>
                    <w:jc w:val="both"/>
                    <w:rPr>
                      <w:rFonts w:hint="default" w:ascii="Times New Roman" w:hAnsi="Times New Roman" w:cs="Times New Roman"/>
                    </w:rPr>
                  </w:pPr>
                  <w:r>
                    <w:rPr>
                      <w:rFonts w:hint="eastAsia" w:ascii="Times New Roman" w:hAnsi="Times New Roman" w:eastAsia="宋体" w:cs="Times New Roman"/>
                      <w:lang w:eastAsia="zh-CN"/>
                    </w:rPr>
                    <w:t>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w:t>
                  </w:r>
                </w:p>
              </w:tc>
              <w:tc>
                <w:tcPr>
                  <w:tcW w:w="1381" w:type="pct"/>
                  <w:tcBorders>
                    <w:tl2br w:val="nil"/>
                    <w:tr2bl w:val="nil"/>
                  </w:tcBorders>
                  <w:noWrap w:val="0"/>
                  <w:vAlign w:val="center"/>
                </w:tcPr>
                <w:p w14:paraId="66C50FC4">
                  <w:pPr>
                    <w:pStyle w:val="105"/>
                    <w:spacing w:line="240" w:lineRule="auto"/>
                    <w:jc w:val="both"/>
                    <w:rPr>
                      <w:rFonts w:hint="default" w:ascii="Times New Roman" w:hAnsi="Times New Roman" w:eastAsia="宋体" w:cs="Times New Roman"/>
                      <w:lang w:val="en-US" w:eastAsia="zh-CN"/>
                    </w:rPr>
                  </w:pPr>
                  <w:r>
                    <w:rPr>
                      <w:rFonts w:hint="eastAsia" w:cs="Times New Roman"/>
                      <w:lang w:val="en-US" w:eastAsia="zh-CN"/>
                    </w:rPr>
                    <w:t>本项目</w:t>
                  </w:r>
                  <w:r>
                    <w:rPr>
                      <w:rFonts w:hint="eastAsia" w:ascii="Times New Roman" w:hAnsi="Times New Roman" w:eastAsia="宋体" w:cs="Times New Roman"/>
                      <w:lang w:eastAsia="zh-CN"/>
                    </w:rPr>
                    <w:t>含VOCs</w:t>
                  </w:r>
                  <w:r>
                    <w:rPr>
                      <w:rFonts w:hint="eastAsia" w:ascii="Times New Roman" w:hAnsi="Times New Roman" w:eastAsia="宋体" w:cs="Times New Roman"/>
                      <w:lang w:val="en-US" w:eastAsia="zh-CN"/>
                    </w:rPr>
                    <w:t>的</w:t>
                  </w:r>
                  <w:r>
                    <w:rPr>
                      <w:rFonts w:hint="eastAsia" w:ascii="Times New Roman" w:hAnsi="Times New Roman" w:eastAsia="宋体" w:cs="Times New Roman"/>
                      <w:lang w:eastAsia="zh-CN"/>
                    </w:rPr>
                    <w:t>原辅材料</w:t>
                  </w:r>
                  <w:r>
                    <w:rPr>
                      <w:rFonts w:hint="eastAsia" w:ascii="Times New Roman" w:hAnsi="Times New Roman" w:eastAsia="宋体" w:cs="Times New Roman"/>
                      <w:lang w:val="en-US" w:eastAsia="zh-CN"/>
                    </w:rPr>
                    <w:t>为聚丙烯、色母料</w:t>
                  </w:r>
                  <w:r>
                    <w:rPr>
                      <w:rFonts w:hint="eastAsia" w:cs="Times New Roman"/>
                      <w:lang w:val="en-US" w:eastAsia="zh-CN"/>
                    </w:rPr>
                    <w:t>、纺丝油</w:t>
                  </w:r>
                  <w:r>
                    <w:rPr>
                      <w:rFonts w:hint="eastAsia" w:ascii="Times New Roman" w:hAnsi="Times New Roman" w:eastAsia="宋体" w:cs="Times New Roman"/>
                      <w:lang w:eastAsia="zh-CN"/>
                    </w:rPr>
                    <w:t>，</w:t>
                  </w:r>
                  <w:r>
                    <w:rPr>
                      <w:rFonts w:hint="eastAsia" w:cs="Times New Roman"/>
                      <w:lang w:val="en-US" w:eastAsia="zh-CN"/>
                    </w:rPr>
                    <w:t>聚丙烯、色母料均为固体，袋装存放在仓库内；纺丝油剂为桶装，</w:t>
                  </w:r>
                  <w:r>
                    <w:rPr>
                      <w:rFonts w:hint="eastAsia" w:ascii="Times New Roman" w:hAnsi="Times New Roman" w:eastAsia="宋体" w:cs="Times New Roman"/>
                      <w:lang w:val="en-US" w:eastAsia="zh-CN"/>
                    </w:rPr>
                    <w:t>存放在仓库内</w:t>
                  </w:r>
                  <w:r>
                    <w:rPr>
                      <w:rFonts w:hint="eastAsia" w:ascii="Times New Roman" w:hAnsi="Times New Roman" w:eastAsia="宋体" w:cs="Times New Roman"/>
                      <w:lang w:eastAsia="zh-CN"/>
                    </w:rPr>
                    <w:t>。通过采取设备与场所密闭等措施，削减VOCs无组织排放。</w:t>
                  </w:r>
                </w:p>
              </w:tc>
              <w:tc>
                <w:tcPr>
                  <w:tcW w:w="649" w:type="pct"/>
                  <w:tcBorders>
                    <w:tl2br w:val="nil"/>
                    <w:tr2bl w:val="nil"/>
                  </w:tcBorders>
                  <w:noWrap w:val="0"/>
                  <w:vAlign w:val="center"/>
                </w:tcPr>
                <w:p w14:paraId="754A8CC8">
                  <w:pPr>
                    <w:pStyle w:val="105"/>
                    <w:spacing w:line="240" w:lineRule="auto"/>
                    <w:rPr>
                      <w:rFonts w:hint="default" w:ascii="Times New Roman" w:hAnsi="Times New Roman" w:cs="Times New Roman"/>
                    </w:rPr>
                  </w:pPr>
                  <w:r>
                    <w:rPr>
                      <w:rFonts w:hint="default" w:ascii="Times New Roman" w:hAnsi="Times New Roman" w:cs="Times New Roman"/>
                    </w:rPr>
                    <w:t>符合</w:t>
                  </w:r>
                </w:p>
              </w:tc>
            </w:tr>
            <w:tr w14:paraId="19272DDD">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827" w:type="pct"/>
                  <w:vMerge w:val="continue"/>
                  <w:tcBorders>
                    <w:tl2br w:val="nil"/>
                    <w:tr2bl w:val="nil"/>
                  </w:tcBorders>
                  <w:noWrap w:val="0"/>
                  <w:vAlign w:val="center"/>
                </w:tcPr>
                <w:p w14:paraId="3460A1ED">
                  <w:pPr>
                    <w:pStyle w:val="105"/>
                    <w:spacing w:line="240" w:lineRule="auto"/>
                    <w:rPr>
                      <w:rFonts w:hint="default" w:ascii="Times New Roman" w:hAnsi="Times New Roman" w:cs="Times New Roman"/>
                    </w:rPr>
                  </w:pPr>
                </w:p>
              </w:tc>
              <w:tc>
                <w:tcPr>
                  <w:tcW w:w="2140" w:type="pct"/>
                  <w:tcBorders>
                    <w:tl2br w:val="nil"/>
                    <w:tr2bl w:val="nil"/>
                  </w:tcBorders>
                  <w:noWrap w:val="0"/>
                  <w:vAlign w:val="center"/>
                </w:tcPr>
                <w:p w14:paraId="2DF44B65">
                  <w:pPr>
                    <w:pStyle w:val="105"/>
                    <w:spacing w:line="240" w:lineRule="auto"/>
                    <w:jc w:val="both"/>
                    <w:rPr>
                      <w:rFonts w:hint="default" w:ascii="Times New Roman" w:hAnsi="Times New Roman" w:cs="Times New Roman"/>
                    </w:rPr>
                  </w:pPr>
                  <w:r>
                    <w:rPr>
                      <w:rFonts w:hint="eastAsia" w:ascii="Times New Roman" w:hAnsi="Times New Roman" w:eastAsia="宋体" w:cs="Times New Roman"/>
                      <w:lang w:eastAsia="zh-CN"/>
                    </w:rPr>
                    <w:t>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收集运输、储存和处理过程，应加盖密闭。含VOCs物料生产和使用过程，应采取有效收集措施或在密闭空间中操作。</w:t>
                  </w:r>
                </w:p>
              </w:tc>
              <w:tc>
                <w:tcPr>
                  <w:tcW w:w="1381" w:type="pct"/>
                  <w:tcBorders>
                    <w:tl2br w:val="nil"/>
                    <w:tr2bl w:val="nil"/>
                  </w:tcBorders>
                  <w:noWrap w:val="0"/>
                  <w:vAlign w:val="center"/>
                </w:tcPr>
                <w:p w14:paraId="10D922F8">
                  <w:pPr>
                    <w:pStyle w:val="105"/>
                    <w:spacing w:line="240" w:lineRule="auto"/>
                    <w:jc w:val="both"/>
                    <w:rPr>
                      <w:rFonts w:hint="eastAsia" w:ascii="Times New Roman" w:hAnsi="Times New Roman" w:cs="Times New Roman"/>
                      <w:color w:val="000000"/>
                      <w:sz w:val="21"/>
                    </w:rPr>
                  </w:pPr>
                  <w:r>
                    <w:rPr>
                      <w:rFonts w:hint="eastAsia" w:ascii="Times New Roman" w:hAnsi="Times New Roman" w:cs="Times New Roman"/>
                      <w:color w:val="000000"/>
                      <w:sz w:val="21"/>
                    </w:rPr>
                    <w:t>本项目涉</w:t>
                  </w:r>
                  <w:r>
                    <w:rPr>
                      <w:rFonts w:ascii="Times New Roman" w:hAnsi="Times New Roman" w:cs="Times New Roman"/>
                      <w:color w:val="000000"/>
                      <w:sz w:val="21"/>
                    </w:rPr>
                    <w:t>VOCs</w:t>
                  </w:r>
                  <w:r>
                    <w:rPr>
                      <w:rFonts w:hint="eastAsia" w:ascii="Times New Roman" w:hAnsi="Times New Roman" w:cs="Times New Roman"/>
                      <w:color w:val="000000"/>
                      <w:sz w:val="21"/>
                      <w:lang w:val="en-US" w:eastAsia="zh-CN"/>
                    </w:rPr>
                    <w:t>的</w:t>
                  </w:r>
                  <w:r>
                    <w:rPr>
                      <w:rFonts w:hint="eastAsia" w:ascii="Times New Roman" w:hAnsi="Times New Roman" w:cs="Times New Roman"/>
                      <w:color w:val="000000"/>
                      <w:sz w:val="21"/>
                    </w:rPr>
                    <w:t>原料</w:t>
                  </w:r>
                  <w:r>
                    <w:rPr>
                      <w:rFonts w:hint="eastAsia" w:ascii="Times New Roman" w:hAnsi="Times New Roman" w:cs="Times New Roman"/>
                      <w:color w:val="000000"/>
                      <w:sz w:val="21"/>
                      <w:lang w:val="en-US" w:eastAsia="zh-CN"/>
                    </w:rPr>
                    <w:t>为</w:t>
                  </w:r>
                  <w:r>
                    <w:rPr>
                      <w:rFonts w:hint="eastAsia" w:ascii="Times New Roman" w:hAnsi="Times New Roman" w:eastAsia="宋体" w:cs="Times New Roman"/>
                      <w:lang w:val="en-US" w:eastAsia="zh-CN"/>
                    </w:rPr>
                    <w:t>聚丙烯、色母料</w:t>
                  </w:r>
                  <w:r>
                    <w:rPr>
                      <w:rFonts w:hint="eastAsia" w:cs="Times New Roman"/>
                      <w:lang w:val="en-US" w:eastAsia="zh-CN"/>
                    </w:rPr>
                    <w:t>、纺丝油</w:t>
                  </w:r>
                  <w:r>
                    <w:rPr>
                      <w:rFonts w:hint="eastAsia" w:ascii="Times New Roman" w:hAnsi="Times New Roman" w:eastAsia="宋体" w:cs="Times New Roman"/>
                      <w:lang w:eastAsia="zh-CN"/>
                    </w:rPr>
                    <w:t>，</w:t>
                  </w:r>
                  <w:r>
                    <w:rPr>
                      <w:rFonts w:hint="eastAsia" w:cs="Times New Roman"/>
                      <w:lang w:val="en-US" w:eastAsia="zh-CN"/>
                    </w:rPr>
                    <w:t>聚丙烯、色母料均为固体，袋装存放在仓库内；纺丝油剂为桶装，</w:t>
                  </w:r>
                  <w:r>
                    <w:rPr>
                      <w:rFonts w:hint="eastAsia" w:ascii="Times New Roman" w:hAnsi="Times New Roman" w:eastAsia="宋体" w:cs="Times New Roman"/>
                      <w:lang w:val="en-US" w:eastAsia="zh-CN"/>
                    </w:rPr>
                    <w:t>存放在仓库内</w:t>
                  </w:r>
                  <w:r>
                    <w:rPr>
                      <w:rFonts w:hint="eastAsia" w:ascii="Times New Roman" w:hAnsi="Times New Roman" w:eastAsia="宋体" w:cs="Times New Roman"/>
                      <w:lang w:eastAsia="zh-CN"/>
                    </w:rPr>
                    <w:t>。采取设备与场所密闭等措施</w:t>
                  </w:r>
                  <w:r>
                    <w:rPr>
                      <w:rFonts w:hint="eastAsia" w:cs="Times New Roman"/>
                      <w:lang w:eastAsia="zh-CN"/>
                    </w:rPr>
                    <w:t>，</w:t>
                  </w:r>
                  <w:r>
                    <w:rPr>
                      <w:rFonts w:hint="eastAsia" w:ascii="Times New Roman" w:hAnsi="Times New Roman" w:eastAsia="宋体" w:cs="Times New Roman"/>
                      <w:lang w:eastAsia="zh-CN"/>
                    </w:rPr>
                    <w:t>削减VOCs无组织排放。</w:t>
                  </w:r>
                  <w:r>
                    <w:rPr>
                      <w:rFonts w:hint="eastAsia" w:cs="Times New Roman"/>
                      <w:lang w:val="en-US" w:eastAsia="zh-CN"/>
                    </w:rPr>
                    <w:t>本项目</w:t>
                  </w:r>
                  <w:r>
                    <w:rPr>
                      <w:rFonts w:hint="eastAsia" w:ascii="Times New Roman" w:hAnsi="Times New Roman" w:cs="Times New Roman"/>
                      <w:color w:val="000000"/>
                      <w:sz w:val="21"/>
                      <w:lang w:val="en-US" w:eastAsia="zh-CN"/>
                    </w:rPr>
                    <w:t>生产</w:t>
                  </w:r>
                  <w:r>
                    <w:rPr>
                      <w:rFonts w:hint="eastAsia" w:ascii="Times New Roman" w:hAnsi="Times New Roman" w:cs="Times New Roman"/>
                      <w:color w:val="000000"/>
                      <w:sz w:val="21"/>
                      <w:lang w:eastAsia="zh-CN"/>
                    </w:rPr>
                    <w:t>废水</w:t>
                  </w:r>
                  <w:r>
                    <w:rPr>
                      <w:rFonts w:hint="eastAsia" w:cs="Times New Roman"/>
                      <w:color w:val="000000"/>
                      <w:sz w:val="21"/>
                      <w:lang w:val="en-US" w:eastAsia="zh-CN"/>
                    </w:rPr>
                    <w:t>全部回用，不外排</w:t>
                  </w:r>
                  <w:r>
                    <w:rPr>
                      <w:rFonts w:hint="eastAsia" w:ascii="Times New Roman" w:hAnsi="Times New Roman" w:cs="Times New Roman"/>
                      <w:color w:val="000000"/>
                      <w:sz w:val="21"/>
                      <w:lang w:eastAsia="zh-CN"/>
                    </w:rPr>
                    <w:t>。</w:t>
                  </w:r>
                </w:p>
              </w:tc>
              <w:tc>
                <w:tcPr>
                  <w:tcW w:w="649" w:type="pct"/>
                  <w:tcBorders>
                    <w:tl2br w:val="nil"/>
                    <w:tr2bl w:val="nil"/>
                  </w:tcBorders>
                  <w:noWrap w:val="0"/>
                  <w:vAlign w:val="center"/>
                </w:tcPr>
                <w:p w14:paraId="64AD6D65">
                  <w:pPr>
                    <w:pStyle w:val="105"/>
                    <w:spacing w:line="240" w:lineRule="auto"/>
                    <w:rPr>
                      <w:rFonts w:hint="eastAsia" w:ascii="Times New Roman" w:hAnsi="Times New Roman" w:eastAsia="宋体" w:cs="Times New Roman"/>
                      <w:lang w:eastAsia="zh-CN"/>
                    </w:rPr>
                  </w:pPr>
                  <w:r>
                    <w:rPr>
                      <w:rFonts w:hint="eastAsia" w:ascii="Times New Roman" w:hAnsi="Times New Roman" w:cs="Times New Roman"/>
                      <w:lang w:eastAsia="zh-CN"/>
                    </w:rPr>
                    <w:t>符合</w:t>
                  </w:r>
                </w:p>
              </w:tc>
            </w:tr>
            <w:tr w14:paraId="4D57F835">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827" w:type="pct"/>
                  <w:vMerge w:val="continue"/>
                  <w:tcBorders>
                    <w:tl2br w:val="nil"/>
                    <w:tr2bl w:val="nil"/>
                  </w:tcBorders>
                  <w:noWrap w:val="0"/>
                  <w:vAlign w:val="center"/>
                </w:tcPr>
                <w:p w14:paraId="1E147444">
                  <w:pPr>
                    <w:pStyle w:val="105"/>
                    <w:spacing w:line="240" w:lineRule="auto"/>
                    <w:rPr>
                      <w:rFonts w:hint="default" w:ascii="Times New Roman" w:hAnsi="Times New Roman" w:cs="Times New Roman"/>
                    </w:rPr>
                  </w:pPr>
                </w:p>
              </w:tc>
              <w:tc>
                <w:tcPr>
                  <w:tcW w:w="2140" w:type="pct"/>
                  <w:tcBorders>
                    <w:tl2br w:val="nil"/>
                    <w:tr2bl w:val="nil"/>
                  </w:tcBorders>
                  <w:noWrap w:val="0"/>
                  <w:vAlign w:val="center"/>
                </w:tcPr>
                <w:p w14:paraId="62F2AF00">
                  <w:pPr>
                    <w:pStyle w:val="105"/>
                    <w:spacing w:line="240" w:lineRule="auto"/>
                    <w:jc w:val="both"/>
                    <w:rPr>
                      <w:rFonts w:hint="eastAsia" w:ascii="Times New Roman" w:hAnsi="Times New Roman" w:eastAsia="宋体" w:cs="Times New Roman"/>
                      <w:lang w:eastAsia="zh-CN"/>
                    </w:rPr>
                  </w:pPr>
                  <w:r>
                    <w:rPr>
                      <w:rFonts w:hint="eastAsia" w:ascii="Times New Roman" w:hAnsi="Times New Roman" w:eastAsia="宋体" w:cs="Times New Roman"/>
                      <w:lang w:eastAsia="zh-CN"/>
                    </w:rPr>
                    <w:t>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1381" w:type="pct"/>
                  <w:tcBorders>
                    <w:tl2br w:val="nil"/>
                    <w:tr2bl w:val="nil"/>
                  </w:tcBorders>
                  <w:noWrap w:val="0"/>
                  <w:vAlign w:val="center"/>
                </w:tcPr>
                <w:p w14:paraId="2803F813">
                  <w:pPr>
                    <w:pStyle w:val="105"/>
                    <w:spacing w:line="240" w:lineRule="auto"/>
                    <w:jc w:val="both"/>
                    <w:rPr>
                      <w:rFonts w:hint="default" w:ascii="Times New Roman" w:hAnsi="Times New Roman" w:eastAsia="宋体" w:cs="Times New Roman"/>
                      <w:color w:val="000000"/>
                      <w:sz w:val="21"/>
                      <w:lang w:val="en-US" w:eastAsia="zh-CN"/>
                    </w:rPr>
                  </w:pPr>
                  <w:r>
                    <w:rPr>
                      <w:rFonts w:hint="eastAsia" w:ascii="Times New Roman" w:hAnsi="Times New Roman" w:cs="Times New Roman"/>
                      <w:color w:val="000000"/>
                      <w:sz w:val="21"/>
                      <w:lang w:eastAsia="zh-CN"/>
                    </w:rPr>
                    <w:t>本项目废气</w:t>
                  </w:r>
                  <w:r>
                    <w:rPr>
                      <w:rFonts w:hint="eastAsia" w:cs="Times New Roman"/>
                      <w:color w:val="000000"/>
                      <w:sz w:val="21"/>
                      <w:lang w:val="en-US" w:eastAsia="zh-CN"/>
                    </w:rPr>
                    <w:t>主要为颗粒物和</w:t>
                  </w:r>
                  <w:r>
                    <w:rPr>
                      <w:rFonts w:hint="eastAsia" w:ascii="Times New Roman" w:hAnsi="Times New Roman" w:eastAsia="宋体" w:cs="Times New Roman"/>
                      <w:lang w:eastAsia="zh-CN"/>
                    </w:rPr>
                    <w:t>VOCs</w:t>
                  </w:r>
                  <w:r>
                    <w:rPr>
                      <w:rFonts w:hint="eastAsia" w:cs="Times New Roman"/>
                      <w:color w:val="000000"/>
                      <w:sz w:val="21"/>
                      <w:lang w:val="en-US" w:eastAsia="zh-CN"/>
                    </w:rPr>
                    <w:t>，</w:t>
                  </w:r>
                  <w:r>
                    <w:rPr>
                      <w:rFonts w:hint="eastAsia" w:ascii="Times New Roman" w:hAnsi="Times New Roman" w:cs="Times New Roman"/>
                      <w:color w:val="000000"/>
                      <w:sz w:val="21"/>
                      <w:lang w:val="en-US" w:eastAsia="zh-CN"/>
                    </w:rPr>
                    <w:t>采用布袋除尘器</w:t>
                  </w:r>
                  <w:r>
                    <w:rPr>
                      <w:rFonts w:hint="eastAsia" w:cs="Times New Roman"/>
                      <w:color w:val="000000"/>
                      <w:sz w:val="21"/>
                      <w:lang w:val="en-US" w:eastAsia="zh-CN"/>
                    </w:rPr>
                    <w:t>对颗粒物进行处理，采用</w:t>
                  </w:r>
                  <w:r>
                    <w:rPr>
                      <w:rFonts w:hint="eastAsia" w:ascii="Times New Roman" w:hAnsi="Times New Roman" w:cs="Times New Roman"/>
                      <w:color w:val="000000"/>
                      <w:sz w:val="21"/>
                      <w:lang w:val="en-US" w:eastAsia="zh-CN"/>
                    </w:rPr>
                    <w:t>二级活性炭吸附装置</w:t>
                  </w:r>
                  <w:r>
                    <w:rPr>
                      <w:rFonts w:hint="eastAsia" w:cs="Times New Roman"/>
                      <w:color w:val="000000"/>
                      <w:sz w:val="21"/>
                      <w:lang w:val="en-US" w:eastAsia="zh-CN"/>
                    </w:rPr>
                    <w:t>对</w:t>
                  </w:r>
                  <w:r>
                    <w:rPr>
                      <w:rFonts w:hint="eastAsia" w:ascii="Times New Roman" w:hAnsi="Times New Roman" w:eastAsia="宋体" w:cs="Times New Roman"/>
                      <w:lang w:eastAsia="zh-CN"/>
                    </w:rPr>
                    <w:t>VOCs</w:t>
                  </w:r>
                  <w:r>
                    <w:rPr>
                      <w:rFonts w:hint="eastAsia" w:cs="Times New Roman"/>
                      <w:lang w:val="en-US" w:eastAsia="zh-CN"/>
                    </w:rPr>
                    <w:t>进行</w:t>
                  </w:r>
                  <w:r>
                    <w:rPr>
                      <w:rFonts w:hint="eastAsia" w:ascii="Times New Roman" w:hAnsi="Times New Roman" w:cs="Times New Roman"/>
                      <w:color w:val="000000"/>
                      <w:sz w:val="21"/>
                      <w:lang w:val="en-US" w:eastAsia="zh-CN"/>
                    </w:rPr>
                    <w:t>处理。</w:t>
                  </w:r>
                </w:p>
              </w:tc>
              <w:tc>
                <w:tcPr>
                  <w:tcW w:w="649" w:type="pct"/>
                  <w:tcBorders>
                    <w:tl2br w:val="nil"/>
                    <w:tr2bl w:val="nil"/>
                  </w:tcBorders>
                  <w:noWrap w:val="0"/>
                  <w:vAlign w:val="center"/>
                </w:tcPr>
                <w:p w14:paraId="25EE8C7D">
                  <w:pPr>
                    <w:pStyle w:val="105"/>
                    <w:spacing w:line="240" w:lineRule="auto"/>
                    <w:rPr>
                      <w:rFonts w:hint="eastAsia" w:ascii="Times New Roman" w:hAnsi="Times New Roman" w:cs="Times New Roman"/>
                      <w:lang w:eastAsia="zh-CN"/>
                    </w:rPr>
                  </w:pPr>
                  <w:r>
                    <w:rPr>
                      <w:rFonts w:hint="eastAsia" w:ascii="Times New Roman" w:hAnsi="Times New Roman" w:cs="Times New Roman"/>
                      <w:lang w:eastAsia="zh-CN"/>
                    </w:rPr>
                    <w:t>符合</w:t>
                  </w:r>
                </w:p>
              </w:tc>
            </w:tr>
          </w:tbl>
          <w:p w14:paraId="57E31BCA">
            <w:pPr>
              <w:pStyle w:val="52"/>
              <w:keepNext w:val="0"/>
              <w:keepLines w:val="0"/>
              <w:pageBreakBefore w:val="0"/>
              <w:kinsoku/>
              <w:wordWrap/>
              <w:overflowPunct/>
              <w:topLinePunct w:val="0"/>
              <w:autoSpaceDE/>
              <w:autoSpaceDN/>
              <w:bidi w:val="0"/>
              <w:spacing w:line="360" w:lineRule="auto"/>
              <w:ind w:firstLine="480"/>
              <w:textAlignment w:val="auto"/>
              <w:rPr>
                <w:rFonts w:hint="eastAsia" w:cs="Times New Roman"/>
                <w:bCs/>
                <w:color w:val="auto"/>
                <w:sz w:val="24"/>
                <w:szCs w:val="24"/>
                <w:highlight w:val="none"/>
                <w:lang w:eastAsia="zh-CN"/>
              </w:rPr>
            </w:pPr>
            <w:r>
              <w:rPr>
                <w:rFonts w:hint="default" w:ascii="Times New Roman" w:hAnsi="Times New Roman" w:cs="Times New Roman"/>
                <w:bCs/>
                <w:color w:val="auto"/>
                <w:sz w:val="24"/>
                <w:szCs w:val="24"/>
                <w:highlight w:val="none"/>
              </w:rPr>
              <w:t>综上，</w:t>
            </w:r>
            <w:r>
              <w:rPr>
                <w:rFonts w:hint="eastAsia" w:cs="Times New Roman"/>
                <w:bCs/>
                <w:color w:val="auto"/>
                <w:sz w:val="24"/>
                <w:szCs w:val="24"/>
                <w:highlight w:val="none"/>
                <w:lang w:eastAsia="zh-CN"/>
              </w:rPr>
              <w:t>本</w:t>
            </w:r>
            <w:r>
              <w:rPr>
                <w:rFonts w:hint="default" w:ascii="Times New Roman" w:hAnsi="Times New Roman" w:cs="Times New Roman"/>
                <w:bCs/>
                <w:color w:val="auto"/>
                <w:sz w:val="24"/>
                <w:szCs w:val="24"/>
                <w:highlight w:val="none"/>
              </w:rPr>
              <w:t>项目</w:t>
            </w:r>
            <w:r>
              <w:rPr>
                <w:rFonts w:hint="default" w:ascii="Times New Roman" w:hAnsi="Times New Roman" w:cs="Times New Roman"/>
                <w:bCs/>
                <w:color w:val="auto"/>
                <w:sz w:val="24"/>
                <w:szCs w:val="24"/>
                <w:highlight w:val="none"/>
                <w:lang w:val="en-US" w:eastAsia="zh-CN"/>
              </w:rPr>
              <w:t>符合</w:t>
            </w:r>
            <w:r>
              <w:rPr>
                <w:rFonts w:hint="eastAsia" w:ascii="Times New Roman" w:hAnsi="Times New Roman" w:eastAsia="宋体" w:cs="Times New Roman"/>
                <w:b w:val="0"/>
                <w:bCs/>
                <w:color w:val="auto"/>
                <w:sz w:val="24"/>
                <w:szCs w:val="24"/>
                <w:highlight w:val="none"/>
                <w:lang w:val="en-US" w:eastAsia="zh-CN"/>
              </w:rPr>
              <w:t>《关于印发山东省涉挥发性有机物企业分行业治理指导意见的通知》（鲁环发[2019]146号）</w:t>
            </w:r>
            <w:r>
              <w:rPr>
                <w:rFonts w:hint="default" w:ascii="Times New Roman" w:hAnsi="Times New Roman" w:cs="Times New Roman"/>
                <w:bCs/>
                <w:color w:val="auto"/>
                <w:sz w:val="24"/>
                <w:szCs w:val="24"/>
                <w:highlight w:val="none"/>
              </w:rPr>
              <w:t>要求</w:t>
            </w:r>
            <w:r>
              <w:rPr>
                <w:rFonts w:hint="eastAsia" w:cs="Times New Roman"/>
                <w:bCs/>
                <w:color w:val="auto"/>
                <w:sz w:val="24"/>
                <w:szCs w:val="24"/>
                <w:highlight w:val="none"/>
                <w:lang w:eastAsia="zh-CN"/>
              </w:rPr>
              <w:t>。</w:t>
            </w:r>
          </w:p>
          <w:p w14:paraId="691687C6">
            <w:pPr>
              <w:pStyle w:val="129"/>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imes New Roman" w:hAnsi="Times New Roman" w:eastAsia="宋体" w:cs="Times New Roman"/>
                <w:bCs/>
                <w:iCs w:val="0"/>
                <w:color w:val="auto"/>
                <w:kern w:val="2"/>
                <w:sz w:val="24"/>
                <w:szCs w:val="24"/>
                <w:highlight w:val="none"/>
                <w:lang w:val="en-US" w:eastAsia="zh-CN" w:bidi="ar-SA"/>
              </w:rPr>
            </w:pPr>
            <w:r>
              <w:rPr>
                <w:rFonts w:hint="eastAsia" w:cs="Times New Roman"/>
                <w:b w:val="0"/>
                <w:bCs/>
                <w:color w:val="auto"/>
                <w:sz w:val="24"/>
                <w:szCs w:val="24"/>
                <w:highlight w:val="none"/>
                <w:lang w:val="en-US" w:eastAsia="zh-CN"/>
              </w:rPr>
              <w:t>（5）</w:t>
            </w:r>
            <w:r>
              <w:rPr>
                <w:rFonts w:hint="default" w:ascii="Times New Roman" w:hAnsi="Times New Roman" w:eastAsia="宋体" w:cs="Times New Roman"/>
                <w:bCs/>
                <w:iCs w:val="0"/>
                <w:color w:val="auto"/>
                <w:kern w:val="2"/>
                <w:sz w:val="24"/>
                <w:szCs w:val="24"/>
                <w:highlight w:val="none"/>
                <w:lang w:val="en-US" w:eastAsia="zh-CN" w:bidi="ar-SA"/>
              </w:rPr>
              <w:t>与</w:t>
            </w:r>
            <w:r>
              <w:rPr>
                <w:rFonts w:hint="eastAsia" w:ascii="Times New Roman" w:hAnsi="Times New Roman" w:eastAsia="宋体" w:cs="Times New Roman"/>
                <w:bCs/>
                <w:iCs w:val="0"/>
                <w:color w:val="auto"/>
                <w:kern w:val="2"/>
                <w:sz w:val="24"/>
                <w:szCs w:val="24"/>
                <w:highlight w:val="none"/>
                <w:lang w:val="en-US" w:eastAsia="zh-CN" w:bidi="ar-SA"/>
              </w:rPr>
              <w:t>《关于印发</w:t>
            </w:r>
            <w:r>
              <w:rPr>
                <w:rFonts w:hint="default" w:ascii="Times New Roman" w:hAnsi="Times New Roman" w:eastAsia="宋体" w:cs="Times New Roman"/>
                <w:bCs/>
                <w:iCs w:val="0"/>
                <w:color w:val="auto"/>
                <w:kern w:val="2"/>
                <w:sz w:val="24"/>
                <w:szCs w:val="24"/>
                <w:highlight w:val="none"/>
                <w:lang w:val="en-US" w:eastAsia="zh-CN" w:bidi="ar-SA"/>
              </w:rPr>
              <w:t>山东省工业企业无组织排放分行业管控指导意见</w:t>
            </w:r>
            <w:r>
              <w:rPr>
                <w:rFonts w:hint="eastAsia" w:ascii="Times New Roman" w:hAnsi="Times New Roman" w:eastAsia="宋体" w:cs="Times New Roman"/>
                <w:bCs/>
                <w:iCs w:val="0"/>
                <w:color w:val="auto"/>
                <w:kern w:val="2"/>
                <w:sz w:val="24"/>
                <w:szCs w:val="24"/>
                <w:highlight w:val="none"/>
                <w:lang w:val="en-US" w:eastAsia="zh-CN" w:bidi="ar-SA"/>
              </w:rPr>
              <w:t>的通知》（鲁环发[2020]30号）符合性分析</w:t>
            </w:r>
          </w:p>
          <w:p w14:paraId="7C330C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en-US" w:eastAsia="zh-CN"/>
              </w:rPr>
              <w:t>表1-</w:t>
            </w:r>
            <w:r>
              <w:rPr>
                <w:rFonts w:hint="eastAsia" w:eastAsia="黑体" w:cs="Times New Roman"/>
                <w:b w:val="0"/>
                <w:bCs w:val="0"/>
                <w:color w:val="auto"/>
                <w:kern w:val="0"/>
                <w:sz w:val="24"/>
                <w:szCs w:val="24"/>
                <w:highlight w:val="none"/>
                <w:lang w:val="en-US" w:eastAsia="zh-CN"/>
              </w:rPr>
              <w:t>9</w:t>
            </w:r>
            <w:r>
              <w:rPr>
                <w:rFonts w:hint="eastAsia" w:ascii="Times New Roman" w:hAnsi="Times New Roman" w:eastAsia="黑体" w:cs="Times New Roman"/>
                <w:b w:val="0"/>
                <w:bCs w:val="0"/>
                <w:color w:val="auto"/>
                <w:kern w:val="0"/>
                <w:sz w:val="24"/>
                <w:szCs w:val="24"/>
                <w:highlight w:val="none"/>
                <w:lang w:val="en-US" w:eastAsia="zh-CN"/>
              </w:rPr>
              <w:t xml:space="preserve"> 与《关于印发</w:t>
            </w:r>
            <w:r>
              <w:rPr>
                <w:rFonts w:hint="default" w:ascii="Times New Roman" w:hAnsi="Times New Roman" w:eastAsia="黑体" w:cs="Times New Roman"/>
                <w:b w:val="0"/>
                <w:bCs w:val="0"/>
                <w:color w:val="auto"/>
                <w:kern w:val="0"/>
                <w:sz w:val="24"/>
                <w:szCs w:val="24"/>
                <w:highlight w:val="none"/>
                <w:lang w:val="en-US" w:eastAsia="zh-CN"/>
              </w:rPr>
              <w:t>山东省工业企业无组织排放分行业管控指导意见</w:t>
            </w:r>
            <w:r>
              <w:rPr>
                <w:rFonts w:hint="eastAsia" w:ascii="Times New Roman" w:hAnsi="Times New Roman" w:eastAsia="黑体" w:cs="Times New Roman"/>
                <w:b w:val="0"/>
                <w:bCs w:val="0"/>
                <w:color w:val="auto"/>
                <w:kern w:val="0"/>
                <w:sz w:val="24"/>
                <w:szCs w:val="24"/>
                <w:highlight w:val="none"/>
                <w:lang w:val="en-US" w:eastAsia="zh-CN"/>
              </w:rPr>
              <w:t>的通知》（鲁环发[2020]30号）符合性分析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5"/>
              <w:gridCol w:w="1985"/>
              <w:gridCol w:w="894"/>
            </w:tblGrid>
            <w:tr w14:paraId="1FE99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3099" w:type="pct"/>
                  <w:tcBorders>
                    <w:tl2br w:val="nil"/>
                    <w:tr2bl w:val="nil"/>
                  </w:tcBorders>
                  <w:noWrap w:val="0"/>
                  <w:vAlign w:val="center"/>
                </w:tcPr>
                <w:p w14:paraId="10E20C1F">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文件</w:t>
                  </w:r>
                  <w:r>
                    <w:rPr>
                      <w:rFonts w:ascii="Times New Roman" w:hAnsi="Times New Roman" w:cs="Times New Roman"/>
                      <w:color w:val="auto"/>
                      <w:szCs w:val="21"/>
                      <w:highlight w:val="none"/>
                    </w:rPr>
                    <w:t>要求</w:t>
                  </w:r>
                </w:p>
              </w:tc>
              <w:tc>
                <w:tcPr>
                  <w:tcW w:w="1310" w:type="pct"/>
                  <w:tcBorders>
                    <w:tl2br w:val="nil"/>
                    <w:tr2bl w:val="nil"/>
                  </w:tcBorders>
                  <w:noWrap w:val="0"/>
                  <w:vAlign w:val="center"/>
                </w:tcPr>
                <w:p w14:paraId="31B80523">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本</w:t>
                  </w:r>
                  <w:r>
                    <w:rPr>
                      <w:rFonts w:hint="eastAsia" w:ascii="Times New Roman" w:hAnsi="Times New Roman" w:cs="Times New Roman"/>
                      <w:color w:val="auto"/>
                      <w:szCs w:val="21"/>
                      <w:highlight w:val="none"/>
                    </w:rPr>
                    <w:t>项目</w:t>
                  </w:r>
                  <w:r>
                    <w:rPr>
                      <w:rFonts w:ascii="Times New Roman" w:hAnsi="Times New Roman" w:cs="Times New Roman"/>
                      <w:color w:val="auto"/>
                      <w:szCs w:val="21"/>
                      <w:highlight w:val="none"/>
                    </w:rPr>
                    <w:t>情况</w:t>
                  </w:r>
                </w:p>
              </w:tc>
              <w:tc>
                <w:tcPr>
                  <w:tcW w:w="590" w:type="pct"/>
                  <w:tcBorders>
                    <w:tl2br w:val="nil"/>
                    <w:tr2bl w:val="nil"/>
                  </w:tcBorders>
                  <w:noWrap w:val="0"/>
                  <w:vAlign w:val="center"/>
                </w:tcPr>
                <w:p w14:paraId="7FBEF73B">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符合性</w:t>
                  </w:r>
                </w:p>
              </w:tc>
            </w:tr>
            <w:tr w14:paraId="47805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9" w:type="pct"/>
                  <w:tcBorders>
                    <w:tl2br w:val="nil"/>
                    <w:tr2bl w:val="nil"/>
                  </w:tcBorders>
                  <w:noWrap w:val="0"/>
                  <w:vAlign w:val="center"/>
                </w:tcPr>
                <w:p w14:paraId="768D983F">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1.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1310" w:type="pct"/>
                  <w:tcBorders>
                    <w:tl2br w:val="nil"/>
                    <w:tr2bl w:val="nil"/>
                  </w:tcBorders>
                  <w:noWrap w:val="0"/>
                  <w:vAlign w:val="center"/>
                </w:tcPr>
                <w:p w14:paraId="262E2930">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eastAsia="zh-CN"/>
                    </w:rPr>
                    <w:t>本项目原料</w:t>
                  </w:r>
                  <w:r>
                    <w:rPr>
                      <w:rFonts w:hint="eastAsia" w:ascii="Times New Roman" w:hAnsi="Times New Roman" w:eastAsia="宋体" w:cs="Times New Roman"/>
                      <w:color w:val="auto"/>
                      <w:szCs w:val="21"/>
                      <w:highlight w:val="none"/>
                      <w:lang w:val="en-US" w:eastAsia="zh-CN"/>
                    </w:rPr>
                    <w:t>聚丙烯、色母料</w:t>
                  </w:r>
                  <w:r>
                    <w:rPr>
                      <w:rFonts w:hint="eastAsia" w:cs="Times New Roman"/>
                      <w:color w:val="auto"/>
                      <w:szCs w:val="21"/>
                      <w:highlight w:val="none"/>
                      <w:lang w:val="en-US" w:eastAsia="zh-CN"/>
                    </w:rPr>
                    <w:t>、纺丝油</w:t>
                  </w:r>
                  <w:r>
                    <w:rPr>
                      <w:rFonts w:hint="eastAsia" w:ascii="Times New Roman" w:hAnsi="Times New Roman" w:eastAsia="宋体" w:cs="Times New Roman"/>
                      <w:color w:val="auto"/>
                      <w:szCs w:val="21"/>
                      <w:highlight w:val="none"/>
                      <w:lang w:val="en-US" w:eastAsia="zh-CN"/>
                    </w:rPr>
                    <w:t>，均存放在密闭仓库内</w:t>
                  </w:r>
                  <w:r>
                    <w:rPr>
                      <w:rFonts w:hint="eastAsia" w:ascii="Times New Roman" w:hAnsi="Times New Roman" w:eastAsia="宋体" w:cs="Times New Roman"/>
                      <w:color w:val="auto"/>
                      <w:szCs w:val="21"/>
                      <w:highlight w:val="none"/>
                      <w:lang w:eastAsia="zh-CN"/>
                    </w:rPr>
                    <w:t>。厂区道路已硬化，无裸露土地。</w:t>
                  </w:r>
                </w:p>
              </w:tc>
              <w:tc>
                <w:tcPr>
                  <w:tcW w:w="590" w:type="pct"/>
                  <w:tcBorders>
                    <w:tl2br w:val="nil"/>
                    <w:tr2bl w:val="nil"/>
                  </w:tcBorders>
                  <w:noWrap w:val="0"/>
                  <w:vAlign w:val="center"/>
                </w:tcPr>
                <w:p w14:paraId="08115D12">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w:t>
                  </w:r>
                </w:p>
              </w:tc>
            </w:tr>
            <w:tr w14:paraId="3C675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9" w:type="pct"/>
                  <w:tcBorders>
                    <w:tl2br w:val="nil"/>
                    <w:tr2bl w:val="nil"/>
                  </w:tcBorders>
                  <w:noWrap w:val="0"/>
                  <w:vAlign w:val="center"/>
                </w:tcPr>
                <w:p w14:paraId="1D439278">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2.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1310" w:type="pct"/>
                  <w:tcBorders>
                    <w:tl2br w:val="nil"/>
                    <w:tr2bl w:val="nil"/>
                  </w:tcBorders>
                  <w:noWrap w:val="0"/>
                  <w:vAlign w:val="center"/>
                </w:tcPr>
                <w:p w14:paraId="0139F8EC">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eastAsia="zh-CN"/>
                    </w:rPr>
                    <w:t>本项目主要原料为</w:t>
                  </w:r>
                  <w:r>
                    <w:rPr>
                      <w:rFonts w:hint="eastAsia" w:ascii="Times New Roman" w:hAnsi="Times New Roman" w:eastAsia="宋体" w:cs="Times New Roman"/>
                      <w:color w:val="auto"/>
                      <w:szCs w:val="21"/>
                      <w:highlight w:val="none"/>
                      <w:lang w:val="en-US" w:eastAsia="zh-CN"/>
                    </w:rPr>
                    <w:t>聚丙烯、色母料</w:t>
                  </w:r>
                  <w:r>
                    <w:rPr>
                      <w:rFonts w:hint="eastAsia" w:cs="Times New Roman"/>
                      <w:color w:val="auto"/>
                      <w:szCs w:val="21"/>
                      <w:highlight w:val="none"/>
                      <w:lang w:val="en-US" w:eastAsia="zh-CN"/>
                    </w:rPr>
                    <w:t>、纺丝油</w:t>
                  </w:r>
                  <w:r>
                    <w:rPr>
                      <w:rFonts w:hint="eastAsia"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均</w:t>
                  </w:r>
                  <w:r>
                    <w:rPr>
                      <w:rFonts w:hint="eastAsia" w:ascii="Times New Roman" w:hAnsi="Times New Roman" w:eastAsia="宋体" w:cs="Times New Roman"/>
                      <w:color w:val="auto"/>
                      <w:szCs w:val="21"/>
                      <w:highlight w:val="none"/>
                      <w:lang w:val="en-US" w:eastAsia="zh-CN"/>
                    </w:rPr>
                    <w:t>存放在密闭仓库内</w:t>
                  </w:r>
                  <w:r>
                    <w:rPr>
                      <w:rFonts w:hint="eastAsia"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含有机溶剂的废物储存于密闭的废物桶内，暂存在危废间内，交给有资质的单位处置。</w:t>
                  </w:r>
                </w:p>
              </w:tc>
              <w:tc>
                <w:tcPr>
                  <w:tcW w:w="590" w:type="pct"/>
                  <w:tcBorders>
                    <w:tl2br w:val="nil"/>
                    <w:tr2bl w:val="nil"/>
                  </w:tcBorders>
                  <w:noWrap w:val="0"/>
                  <w:vAlign w:val="center"/>
                </w:tcPr>
                <w:p w14:paraId="752DC0BC">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w:t>
                  </w:r>
                </w:p>
              </w:tc>
            </w:tr>
          </w:tbl>
          <w:p w14:paraId="5CC39A22">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根据上表分析，项目建设符合</w:t>
            </w:r>
            <w:r>
              <w:rPr>
                <w:rFonts w:hint="eastAsia" w:ascii="Times New Roman" w:hAnsi="Times New Roman" w:eastAsia="宋体" w:cs="Times New Roman"/>
                <w:bCs/>
                <w:iCs w:val="0"/>
                <w:color w:val="auto"/>
                <w:kern w:val="2"/>
                <w:sz w:val="24"/>
                <w:szCs w:val="24"/>
                <w:highlight w:val="none"/>
                <w:lang w:val="en-US" w:eastAsia="zh-CN" w:bidi="ar-SA"/>
              </w:rPr>
              <w:t>《关于印发</w:t>
            </w:r>
            <w:r>
              <w:rPr>
                <w:rFonts w:hint="default" w:ascii="Times New Roman" w:hAnsi="Times New Roman" w:eastAsia="宋体" w:cs="Times New Roman"/>
                <w:bCs/>
                <w:iCs w:val="0"/>
                <w:color w:val="auto"/>
                <w:kern w:val="2"/>
                <w:sz w:val="24"/>
                <w:szCs w:val="24"/>
                <w:highlight w:val="none"/>
                <w:lang w:val="en-US" w:eastAsia="zh-CN" w:bidi="ar-SA"/>
              </w:rPr>
              <w:t>山东省工业企业无组织排放分行业管控指导意见</w:t>
            </w:r>
            <w:r>
              <w:rPr>
                <w:rFonts w:hint="eastAsia" w:ascii="Times New Roman" w:hAnsi="Times New Roman" w:eastAsia="宋体" w:cs="Times New Roman"/>
                <w:bCs/>
                <w:iCs w:val="0"/>
                <w:color w:val="auto"/>
                <w:kern w:val="2"/>
                <w:sz w:val="24"/>
                <w:szCs w:val="24"/>
                <w:highlight w:val="none"/>
                <w:lang w:val="en-US" w:eastAsia="zh-CN" w:bidi="ar-SA"/>
              </w:rPr>
              <w:t>的通知》（鲁环发[2020]30号）</w:t>
            </w:r>
            <w:r>
              <w:rPr>
                <w:rFonts w:hint="eastAsia" w:ascii="Times New Roman" w:hAnsi="Times New Roman" w:eastAsia="宋体" w:cs="Times New Roman"/>
                <w:b w:val="0"/>
                <w:bCs/>
                <w:color w:val="auto"/>
                <w:sz w:val="24"/>
                <w:szCs w:val="24"/>
                <w:highlight w:val="none"/>
                <w:lang w:val="en-US" w:eastAsia="zh-CN"/>
              </w:rPr>
              <w:t>的相关要求。</w:t>
            </w:r>
          </w:p>
          <w:p w14:paraId="483BC85E">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6</w:t>
            </w:r>
            <w:r>
              <w:rPr>
                <w:rFonts w:hint="eastAsia"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与</w:t>
            </w:r>
            <w:r>
              <w:rPr>
                <w:rFonts w:hint="eastAsia" w:ascii="Times New Roman" w:hAnsi="Times New Roman" w:eastAsia="宋体" w:cs="Times New Roman"/>
                <w:b w:val="0"/>
                <w:bCs/>
                <w:color w:val="auto"/>
                <w:sz w:val="24"/>
                <w:szCs w:val="24"/>
                <w:highlight w:val="none"/>
                <w:lang w:val="en-US" w:eastAsia="zh-CN"/>
              </w:rPr>
              <w:t>《山东省深入打好蓝天保卫战行动计划（2021-2025年）》</w:t>
            </w:r>
            <w:r>
              <w:rPr>
                <w:rFonts w:hint="eastAsia" w:ascii="Times New Roman" w:hAnsi="Times New Roman" w:cs="Times New Roman"/>
                <w:b w:val="0"/>
                <w:bCs/>
                <w:color w:val="auto"/>
                <w:sz w:val="24"/>
                <w:szCs w:val="24"/>
                <w:highlight w:val="none"/>
                <w:lang w:val="en-US" w:eastAsia="zh-CN"/>
              </w:rPr>
              <w:t>符合性分析</w:t>
            </w:r>
          </w:p>
          <w:p w14:paraId="55DD160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en-US" w:eastAsia="zh-CN"/>
              </w:rPr>
              <w:t>表1-</w:t>
            </w:r>
            <w:r>
              <w:rPr>
                <w:rFonts w:hint="eastAsia" w:eastAsia="黑体" w:cs="Times New Roman"/>
                <w:b w:val="0"/>
                <w:bCs w:val="0"/>
                <w:color w:val="auto"/>
                <w:kern w:val="0"/>
                <w:sz w:val="24"/>
                <w:szCs w:val="24"/>
                <w:highlight w:val="none"/>
                <w:lang w:val="en-US" w:eastAsia="zh-CN"/>
              </w:rPr>
              <w:t>10</w:t>
            </w:r>
            <w:r>
              <w:rPr>
                <w:rFonts w:hint="eastAsia" w:ascii="Times New Roman" w:hAnsi="Times New Roman" w:eastAsia="黑体" w:cs="Times New Roman"/>
                <w:b w:val="0"/>
                <w:bCs w:val="0"/>
                <w:color w:val="auto"/>
                <w:kern w:val="0"/>
                <w:sz w:val="24"/>
                <w:szCs w:val="24"/>
                <w:highlight w:val="none"/>
                <w:lang w:val="en-US" w:eastAsia="zh-CN"/>
              </w:rPr>
              <w:t xml:space="preserve"> 与《山东省深入打好蓝天保卫战行动计划（2021-2025年）》符合性分析</w:t>
            </w:r>
          </w:p>
          <w:tbl>
            <w:tblPr>
              <w:tblStyle w:val="2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8"/>
              <w:gridCol w:w="2902"/>
              <w:gridCol w:w="2170"/>
              <w:gridCol w:w="944"/>
            </w:tblGrid>
            <w:tr w14:paraId="782F8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1028" w:type="pct"/>
                  <w:tcBorders>
                    <w:tl2br w:val="nil"/>
                    <w:tr2bl w:val="nil"/>
                  </w:tcBorders>
                  <w:noWrap w:val="0"/>
                  <w:vAlign w:val="center"/>
                </w:tcPr>
                <w:p w14:paraId="0536D54A">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序号</w:t>
                  </w:r>
                </w:p>
              </w:tc>
              <w:tc>
                <w:tcPr>
                  <w:tcW w:w="1915" w:type="pct"/>
                  <w:tcBorders>
                    <w:tl2br w:val="nil"/>
                    <w:tr2bl w:val="nil"/>
                  </w:tcBorders>
                  <w:noWrap w:val="0"/>
                  <w:vAlign w:val="center"/>
                </w:tcPr>
                <w:p w14:paraId="25CF2765">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计划</w:t>
                  </w:r>
                  <w:r>
                    <w:rPr>
                      <w:rFonts w:ascii="Times New Roman" w:hAnsi="Times New Roman" w:cs="Times New Roman"/>
                      <w:color w:val="auto"/>
                      <w:szCs w:val="21"/>
                      <w:highlight w:val="none"/>
                    </w:rPr>
                    <w:t>要求</w:t>
                  </w:r>
                </w:p>
              </w:tc>
              <w:tc>
                <w:tcPr>
                  <w:tcW w:w="1432" w:type="pct"/>
                  <w:tcBorders>
                    <w:tl2br w:val="nil"/>
                    <w:tr2bl w:val="nil"/>
                  </w:tcBorders>
                  <w:noWrap w:val="0"/>
                  <w:vAlign w:val="center"/>
                </w:tcPr>
                <w:p w14:paraId="3339F323">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本</w:t>
                  </w:r>
                  <w:r>
                    <w:rPr>
                      <w:rFonts w:hint="eastAsia" w:ascii="Times New Roman" w:hAnsi="Times New Roman" w:cs="Times New Roman"/>
                      <w:color w:val="auto"/>
                      <w:szCs w:val="21"/>
                      <w:highlight w:val="none"/>
                    </w:rPr>
                    <w:t>项目</w:t>
                  </w:r>
                  <w:r>
                    <w:rPr>
                      <w:rFonts w:ascii="Times New Roman" w:hAnsi="Times New Roman" w:cs="Times New Roman"/>
                      <w:color w:val="auto"/>
                      <w:szCs w:val="21"/>
                      <w:highlight w:val="none"/>
                    </w:rPr>
                    <w:t>情况</w:t>
                  </w:r>
                </w:p>
              </w:tc>
              <w:tc>
                <w:tcPr>
                  <w:tcW w:w="623" w:type="pct"/>
                  <w:tcBorders>
                    <w:tl2br w:val="nil"/>
                    <w:tr2bl w:val="nil"/>
                  </w:tcBorders>
                  <w:noWrap w:val="0"/>
                  <w:vAlign w:val="center"/>
                </w:tcPr>
                <w:p w14:paraId="4B5CBA0D">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符合性</w:t>
                  </w:r>
                </w:p>
              </w:tc>
            </w:tr>
            <w:tr w14:paraId="5370E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8" w:type="pct"/>
                  <w:tcBorders>
                    <w:tl2br w:val="nil"/>
                    <w:tr2bl w:val="nil"/>
                  </w:tcBorders>
                  <w:noWrap w:val="0"/>
                  <w:vAlign w:val="center"/>
                </w:tcPr>
                <w:p w14:paraId="106B0F70">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一、淘汰低效落后产能</w:t>
                  </w:r>
                </w:p>
              </w:tc>
              <w:tc>
                <w:tcPr>
                  <w:tcW w:w="1915" w:type="pct"/>
                  <w:tcBorders>
                    <w:tl2br w:val="nil"/>
                    <w:tr2bl w:val="nil"/>
                  </w:tcBorders>
                  <w:noWrap w:val="0"/>
                  <w:vAlign w:val="center"/>
                </w:tcPr>
                <w:p w14:paraId="67D6DA55">
                  <w:pPr>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聚焦钢铁、地炼、焦化、煤电、水泥、轮胎、煤炭、化工8个重点行业，加快淘汰低效落后产能。严格执行质量、环保、能耗、安全等法规标准，按照《产业结构调整指导目录》，对</w:t>
                  </w:r>
                  <w:r>
                    <w:rPr>
                      <w:rFonts w:hint="eastAsia" w:ascii="Times New Roman" w:hAnsi="Times New Roman" w:cs="Times New Roman"/>
                      <w:color w:val="auto"/>
                      <w:szCs w:val="21"/>
                      <w:highlight w:val="none"/>
                    </w:rPr>
                    <w:t>“淘汰类”落</w:t>
                  </w:r>
                  <w:r>
                    <w:rPr>
                      <w:rFonts w:ascii="Times New Roman" w:hAnsi="Times New Roman" w:cs="Times New Roman"/>
                      <w:color w:val="auto"/>
                      <w:szCs w:val="21"/>
                      <w:highlight w:val="none"/>
                    </w:rPr>
                    <w:t>后生产工艺装备和落后产品全部淘汰出清。</w:t>
                  </w:r>
                </w:p>
              </w:tc>
              <w:tc>
                <w:tcPr>
                  <w:tcW w:w="1432" w:type="pct"/>
                  <w:tcBorders>
                    <w:tl2br w:val="nil"/>
                    <w:tr2bl w:val="nil"/>
                  </w:tcBorders>
                  <w:noWrap w:val="0"/>
                  <w:vAlign w:val="center"/>
                </w:tcPr>
                <w:p w14:paraId="611CAE1F">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本项目符合国家产业政策，不属于低效落后产</w:t>
                  </w:r>
                  <w:r>
                    <w:rPr>
                      <w:rFonts w:hint="eastAsia" w:ascii="Times New Roman" w:hAnsi="Times New Roman" w:eastAsia="宋体" w:cs="Times New Roman"/>
                      <w:color w:val="auto"/>
                      <w:szCs w:val="21"/>
                      <w:highlight w:val="none"/>
                      <w:lang w:val="en-US" w:eastAsia="zh-CN"/>
                    </w:rPr>
                    <w:t>能。不属于《产业结构调整指导目录</w:t>
                  </w:r>
                  <w:r>
                    <w:rPr>
                      <w:rFonts w:hint="default" w:ascii="Times New Roman" w:hAnsi="Times New Roman" w:eastAsia="宋体" w:cs="Times New Roman"/>
                      <w:color w:val="auto"/>
                      <w:szCs w:val="21"/>
                      <w:highlight w:val="none"/>
                      <w:lang w:val="en-US" w:eastAsia="zh-CN"/>
                    </w:rPr>
                    <w:t>(20</w:t>
                  </w:r>
                  <w:r>
                    <w:rPr>
                      <w:rFonts w:hint="eastAsia" w:ascii="Times New Roman" w:hAnsi="Times New Roman" w:eastAsia="宋体" w:cs="Times New Roman"/>
                      <w:color w:val="auto"/>
                      <w:szCs w:val="21"/>
                      <w:highlight w:val="none"/>
                      <w:lang w:val="en-US" w:eastAsia="zh-CN"/>
                    </w:rPr>
                    <w:t>24年本</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发改委令第7号</w:t>
                  </w: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，中“淘汰类”落后生</w:t>
                  </w:r>
                  <w:r>
                    <w:rPr>
                      <w:rFonts w:hint="eastAsia" w:ascii="Times New Roman" w:hAnsi="Times New Roman" w:cs="Times New Roman"/>
                      <w:color w:val="auto"/>
                      <w:szCs w:val="21"/>
                      <w:highlight w:val="none"/>
                      <w:lang w:val="en-US" w:eastAsia="zh-CN"/>
                    </w:rPr>
                    <w:t>产工艺装备和落后产品。</w:t>
                  </w:r>
                </w:p>
              </w:tc>
              <w:tc>
                <w:tcPr>
                  <w:tcW w:w="623" w:type="pct"/>
                  <w:tcBorders>
                    <w:tl2br w:val="nil"/>
                    <w:tr2bl w:val="nil"/>
                  </w:tcBorders>
                  <w:noWrap w:val="0"/>
                  <w:vAlign w:val="center"/>
                </w:tcPr>
                <w:p w14:paraId="79A0729E">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w:t>
                  </w:r>
                </w:p>
              </w:tc>
            </w:tr>
            <w:tr w14:paraId="52825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8" w:type="pct"/>
                  <w:tcBorders>
                    <w:tl2br w:val="nil"/>
                    <w:tr2bl w:val="nil"/>
                  </w:tcBorders>
                  <w:noWrap w:val="0"/>
                  <w:vAlign w:val="center"/>
                </w:tcPr>
                <w:p w14:paraId="7AD30AD2">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二、压减煤炭消费量</w:t>
                  </w:r>
                </w:p>
              </w:tc>
              <w:tc>
                <w:tcPr>
                  <w:tcW w:w="1915" w:type="pct"/>
                  <w:tcBorders>
                    <w:tl2br w:val="nil"/>
                    <w:tr2bl w:val="nil"/>
                  </w:tcBorders>
                  <w:noWrap w:val="0"/>
                  <w:vAlign w:val="center"/>
                </w:tcPr>
                <w:p w14:paraId="189F430B">
                  <w:pPr>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持续压减煤炭消费总量，</w:t>
                  </w:r>
                  <w:r>
                    <w:rPr>
                      <w:rFonts w:hint="eastAsia" w:ascii="Times New Roman" w:hAnsi="Times New Roman" w:cs="Times New Roman"/>
                      <w:color w:val="auto"/>
                      <w:szCs w:val="21"/>
                      <w:highlight w:val="none"/>
                    </w:rPr>
                    <w:t>“十四五”期</w:t>
                  </w:r>
                  <w:r>
                    <w:rPr>
                      <w:rFonts w:ascii="Times New Roman" w:hAnsi="Times New Roman" w:cs="Times New Roman"/>
                      <w:color w:val="auto"/>
                      <w:szCs w:val="21"/>
                      <w:highlight w:val="none"/>
                    </w:rPr>
                    <w:t>间，全省煤炭消费总量下降10%，控制在3.5亿吨左右。非化石能源消费比重提高到13%左右。制定碳达峰方案，推动钢铁、建材、有色、电力等重点行业率先达峰。</w:t>
                  </w:r>
                </w:p>
              </w:tc>
              <w:tc>
                <w:tcPr>
                  <w:tcW w:w="1432" w:type="pct"/>
                  <w:tcBorders>
                    <w:tl2br w:val="nil"/>
                    <w:tr2bl w:val="nil"/>
                  </w:tcBorders>
                  <w:noWrap w:val="0"/>
                  <w:vAlign w:val="center"/>
                </w:tcPr>
                <w:p w14:paraId="20D63B84">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本项目不涉及煤炭消耗。</w:t>
                  </w:r>
                </w:p>
              </w:tc>
              <w:tc>
                <w:tcPr>
                  <w:tcW w:w="623" w:type="pct"/>
                  <w:tcBorders>
                    <w:tl2br w:val="nil"/>
                    <w:tr2bl w:val="nil"/>
                  </w:tcBorders>
                  <w:noWrap w:val="0"/>
                  <w:vAlign w:val="center"/>
                </w:tcPr>
                <w:p w14:paraId="6736EAED">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w:t>
                  </w:r>
                </w:p>
              </w:tc>
            </w:tr>
            <w:tr w14:paraId="00346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8" w:type="pct"/>
                  <w:tcBorders>
                    <w:tl2br w:val="nil"/>
                    <w:tr2bl w:val="nil"/>
                  </w:tcBorders>
                  <w:noWrap w:val="0"/>
                  <w:vAlign w:val="center"/>
                </w:tcPr>
                <w:p w14:paraId="4D517722">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三</w:t>
                  </w:r>
                  <w:r>
                    <w:rPr>
                      <w:rFonts w:ascii="Times New Roman" w:hAnsi="Times New Roman" w:cs="Times New Roman"/>
                      <w:color w:val="auto"/>
                      <w:szCs w:val="21"/>
                      <w:highlight w:val="none"/>
                    </w:rPr>
                    <w:t>、实施VOCs全过程污染防治</w:t>
                  </w:r>
                </w:p>
              </w:tc>
              <w:tc>
                <w:tcPr>
                  <w:tcW w:w="1915" w:type="pct"/>
                  <w:tcBorders>
                    <w:tl2br w:val="nil"/>
                    <w:tr2bl w:val="nil"/>
                  </w:tcBorders>
                  <w:noWrap w:val="0"/>
                  <w:vAlign w:val="center"/>
                </w:tcPr>
                <w:p w14:paraId="622FBE3C">
                  <w:pPr>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完成现有</w:t>
                  </w:r>
                  <w:r>
                    <w:rPr>
                      <w:rFonts w:hint="default" w:ascii="Times New Roman" w:hAnsi="Times New Roman" w:cs="Times New Roman"/>
                      <w:color w:val="auto"/>
                      <w:szCs w:val="21"/>
                      <w:highlight w:val="none"/>
                    </w:rPr>
                    <w:t>VOCs</w:t>
                  </w:r>
                  <w:r>
                    <w:rPr>
                      <w:rFonts w:ascii="Times New Roman" w:hAnsi="Times New Roman" w:cs="Times New Roman"/>
                      <w:color w:val="auto"/>
                      <w:szCs w:val="21"/>
                      <w:highlight w:val="none"/>
                    </w:rPr>
                    <w:t>废气收集率、治理设施同步运行率和去除率排查工作，对达不到要求的收集、治理设施进行更换或升级改造；组织开展有机废气排放系统旁路摸底排查，取消非必要的旁路，确因安全生产等原因无法取消的，应安装有效的监控装置纳入监管。</w:t>
                  </w:r>
                </w:p>
              </w:tc>
              <w:tc>
                <w:tcPr>
                  <w:tcW w:w="1432" w:type="pct"/>
                  <w:tcBorders>
                    <w:tl2br w:val="nil"/>
                    <w:tr2bl w:val="nil"/>
                  </w:tcBorders>
                  <w:noWrap w:val="0"/>
                  <w:vAlign w:val="center"/>
                </w:tcPr>
                <w:p w14:paraId="4FFF8331">
                  <w:pPr>
                    <w:jc w:val="center"/>
                    <w:rPr>
                      <w:rFonts w:hint="eastAsia" w:ascii="Times New Roman" w:hAnsi="Times New Roman" w:cs="Times New Roman"/>
                      <w:color w:val="auto"/>
                      <w:szCs w:val="21"/>
                      <w:highlight w:val="none"/>
                      <w:lang w:val="en-US" w:eastAsia="zh-CN"/>
                    </w:rPr>
                  </w:pPr>
                  <w:r>
                    <w:rPr>
                      <w:rFonts w:hint="eastAsia" w:ascii="Times New Roman" w:hAnsi="Times New Roman" w:eastAsia="宋体" w:cs="Times New Roman"/>
                      <w:bCs/>
                      <w:iCs w:val="0"/>
                      <w:kern w:val="2"/>
                      <w:sz w:val="21"/>
                      <w:szCs w:val="24"/>
                      <w:lang w:val="en-US" w:eastAsia="zh-CN" w:bidi="ar-SA"/>
                    </w:rPr>
                    <w:t>本项目有机废气采用二级活性炭吸附装置处理，处理后达标排放。</w:t>
                  </w:r>
                </w:p>
              </w:tc>
              <w:tc>
                <w:tcPr>
                  <w:tcW w:w="623" w:type="pct"/>
                  <w:tcBorders>
                    <w:tl2br w:val="nil"/>
                    <w:tr2bl w:val="nil"/>
                  </w:tcBorders>
                  <w:noWrap w:val="0"/>
                  <w:vAlign w:val="center"/>
                </w:tcPr>
                <w:p w14:paraId="0BF33F70">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w:t>
                  </w:r>
                </w:p>
              </w:tc>
            </w:tr>
            <w:tr w14:paraId="0D9D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8" w:type="pct"/>
                  <w:tcBorders>
                    <w:tl2br w:val="nil"/>
                    <w:tr2bl w:val="nil"/>
                  </w:tcBorders>
                  <w:noWrap w:val="0"/>
                  <w:vAlign w:val="center"/>
                </w:tcPr>
                <w:p w14:paraId="76D16010">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四</w:t>
                  </w:r>
                  <w:r>
                    <w:rPr>
                      <w:rFonts w:ascii="Times New Roman" w:hAnsi="Times New Roman" w:cs="Times New Roman"/>
                      <w:color w:val="auto"/>
                      <w:szCs w:val="21"/>
                      <w:highlight w:val="none"/>
                    </w:rPr>
                    <w:t>、强化工业源NOx深度治理</w:t>
                  </w:r>
                </w:p>
              </w:tc>
              <w:tc>
                <w:tcPr>
                  <w:tcW w:w="1915" w:type="pct"/>
                  <w:tcBorders>
                    <w:tl2br w:val="nil"/>
                    <w:tr2bl w:val="nil"/>
                  </w:tcBorders>
                  <w:noWrap w:val="0"/>
                  <w:vAlign w:val="center"/>
                </w:tcPr>
                <w:p w14:paraId="7C4E8072">
                  <w:pPr>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严格治理设施运行监管，燃煤机组、锅炉、钢铁企业污染排放稳定达到超低排放要求。</w:t>
                  </w:r>
                </w:p>
              </w:tc>
              <w:tc>
                <w:tcPr>
                  <w:tcW w:w="1432" w:type="pct"/>
                  <w:tcBorders>
                    <w:tl2br w:val="nil"/>
                    <w:tr2bl w:val="nil"/>
                  </w:tcBorders>
                  <w:noWrap w:val="0"/>
                  <w:vAlign w:val="center"/>
                </w:tcPr>
                <w:p w14:paraId="53CC3E19">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本项目不涉及煤炭消耗。</w:t>
                  </w:r>
                </w:p>
              </w:tc>
              <w:tc>
                <w:tcPr>
                  <w:tcW w:w="623" w:type="pct"/>
                  <w:tcBorders>
                    <w:tl2br w:val="nil"/>
                    <w:tr2bl w:val="nil"/>
                  </w:tcBorders>
                  <w:noWrap w:val="0"/>
                  <w:vAlign w:val="center"/>
                </w:tcPr>
                <w:p w14:paraId="260F8A2B">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符合</w:t>
                  </w:r>
                </w:p>
              </w:tc>
            </w:tr>
            <w:tr w14:paraId="7F1D5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8" w:type="pct"/>
                  <w:tcBorders>
                    <w:tl2br w:val="nil"/>
                    <w:tr2bl w:val="nil"/>
                  </w:tcBorders>
                  <w:noWrap w:val="0"/>
                  <w:vAlign w:val="center"/>
                </w:tcPr>
                <w:p w14:paraId="7181E01E">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五</w:t>
                  </w:r>
                  <w:r>
                    <w:rPr>
                      <w:rFonts w:ascii="Times New Roman" w:hAnsi="Times New Roman" w:cs="Times New Roman"/>
                      <w:color w:val="auto"/>
                      <w:szCs w:val="21"/>
                      <w:highlight w:val="none"/>
                    </w:rPr>
                    <w:t>、严格扬尘污染管控</w:t>
                  </w:r>
                </w:p>
              </w:tc>
              <w:tc>
                <w:tcPr>
                  <w:tcW w:w="1915" w:type="pct"/>
                  <w:tcBorders>
                    <w:tl2br w:val="nil"/>
                    <w:tr2bl w:val="nil"/>
                  </w:tcBorders>
                  <w:noWrap w:val="0"/>
                  <w:vAlign w:val="center"/>
                </w:tcPr>
                <w:p w14:paraId="7143691E">
                  <w:pPr>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加强施工扬尘精细化管控，建立并动态更新施工工地清单。全面推行绿色施工，将扬尘污染防治费用纳入工程造价，各类施工工地严格落实扬尘污染防治措</w:t>
                  </w:r>
                  <w:r>
                    <w:rPr>
                      <w:rFonts w:hint="eastAsia" w:ascii="Times New Roman" w:hAnsi="Times New Roman" w:cs="Times New Roman"/>
                      <w:color w:val="auto"/>
                      <w:szCs w:val="21"/>
                      <w:highlight w:val="none"/>
                    </w:rPr>
                    <w:t>施，其中建筑施工工地严格执行“六项措施”</w:t>
                  </w:r>
                  <w:r>
                    <w:rPr>
                      <w:rFonts w:ascii="Times New Roman" w:hAnsi="Times New Roman" w:cs="Times New Roman"/>
                      <w:color w:val="auto"/>
                      <w:szCs w:val="21"/>
                      <w:highlight w:val="none"/>
                    </w:rPr>
                    <w:t>。</w:t>
                  </w:r>
                </w:p>
              </w:tc>
              <w:tc>
                <w:tcPr>
                  <w:tcW w:w="1432" w:type="pct"/>
                  <w:tcBorders>
                    <w:tl2br w:val="nil"/>
                    <w:tr2bl w:val="nil"/>
                  </w:tcBorders>
                  <w:noWrap w:val="0"/>
                  <w:vAlign w:val="center"/>
                </w:tcPr>
                <w:p w14:paraId="37D51DEA">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本项目</w:t>
                  </w:r>
                  <w:r>
                    <w:rPr>
                      <w:rFonts w:hint="eastAsia" w:cs="Times New Roman"/>
                      <w:color w:val="auto"/>
                      <w:szCs w:val="21"/>
                      <w:highlight w:val="none"/>
                      <w:lang w:val="en-US" w:eastAsia="zh-CN"/>
                    </w:rPr>
                    <w:t>租赁已建成</w:t>
                  </w:r>
                  <w:r>
                    <w:rPr>
                      <w:rFonts w:hint="eastAsia" w:ascii="Times New Roman" w:hAnsi="Times New Roman" w:cs="Times New Roman"/>
                      <w:color w:val="auto"/>
                      <w:szCs w:val="21"/>
                      <w:highlight w:val="none"/>
                      <w:lang w:val="en-US" w:eastAsia="zh-CN"/>
                    </w:rPr>
                    <w:t>厂房，不新建厂房，施工过程无土建工程，且在密闭车间内进行。仅产生少量汽运扬尘，</w:t>
                  </w:r>
                  <w:r>
                    <w:rPr>
                      <w:rFonts w:ascii="Times New Roman" w:hAnsi="Times New Roman" w:cs="Times New Roman"/>
                      <w:color w:val="auto"/>
                      <w:szCs w:val="21"/>
                      <w:highlight w:val="none"/>
                    </w:rPr>
                    <w:t>严格落实扬尘污染防治措施</w:t>
                  </w:r>
                  <w:r>
                    <w:rPr>
                      <w:rFonts w:hint="eastAsia" w:ascii="Times New Roman" w:hAnsi="Times New Roman" w:cs="Times New Roman"/>
                      <w:color w:val="auto"/>
                      <w:szCs w:val="21"/>
                      <w:highlight w:val="none"/>
                      <w:lang w:eastAsia="zh-CN"/>
                    </w:rPr>
                    <w:t>，</w:t>
                  </w:r>
                  <w:r>
                    <w:rPr>
                      <w:rFonts w:ascii="Times New Roman" w:hAnsi="Times New Roman" w:cs="Times New Roman"/>
                      <w:color w:val="auto"/>
                      <w:szCs w:val="21"/>
                      <w:highlight w:val="none"/>
                    </w:rPr>
                    <w:t>全面推行绿色施工</w:t>
                  </w:r>
                  <w:r>
                    <w:rPr>
                      <w:rFonts w:hint="eastAsia" w:ascii="Times New Roman" w:hAnsi="Times New Roman" w:cs="Times New Roman"/>
                      <w:color w:val="auto"/>
                      <w:szCs w:val="21"/>
                      <w:highlight w:val="none"/>
                    </w:rPr>
                    <w:t>。</w:t>
                  </w:r>
                </w:p>
              </w:tc>
              <w:tc>
                <w:tcPr>
                  <w:tcW w:w="623" w:type="pct"/>
                  <w:tcBorders>
                    <w:tl2br w:val="nil"/>
                    <w:tr2bl w:val="nil"/>
                  </w:tcBorders>
                  <w:noWrap w:val="0"/>
                  <w:vAlign w:val="center"/>
                </w:tcPr>
                <w:p w14:paraId="58FE63AD">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符合</w:t>
                  </w:r>
                </w:p>
              </w:tc>
            </w:tr>
          </w:tbl>
          <w:p w14:paraId="5FEFAB64">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根据上表分析，项目建设符合《山东省深入打好蓝天保卫战行动计划（2021-2025年）》的相关要求。</w:t>
            </w:r>
          </w:p>
          <w:p w14:paraId="05E8619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7</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rPr>
              <w:t>与</w:t>
            </w:r>
            <w:r>
              <w:rPr>
                <w:rFonts w:hint="eastAsia" w:ascii="Times New Roman" w:hAnsi="Times New Roman" w:eastAsia="宋体" w:cs="Times New Roman"/>
                <w:b w:val="0"/>
                <w:bCs/>
                <w:color w:val="auto"/>
                <w:sz w:val="24"/>
                <w:szCs w:val="24"/>
                <w:lang w:val="en-US" w:eastAsia="zh-CN"/>
              </w:rPr>
              <w:t>《关于印发减污降碳协同增效实施方案的通知》（环综合[2022]42号）</w:t>
            </w:r>
            <w:r>
              <w:rPr>
                <w:rFonts w:hint="default" w:ascii="Times New Roman" w:hAnsi="Times New Roman" w:eastAsia="宋体" w:cs="Times New Roman"/>
                <w:b w:val="0"/>
                <w:bCs/>
                <w:color w:val="auto"/>
                <w:sz w:val="24"/>
                <w:szCs w:val="24"/>
                <w:lang w:val="en-US" w:eastAsia="zh-CN"/>
              </w:rPr>
              <w:t>符合性</w:t>
            </w:r>
            <w:r>
              <w:rPr>
                <w:rFonts w:hint="default" w:ascii="Times New Roman" w:hAnsi="Times New Roman" w:cs="Times New Roman"/>
                <w:b w:val="0"/>
                <w:bCs/>
                <w:color w:val="auto"/>
                <w:sz w:val="24"/>
                <w:szCs w:val="24"/>
              </w:rPr>
              <w:t>分析</w:t>
            </w:r>
          </w:p>
          <w:p w14:paraId="62104F9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w:t>
            </w:r>
            <w:r>
              <w:rPr>
                <w:rFonts w:hint="eastAsia" w:ascii="Times New Roman" w:hAnsi="Times New Roman" w:eastAsia="黑体" w:cs="Times New Roman"/>
                <w:b w:val="0"/>
                <w:bCs w:val="0"/>
                <w:color w:val="auto"/>
                <w:kern w:val="0"/>
                <w:sz w:val="24"/>
                <w:szCs w:val="24"/>
                <w:lang w:val="en-US" w:eastAsia="zh-CN"/>
              </w:rPr>
              <w:t>1</w:t>
            </w:r>
            <w:r>
              <w:rPr>
                <w:rFonts w:hint="eastAsia" w:eastAsia="黑体" w:cs="Times New Roman"/>
                <w:b w:val="0"/>
                <w:bCs w:val="0"/>
                <w:color w:val="auto"/>
                <w:kern w:val="0"/>
                <w:sz w:val="24"/>
                <w:szCs w:val="24"/>
                <w:lang w:val="en-US" w:eastAsia="zh-CN"/>
              </w:rPr>
              <w:t>1</w:t>
            </w:r>
            <w:r>
              <w:rPr>
                <w:rFonts w:hint="eastAsia" w:ascii="Times New Roman" w:hAnsi="Times New Roman" w:eastAsia="黑体" w:cs="Times New Roman"/>
                <w:b w:val="0"/>
                <w:bCs w:val="0"/>
                <w:color w:val="auto"/>
                <w:kern w:val="0"/>
                <w:sz w:val="24"/>
                <w:szCs w:val="24"/>
                <w:lang w:val="en-US" w:eastAsia="zh-CN"/>
              </w:rPr>
              <w:t xml:space="preserve"> </w:t>
            </w:r>
            <w:r>
              <w:rPr>
                <w:rFonts w:hint="default" w:ascii="Times New Roman" w:hAnsi="Times New Roman" w:eastAsia="黑体" w:cs="Times New Roman"/>
                <w:b w:val="0"/>
                <w:bCs w:val="0"/>
                <w:color w:val="auto"/>
                <w:kern w:val="0"/>
                <w:sz w:val="24"/>
                <w:szCs w:val="24"/>
                <w:lang w:val="en-US" w:eastAsia="zh-CN"/>
              </w:rPr>
              <w:t>与</w:t>
            </w:r>
            <w:r>
              <w:rPr>
                <w:rFonts w:hint="eastAsia" w:ascii="Times New Roman" w:hAnsi="Times New Roman" w:eastAsia="黑体" w:cs="Times New Roman"/>
                <w:b w:val="0"/>
                <w:bCs w:val="0"/>
                <w:color w:val="auto"/>
                <w:kern w:val="0"/>
                <w:sz w:val="24"/>
                <w:szCs w:val="24"/>
                <w:lang w:val="en-US" w:eastAsia="zh-CN"/>
              </w:rPr>
              <w:t>《关于印发减污降碳协同增效实施方案的通知》（环综合[2022]42号）</w:t>
            </w:r>
            <w:r>
              <w:rPr>
                <w:rFonts w:hint="default" w:ascii="Times New Roman" w:hAnsi="Times New Roman" w:eastAsia="黑体" w:cs="Times New Roman"/>
                <w:b w:val="0"/>
                <w:bCs w:val="0"/>
                <w:color w:val="auto"/>
                <w:kern w:val="0"/>
                <w:sz w:val="24"/>
                <w:szCs w:val="24"/>
                <w:lang w:val="en-US" w:eastAsia="zh-CN"/>
              </w:rPr>
              <w:t>符合性分析</w:t>
            </w:r>
          </w:p>
          <w:tbl>
            <w:tblPr>
              <w:tblStyle w:val="2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3688"/>
              <w:gridCol w:w="2172"/>
              <w:gridCol w:w="944"/>
            </w:tblGrid>
            <w:tr w14:paraId="7F745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508" w:type="pct"/>
                  <w:tcBorders>
                    <w:tl2br w:val="nil"/>
                    <w:tr2bl w:val="nil"/>
                  </w:tcBorders>
                  <w:noWrap w:val="0"/>
                  <w:vAlign w:val="center"/>
                </w:tcPr>
                <w:p w14:paraId="3946FED3">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序号</w:t>
                  </w:r>
                </w:p>
              </w:tc>
              <w:tc>
                <w:tcPr>
                  <w:tcW w:w="2434" w:type="pct"/>
                  <w:tcBorders>
                    <w:tl2br w:val="nil"/>
                    <w:tr2bl w:val="nil"/>
                  </w:tcBorders>
                  <w:noWrap w:val="0"/>
                  <w:vAlign w:val="center"/>
                </w:tcPr>
                <w:p w14:paraId="75977CCF">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计划</w:t>
                  </w:r>
                  <w:r>
                    <w:rPr>
                      <w:rFonts w:ascii="Times New Roman" w:hAnsi="Times New Roman" w:cs="Times New Roman"/>
                      <w:color w:val="auto"/>
                      <w:szCs w:val="21"/>
                      <w:highlight w:val="none"/>
                    </w:rPr>
                    <w:t>要求</w:t>
                  </w:r>
                </w:p>
              </w:tc>
              <w:tc>
                <w:tcPr>
                  <w:tcW w:w="1433" w:type="pct"/>
                  <w:tcBorders>
                    <w:tl2br w:val="nil"/>
                    <w:tr2bl w:val="nil"/>
                  </w:tcBorders>
                  <w:noWrap w:val="0"/>
                  <w:vAlign w:val="center"/>
                </w:tcPr>
                <w:p w14:paraId="028FE20E">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本</w:t>
                  </w:r>
                  <w:r>
                    <w:rPr>
                      <w:rFonts w:hint="eastAsia" w:ascii="Times New Roman" w:hAnsi="Times New Roman" w:cs="Times New Roman"/>
                      <w:color w:val="auto"/>
                      <w:szCs w:val="21"/>
                      <w:highlight w:val="none"/>
                    </w:rPr>
                    <w:t>项目</w:t>
                  </w:r>
                  <w:r>
                    <w:rPr>
                      <w:rFonts w:ascii="Times New Roman" w:hAnsi="Times New Roman" w:cs="Times New Roman"/>
                      <w:color w:val="auto"/>
                      <w:szCs w:val="21"/>
                      <w:highlight w:val="none"/>
                    </w:rPr>
                    <w:t>情况</w:t>
                  </w:r>
                </w:p>
              </w:tc>
              <w:tc>
                <w:tcPr>
                  <w:tcW w:w="623" w:type="pct"/>
                  <w:tcBorders>
                    <w:tl2br w:val="nil"/>
                    <w:tr2bl w:val="nil"/>
                  </w:tcBorders>
                  <w:noWrap w:val="0"/>
                  <w:vAlign w:val="center"/>
                </w:tcPr>
                <w:p w14:paraId="09E275FD">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符合性</w:t>
                  </w:r>
                </w:p>
              </w:tc>
            </w:tr>
            <w:tr w14:paraId="6ED4B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6" w:hRule="atLeast"/>
              </w:trPr>
              <w:tc>
                <w:tcPr>
                  <w:tcW w:w="508" w:type="pct"/>
                  <w:tcBorders>
                    <w:tl2br w:val="nil"/>
                    <w:tr2bl w:val="nil"/>
                  </w:tcBorders>
                  <w:noWrap w:val="0"/>
                  <w:vAlign w:val="center"/>
                </w:tcPr>
                <w:p w14:paraId="3C21BDD2">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2434" w:type="pct"/>
                  <w:tcBorders>
                    <w:tl2br w:val="nil"/>
                    <w:tr2bl w:val="nil"/>
                  </w:tcBorders>
                  <w:shd w:val="clear" w:color="auto" w:fill="auto"/>
                  <w:noWrap w:val="0"/>
                  <w:vAlign w:val="center"/>
                </w:tcPr>
                <w:p w14:paraId="255EC440">
                  <w:pPr>
                    <w:pStyle w:val="126"/>
                    <w:spacing w:line="312" w:lineRule="exact"/>
                    <w:ind w:left="0" w:leftChars="0" w:firstLine="0" w:firstLineChars="0"/>
                    <w:jc w:val="left"/>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rPr>
                    <w:t>1.增强区域环境质量改善目标对能源和产业布局的引导作用。依法依规淘汰落后产能和化解过剩产能，聚焦重点耗能行业，强化环保、质量、技术、节能、安全标准引领，对高耗能高排放项目全面推行清单管理、分类处置、动态监控。依法加快城市建成区重污染企业搬迁改造或关闭退出。</w:t>
                  </w:r>
                </w:p>
              </w:tc>
              <w:tc>
                <w:tcPr>
                  <w:tcW w:w="1433" w:type="pct"/>
                  <w:vMerge w:val="restart"/>
                  <w:tcBorders>
                    <w:tl2br w:val="nil"/>
                    <w:tr2bl w:val="nil"/>
                  </w:tcBorders>
                  <w:noWrap w:val="0"/>
                  <w:vAlign w:val="center"/>
                </w:tcPr>
                <w:p w14:paraId="7E9E2519">
                  <w:pPr>
                    <w:pStyle w:val="126"/>
                    <w:spacing w:line="312" w:lineRule="exact"/>
                    <w:ind w:left="0" w:leftChars="0" w:firstLine="0" w:firstLineChars="0"/>
                    <w:jc w:val="center"/>
                    <w:rPr>
                      <w:rFonts w:hint="eastAsia" w:ascii="Times New Roman" w:hAnsi="Times New Roman" w:cs="Times New Roman"/>
                      <w:color w:val="auto"/>
                      <w:szCs w:val="21"/>
                      <w:highlight w:val="none"/>
                      <w:lang w:val="en-US" w:eastAsia="zh-CN"/>
                    </w:rPr>
                  </w:pPr>
                  <w:r>
                    <w:rPr>
                      <w:rFonts w:hint="eastAsia" w:ascii="Times New Roman" w:hAnsi="Times New Roman" w:eastAsia="宋体" w:cs="Times New Roman"/>
                      <w:lang w:val="en-US" w:eastAsia="zh-CN"/>
                    </w:rPr>
                    <w:t>本项目属于C2825丙纶纤维制造、C2923塑料丝、绳及编织品制造、C</w:t>
                  </w:r>
                  <w:r>
                    <w:rPr>
                      <w:rFonts w:hint="eastAsia" w:ascii="Times New Roman" w:hAnsi="Times New Roman" w:eastAsia="宋体" w:cs="Times New Roman"/>
                      <w:bCs/>
                      <w:iCs w:val="0"/>
                      <w:kern w:val="0"/>
                      <w:sz w:val="21"/>
                      <w:szCs w:val="21"/>
                      <w:lang w:val="en-US" w:eastAsia="zh-CN" w:bidi="ar-SA"/>
                    </w:rPr>
                    <w:t>2439其他工艺美术及礼仪用品制造</w:t>
                  </w:r>
                  <w:r>
                    <w:rPr>
                      <w:rFonts w:hint="eastAsia" w:ascii="Times New Roman" w:hAnsi="Times New Roman" w:eastAsia="宋体" w:cs="Times New Roman"/>
                      <w:lang w:val="en-US" w:eastAsia="zh-CN"/>
                    </w:rPr>
                    <w:t>，不属于两高项目。只消耗电能，无燃煤机组。</w:t>
                  </w:r>
                </w:p>
              </w:tc>
              <w:tc>
                <w:tcPr>
                  <w:tcW w:w="623" w:type="pct"/>
                  <w:vMerge w:val="restart"/>
                  <w:tcBorders>
                    <w:tl2br w:val="nil"/>
                    <w:tr2bl w:val="nil"/>
                  </w:tcBorders>
                  <w:noWrap w:val="0"/>
                  <w:vAlign w:val="center"/>
                </w:tcPr>
                <w:p w14:paraId="27C95D29">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w:t>
                  </w:r>
                </w:p>
              </w:tc>
            </w:tr>
            <w:tr w14:paraId="45F3C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2" w:hRule="atLeast"/>
              </w:trPr>
              <w:tc>
                <w:tcPr>
                  <w:tcW w:w="508" w:type="pct"/>
                  <w:tcBorders>
                    <w:tl2br w:val="nil"/>
                    <w:tr2bl w:val="nil"/>
                  </w:tcBorders>
                  <w:noWrap w:val="0"/>
                  <w:vAlign w:val="center"/>
                </w:tcPr>
                <w:p w14:paraId="067EE829">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2434" w:type="pct"/>
                  <w:tcBorders>
                    <w:tl2br w:val="nil"/>
                    <w:tr2bl w:val="nil"/>
                  </w:tcBorders>
                  <w:shd w:val="clear" w:color="auto" w:fill="auto"/>
                  <w:noWrap w:val="0"/>
                  <w:vAlign w:val="center"/>
                </w:tcPr>
                <w:p w14:paraId="1C020FBB">
                  <w:pPr>
                    <w:pStyle w:val="126"/>
                    <w:spacing w:line="312" w:lineRule="exact"/>
                    <w:ind w:left="0" w:leftChars="0" w:firstLine="0" w:firstLineChars="0"/>
                    <w:jc w:val="left"/>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rPr>
                    <w:t>2.坚决遏制“两高”项目盲目发展。新建“两高”项目，严格落实产能、煤耗、能耗、碳排放、污染物排放替代政策。不得将石油焦、焦炭、兰炭等高污染燃料作为煤炭减量替代措施。国家布局我省的重大煤电项目和背压型热电联产项目按国家规定不实行产能替代。严格执行产能置换要求，重点区域严禁新增钢铁、焦化、水泥熟料、平板玻璃、电解铝、氧化铝、煤化工产能，合理控制煤制油气产能规模，严控新增炼油产能。</w:t>
                  </w:r>
                </w:p>
              </w:tc>
              <w:tc>
                <w:tcPr>
                  <w:tcW w:w="1433" w:type="pct"/>
                  <w:vMerge w:val="continue"/>
                  <w:tcBorders>
                    <w:tl2br w:val="nil"/>
                    <w:tr2bl w:val="nil"/>
                  </w:tcBorders>
                  <w:noWrap w:val="0"/>
                  <w:vAlign w:val="center"/>
                </w:tcPr>
                <w:p w14:paraId="4BA786A1">
                  <w:pPr>
                    <w:jc w:val="left"/>
                    <w:rPr>
                      <w:rFonts w:hint="eastAsia" w:ascii="Times New Roman" w:hAnsi="Times New Roman" w:cs="Times New Roman"/>
                      <w:color w:val="auto"/>
                      <w:szCs w:val="21"/>
                      <w:highlight w:val="none"/>
                      <w:lang w:val="en-US" w:eastAsia="zh-CN"/>
                    </w:rPr>
                  </w:pPr>
                </w:p>
              </w:tc>
              <w:tc>
                <w:tcPr>
                  <w:tcW w:w="623" w:type="pct"/>
                  <w:vMerge w:val="continue"/>
                  <w:tcBorders>
                    <w:tl2br w:val="nil"/>
                    <w:tr2bl w:val="nil"/>
                  </w:tcBorders>
                  <w:noWrap w:val="0"/>
                  <w:vAlign w:val="center"/>
                </w:tcPr>
                <w:p w14:paraId="0A8FBDC4">
                  <w:pPr>
                    <w:jc w:val="center"/>
                    <w:rPr>
                      <w:rFonts w:ascii="Times New Roman" w:hAnsi="Times New Roman" w:cs="Times New Roman"/>
                      <w:color w:val="auto"/>
                      <w:szCs w:val="21"/>
                      <w:highlight w:val="none"/>
                    </w:rPr>
                  </w:pPr>
                </w:p>
              </w:tc>
            </w:tr>
            <w:tr w14:paraId="6E7D8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pct"/>
                  <w:tcBorders>
                    <w:tl2br w:val="nil"/>
                    <w:tr2bl w:val="nil"/>
                  </w:tcBorders>
                  <w:noWrap w:val="0"/>
                  <w:vAlign w:val="center"/>
                </w:tcPr>
                <w:p w14:paraId="188AF31E">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2434" w:type="pct"/>
                  <w:tcBorders>
                    <w:tl2br w:val="nil"/>
                    <w:tr2bl w:val="nil"/>
                  </w:tcBorders>
                  <w:shd w:val="clear" w:color="auto" w:fill="auto"/>
                  <w:noWrap w:val="0"/>
                  <w:vAlign w:val="center"/>
                </w:tcPr>
                <w:p w14:paraId="066B4A99">
                  <w:pPr>
                    <w:pStyle w:val="126"/>
                    <w:spacing w:line="312" w:lineRule="exact"/>
                    <w:ind w:left="0" w:leftChars="0" w:firstLine="0" w:firstLineChars="0"/>
                    <w:jc w:val="both"/>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lang w:val="en-US" w:eastAsia="zh-CN"/>
                    </w:rPr>
                    <w:t>3</w:t>
                  </w:r>
                  <w:r>
                    <w:rPr>
                      <w:rFonts w:hint="eastAsia" w:ascii="Times New Roman" w:hAnsi="Times New Roman" w:eastAsia="宋体" w:cs="Times New Roman"/>
                    </w:rPr>
                    <w:t>.</w:t>
                  </w:r>
                  <w:r>
                    <w:rPr>
                      <w:rFonts w:hint="eastAsia" w:ascii="Times New Roman" w:hAnsi="Times New Roman" w:eastAsia="宋体" w:cs="Times New Roman"/>
                      <w:iCs w:val="0"/>
                      <w:kern w:val="2"/>
                      <w:sz w:val="21"/>
                      <w:szCs w:val="24"/>
                      <w:lang w:val="en-US" w:eastAsia="zh-CN" w:bidi="ar-SA"/>
                    </w:rPr>
                    <w:t>推动能源绿色低碳转型。坚持清洁低碳安全高效，在确保能源安全可靠稳定供应的基础上，加快使用清洁低碳能源替代化石能源。稳妥有序发展现代煤化工，促进煤炭分质分级高效清洁利用。“十四五”时期，严控煤炭消费增长，完成国家下达我省的京津冀及周边地区煤炭消费量下降10%左右的任务。加快工业炉窑清洁能源替代，对以煤、石油焦、渣油、重油等为燃料的工业炉窑，使用清洁低碳能源以及利用工厂余热、电厂热力等进行替代。加快实施煤电机组节能降碳改造、供热改造、灵活性改造“三改联动”，到2025年，煤电机组正常工况下平均供电煤耗降至295克标准煤/千瓦时。新增煤电机组设计指标满足相关环保法规、政策、标准要求，煤耗标准达到国内标杆水平，电煤运输优先采用铁路、水路、管道等清洁运输方式。不再新建自备燃煤机组。支持自备燃煤机组实施清洁能源替代，鼓励自备电厂转为公用电厂。</w:t>
                  </w:r>
                </w:p>
              </w:tc>
              <w:tc>
                <w:tcPr>
                  <w:tcW w:w="1433" w:type="pct"/>
                  <w:vMerge w:val="continue"/>
                  <w:tcBorders>
                    <w:tl2br w:val="nil"/>
                    <w:tr2bl w:val="nil"/>
                  </w:tcBorders>
                  <w:noWrap w:val="0"/>
                  <w:vAlign w:val="center"/>
                </w:tcPr>
                <w:p w14:paraId="084E05C8">
                  <w:pPr>
                    <w:jc w:val="center"/>
                    <w:rPr>
                      <w:rFonts w:hint="eastAsia" w:ascii="Times New Roman" w:hAnsi="Times New Roman" w:cs="Times New Roman"/>
                      <w:color w:val="auto"/>
                      <w:szCs w:val="21"/>
                      <w:highlight w:val="none"/>
                      <w:lang w:val="en-US" w:eastAsia="zh-CN"/>
                    </w:rPr>
                  </w:pPr>
                </w:p>
              </w:tc>
              <w:tc>
                <w:tcPr>
                  <w:tcW w:w="623" w:type="pct"/>
                  <w:vMerge w:val="continue"/>
                  <w:tcBorders>
                    <w:tl2br w:val="nil"/>
                    <w:tr2bl w:val="nil"/>
                  </w:tcBorders>
                  <w:noWrap w:val="0"/>
                  <w:vAlign w:val="center"/>
                </w:tcPr>
                <w:p w14:paraId="38CA1A19">
                  <w:pPr>
                    <w:jc w:val="center"/>
                    <w:rPr>
                      <w:rFonts w:ascii="Times New Roman" w:hAnsi="Times New Roman" w:cs="Times New Roman"/>
                      <w:color w:val="auto"/>
                      <w:szCs w:val="21"/>
                      <w:highlight w:val="none"/>
                    </w:rPr>
                  </w:pPr>
                </w:p>
              </w:tc>
            </w:tr>
          </w:tbl>
          <w:p w14:paraId="283A6288">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根据上表分析，项目建设符合</w:t>
            </w:r>
            <w:r>
              <w:rPr>
                <w:rFonts w:hint="eastAsia" w:ascii="Times New Roman" w:hAnsi="Times New Roman" w:eastAsia="宋体" w:cs="Times New Roman"/>
                <w:b w:val="0"/>
                <w:bCs/>
                <w:color w:val="auto"/>
                <w:sz w:val="24"/>
                <w:szCs w:val="24"/>
                <w:lang w:val="en-US" w:eastAsia="zh-CN"/>
              </w:rPr>
              <w:t>《关于印发减污降碳协同增效实施方案的通知》（环综合[2022]42号）</w:t>
            </w:r>
            <w:r>
              <w:rPr>
                <w:rFonts w:hint="eastAsia" w:ascii="Times New Roman" w:hAnsi="Times New Roman" w:eastAsia="宋体" w:cs="Times New Roman"/>
                <w:b w:val="0"/>
                <w:bCs/>
                <w:color w:val="auto"/>
                <w:sz w:val="24"/>
                <w:szCs w:val="24"/>
                <w:highlight w:val="none"/>
                <w:lang w:val="en-US" w:eastAsia="zh-CN"/>
              </w:rPr>
              <w:t>的相关要求。</w:t>
            </w:r>
          </w:p>
          <w:p w14:paraId="551CEA77">
            <w:pPr>
              <w:pStyle w:val="73"/>
              <w:spacing w:beforeLines="0" w:afterLines="0" w:line="360" w:lineRule="auto"/>
              <w:ind w:firstLine="480" w:firstLineChars="200"/>
              <w:jc w:val="left"/>
              <w:rPr>
                <w:rFonts w:ascii="Times New Roman"/>
                <w:color w:val="auto"/>
                <w:sz w:val="24"/>
                <w:szCs w:val="24"/>
                <w:highlight w:val="none"/>
              </w:rPr>
            </w:pPr>
            <w:r>
              <w:rPr>
                <w:rFonts w:hint="eastAsia" w:ascii="Times New Roman"/>
                <w:color w:val="auto"/>
                <w:sz w:val="24"/>
                <w:szCs w:val="24"/>
                <w:highlight w:val="none"/>
                <w:lang w:eastAsia="zh-CN"/>
              </w:rPr>
              <w:t>（</w:t>
            </w:r>
            <w:r>
              <w:rPr>
                <w:rFonts w:hint="eastAsia" w:ascii="Times New Roman"/>
                <w:color w:val="auto"/>
                <w:sz w:val="24"/>
                <w:szCs w:val="24"/>
                <w:highlight w:val="none"/>
                <w:lang w:val="en-US" w:eastAsia="zh-CN"/>
              </w:rPr>
              <w:t>8</w:t>
            </w:r>
            <w:r>
              <w:rPr>
                <w:rFonts w:hint="eastAsia" w:ascii="Times New Roman"/>
                <w:color w:val="auto"/>
                <w:sz w:val="24"/>
                <w:szCs w:val="24"/>
                <w:highlight w:val="none"/>
                <w:lang w:eastAsia="zh-CN"/>
              </w:rPr>
              <w:t>）</w:t>
            </w:r>
            <w:r>
              <w:rPr>
                <w:rFonts w:hint="eastAsia" w:ascii="Times New Roman"/>
                <w:color w:val="auto"/>
                <w:sz w:val="24"/>
                <w:szCs w:val="24"/>
                <w:highlight w:val="none"/>
              </w:rPr>
              <w:t>与</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关于进一步加强建设项目固体废物环境管理的通知</w:t>
            </w:r>
            <w:r>
              <w:rPr>
                <w:rFonts w:hint="eastAsia" w:ascii="Times New Roman" w:hAnsi="Times New Roman" w:cs="Times New Roman"/>
                <w:color w:val="auto"/>
                <w:sz w:val="24"/>
                <w:szCs w:val="24"/>
                <w:highlight w:val="none"/>
                <w:lang w:val="en-US" w:eastAsia="zh-CN"/>
              </w:rPr>
              <w:t>》（鲁环办函[2016]141号）</w:t>
            </w:r>
            <w:r>
              <w:rPr>
                <w:rFonts w:hint="eastAsia" w:ascii="Times New Roman" w:hAnsi="Times New Roman" w:cs="Times New Roman"/>
                <w:color w:val="auto"/>
                <w:sz w:val="24"/>
                <w:szCs w:val="24"/>
                <w:highlight w:val="none"/>
                <w:lang w:eastAsia="zh-CN"/>
              </w:rPr>
              <w:t>的</w:t>
            </w:r>
            <w:r>
              <w:rPr>
                <w:rFonts w:hint="eastAsia" w:ascii="Times New Roman"/>
                <w:color w:val="auto"/>
                <w:sz w:val="24"/>
                <w:szCs w:val="24"/>
                <w:highlight w:val="none"/>
              </w:rPr>
              <w:t>符合性分析</w:t>
            </w:r>
          </w:p>
          <w:p w14:paraId="4D9284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en-US" w:eastAsia="zh-CN"/>
              </w:rPr>
            </w:pPr>
            <w:r>
              <w:rPr>
                <w:rFonts w:hint="eastAsia" w:ascii="Times New Roman" w:hAnsi="Times New Roman" w:eastAsia="黑体" w:cs="Times New Roman"/>
                <w:b w:val="0"/>
                <w:bCs w:val="0"/>
                <w:color w:val="auto"/>
                <w:kern w:val="0"/>
                <w:sz w:val="24"/>
                <w:szCs w:val="24"/>
                <w:lang w:val="en-US" w:eastAsia="zh-CN"/>
              </w:rPr>
              <w:t>表1-1</w:t>
            </w:r>
            <w:r>
              <w:rPr>
                <w:rFonts w:hint="eastAsia" w:eastAsia="黑体" w:cs="Times New Roman"/>
                <w:b w:val="0"/>
                <w:bCs w:val="0"/>
                <w:color w:val="auto"/>
                <w:kern w:val="0"/>
                <w:sz w:val="24"/>
                <w:szCs w:val="24"/>
                <w:lang w:val="en-US" w:eastAsia="zh-CN"/>
              </w:rPr>
              <w:t>2</w:t>
            </w:r>
            <w:r>
              <w:rPr>
                <w:rFonts w:hint="eastAsia" w:ascii="Times New Roman" w:hAnsi="Times New Roman" w:eastAsia="黑体" w:cs="Times New Roman"/>
                <w:b w:val="0"/>
                <w:bCs w:val="0"/>
                <w:color w:val="auto"/>
                <w:kern w:val="0"/>
                <w:sz w:val="24"/>
                <w:szCs w:val="24"/>
                <w:lang w:val="en-US" w:eastAsia="zh-CN"/>
              </w:rPr>
              <w:t xml:space="preserve"> 与《</w:t>
            </w:r>
            <w:r>
              <w:rPr>
                <w:rFonts w:hint="default" w:ascii="Times New Roman" w:hAnsi="Times New Roman" w:eastAsia="黑体" w:cs="Times New Roman"/>
                <w:b w:val="0"/>
                <w:bCs w:val="0"/>
                <w:color w:val="auto"/>
                <w:kern w:val="0"/>
                <w:sz w:val="24"/>
                <w:szCs w:val="24"/>
                <w:lang w:val="en-US" w:eastAsia="zh-CN"/>
              </w:rPr>
              <w:t>关于进一步加强建设项目固体废物环境管理的通知</w:t>
            </w:r>
            <w:r>
              <w:rPr>
                <w:rFonts w:hint="eastAsia" w:ascii="Times New Roman" w:hAnsi="Times New Roman" w:eastAsia="黑体" w:cs="Times New Roman"/>
                <w:b w:val="0"/>
                <w:bCs w:val="0"/>
                <w:color w:val="auto"/>
                <w:kern w:val="0"/>
                <w:sz w:val="24"/>
                <w:szCs w:val="24"/>
                <w:lang w:val="en-US" w:eastAsia="zh-CN"/>
              </w:rPr>
              <w:t>》（鲁环办函[2016]141号）符合性分析</w:t>
            </w:r>
          </w:p>
          <w:tbl>
            <w:tblPr>
              <w:tblStyle w:val="2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3690"/>
              <w:gridCol w:w="2170"/>
              <w:gridCol w:w="944"/>
            </w:tblGrid>
            <w:tr w14:paraId="57917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508" w:type="pct"/>
                  <w:tcBorders>
                    <w:tl2br w:val="nil"/>
                    <w:tr2bl w:val="nil"/>
                  </w:tcBorders>
                  <w:noWrap w:val="0"/>
                  <w:vAlign w:val="center"/>
                </w:tcPr>
                <w:p w14:paraId="5B848AC9">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序号</w:t>
                  </w:r>
                </w:p>
              </w:tc>
              <w:tc>
                <w:tcPr>
                  <w:tcW w:w="2435" w:type="pct"/>
                  <w:tcBorders>
                    <w:tl2br w:val="nil"/>
                    <w:tr2bl w:val="nil"/>
                  </w:tcBorders>
                  <w:noWrap w:val="0"/>
                  <w:vAlign w:val="center"/>
                </w:tcPr>
                <w:p w14:paraId="0AB7C98C">
                  <w:pPr>
                    <w:jc w:val="center"/>
                    <w:rPr>
                      <w:rFonts w:ascii="Times New Roman" w:hAnsi="Times New Roman" w:cs="Times New Roman"/>
                      <w:color w:val="auto"/>
                      <w:szCs w:val="21"/>
                      <w:highlight w:val="none"/>
                    </w:rPr>
                  </w:pPr>
                  <w:r>
                    <w:rPr>
                      <w:rFonts w:hint="eastAsia" w:cs="Times New Roman"/>
                      <w:color w:val="auto"/>
                      <w:szCs w:val="21"/>
                      <w:highlight w:val="none"/>
                      <w:lang w:val="en-US" w:eastAsia="zh-CN"/>
                    </w:rPr>
                    <w:t>文件</w:t>
                  </w:r>
                  <w:r>
                    <w:rPr>
                      <w:rFonts w:ascii="Times New Roman" w:hAnsi="Times New Roman" w:cs="Times New Roman"/>
                      <w:color w:val="auto"/>
                      <w:szCs w:val="21"/>
                      <w:highlight w:val="none"/>
                    </w:rPr>
                    <w:t>要求</w:t>
                  </w:r>
                </w:p>
              </w:tc>
              <w:tc>
                <w:tcPr>
                  <w:tcW w:w="1432" w:type="pct"/>
                  <w:tcBorders>
                    <w:tl2br w:val="nil"/>
                    <w:tr2bl w:val="nil"/>
                  </w:tcBorders>
                  <w:noWrap w:val="0"/>
                  <w:vAlign w:val="center"/>
                </w:tcPr>
                <w:p w14:paraId="1EC71036">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本</w:t>
                  </w:r>
                  <w:r>
                    <w:rPr>
                      <w:rFonts w:hint="eastAsia" w:ascii="Times New Roman" w:hAnsi="Times New Roman" w:cs="Times New Roman"/>
                      <w:color w:val="auto"/>
                      <w:szCs w:val="21"/>
                      <w:highlight w:val="none"/>
                    </w:rPr>
                    <w:t>项目</w:t>
                  </w:r>
                  <w:r>
                    <w:rPr>
                      <w:rFonts w:ascii="Times New Roman" w:hAnsi="Times New Roman" w:cs="Times New Roman"/>
                      <w:color w:val="auto"/>
                      <w:szCs w:val="21"/>
                      <w:highlight w:val="none"/>
                    </w:rPr>
                    <w:t>情况</w:t>
                  </w:r>
                </w:p>
              </w:tc>
              <w:tc>
                <w:tcPr>
                  <w:tcW w:w="623" w:type="pct"/>
                  <w:tcBorders>
                    <w:tl2br w:val="nil"/>
                    <w:tr2bl w:val="nil"/>
                  </w:tcBorders>
                  <w:noWrap w:val="0"/>
                  <w:vAlign w:val="center"/>
                </w:tcPr>
                <w:p w14:paraId="1B93F6BC">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符合性</w:t>
                  </w:r>
                </w:p>
              </w:tc>
            </w:tr>
            <w:tr w14:paraId="6117B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pct"/>
                  <w:tcBorders>
                    <w:tl2br w:val="nil"/>
                    <w:tr2bl w:val="nil"/>
                  </w:tcBorders>
                  <w:noWrap w:val="0"/>
                  <w:vAlign w:val="center"/>
                </w:tcPr>
                <w:p w14:paraId="22FCFF88">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3688" w:type="dxa"/>
                  <w:tcBorders>
                    <w:tl2br w:val="nil"/>
                    <w:tr2bl w:val="nil"/>
                  </w:tcBorders>
                  <w:shd w:val="clear" w:color="auto" w:fill="auto"/>
                  <w:noWrap w:val="0"/>
                  <w:vAlign w:val="center"/>
                </w:tcPr>
                <w:p w14:paraId="500A4D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left"/>
                    <w:textAlignment w:val="auto"/>
                    <w:rPr>
                      <w:rFonts w:hint="eastAsia" w:ascii="Times New Roman" w:hAnsi="Times New Roman" w:eastAsia="宋体" w:cs="Times New Roman"/>
                      <w:kern w:val="0"/>
                      <w:sz w:val="21"/>
                      <w:szCs w:val="21"/>
                      <w:lang w:val="en-US" w:eastAsia="zh-CN" w:bidi="ar-SA"/>
                    </w:rPr>
                  </w:pPr>
                  <w:r>
                    <w:rPr>
                      <w:rFonts w:hint="default" w:ascii="Times New Roman" w:hAnsi="Times New Roman" w:cs="Times New Roman"/>
                      <w:color w:val="auto"/>
                      <w:sz w:val="21"/>
                      <w:szCs w:val="21"/>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固态、半固态及高浓度液体)的产生环节、主要成分和理化特性；二要根据《固体废物鉴别导则(试行)》(国家环保总局公告2006年11号)的规定，对建设项目产生的各类副产物是否属于固体废物进行判断，属于固体废物的，应依据《国家危险废物名录》(以下简称《名录》)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2169" w:type="dxa"/>
                  <w:tcBorders>
                    <w:tl2br w:val="nil"/>
                    <w:tr2bl w:val="nil"/>
                  </w:tcBorders>
                  <w:noWrap w:val="0"/>
                  <w:vAlign w:val="center"/>
                </w:tcPr>
                <w:p w14:paraId="0544EB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center"/>
                    <w:textAlignment w:val="auto"/>
                    <w:rPr>
                      <w:rFonts w:hint="eastAsia" w:ascii="Times New Roman" w:hAnsi="Times New Roman" w:cs="Times New Roman"/>
                      <w:color w:val="auto"/>
                      <w:szCs w:val="21"/>
                      <w:highlight w:val="none"/>
                      <w:lang w:val="en-US" w:eastAsia="zh-CN"/>
                    </w:rPr>
                  </w:pPr>
                  <w:r>
                    <w:rPr>
                      <w:rFonts w:hint="default" w:ascii="Times New Roman" w:hAnsi="Times New Roman" w:cs="Times New Roman"/>
                      <w:color w:val="auto"/>
                      <w:sz w:val="21"/>
                      <w:szCs w:val="21"/>
                    </w:rPr>
                    <w:t>本环评编制期间，根据原辅料、工艺流程，深入分析了固体废物的产生环节、种类、性质及危害特性，根据项目实际运行情况统计了相应固废产生量，并核实了相应处置措施的可行性，报告表中提出了废物分类收集、安全贮存和无害化处置的合理建议。</w:t>
                  </w:r>
                </w:p>
              </w:tc>
              <w:tc>
                <w:tcPr>
                  <w:tcW w:w="944" w:type="dxa"/>
                  <w:tcBorders>
                    <w:tl2br w:val="nil"/>
                    <w:tr2bl w:val="nil"/>
                  </w:tcBorders>
                  <w:noWrap w:val="0"/>
                  <w:vAlign w:val="center"/>
                </w:tcPr>
                <w:p w14:paraId="02183E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center"/>
                    <w:textAlignment w:val="auto"/>
                    <w:rPr>
                      <w:rFonts w:ascii="Times New Roman" w:hAnsi="Times New Roman" w:cs="Times New Roman"/>
                      <w:color w:val="auto"/>
                      <w:szCs w:val="21"/>
                      <w:highlight w:val="none"/>
                    </w:rPr>
                  </w:pPr>
                  <w:r>
                    <w:rPr>
                      <w:rFonts w:hint="eastAsia" w:cs="Times New Roman"/>
                      <w:color w:val="auto"/>
                      <w:sz w:val="21"/>
                      <w:szCs w:val="21"/>
                      <w:lang w:eastAsia="zh-CN"/>
                    </w:rPr>
                    <w:t>符合</w:t>
                  </w:r>
                </w:p>
              </w:tc>
            </w:tr>
            <w:tr w14:paraId="08701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pct"/>
                  <w:tcBorders>
                    <w:tl2br w:val="nil"/>
                    <w:tr2bl w:val="nil"/>
                  </w:tcBorders>
                  <w:noWrap w:val="0"/>
                  <w:vAlign w:val="center"/>
                </w:tcPr>
                <w:p w14:paraId="5F089C03">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3688" w:type="dxa"/>
                  <w:tcBorders>
                    <w:tl2br w:val="nil"/>
                    <w:tr2bl w:val="nil"/>
                  </w:tcBorders>
                  <w:shd w:val="clear" w:color="auto" w:fill="auto"/>
                  <w:noWrap w:val="0"/>
                  <w:vAlign w:val="center"/>
                </w:tcPr>
                <w:p w14:paraId="763BD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left"/>
                    <w:textAlignment w:val="auto"/>
                    <w:rPr>
                      <w:rFonts w:ascii="Times New Roman" w:hAnsi="Times New Roman" w:eastAsia="宋体" w:cs="Times New Roman"/>
                      <w:kern w:val="0"/>
                      <w:sz w:val="21"/>
                      <w:szCs w:val="21"/>
                      <w:lang w:val="en-US" w:eastAsia="zh-CN" w:bidi="ar-SA"/>
                    </w:rPr>
                  </w:pPr>
                  <w:r>
                    <w:rPr>
                      <w:rFonts w:hint="default" w:ascii="Times New Roman" w:hAnsi="Times New Roman" w:cs="Times New Roman"/>
                      <w:color w:val="auto"/>
                      <w:sz w:val="21"/>
                      <w:szCs w:val="21"/>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2169" w:type="dxa"/>
                  <w:tcBorders>
                    <w:tl2br w:val="nil"/>
                    <w:tr2bl w:val="nil"/>
                  </w:tcBorders>
                  <w:noWrap w:val="0"/>
                  <w:vAlign w:val="center"/>
                </w:tcPr>
                <w:p w14:paraId="055D89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center"/>
                    <w:textAlignment w:val="auto"/>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 w:val="21"/>
                      <w:szCs w:val="21"/>
                      <w:highlight w:val="none"/>
                      <w:lang w:eastAsia="zh-CN"/>
                    </w:rPr>
                    <w:t>本项目固废主要为一般固废</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危险废物</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企业按要求建设</w:t>
                  </w:r>
                  <w:r>
                    <w:rPr>
                      <w:rFonts w:hint="eastAsia" w:ascii="Times New Roman" w:hAnsi="Times New Roman" w:cs="Times New Roman"/>
                      <w:color w:val="auto"/>
                      <w:sz w:val="21"/>
                      <w:szCs w:val="21"/>
                      <w:highlight w:val="none"/>
                      <w:lang w:eastAsia="zh-CN"/>
                    </w:rPr>
                    <w:t>了一般工业固体废物暂存区</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危废暂存间</w:t>
                  </w:r>
                  <w:r>
                    <w:rPr>
                      <w:rFonts w:hint="eastAsia" w:ascii="Times New Roman" w:hAnsi="Times New Roman" w:cs="Times New Roman"/>
                      <w:color w:val="auto"/>
                      <w:sz w:val="21"/>
                      <w:szCs w:val="21"/>
                      <w:highlight w:val="none"/>
                      <w:lang w:eastAsia="zh-CN"/>
                    </w:rPr>
                    <w:t>。</w:t>
                  </w:r>
                </w:p>
              </w:tc>
              <w:tc>
                <w:tcPr>
                  <w:tcW w:w="944" w:type="dxa"/>
                  <w:tcBorders>
                    <w:tl2br w:val="nil"/>
                    <w:tr2bl w:val="nil"/>
                  </w:tcBorders>
                  <w:noWrap w:val="0"/>
                  <w:vAlign w:val="center"/>
                </w:tcPr>
                <w:p w14:paraId="55CC13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center"/>
                    <w:textAlignment w:val="auto"/>
                    <w:rPr>
                      <w:rFonts w:ascii="Times New Roman" w:hAnsi="Times New Roman" w:cs="Times New Roman"/>
                      <w:color w:val="auto"/>
                      <w:szCs w:val="21"/>
                      <w:highlight w:val="none"/>
                    </w:rPr>
                  </w:pPr>
                  <w:r>
                    <w:rPr>
                      <w:rFonts w:hint="eastAsia" w:cs="Times New Roman"/>
                      <w:color w:val="auto"/>
                      <w:sz w:val="21"/>
                      <w:szCs w:val="21"/>
                      <w:highlight w:val="none"/>
                      <w:lang w:eastAsia="zh-CN"/>
                    </w:rPr>
                    <w:t>符合</w:t>
                  </w:r>
                </w:p>
              </w:tc>
            </w:tr>
            <w:tr w14:paraId="31A93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pct"/>
                  <w:tcBorders>
                    <w:tl2br w:val="nil"/>
                    <w:tr2bl w:val="nil"/>
                  </w:tcBorders>
                  <w:noWrap w:val="0"/>
                  <w:vAlign w:val="center"/>
                </w:tcPr>
                <w:p w14:paraId="743E8B63">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3688" w:type="dxa"/>
                  <w:tcBorders>
                    <w:tl2br w:val="nil"/>
                    <w:tr2bl w:val="nil"/>
                  </w:tcBorders>
                  <w:shd w:val="clear" w:color="auto" w:fill="auto"/>
                  <w:noWrap w:val="0"/>
                  <w:vAlign w:val="center"/>
                </w:tcPr>
                <w:p w14:paraId="6CE42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left"/>
                    <w:textAlignment w:val="auto"/>
                    <w:rPr>
                      <w:rFonts w:ascii="Times New Roman" w:hAnsi="Times New Roman" w:eastAsia="宋体" w:cs="Times New Roman"/>
                      <w:kern w:val="0"/>
                      <w:sz w:val="21"/>
                      <w:szCs w:val="21"/>
                      <w:lang w:val="en-US" w:eastAsia="zh-CN" w:bidi="ar-SA"/>
                    </w:rPr>
                  </w:pPr>
                  <w:r>
                    <w:rPr>
                      <w:rFonts w:hint="default" w:ascii="Times New Roman" w:hAnsi="Times New Roman" w:cs="Times New Roman"/>
                      <w:color w:val="auto"/>
                      <w:sz w:val="21"/>
                      <w:szCs w:val="21"/>
                    </w:rPr>
                    <w:t>建设项目的业主或负有管理责任的单位(以下</w:t>
                  </w:r>
                  <w:r>
                    <w:rPr>
                      <w:rFonts w:hint="eastAsia" w:ascii="宋体" w:hAnsi="宋体" w:eastAsia="宋体" w:cs="宋体"/>
                      <w:color w:val="auto"/>
                      <w:sz w:val="21"/>
                      <w:szCs w:val="21"/>
                    </w:rPr>
                    <w:t>统称“产生者”)对</w:t>
                  </w:r>
                  <w:r>
                    <w:rPr>
                      <w:rFonts w:hint="default" w:ascii="Times New Roman" w:hAnsi="Times New Roman" w:cs="Times New Roman"/>
                      <w:color w:val="auto"/>
                      <w:sz w:val="21"/>
                      <w:szCs w:val="21"/>
                    </w:rPr>
                    <w:t>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2169" w:type="dxa"/>
                  <w:tcBorders>
                    <w:tl2br w:val="nil"/>
                    <w:tr2bl w:val="nil"/>
                  </w:tcBorders>
                  <w:noWrap w:val="0"/>
                  <w:vAlign w:val="center"/>
                </w:tcPr>
                <w:p w14:paraId="23FD5C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center"/>
                    <w:textAlignment w:val="auto"/>
                    <w:rPr>
                      <w:rFonts w:hint="eastAsia" w:ascii="Times New Roman" w:hAnsi="Times New Roman" w:cs="Times New Roman"/>
                      <w:color w:val="auto"/>
                      <w:szCs w:val="21"/>
                      <w:highlight w:val="none"/>
                      <w:lang w:val="en-US" w:eastAsia="zh-CN"/>
                    </w:rPr>
                  </w:pPr>
                  <w:r>
                    <w:rPr>
                      <w:rFonts w:hint="default" w:ascii="Times New Roman" w:hAnsi="Times New Roman" w:cs="Times New Roman"/>
                      <w:color w:val="auto"/>
                      <w:sz w:val="21"/>
                      <w:szCs w:val="21"/>
                    </w:rPr>
                    <w:t>企业将严格执行以上规定，</w:t>
                  </w:r>
                  <w:r>
                    <w:rPr>
                      <w:rFonts w:hint="eastAsia" w:ascii="Times New Roman" w:hAnsi="Times New Roman" w:cs="Times New Roman"/>
                      <w:color w:val="auto"/>
                      <w:sz w:val="21"/>
                      <w:szCs w:val="21"/>
                      <w:lang w:eastAsia="zh-CN"/>
                    </w:rPr>
                    <w:t>妥善利用处置产生的固体废物</w:t>
                  </w:r>
                  <w:r>
                    <w:rPr>
                      <w:rFonts w:hint="default" w:ascii="Times New Roman" w:hAnsi="Times New Roman" w:cs="Times New Roman"/>
                      <w:color w:val="auto"/>
                      <w:sz w:val="21"/>
                      <w:szCs w:val="21"/>
                    </w:rPr>
                    <w:t>。</w:t>
                  </w:r>
                </w:p>
              </w:tc>
              <w:tc>
                <w:tcPr>
                  <w:tcW w:w="944" w:type="dxa"/>
                  <w:tcBorders>
                    <w:tl2br w:val="nil"/>
                    <w:tr2bl w:val="nil"/>
                  </w:tcBorders>
                  <w:noWrap w:val="0"/>
                  <w:vAlign w:val="center"/>
                </w:tcPr>
                <w:p w14:paraId="6A280A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12" w:lineRule="exact"/>
                    <w:ind w:left="0" w:leftChars="0" w:right="0" w:rightChars="0"/>
                    <w:jc w:val="center"/>
                    <w:textAlignment w:val="auto"/>
                    <w:rPr>
                      <w:rFonts w:ascii="Times New Roman" w:hAnsi="Times New Roman" w:cs="Times New Roman"/>
                      <w:color w:val="auto"/>
                      <w:szCs w:val="21"/>
                      <w:highlight w:val="none"/>
                    </w:rPr>
                  </w:pPr>
                  <w:r>
                    <w:rPr>
                      <w:rFonts w:hint="eastAsia" w:cs="Times New Roman"/>
                      <w:color w:val="auto"/>
                      <w:sz w:val="21"/>
                      <w:szCs w:val="21"/>
                      <w:lang w:eastAsia="zh-CN"/>
                    </w:rPr>
                    <w:t>符合</w:t>
                  </w:r>
                </w:p>
              </w:tc>
            </w:tr>
          </w:tbl>
          <w:p w14:paraId="1017CD61">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根据上表分析，项目建设符合</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关于进一步加强建设项目固体废物环境管理的通知</w:t>
            </w:r>
            <w:r>
              <w:rPr>
                <w:rFonts w:hint="eastAsia" w:ascii="Times New Roman" w:hAnsi="Times New Roman" w:cs="Times New Roman"/>
                <w:color w:val="auto"/>
                <w:sz w:val="24"/>
                <w:szCs w:val="24"/>
                <w:highlight w:val="none"/>
                <w:lang w:val="en-US" w:eastAsia="zh-CN"/>
              </w:rPr>
              <w:t>》（鲁环办函[2016]141号）</w:t>
            </w:r>
            <w:r>
              <w:rPr>
                <w:rFonts w:hint="eastAsia" w:ascii="Times New Roman" w:hAnsi="Times New Roman" w:eastAsia="宋体" w:cs="Times New Roman"/>
                <w:b w:val="0"/>
                <w:bCs/>
                <w:color w:val="auto"/>
                <w:sz w:val="24"/>
                <w:szCs w:val="24"/>
                <w:highlight w:val="none"/>
                <w:lang w:val="en-US" w:eastAsia="zh-CN"/>
              </w:rPr>
              <w:t>的相关要求。</w:t>
            </w:r>
          </w:p>
          <w:p w14:paraId="41DBA6C2">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w:t>
            </w:r>
            <w:r>
              <w:rPr>
                <w:rFonts w:hint="eastAsia" w:cs="Times New Roman"/>
                <w:b w:val="0"/>
                <w:bCs/>
                <w:color w:val="auto"/>
                <w:sz w:val="24"/>
                <w:szCs w:val="24"/>
                <w:highlight w:val="none"/>
                <w:lang w:val="en-US" w:eastAsia="zh-CN"/>
              </w:rPr>
              <w:t>9</w:t>
            </w:r>
            <w:r>
              <w:rPr>
                <w:rFonts w:hint="eastAsia" w:ascii="Times New Roman" w:hAnsi="Times New Roman" w:eastAsia="宋体" w:cs="Times New Roman"/>
                <w:b w:val="0"/>
                <w:bCs/>
                <w:color w:val="auto"/>
                <w:sz w:val="24"/>
                <w:szCs w:val="24"/>
                <w:highlight w:val="none"/>
                <w:lang w:val="en-US" w:eastAsia="zh-CN"/>
              </w:rPr>
              <w:t>）</w:t>
            </w:r>
            <w:r>
              <w:rPr>
                <w:rFonts w:hint="eastAsia" w:eastAsia="宋体" w:cs="Times New Roman"/>
                <w:b w:val="0"/>
                <w:bCs/>
                <w:color w:val="auto"/>
                <w:sz w:val="24"/>
                <w:szCs w:val="24"/>
                <w:highlight w:val="none"/>
                <w:lang w:val="en-US" w:eastAsia="zh-CN"/>
              </w:rPr>
              <w:t>与</w:t>
            </w:r>
            <w:r>
              <w:rPr>
                <w:rFonts w:hint="eastAsia" w:ascii="Times New Roman" w:hAnsi="Times New Roman" w:eastAsia="宋体" w:cs="Times New Roman"/>
                <w:b w:val="0"/>
                <w:bCs/>
                <w:color w:val="auto"/>
                <w:sz w:val="24"/>
                <w:szCs w:val="24"/>
                <w:highlight w:val="none"/>
                <w:lang w:val="en-US" w:eastAsia="zh-CN"/>
              </w:rPr>
              <w:t>《关于印发山东省“十四五”节能减排实施方案的通知》（鲁政字[2022]213号）</w:t>
            </w:r>
            <w:r>
              <w:rPr>
                <w:rFonts w:hint="eastAsia" w:ascii="Times New Roman" w:hAnsi="Times New Roman" w:cs="Times New Roman"/>
                <w:b w:val="0"/>
                <w:bCs/>
                <w:color w:val="auto"/>
                <w:sz w:val="24"/>
                <w:szCs w:val="24"/>
                <w:highlight w:val="none"/>
                <w:lang w:val="en-US" w:eastAsia="zh-CN"/>
              </w:rPr>
              <w:t>的符合性</w:t>
            </w:r>
          </w:p>
          <w:p w14:paraId="31A0874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highlight w:val="none"/>
                <w:lang w:val="zh-CN" w:eastAsia="zh-CN"/>
              </w:rPr>
            </w:pPr>
            <w:r>
              <w:rPr>
                <w:rFonts w:hint="eastAsia" w:ascii="Times New Roman" w:hAnsi="Times New Roman" w:eastAsia="黑体" w:cs="Times New Roman"/>
                <w:b w:val="0"/>
                <w:bCs w:val="0"/>
                <w:color w:val="auto"/>
                <w:kern w:val="0"/>
                <w:sz w:val="24"/>
                <w:szCs w:val="24"/>
                <w:highlight w:val="none"/>
                <w:lang w:val="zh-CN" w:eastAsia="zh-CN"/>
              </w:rPr>
              <w:t>表1-</w:t>
            </w:r>
            <w:r>
              <w:rPr>
                <w:rFonts w:hint="eastAsia" w:ascii="Times New Roman" w:hAnsi="Times New Roman" w:eastAsia="黑体" w:cs="Times New Roman"/>
                <w:b w:val="0"/>
                <w:bCs w:val="0"/>
                <w:color w:val="auto"/>
                <w:kern w:val="0"/>
                <w:sz w:val="24"/>
                <w:szCs w:val="24"/>
                <w:highlight w:val="none"/>
                <w:lang w:val="en-US" w:eastAsia="zh-CN"/>
              </w:rPr>
              <w:t>1</w:t>
            </w:r>
            <w:r>
              <w:rPr>
                <w:rFonts w:hint="eastAsia" w:eastAsia="黑体" w:cs="Times New Roman"/>
                <w:b w:val="0"/>
                <w:bCs w:val="0"/>
                <w:color w:val="auto"/>
                <w:kern w:val="0"/>
                <w:sz w:val="24"/>
                <w:szCs w:val="24"/>
                <w:highlight w:val="none"/>
                <w:lang w:val="en-US" w:eastAsia="zh-CN"/>
              </w:rPr>
              <w:t>3</w:t>
            </w:r>
            <w:r>
              <w:rPr>
                <w:rFonts w:hint="eastAsia" w:ascii="Times New Roman" w:hAnsi="Times New Roman" w:eastAsia="黑体" w:cs="Times New Roman"/>
                <w:b w:val="0"/>
                <w:bCs w:val="0"/>
                <w:color w:val="auto"/>
                <w:kern w:val="0"/>
                <w:sz w:val="24"/>
                <w:szCs w:val="24"/>
                <w:highlight w:val="none"/>
                <w:lang w:val="zh-CN" w:eastAsia="zh-CN"/>
              </w:rPr>
              <w:t xml:space="preserve"> 与</w:t>
            </w:r>
            <w:r>
              <w:rPr>
                <w:rFonts w:hint="eastAsia" w:ascii="Times New Roman" w:hAnsi="Times New Roman" w:eastAsia="黑体" w:cs="Times New Roman"/>
                <w:b w:val="0"/>
                <w:bCs w:val="0"/>
                <w:color w:val="auto"/>
                <w:kern w:val="0"/>
                <w:sz w:val="24"/>
                <w:szCs w:val="24"/>
                <w:highlight w:val="none"/>
                <w:lang w:val="en-US" w:eastAsia="zh-CN"/>
              </w:rPr>
              <w:t>《关于印发山东省“十四五”节能减排实施方案的通知》（鲁政字[2022]213号）</w:t>
            </w:r>
            <w:r>
              <w:rPr>
                <w:rFonts w:hint="eastAsia" w:ascii="Times New Roman" w:hAnsi="Times New Roman" w:eastAsia="黑体" w:cs="Times New Roman"/>
                <w:b w:val="0"/>
                <w:bCs w:val="0"/>
                <w:color w:val="auto"/>
                <w:kern w:val="0"/>
                <w:sz w:val="24"/>
                <w:szCs w:val="24"/>
                <w:highlight w:val="none"/>
                <w:lang w:val="zh-CN" w:eastAsia="zh-CN"/>
              </w:rPr>
              <w:t>符合性分析</w:t>
            </w:r>
          </w:p>
          <w:tbl>
            <w:tblPr>
              <w:tblStyle w:val="2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8"/>
              <w:gridCol w:w="3691"/>
              <w:gridCol w:w="2425"/>
              <w:gridCol w:w="689"/>
            </w:tblGrid>
            <w:tr w14:paraId="29E34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507" w:type="pct"/>
                  <w:tcBorders>
                    <w:tl2br w:val="nil"/>
                    <w:tr2bl w:val="nil"/>
                  </w:tcBorders>
                  <w:noWrap w:val="0"/>
                  <w:vAlign w:val="center"/>
                </w:tcPr>
                <w:p w14:paraId="3A911F71">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序号</w:t>
                  </w:r>
                </w:p>
              </w:tc>
              <w:tc>
                <w:tcPr>
                  <w:tcW w:w="2436" w:type="pct"/>
                  <w:tcBorders>
                    <w:tl2br w:val="nil"/>
                    <w:tr2bl w:val="nil"/>
                  </w:tcBorders>
                  <w:noWrap w:val="0"/>
                  <w:vAlign w:val="center"/>
                </w:tcPr>
                <w:p w14:paraId="2DB6C713">
                  <w:pPr>
                    <w:jc w:val="center"/>
                    <w:rPr>
                      <w:rFonts w:ascii="Times New Roman" w:hAnsi="Times New Roman" w:cs="Times New Roman"/>
                      <w:color w:val="auto"/>
                      <w:szCs w:val="21"/>
                      <w:highlight w:val="none"/>
                    </w:rPr>
                  </w:pPr>
                  <w:r>
                    <w:rPr>
                      <w:rFonts w:hint="eastAsia" w:cs="Times New Roman"/>
                      <w:color w:val="auto"/>
                      <w:szCs w:val="21"/>
                      <w:highlight w:val="none"/>
                      <w:lang w:val="en-US" w:eastAsia="zh-CN"/>
                    </w:rPr>
                    <w:t>文件</w:t>
                  </w:r>
                  <w:r>
                    <w:rPr>
                      <w:rFonts w:ascii="Times New Roman" w:hAnsi="Times New Roman" w:cs="Times New Roman"/>
                      <w:color w:val="auto"/>
                      <w:szCs w:val="21"/>
                      <w:highlight w:val="none"/>
                    </w:rPr>
                    <w:t>要求</w:t>
                  </w:r>
                </w:p>
              </w:tc>
              <w:tc>
                <w:tcPr>
                  <w:tcW w:w="1600" w:type="pct"/>
                  <w:tcBorders>
                    <w:tl2br w:val="nil"/>
                    <w:tr2bl w:val="nil"/>
                  </w:tcBorders>
                  <w:noWrap w:val="0"/>
                  <w:vAlign w:val="center"/>
                </w:tcPr>
                <w:p w14:paraId="256170C9">
                  <w:pPr>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项目</w:t>
                  </w:r>
                  <w:r>
                    <w:rPr>
                      <w:rFonts w:ascii="Times New Roman" w:hAnsi="Times New Roman" w:cs="Times New Roman"/>
                      <w:color w:val="auto"/>
                      <w:szCs w:val="21"/>
                      <w:highlight w:val="none"/>
                    </w:rPr>
                    <w:t>情况</w:t>
                  </w:r>
                </w:p>
              </w:tc>
              <w:tc>
                <w:tcPr>
                  <w:tcW w:w="455" w:type="pct"/>
                  <w:tcBorders>
                    <w:tl2br w:val="nil"/>
                    <w:tr2bl w:val="nil"/>
                  </w:tcBorders>
                  <w:noWrap w:val="0"/>
                  <w:vAlign w:val="center"/>
                </w:tcPr>
                <w:p w14:paraId="48982D43">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符合性</w:t>
                  </w:r>
                </w:p>
              </w:tc>
            </w:tr>
            <w:tr w14:paraId="3A1D3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tcBorders>
                    <w:tl2br w:val="nil"/>
                    <w:tr2bl w:val="nil"/>
                  </w:tcBorders>
                  <w:noWrap w:val="0"/>
                  <w:vAlign w:val="center"/>
                </w:tcPr>
                <w:p w14:paraId="067FCF6F">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2436" w:type="pct"/>
                  <w:tcBorders>
                    <w:tl2br w:val="nil"/>
                    <w:tr2bl w:val="nil"/>
                  </w:tcBorders>
                  <w:shd w:val="clear" w:color="auto" w:fill="auto"/>
                  <w:noWrap w:val="0"/>
                  <w:vAlign w:val="center"/>
                </w:tcPr>
                <w:p w14:paraId="1798E5A3">
                  <w:pPr>
                    <w:keepNext w:val="0"/>
                    <w:keepLines w:val="0"/>
                    <w:widowControl w:val="0"/>
                    <w:suppressLineNumbers w:val="0"/>
                    <w:autoSpaceDE w:val="0"/>
                    <w:autoSpaceDN w:val="0"/>
                    <w:adjustRightInd w:val="0"/>
                    <w:snapToGrid w:val="0"/>
                    <w:spacing w:before="0" w:beforeAutospacing="0" w:after="0" w:afterAutospacing="0"/>
                    <w:ind w:left="0" w:leftChars="0" w:right="0" w:rightChars="0" w:firstLine="0" w:firstLineChars="0"/>
                    <w:jc w:val="left"/>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iCs w:val="0"/>
                      <w:sz w:val="21"/>
                      <w:szCs w:val="24"/>
                      <w:lang w:val="en-US" w:eastAsia="zh-CN"/>
                    </w:rPr>
                    <w:t>重点行业绿色转型升级工程。严格能效约束，以“两高”行业为重点，推广高效节能电机、能源梯级利用、流程再造等设备技术工艺，深入推进节能改造。实施玻璃、陶瓷、铸造、铁合金、有色等行业污染深度治理，2023年年底前完成焦化、水泥行业超低排放改造。加强行业工业革新，实施涂装类、化工类等产业集群分类治理，开展重点行业清洁生产，推进工业废水资源化利用。</w:t>
                  </w:r>
                </w:p>
              </w:tc>
              <w:tc>
                <w:tcPr>
                  <w:tcW w:w="1600" w:type="pct"/>
                  <w:tcBorders>
                    <w:tl2br w:val="nil"/>
                    <w:tr2bl w:val="nil"/>
                  </w:tcBorders>
                  <w:noWrap w:val="0"/>
                  <w:vAlign w:val="center"/>
                </w:tcPr>
                <w:p w14:paraId="76240C5F">
                  <w:pPr>
                    <w:widowControl w:val="0"/>
                    <w:bidi w:val="0"/>
                    <w:adjustRightInd w:val="0"/>
                    <w:snapToGrid w:val="0"/>
                    <w:spacing w:line="312" w:lineRule="exact"/>
                    <w:ind w:firstLine="0" w:firstLineChars="0"/>
                    <w:jc w:val="center"/>
                    <w:outlineLvl w:val="0"/>
                    <w:rPr>
                      <w:rFonts w:hint="eastAsia" w:ascii="Times New Roman" w:hAnsi="Times New Roman" w:cs="Times New Roman"/>
                      <w:color w:val="auto"/>
                      <w:szCs w:val="21"/>
                      <w:highlight w:val="none"/>
                      <w:lang w:val="en-US" w:eastAsia="zh-CN"/>
                    </w:rPr>
                  </w:pPr>
                  <w:r>
                    <w:rPr>
                      <w:rFonts w:hint="eastAsia" w:ascii="Times New Roman" w:hAnsi="Times New Roman" w:eastAsia="宋体" w:cs="Times New Roman"/>
                      <w:iCs w:val="0"/>
                      <w:sz w:val="21"/>
                      <w:szCs w:val="24"/>
                      <w:lang w:val="en-US" w:eastAsia="zh-CN"/>
                    </w:rPr>
                    <w:t>本项目</w:t>
                  </w:r>
                  <w:r>
                    <w:rPr>
                      <w:rFonts w:hint="eastAsia" w:cs="Times New Roman"/>
                      <w:color w:val="auto"/>
                      <w:szCs w:val="21"/>
                      <w:highlight w:val="none"/>
                      <w:lang w:val="en-US" w:eastAsia="zh-CN"/>
                    </w:rPr>
                    <w:t>不属于“两高”行业，属于C2825丙纶纤维制造、C2923塑料丝、绳及编织品制造、C</w:t>
                  </w:r>
                  <w:r>
                    <w:rPr>
                      <w:rFonts w:hint="eastAsia" w:ascii="Times New Roman" w:hAnsi="Times New Roman" w:eastAsia="宋体" w:cs="Times New Roman"/>
                      <w:bCs/>
                      <w:iCs w:val="0"/>
                      <w:kern w:val="0"/>
                      <w:sz w:val="21"/>
                      <w:szCs w:val="21"/>
                      <w:lang w:val="en-US" w:eastAsia="zh-CN" w:bidi="ar-SA"/>
                    </w:rPr>
                    <w:t>2439其他工艺美术及礼仪用品制造</w:t>
                  </w:r>
                  <w:r>
                    <w:rPr>
                      <w:rFonts w:hint="eastAsia" w:ascii="宋体" w:hAnsi="宋体" w:eastAsia="宋体" w:cs="宋体"/>
                      <w:color w:val="auto"/>
                      <w:kern w:val="2"/>
                      <w:sz w:val="21"/>
                      <w:szCs w:val="21"/>
                      <w:lang w:val="en-US" w:eastAsia="zh-CN" w:bidi="ar"/>
                    </w:rPr>
                    <w:t>。</w:t>
                  </w:r>
                </w:p>
              </w:tc>
              <w:tc>
                <w:tcPr>
                  <w:tcW w:w="455" w:type="pct"/>
                  <w:tcBorders>
                    <w:tl2br w:val="nil"/>
                    <w:tr2bl w:val="nil"/>
                  </w:tcBorders>
                  <w:noWrap w:val="0"/>
                  <w:vAlign w:val="center"/>
                </w:tcPr>
                <w:p w14:paraId="3B8168C1">
                  <w:pPr>
                    <w:widowControl w:val="0"/>
                    <w:bidi w:val="0"/>
                    <w:adjustRightInd w:val="0"/>
                    <w:snapToGrid w:val="0"/>
                    <w:spacing w:line="312" w:lineRule="exact"/>
                    <w:ind w:firstLine="0" w:firstLineChars="0"/>
                    <w:jc w:val="center"/>
                    <w:outlineLvl w:val="0"/>
                    <w:rPr>
                      <w:rFonts w:ascii="Times New Roman" w:hAnsi="Times New Roman" w:cs="Times New Roman"/>
                      <w:color w:val="auto"/>
                      <w:szCs w:val="21"/>
                      <w:highlight w:val="none"/>
                    </w:rPr>
                  </w:pPr>
                  <w:r>
                    <w:rPr>
                      <w:rFonts w:hint="eastAsia"/>
                      <w:color w:val="auto"/>
                      <w:sz w:val="21"/>
                      <w:szCs w:val="21"/>
                      <w:lang w:val="en-US" w:eastAsia="zh-CN"/>
                    </w:rPr>
                    <w:t>符合</w:t>
                  </w:r>
                </w:p>
              </w:tc>
            </w:tr>
            <w:tr w14:paraId="621AC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tcBorders>
                    <w:tl2br w:val="nil"/>
                    <w:tr2bl w:val="nil"/>
                  </w:tcBorders>
                  <w:noWrap w:val="0"/>
                  <w:vAlign w:val="center"/>
                </w:tcPr>
                <w:p w14:paraId="67999653">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2436" w:type="pct"/>
                  <w:tcBorders>
                    <w:tl2br w:val="nil"/>
                    <w:tr2bl w:val="nil"/>
                  </w:tcBorders>
                  <w:shd w:val="clear" w:color="auto" w:fill="auto"/>
                  <w:noWrap w:val="0"/>
                  <w:vAlign w:val="center"/>
                </w:tcPr>
                <w:p w14:paraId="6E137B04">
                  <w:pPr>
                    <w:keepNext w:val="0"/>
                    <w:keepLines w:val="0"/>
                    <w:widowControl w:val="0"/>
                    <w:suppressLineNumbers w:val="0"/>
                    <w:autoSpaceDE w:val="0"/>
                    <w:autoSpaceDN w:val="0"/>
                    <w:adjustRightInd w:val="0"/>
                    <w:snapToGrid w:val="0"/>
                    <w:spacing w:before="0" w:beforeAutospacing="0" w:after="0" w:afterAutospacing="0"/>
                    <w:ind w:left="0" w:leftChars="0" w:right="0" w:rightChars="0" w:firstLine="0" w:firstLineChars="0"/>
                    <w:jc w:val="left"/>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iCs w:val="0"/>
                      <w:sz w:val="21"/>
                      <w:szCs w:val="24"/>
                      <w:lang w:val="en-US" w:eastAsia="zh-CN"/>
                    </w:rPr>
                    <w:t>能源绿色低碳转型工程。推动煤炭清洁高效生产和洗选，抓好电力等主要用煤行业节能降碳改造，加快推进现役煤电机组节能降碳改造、灵活性改造、供热改造“三改联动”。坚持“先立后破”，统筹电力热力供应衔接，基本完成30万千瓦及以上热电联产电厂30公里供热半径范围内低效小热电机组（含自备电厂）关停整合，淘汰集中供热范围内的燃煤锅炉。实施可再生能源倍增行动，大力推动光伏、风电、生物质等清洁能源发展和储能设施建设，积极安全有序开发利用核能，增强新能源和可再生能源电力消纳能力。实施“外电入鲁”提质增效行动，不断提高省外来电规模和绿电比例。到2025年，全省能源结构进一步优化，“外电入鲁”规模达到1500亿千瓦时以上、力争达到1700亿千瓦时，非化石能源占能源消费总量比重达到13%左右。</w:t>
                  </w:r>
                </w:p>
              </w:tc>
              <w:tc>
                <w:tcPr>
                  <w:tcW w:w="1600" w:type="pct"/>
                  <w:tcBorders>
                    <w:tl2br w:val="nil"/>
                    <w:tr2bl w:val="nil"/>
                  </w:tcBorders>
                  <w:noWrap w:val="0"/>
                  <w:vAlign w:val="center"/>
                </w:tcPr>
                <w:p w14:paraId="15076ED0">
                  <w:pPr>
                    <w:widowControl w:val="0"/>
                    <w:bidi w:val="0"/>
                    <w:adjustRightInd w:val="0"/>
                    <w:snapToGrid w:val="0"/>
                    <w:spacing w:line="312" w:lineRule="exact"/>
                    <w:ind w:firstLine="0" w:firstLineChars="0"/>
                    <w:jc w:val="center"/>
                    <w:outlineLvl w:val="0"/>
                    <w:rPr>
                      <w:rFonts w:hint="eastAsia" w:ascii="Times New Roman" w:hAnsi="Times New Roman" w:cs="Times New Roman"/>
                      <w:color w:val="auto"/>
                      <w:szCs w:val="21"/>
                      <w:highlight w:val="none"/>
                      <w:lang w:val="en-US" w:eastAsia="zh-CN"/>
                    </w:rPr>
                  </w:pPr>
                  <w:r>
                    <w:rPr>
                      <w:rFonts w:hint="eastAsia"/>
                      <w:color w:val="auto"/>
                      <w:sz w:val="21"/>
                      <w:szCs w:val="21"/>
                      <w:lang w:val="en-US" w:eastAsia="zh-CN"/>
                    </w:rPr>
                    <w:t>本项目以电为能源，不涉及燃煤锅炉的使用。</w:t>
                  </w:r>
                </w:p>
              </w:tc>
              <w:tc>
                <w:tcPr>
                  <w:tcW w:w="455" w:type="pct"/>
                  <w:tcBorders>
                    <w:tl2br w:val="nil"/>
                    <w:tr2bl w:val="nil"/>
                  </w:tcBorders>
                  <w:noWrap w:val="0"/>
                  <w:vAlign w:val="center"/>
                </w:tcPr>
                <w:p w14:paraId="6B70D981">
                  <w:pPr>
                    <w:widowControl w:val="0"/>
                    <w:bidi w:val="0"/>
                    <w:adjustRightInd w:val="0"/>
                    <w:snapToGrid w:val="0"/>
                    <w:spacing w:line="312" w:lineRule="exact"/>
                    <w:ind w:firstLine="0" w:firstLineChars="0"/>
                    <w:jc w:val="center"/>
                    <w:outlineLvl w:val="0"/>
                    <w:rPr>
                      <w:rFonts w:ascii="Times New Roman" w:hAnsi="Times New Roman" w:cs="Times New Roman"/>
                      <w:color w:val="auto"/>
                      <w:szCs w:val="21"/>
                      <w:highlight w:val="none"/>
                    </w:rPr>
                  </w:pPr>
                  <w:r>
                    <w:rPr>
                      <w:rFonts w:hint="eastAsia"/>
                      <w:color w:val="auto"/>
                      <w:sz w:val="21"/>
                      <w:szCs w:val="21"/>
                      <w:lang w:val="en-US" w:eastAsia="zh-CN"/>
                    </w:rPr>
                    <w:t>符合</w:t>
                  </w:r>
                </w:p>
              </w:tc>
            </w:tr>
            <w:tr w14:paraId="10869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tcBorders>
                    <w:tl2br w:val="nil"/>
                    <w:tr2bl w:val="nil"/>
                  </w:tcBorders>
                  <w:noWrap w:val="0"/>
                  <w:vAlign w:val="center"/>
                </w:tcPr>
                <w:p w14:paraId="0F65E8A4">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2436" w:type="pct"/>
                  <w:tcBorders>
                    <w:tl2br w:val="nil"/>
                    <w:tr2bl w:val="nil"/>
                  </w:tcBorders>
                  <w:shd w:val="clear" w:color="auto" w:fill="auto"/>
                  <w:noWrap w:val="0"/>
                  <w:vAlign w:val="center"/>
                </w:tcPr>
                <w:p w14:paraId="29ACFD8A">
                  <w:pPr>
                    <w:keepNext w:val="0"/>
                    <w:keepLines w:val="0"/>
                    <w:widowControl w:val="0"/>
                    <w:suppressLineNumbers w:val="0"/>
                    <w:autoSpaceDE w:val="0"/>
                    <w:autoSpaceDN w:val="0"/>
                    <w:adjustRightInd w:val="0"/>
                    <w:snapToGrid w:val="0"/>
                    <w:spacing w:before="0" w:beforeAutospacing="0" w:after="0" w:afterAutospacing="0"/>
                    <w:ind w:left="0" w:leftChars="0" w:right="0" w:rightChars="0" w:firstLine="0" w:firstLineChars="0"/>
                    <w:jc w:val="left"/>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iCs w:val="0"/>
                      <w:sz w:val="21"/>
                      <w:szCs w:val="24"/>
                      <w:lang w:val="en-US" w:eastAsia="zh-CN"/>
                    </w:rPr>
                    <w:t>挥发性有机物综合治理工程。以石化、化工、包装印刷、工业涂装等行业为重点，建立完善源头替代、过程管控和末端治理的VOCs全过程控制体系。加大低VOCs含量涂料、油墨、胶粘剂、清洗剂等原辅料推广使用力度，推进原辅材料和产品源头替代工程。严格执行VOCs行业和产品标准，禁止建设生产和使用高VOCs含量的溶剂型涂料、油墨、胶粘剂等项目，推动工业园区、企业集群因地制宜推广建设涉VOCs“绿岛”项目。开展原油、成品油、有机化学品等涉VOCs物质储罐排查，对易挥发有机液体储罐实施改造。加强油船和原油、成品油码头油气回收治理，2022年年底前，万吨级以上原油、成品油码头全部完成油气回收治理。到2025年，各市实施30个以上替代试点项目，全省溶剂型工业涂料、油墨使用比例分别降低20和15个百分点，溶剂型胶粘剂使用量下降20%。</w:t>
                  </w:r>
                </w:p>
              </w:tc>
              <w:tc>
                <w:tcPr>
                  <w:tcW w:w="1600" w:type="pct"/>
                  <w:tcBorders>
                    <w:tl2br w:val="nil"/>
                    <w:tr2bl w:val="nil"/>
                  </w:tcBorders>
                  <w:noWrap w:val="0"/>
                  <w:vAlign w:val="center"/>
                </w:tcPr>
                <w:p w14:paraId="1F5438DA">
                  <w:pPr>
                    <w:widowControl w:val="0"/>
                    <w:bidi w:val="0"/>
                    <w:adjustRightInd w:val="0"/>
                    <w:snapToGrid w:val="0"/>
                    <w:spacing w:line="312" w:lineRule="exact"/>
                    <w:ind w:firstLine="0" w:firstLineChars="0"/>
                    <w:jc w:val="center"/>
                    <w:outlineLvl w:val="0"/>
                    <w:rPr>
                      <w:rFonts w:hint="eastAsia" w:ascii="Times New Roman" w:hAnsi="Times New Roman" w:cs="Times New Roman"/>
                      <w:color w:val="auto"/>
                      <w:szCs w:val="21"/>
                      <w:highlight w:val="none"/>
                      <w:lang w:val="en-US" w:eastAsia="zh-CN"/>
                    </w:rPr>
                  </w:pPr>
                  <w:r>
                    <w:rPr>
                      <w:rFonts w:hint="eastAsia"/>
                      <w:color w:val="auto"/>
                      <w:vertAlign w:val="baseline"/>
                      <w:lang w:val="en-US" w:eastAsia="zh-CN"/>
                    </w:rPr>
                    <w:t>本项</w:t>
                  </w:r>
                  <w:r>
                    <w:rPr>
                      <w:rFonts w:hint="eastAsia" w:ascii="Times New Roman" w:hAnsi="Times New Roman" w:eastAsia="宋体" w:cs="Times New Roman"/>
                      <w:snapToGrid/>
                      <w:color w:val="auto"/>
                      <w:kern w:val="0"/>
                      <w:sz w:val="21"/>
                      <w:szCs w:val="21"/>
                      <w:lang w:val="en-US" w:eastAsia="zh-CN" w:bidi="ar"/>
                    </w:rPr>
                    <w:t>目使用</w:t>
                  </w:r>
                  <w:r>
                    <w:rPr>
                      <w:rFonts w:hint="eastAsia" w:cs="Times New Roman"/>
                      <w:snapToGrid/>
                      <w:color w:val="auto"/>
                      <w:kern w:val="0"/>
                      <w:sz w:val="21"/>
                      <w:szCs w:val="21"/>
                      <w:lang w:val="en-US" w:eastAsia="zh-CN" w:bidi="ar"/>
                    </w:rPr>
                    <w:t>的</w:t>
                  </w:r>
                  <w:r>
                    <w:rPr>
                      <w:rFonts w:hint="eastAsia" w:ascii="Times New Roman" w:hAnsi="Times New Roman" w:eastAsia="宋体" w:cs="Times New Roman"/>
                      <w:snapToGrid/>
                      <w:color w:val="auto"/>
                      <w:kern w:val="0"/>
                      <w:sz w:val="21"/>
                      <w:szCs w:val="21"/>
                      <w:lang w:val="en-US" w:eastAsia="zh-CN" w:bidi="ar"/>
                    </w:rPr>
                    <w:t>含有</w:t>
                  </w:r>
                  <w:r>
                    <w:rPr>
                      <w:rFonts w:hint="eastAsia" w:ascii="Times New Roman" w:hAnsi="Times New Roman" w:eastAsia="宋体" w:cs="Times New Roman"/>
                      <w:iCs w:val="0"/>
                      <w:sz w:val="21"/>
                      <w:szCs w:val="24"/>
                      <w:lang w:val="en-US" w:eastAsia="zh-CN"/>
                    </w:rPr>
                    <w:t>VOCs的</w:t>
                  </w:r>
                  <w:r>
                    <w:rPr>
                      <w:rFonts w:hint="eastAsia" w:cs="Times New Roman"/>
                      <w:snapToGrid/>
                      <w:color w:val="auto"/>
                      <w:kern w:val="0"/>
                      <w:sz w:val="21"/>
                      <w:szCs w:val="21"/>
                      <w:lang w:val="en-US" w:eastAsia="zh-CN" w:bidi="ar"/>
                    </w:rPr>
                    <w:t>原辅材料主要有</w:t>
                  </w:r>
                  <w:r>
                    <w:rPr>
                      <w:rFonts w:hint="eastAsia" w:ascii="Times New Roman" w:hAnsi="Times New Roman" w:eastAsia="宋体" w:cs="Times New Roman"/>
                      <w:color w:val="auto"/>
                      <w:szCs w:val="21"/>
                      <w:highlight w:val="none"/>
                      <w:lang w:val="en-US" w:eastAsia="zh-CN"/>
                    </w:rPr>
                    <w:t>聚丙烯、色母料</w:t>
                  </w:r>
                  <w:r>
                    <w:rPr>
                      <w:rFonts w:hint="eastAsia" w:cs="Times New Roman"/>
                      <w:color w:val="auto"/>
                      <w:szCs w:val="21"/>
                      <w:highlight w:val="none"/>
                      <w:lang w:val="en-US" w:eastAsia="zh-CN"/>
                    </w:rPr>
                    <w:t>、纺丝油</w:t>
                  </w:r>
                  <w:r>
                    <w:rPr>
                      <w:rFonts w:hint="eastAsia"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均符合</w:t>
                  </w:r>
                  <w:r>
                    <w:rPr>
                      <w:rFonts w:hint="eastAsia" w:ascii="Times New Roman" w:hAnsi="Times New Roman" w:eastAsia="宋体" w:cs="Times New Roman"/>
                      <w:iCs w:val="0"/>
                      <w:sz w:val="21"/>
                      <w:szCs w:val="24"/>
                      <w:lang w:val="en-US" w:eastAsia="zh-CN"/>
                    </w:rPr>
                    <w:t>VOCs行业和产品标准</w:t>
                  </w:r>
                  <w:r>
                    <w:rPr>
                      <w:rFonts w:hint="eastAsia" w:cs="Times New Roman"/>
                      <w:iCs w:val="0"/>
                      <w:sz w:val="21"/>
                      <w:szCs w:val="24"/>
                      <w:lang w:val="en-US" w:eastAsia="zh-CN"/>
                    </w:rPr>
                    <w:t>。本项目不涉及</w:t>
                  </w:r>
                  <w:r>
                    <w:rPr>
                      <w:rFonts w:hint="eastAsia" w:ascii="Times New Roman" w:hAnsi="Times New Roman" w:eastAsia="宋体" w:cs="Times New Roman"/>
                      <w:iCs w:val="0"/>
                      <w:sz w:val="21"/>
                      <w:szCs w:val="24"/>
                      <w:lang w:val="en-US" w:eastAsia="zh-CN"/>
                    </w:rPr>
                    <w:t>原油、成品油、有机化学品等涉VOCs物质储罐</w:t>
                  </w:r>
                  <w:r>
                    <w:rPr>
                      <w:rFonts w:hint="eastAsia" w:cs="Times New Roman"/>
                      <w:iCs w:val="0"/>
                      <w:sz w:val="21"/>
                      <w:szCs w:val="24"/>
                      <w:lang w:val="en-US" w:eastAsia="zh-CN"/>
                    </w:rPr>
                    <w:t>。</w:t>
                  </w:r>
                </w:p>
              </w:tc>
              <w:tc>
                <w:tcPr>
                  <w:tcW w:w="455" w:type="pct"/>
                  <w:tcBorders>
                    <w:tl2br w:val="nil"/>
                    <w:tr2bl w:val="nil"/>
                  </w:tcBorders>
                  <w:noWrap w:val="0"/>
                  <w:vAlign w:val="center"/>
                </w:tcPr>
                <w:p w14:paraId="72E78937">
                  <w:pPr>
                    <w:widowControl w:val="0"/>
                    <w:bidi w:val="0"/>
                    <w:adjustRightInd w:val="0"/>
                    <w:snapToGrid w:val="0"/>
                    <w:spacing w:line="312" w:lineRule="exact"/>
                    <w:ind w:firstLine="0" w:firstLineChars="0"/>
                    <w:jc w:val="center"/>
                    <w:outlineLvl w:val="0"/>
                    <w:rPr>
                      <w:rFonts w:ascii="Times New Roman" w:hAnsi="Times New Roman" w:cs="Times New Roman"/>
                      <w:color w:val="auto"/>
                      <w:szCs w:val="21"/>
                      <w:highlight w:val="none"/>
                    </w:rPr>
                  </w:pPr>
                  <w:r>
                    <w:rPr>
                      <w:rFonts w:hint="eastAsia"/>
                      <w:color w:val="auto"/>
                      <w:sz w:val="21"/>
                      <w:szCs w:val="21"/>
                      <w:lang w:val="en-US" w:eastAsia="zh-CN"/>
                    </w:rPr>
                    <w:t>符合</w:t>
                  </w:r>
                </w:p>
              </w:tc>
            </w:tr>
          </w:tbl>
          <w:p w14:paraId="6BD9F887">
            <w:pPr>
              <w:pStyle w:val="52"/>
              <w:keepNext w:val="0"/>
              <w:keepLines w:val="0"/>
              <w:pageBreakBefore w:val="0"/>
              <w:kinsoku/>
              <w:wordWrap/>
              <w:overflowPunct/>
              <w:topLinePunct w:val="0"/>
              <w:autoSpaceDE/>
              <w:autoSpaceDN/>
              <w:bidi w:val="0"/>
              <w:spacing w:line="360" w:lineRule="auto"/>
              <w:ind w:firstLine="480"/>
              <w:textAlignment w:val="auto"/>
              <w:rPr>
                <w:rFonts w:hint="eastAsia" w:ascii="Times New Roman" w:hAnsi="Times New Roman" w:eastAsia="宋体" w:cs="Times New Roman"/>
                <w:b w:val="0"/>
                <w:bCs/>
                <w:color w:val="auto"/>
                <w:sz w:val="24"/>
                <w:szCs w:val="24"/>
                <w:highlight w:val="none"/>
                <w:lang w:val="zh-CN" w:eastAsia="zh-CN"/>
              </w:rPr>
            </w:pPr>
            <w:r>
              <w:rPr>
                <w:rFonts w:hint="eastAsia" w:ascii="Times New Roman" w:hAnsi="Times New Roman" w:eastAsia="宋体" w:cs="Times New Roman"/>
                <w:b w:val="0"/>
                <w:bCs/>
                <w:color w:val="auto"/>
                <w:sz w:val="24"/>
                <w:szCs w:val="24"/>
                <w:highlight w:val="none"/>
                <w:lang w:val="en-US" w:eastAsia="zh-CN"/>
              </w:rPr>
              <w:t>由上表分析可知，本项目符合《关于印发山东省“十四五”节能减排实施方案的通知》（鲁政字[2022]213号）的要求。</w:t>
            </w:r>
          </w:p>
          <w:p w14:paraId="32881975">
            <w:pPr>
              <w:pStyle w:val="52"/>
              <w:keepNext w:val="0"/>
              <w:keepLines w:val="0"/>
              <w:pageBreakBefore w:val="0"/>
              <w:kinsoku/>
              <w:wordWrap/>
              <w:overflowPunct/>
              <w:topLinePunct w:val="0"/>
              <w:autoSpaceDE/>
              <w:autoSpaceDN/>
              <w:bidi w:val="0"/>
              <w:spacing w:line="360" w:lineRule="auto"/>
              <w:ind w:firstLine="480"/>
              <w:jc w:val="both"/>
              <w:textAlignment w:val="auto"/>
              <w:rPr>
                <w:rFonts w:hint="eastAsia" w:ascii="Times New Roman" w:hAnsi="Times New Roman" w:eastAsia="宋体" w:cs="Times New Roman"/>
                <w:b w:val="0"/>
                <w:bCs/>
                <w:color w:val="auto"/>
                <w:sz w:val="24"/>
                <w:szCs w:val="24"/>
                <w:lang w:val="zh-CN" w:eastAsia="zh-CN"/>
              </w:rPr>
            </w:pP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10</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与</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关于“两高”项目管理有关事项的补充通知</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highlight w:val="none"/>
                <w:lang w:val="en-US" w:eastAsia="zh-CN"/>
              </w:rPr>
              <w:t>（鲁</w:t>
            </w:r>
            <w:r>
              <w:rPr>
                <w:rFonts w:hint="eastAsia" w:ascii="Times New Roman" w:hAnsi="Times New Roman" w:cs="Times New Roman"/>
                <w:b w:val="0"/>
                <w:bCs/>
                <w:color w:val="auto"/>
                <w:sz w:val="24"/>
                <w:szCs w:val="24"/>
                <w:highlight w:val="none"/>
                <w:lang w:val="en-US" w:eastAsia="zh-CN"/>
              </w:rPr>
              <w:t>发改工业</w:t>
            </w:r>
            <w:r>
              <w:rPr>
                <w:rFonts w:hint="eastAsia" w:ascii="Times New Roman" w:hAnsi="Times New Roman" w:eastAsia="宋体" w:cs="Times New Roman"/>
                <w:b w:val="0"/>
                <w:bCs/>
                <w:color w:val="auto"/>
                <w:sz w:val="24"/>
                <w:szCs w:val="24"/>
                <w:highlight w:val="none"/>
                <w:lang w:val="en-US" w:eastAsia="zh-CN"/>
              </w:rPr>
              <w:t>[202</w:t>
            </w:r>
            <w:r>
              <w:rPr>
                <w:rFonts w:hint="eastAsia" w:ascii="Times New Roman" w:hAnsi="Times New Roman" w:cs="Times New Roman"/>
                <w:b w:val="0"/>
                <w:bCs/>
                <w:color w:val="auto"/>
                <w:sz w:val="24"/>
                <w:szCs w:val="24"/>
                <w:highlight w:val="none"/>
                <w:lang w:val="en-US" w:eastAsia="zh-CN"/>
              </w:rPr>
              <w:t>3</w:t>
            </w:r>
            <w:r>
              <w:rPr>
                <w:rFonts w:hint="eastAsia" w:ascii="Times New Roman" w:hAnsi="Times New Roman" w:eastAsia="宋体" w:cs="Times New Roman"/>
                <w:b w:val="0"/>
                <w:bCs/>
                <w:color w:val="auto"/>
                <w:sz w:val="24"/>
                <w:szCs w:val="24"/>
                <w:highlight w:val="none"/>
                <w:lang w:val="en-US" w:eastAsia="zh-CN"/>
              </w:rPr>
              <w:t>]</w:t>
            </w:r>
            <w:r>
              <w:rPr>
                <w:rFonts w:hint="eastAsia" w:ascii="Times New Roman" w:hAnsi="Times New Roman" w:cs="Times New Roman"/>
                <w:b w:val="0"/>
                <w:bCs/>
                <w:color w:val="auto"/>
                <w:sz w:val="24"/>
                <w:szCs w:val="24"/>
                <w:highlight w:val="none"/>
                <w:lang w:val="en-US" w:eastAsia="zh-CN"/>
              </w:rPr>
              <w:t>34</w:t>
            </w:r>
            <w:r>
              <w:rPr>
                <w:rFonts w:hint="eastAsia" w:ascii="Times New Roman" w:hAnsi="Times New Roman" w:eastAsia="宋体" w:cs="Times New Roman"/>
                <w:b w:val="0"/>
                <w:bCs/>
                <w:color w:val="auto"/>
                <w:sz w:val="24"/>
                <w:szCs w:val="24"/>
                <w:highlight w:val="none"/>
                <w:lang w:val="en-US" w:eastAsia="zh-CN"/>
              </w:rPr>
              <w:t>号）</w:t>
            </w:r>
            <w:r>
              <w:rPr>
                <w:rFonts w:hint="eastAsia" w:cs="Times New Roman"/>
                <w:b w:val="0"/>
                <w:bCs/>
                <w:color w:val="auto"/>
                <w:sz w:val="24"/>
                <w:szCs w:val="24"/>
                <w:lang w:val="en-US" w:eastAsia="zh-CN"/>
              </w:rPr>
              <w:t>符合性分析</w:t>
            </w:r>
          </w:p>
          <w:p w14:paraId="719C1CF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1-1</w:t>
            </w:r>
            <w:r>
              <w:rPr>
                <w:rFonts w:hint="eastAsia"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en-US" w:eastAsia="zh-CN"/>
              </w:rPr>
              <w:t xml:space="preserve"> 与《关于“两高”项目管理有关事项的补充通知》（鲁发改工业[2023]34号）的符合性分析</w:t>
            </w:r>
          </w:p>
          <w:tbl>
            <w:tblPr>
              <w:tblStyle w:val="2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5180"/>
              <w:gridCol w:w="1182"/>
              <w:gridCol w:w="743"/>
            </w:tblGrid>
            <w:tr w14:paraId="700BB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08" w:type="pct"/>
                  <w:noWrap w:val="0"/>
                  <w:tcMar>
                    <w:top w:w="0" w:type="dxa"/>
                    <w:left w:w="28" w:type="dxa"/>
                    <w:bottom w:w="0" w:type="dxa"/>
                    <w:right w:w="28" w:type="dxa"/>
                  </w:tcMar>
                  <w:vAlign w:val="center"/>
                </w:tcPr>
                <w:p w14:paraId="66D4D4C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3420" w:type="pct"/>
                  <w:noWrap w:val="0"/>
                  <w:tcMar>
                    <w:top w:w="0" w:type="dxa"/>
                    <w:left w:w="28" w:type="dxa"/>
                    <w:bottom w:w="0" w:type="dxa"/>
                    <w:right w:w="28" w:type="dxa"/>
                  </w:tcMar>
                  <w:vAlign w:val="center"/>
                </w:tcPr>
                <w:p w14:paraId="6CB48F2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文件要求</w:t>
                  </w:r>
                </w:p>
              </w:tc>
              <w:tc>
                <w:tcPr>
                  <w:tcW w:w="780" w:type="pct"/>
                  <w:noWrap w:val="0"/>
                  <w:tcMar>
                    <w:top w:w="0" w:type="dxa"/>
                    <w:left w:w="28" w:type="dxa"/>
                    <w:bottom w:w="0" w:type="dxa"/>
                    <w:right w:w="28" w:type="dxa"/>
                  </w:tcMar>
                  <w:vAlign w:val="center"/>
                </w:tcPr>
                <w:p w14:paraId="49D061A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项目情况</w:t>
                  </w:r>
                </w:p>
              </w:tc>
              <w:tc>
                <w:tcPr>
                  <w:tcW w:w="490" w:type="pct"/>
                  <w:noWrap w:val="0"/>
                  <w:tcMar>
                    <w:top w:w="0" w:type="dxa"/>
                    <w:left w:w="28" w:type="dxa"/>
                    <w:bottom w:w="0" w:type="dxa"/>
                    <w:right w:w="28" w:type="dxa"/>
                  </w:tcMar>
                  <w:vAlign w:val="center"/>
                </w:tcPr>
                <w:p w14:paraId="530CF9C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w:t>
                  </w:r>
                </w:p>
              </w:tc>
            </w:tr>
            <w:tr w14:paraId="33D1C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08" w:type="pct"/>
                  <w:shd w:val="clear" w:color="auto" w:fill="auto"/>
                  <w:noWrap w:val="0"/>
                  <w:tcMar>
                    <w:top w:w="0" w:type="dxa"/>
                    <w:left w:w="28" w:type="dxa"/>
                    <w:bottom w:w="0" w:type="dxa"/>
                    <w:right w:w="28" w:type="dxa"/>
                  </w:tcMar>
                  <w:vAlign w:val="center"/>
                </w:tcPr>
                <w:p w14:paraId="04AAED5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3420" w:type="pct"/>
                  <w:shd w:val="clear" w:color="auto" w:fill="auto"/>
                  <w:noWrap w:val="0"/>
                  <w:tcMar>
                    <w:top w:w="0" w:type="dxa"/>
                    <w:left w:w="28" w:type="dxa"/>
                    <w:bottom w:w="0" w:type="dxa"/>
                    <w:right w:w="28" w:type="dxa"/>
                  </w:tcMar>
                  <w:vAlign w:val="center"/>
                </w:tcPr>
                <w:p w14:paraId="3D1E9398">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优化调整“两高”项目替代比例。</w:t>
                  </w:r>
                  <w:r>
                    <w:rPr>
                      <w:rFonts w:hint="eastAsia" w:ascii="Times New Roman" w:hAnsi="Times New Roman" w:eastAsia="宋体" w:cs="Times New Roman"/>
                      <w:color w:val="auto"/>
                      <w:sz w:val="21"/>
                      <w:szCs w:val="21"/>
                      <w:highlight w:val="none"/>
                      <w:lang w:val="en-US" w:eastAsia="zh-CN"/>
                    </w:rPr>
                    <w:t>新上“两高”项目，能耗方面，替代比例统一调整为不低于1︰1；煤耗方面，耗煤项目替代比例统一调整为不低于1︰1.1，非大气污染防治重点区域（范围以国家将要公布的空气质量全面改善行动计划或其他文件为准）“先立后改”新上超超临界煤电项目不实行煤炭减量替代；取消区域系数。能耗和煤耗替代源形成的替代量，属于规上企业的，以2020年统计数据为准，属于规下企业的，以“两高”核查数据为准；对于“十四五”期间建成投产的替代源，以其关停或技改前的上一年数据为准。碳排放方面，替代比例统一调整为不低于1︰1.1。产能方面，氯碱（烧碱）、化肥（合成氨、尿素）、轮胎、电解铝等行业替代比例调整为不低于1︰1；煤电（不含背压型热电联产和国家布局煤电项目）替代比例统一调整为不低于1:1.1，其他行业产能替代比例仍按国家和省原有规定执行。污染物排放替代比例仍按国家和省原有规定执行。鼓励新建“两高”项目应用“绿电”（风力发电、光伏发电等），推动绿色低碳转型发展。</w:t>
                  </w:r>
                </w:p>
              </w:tc>
              <w:tc>
                <w:tcPr>
                  <w:tcW w:w="780" w:type="pct"/>
                  <w:shd w:val="clear" w:color="auto" w:fill="auto"/>
                  <w:noWrap w:val="0"/>
                  <w:tcMar>
                    <w:top w:w="0" w:type="dxa"/>
                    <w:left w:w="28" w:type="dxa"/>
                    <w:bottom w:w="0" w:type="dxa"/>
                    <w:right w:w="28" w:type="dxa"/>
                  </w:tcMar>
                  <w:vAlign w:val="center"/>
                </w:tcPr>
                <w:p w14:paraId="6333C4A4">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本项目不属于“两高”项目。</w:t>
                  </w:r>
                </w:p>
              </w:tc>
              <w:tc>
                <w:tcPr>
                  <w:tcW w:w="490" w:type="pct"/>
                  <w:shd w:val="clear" w:color="auto" w:fill="auto"/>
                  <w:noWrap w:val="0"/>
                  <w:tcMar>
                    <w:top w:w="0" w:type="dxa"/>
                    <w:left w:w="28" w:type="dxa"/>
                    <w:bottom w:w="0" w:type="dxa"/>
                    <w:right w:w="28" w:type="dxa"/>
                  </w:tcMar>
                  <w:vAlign w:val="center"/>
                </w:tcPr>
                <w:p w14:paraId="231C037C">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highlight w:val="none"/>
                    </w:rPr>
                    <w:t>符合</w:t>
                  </w:r>
                </w:p>
              </w:tc>
            </w:tr>
            <w:tr w14:paraId="5A2F7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308" w:type="pct"/>
                  <w:noWrap w:val="0"/>
                  <w:tcMar>
                    <w:top w:w="0" w:type="dxa"/>
                    <w:left w:w="28" w:type="dxa"/>
                    <w:bottom w:w="0" w:type="dxa"/>
                    <w:right w:w="28" w:type="dxa"/>
                  </w:tcMar>
                  <w:vAlign w:val="center"/>
                </w:tcPr>
                <w:p w14:paraId="6FE5619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3420" w:type="pct"/>
                  <w:noWrap w:val="0"/>
                  <w:tcMar>
                    <w:top w:w="0" w:type="dxa"/>
                    <w:left w:w="28" w:type="dxa"/>
                    <w:bottom w:w="0" w:type="dxa"/>
                    <w:right w:w="28" w:type="dxa"/>
                  </w:tcMar>
                  <w:vAlign w:val="center"/>
                </w:tcPr>
                <w:p w14:paraId="7616A1B5">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优化调整“两高”项目窗口指导制度。</w:t>
                  </w:r>
                  <w:r>
                    <w:rPr>
                      <w:rFonts w:hint="eastAsia" w:ascii="Times New Roman" w:hAnsi="Times New Roman" w:eastAsia="宋体" w:cs="Times New Roman"/>
                      <w:color w:val="auto"/>
                      <w:sz w:val="21"/>
                      <w:szCs w:val="21"/>
                      <w:highlight w:val="none"/>
                      <w:lang w:val="en-US" w:eastAsia="zh-CN"/>
                    </w:rPr>
                    <w:t>对不增加产能、能耗、煤耗、污染物排放、碳排放的技术改造项目（不包括核心设备拆除新建、产能整合、搬迁入园、易地搬迁）实行市级指导、省级报备制度。由市发展改革委会同市工业和信息化局、市生态环境局出具窗口指导意见，项目所在地投资审批部门予以立项，立项情况通过“两高”行业电子监管平台等方式报省发展改革委、省工业和信息化厅、省生态环境厅备案。沿黄重点区域一律不得在国家和我省规定的合规工业园区之外新建“两高”项目，对存量“两高”项目进行环保节能改造、安全设施改造、产品工艺优化与质量提升且不增加产能的技术改造项目，以及整合自有或其他沿黄重点区域“两高”产能，在项目原厂址内实施的产能整合项目，须由项目所在地设区市充分论证项目实施对黄河流域生态保护和高质量发展的影响，并履行省级窗口指导或提级审批程序。对违规“两高”项目完善手续时间统一调整为2023年年底。</w:t>
                  </w:r>
                </w:p>
              </w:tc>
              <w:tc>
                <w:tcPr>
                  <w:tcW w:w="780" w:type="pct"/>
                  <w:noWrap w:val="0"/>
                  <w:tcMar>
                    <w:top w:w="0" w:type="dxa"/>
                    <w:left w:w="28" w:type="dxa"/>
                    <w:bottom w:w="0" w:type="dxa"/>
                    <w:right w:w="28" w:type="dxa"/>
                  </w:tcMar>
                  <w:vAlign w:val="center"/>
                </w:tcPr>
                <w:p w14:paraId="7063FB45">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本项目不属于“两高”项目。</w:t>
                  </w:r>
                </w:p>
              </w:tc>
              <w:tc>
                <w:tcPr>
                  <w:tcW w:w="490" w:type="pct"/>
                  <w:noWrap w:val="0"/>
                  <w:tcMar>
                    <w:top w:w="0" w:type="dxa"/>
                    <w:left w:w="28" w:type="dxa"/>
                    <w:bottom w:w="0" w:type="dxa"/>
                    <w:right w:w="28" w:type="dxa"/>
                  </w:tcMar>
                  <w:vAlign w:val="center"/>
                </w:tcPr>
                <w:p w14:paraId="48346F74">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rPr>
                    <w:t>符合</w:t>
                  </w:r>
                </w:p>
              </w:tc>
            </w:tr>
            <w:tr w14:paraId="61D6D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308" w:type="pct"/>
                  <w:noWrap w:val="0"/>
                  <w:tcMar>
                    <w:top w:w="0" w:type="dxa"/>
                    <w:left w:w="28" w:type="dxa"/>
                    <w:bottom w:w="0" w:type="dxa"/>
                    <w:right w:w="28" w:type="dxa"/>
                  </w:tcMar>
                  <w:vAlign w:val="center"/>
                </w:tcPr>
                <w:p w14:paraId="163F620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3420" w:type="pct"/>
                  <w:noWrap w:val="0"/>
                  <w:tcMar>
                    <w:top w:w="0" w:type="dxa"/>
                    <w:left w:w="28" w:type="dxa"/>
                    <w:bottom w:w="0" w:type="dxa"/>
                    <w:right w:w="28" w:type="dxa"/>
                  </w:tcMar>
                  <w:vAlign w:val="center"/>
                </w:tcPr>
                <w:p w14:paraId="6B9E8E76">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highlight w:val="none"/>
                      <w:lang w:val="en-US" w:eastAsia="zh-CN"/>
                    </w:rPr>
                    <w:t>合理确定“两高”行业能效改造提升标准。将《国家发展改革委等部门关于发布&lt;高耗能行业重点领域能效标杆水平和基准水平（2021年版）&gt;的通知》（发改产业〔2021〕1609号）、《国家发展改革委等部门关于发布&lt;煤炭清洁高效利用重点领域能效标杆水平和基准水平（2022年版）&gt;的通知》（发改运行〔2022〕559号）明确的能效标杆水平和基准水平的平均值作为我省“两高”行业能效改造提升基准线，对产品种类多、难以用统一标准测定能效技术水平的行业，按照2021年行业能效经济水平（千克标准煤/万元产值）划定基准线。基准线以下的企业全部提升到基准线以上，基准线以上标杆水平以下的企业力争全部提升到标杆水平以上。</w:t>
                  </w:r>
                </w:p>
              </w:tc>
              <w:tc>
                <w:tcPr>
                  <w:tcW w:w="780" w:type="pct"/>
                  <w:noWrap w:val="0"/>
                  <w:tcMar>
                    <w:top w:w="0" w:type="dxa"/>
                    <w:left w:w="28" w:type="dxa"/>
                    <w:bottom w:w="0" w:type="dxa"/>
                    <w:right w:w="28" w:type="dxa"/>
                  </w:tcMar>
                  <w:vAlign w:val="center"/>
                </w:tcPr>
                <w:p w14:paraId="22E601D5">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lang w:val="en-US" w:eastAsia="zh-CN"/>
                    </w:rPr>
                    <w:t>本项目不属于“两高”项目。</w:t>
                  </w:r>
                </w:p>
              </w:tc>
              <w:tc>
                <w:tcPr>
                  <w:tcW w:w="490" w:type="pct"/>
                  <w:noWrap w:val="0"/>
                  <w:tcMar>
                    <w:top w:w="0" w:type="dxa"/>
                    <w:left w:w="28" w:type="dxa"/>
                    <w:bottom w:w="0" w:type="dxa"/>
                    <w:right w:w="28" w:type="dxa"/>
                  </w:tcMar>
                  <w:vAlign w:val="center"/>
                </w:tcPr>
                <w:p w14:paraId="39DB6849">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highlight w:val="none"/>
                    </w:rPr>
                    <w:t>符合</w:t>
                  </w:r>
                </w:p>
              </w:tc>
            </w:tr>
          </w:tbl>
          <w:p w14:paraId="216B3BD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cs="Times New Roman"/>
                <w:bCs/>
                <w:color w:val="auto"/>
                <w:sz w:val="24"/>
                <w:szCs w:val="24"/>
                <w:highlight w:val="none"/>
                <w:lang w:eastAsia="zh-CN"/>
              </w:rPr>
            </w:pPr>
            <w:r>
              <w:rPr>
                <w:rFonts w:hint="default" w:ascii="Times New Roman" w:hAnsi="Times New Roman" w:cs="Times New Roman"/>
                <w:bCs/>
                <w:color w:val="auto"/>
                <w:sz w:val="24"/>
                <w:szCs w:val="24"/>
                <w:highlight w:val="none"/>
              </w:rPr>
              <w:t>综上，</w:t>
            </w:r>
            <w:r>
              <w:rPr>
                <w:rFonts w:hint="eastAsia" w:cs="Times New Roman"/>
                <w:bCs/>
                <w:color w:val="auto"/>
                <w:sz w:val="24"/>
                <w:szCs w:val="24"/>
                <w:highlight w:val="none"/>
                <w:lang w:eastAsia="zh-CN"/>
              </w:rPr>
              <w:t>本</w:t>
            </w:r>
            <w:r>
              <w:rPr>
                <w:rFonts w:hint="default" w:ascii="Times New Roman" w:hAnsi="Times New Roman" w:cs="Times New Roman"/>
                <w:bCs/>
                <w:color w:val="auto"/>
                <w:sz w:val="24"/>
                <w:szCs w:val="24"/>
                <w:highlight w:val="none"/>
              </w:rPr>
              <w:t>项目</w:t>
            </w:r>
            <w:r>
              <w:rPr>
                <w:rFonts w:hint="default" w:ascii="Times New Roman" w:hAnsi="Times New Roman" w:cs="Times New Roman"/>
                <w:bCs/>
                <w:color w:val="auto"/>
                <w:sz w:val="24"/>
                <w:szCs w:val="24"/>
                <w:highlight w:val="none"/>
                <w:lang w:eastAsia="zh-CN"/>
              </w:rPr>
              <w:t>不属于</w:t>
            </w:r>
            <w:r>
              <w:rPr>
                <w:rFonts w:hint="default" w:ascii="Times New Roman" w:hAnsi="Times New Roman" w:cs="Times New Roman"/>
                <w:bCs/>
                <w:color w:val="auto"/>
                <w:sz w:val="24"/>
                <w:szCs w:val="24"/>
                <w:highlight w:val="none"/>
                <w:lang w:val="en-US" w:eastAsia="zh-CN"/>
              </w:rPr>
              <w:t>“两高”项目，符合</w:t>
            </w:r>
            <w:r>
              <w:rPr>
                <w:rFonts w:hint="eastAsia" w:ascii="Times New Roman" w:hAnsi="Times New Roman" w:eastAsia="宋体" w:cs="Times New Roman"/>
                <w:b w:val="0"/>
                <w:bCs/>
                <w:color w:val="auto"/>
                <w:sz w:val="24"/>
                <w:szCs w:val="24"/>
                <w:highlight w:val="none"/>
                <w:lang w:val="en-US" w:eastAsia="zh-CN"/>
              </w:rPr>
              <w:t>《关于“两高”项目管理有关事项的补充通知》（鲁发改工业〔2023〕34号）</w:t>
            </w:r>
            <w:r>
              <w:rPr>
                <w:rFonts w:hint="default" w:ascii="Times New Roman" w:hAnsi="Times New Roman" w:cs="Times New Roman"/>
                <w:bCs/>
                <w:color w:val="auto"/>
                <w:sz w:val="24"/>
                <w:szCs w:val="24"/>
                <w:highlight w:val="none"/>
              </w:rPr>
              <w:t>要求</w:t>
            </w:r>
            <w:r>
              <w:rPr>
                <w:rFonts w:hint="eastAsia" w:cs="Times New Roman"/>
                <w:bCs/>
                <w:color w:val="auto"/>
                <w:sz w:val="24"/>
                <w:szCs w:val="24"/>
                <w:highlight w:val="none"/>
                <w:lang w:eastAsia="zh-CN"/>
              </w:rPr>
              <w:t>。</w:t>
            </w:r>
          </w:p>
          <w:p w14:paraId="402E9A40">
            <w:pPr>
              <w:pStyle w:val="8"/>
              <w:rPr>
                <w:rFonts w:hint="eastAsia" w:cs="Times New Roman"/>
                <w:bCs/>
                <w:color w:val="auto"/>
                <w:sz w:val="24"/>
                <w:szCs w:val="24"/>
                <w:highlight w:val="none"/>
                <w:lang w:eastAsia="zh-CN"/>
              </w:rPr>
            </w:pPr>
          </w:p>
          <w:p w14:paraId="2B98CCE8">
            <w:pPr>
              <w:rPr>
                <w:rFonts w:hint="eastAsia" w:cs="Times New Roman"/>
                <w:bCs/>
                <w:color w:val="auto"/>
                <w:sz w:val="24"/>
                <w:szCs w:val="24"/>
                <w:highlight w:val="none"/>
                <w:lang w:eastAsia="zh-CN"/>
              </w:rPr>
            </w:pPr>
          </w:p>
          <w:p w14:paraId="432ED686">
            <w:pPr>
              <w:pStyle w:val="8"/>
              <w:rPr>
                <w:rFonts w:hint="eastAsia" w:cs="Times New Roman"/>
                <w:bCs/>
                <w:color w:val="auto"/>
                <w:sz w:val="24"/>
                <w:szCs w:val="24"/>
                <w:highlight w:val="none"/>
                <w:lang w:eastAsia="zh-CN"/>
              </w:rPr>
            </w:pPr>
          </w:p>
          <w:p w14:paraId="69DC7E47">
            <w:pPr>
              <w:rPr>
                <w:rFonts w:hint="eastAsia" w:cs="Times New Roman"/>
                <w:bCs/>
                <w:color w:val="auto"/>
                <w:sz w:val="24"/>
                <w:szCs w:val="24"/>
                <w:highlight w:val="none"/>
                <w:lang w:eastAsia="zh-CN"/>
              </w:rPr>
            </w:pPr>
          </w:p>
          <w:p w14:paraId="65D0848D">
            <w:pPr>
              <w:pStyle w:val="8"/>
              <w:rPr>
                <w:rFonts w:hint="eastAsia" w:cs="Times New Roman"/>
                <w:bCs/>
                <w:color w:val="auto"/>
                <w:sz w:val="24"/>
                <w:szCs w:val="24"/>
                <w:highlight w:val="none"/>
                <w:lang w:eastAsia="zh-CN"/>
              </w:rPr>
            </w:pPr>
          </w:p>
          <w:p w14:paraId="29FA99DB">
            <w:pPr>
              <w:rPr>
                <w:rFonts w:hint="eastAsia" w:cs="Times New Roman"/>
                <w:bCs/>
                <w:color w:val="auto"/>
                <w:sz w:val="24"/>
                <w:szCs w:val="24"/>
                <w:highlight w:val="none"/>
                <w:lang w:eastAsia="zh-CN"/>
              </w:rPr>
            </w:pPr>
          </w:p>
          <w:p w14:paraId="3EB8E3D9">
            <w:pPr>
              <w:pStyle w:val="8"/>
              <w:rPr>
                <w:rFonts w:hint="eastAsia" w:cs="Times New Roman"/>
                <w:bCs/>
                <w:color w:val="auto"/>
                <w:sz w:val="24"/>
                <w:szCs w:val="24"/>
                <w:highlight w:val="none"/>
                <w:lang w:eastAsia="zh-CN"/>
              </w:rPr>
            </w:pPr>
          </w:p>
          <w:p w14:paraId="42FCFA5C">
            <w:pPr>
              <w:rPr>
                <w:rFonts w:hint="eastAsia" w:cs="Times New Roman"/>
                <w:bCs/>
                <w:color w:val="auto"/>
                <w:sz w:val="24"/>
                <w:szCs w:val="24"/>
                <w:highlight w:val="none"/>
                <w:lang w:eastAsia="zh-CN"/>
              </w:rPr>
            </w:pPr>
          </w:p>
          <w:p w14:paraId="51FB4EA7">
            <w:pPr>
              <w:pStyle w:val="8"/>
              <w:rPr>
                <w:rFonts w:hint="eastAsia" w:cs="Times New Roman"/>
                <w:bCs/>
                <w:color w:val="auto"/>
                <w:sz w:val="24"/>
                <w:szCs w:val="24"/>
                <w:highlight w:val="none"/>
                <w:lang w:eastAsia="zh-CN"/>
              </w:rPr>
            </w:pPr>
          </w:p>
          <w:p w14:paraId="33A946C1">
            <w:pPr>
              <w:rPr>
                <w:rFonts w:hint="eastAsia" w:cs="Times New Roman"/>
                <w:bCs/>
                <w:color w:val="auto"/>
                <w:sz w:val="24"/>
                <w:szCs w:val="24"/>
                <w:highlight w:val="none"/>
                <w:lang w:eastAsia="zh-CN"/>
              </w:rPr>
            </w:pPr>
          </w:p>
          <w:p w14:paraId="7017EB04">
            <w:pPr>
              <w:pStyle w:val="8"/>
              <w:rPr>
                <w:rFonts w:hint="eastAsia"/>
                <w:lang w:val="en-US" w:eastAsia="zh-CN"/>
              </w:rPr>
            </w:pPr>
          </w:p>
        </w:tc>
      </w:tr>
    </w:tbl>
    <w:p w14:paraId="2B0FD52A">
      <w:pPr>
        <w:spacing w:line="360" w:lineRule="auto"/>
        <w:outlineLvl w:val="0"/>
        <w:rPr>
          <w:rFonts w:hint="default" w:ascii="Times New Roman" w:hAnsi="Times New Roman" w:cs="Times New Roman"/>
          <w:color w:val="auto"/>
          <w:sz w:val="30"/>
          <w:highlight w:val="none"/>
        </w:rPr>
        <w:sectPr>
          <w:footerReference r:id="rId3" w:type="default"/>
          <w:pgSz w:w="11906" w:h="16838"/>
          <w:pgMar w:top="1701" w:right="1531" w:bottom="1701" w:left="1531" w:header="1020" w:footer="1020" w:gutter="0"/>
          <w:pgBorders>
            <w:top w:val="none" w:sz="0" w:space="0"/>
            <w:left w:val="none" w:sz="0" w:space="0"/>
            <w:bottom w:val="none" w:sz="0" w:space="0"/>
            <w:right w:val="none" w:sz="0" w:space="0"/>
          </w:pgBorders>
          <w:pgNumType w:fmt="decimal" w:start="1"/>
          <w:cols w:space="720" w:num="1"/>
          <w:docGrid w:linePitch="312" w:charSpace="0"/>
        </w:sectPr>
      </w:pPr>
    </w:p>
    <w:p w14:paraId="6BD1D227">
      <w:pPr>
        <w:pStyle w:val="23"/>
        <w:keepNext w:val="0"/>
        <w:keepLines w:val="0"/>
        <w:pageBreakBefore w:val="0"/>
        <w:widowControl/>
        <w:numPr>
          <w:ilvl w:val="0"/>
          <w:numId w:val="4"/>
        </w:numPr>
        <w:kinsoku/>
        <w:wordWrap/>
        <w:overflowPunct/>
        <w:topLinePunct w:val="0"/>
        <w:autoSpaceDE/>
        <w:autoSpaceDN/>
        <w:bidi w:val="0"/>
        <w:adjustRightInd/>
        <w:snapToGrid w:val="0"/>
        <w:spacing w:before="0" w:beforeAutospacing="0" w:after="0" w:afterAutospacing="0" w:line="240" w:lineRule="auto"/>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建设项目工程分析</w:t>
      </w:r>
    </w:p>
    <w:p w14:paraId="4DCEA866">
      <w:pPr>
        <w:bidi w:val="0"/>
        <w:rPr>
          <w:rFonts w:hint="default"/>
        </w:rPr>
      </w:pPr>
    </w:p>
    <w:tbl>
      <w:tblPr>
        <w:tblStyle w:val="27"/>
        <w:tblpPr w:leftFromText="180" w:rightFromText="180" w:vertAnchor="text" w:horzAnchor="page" w:tblpX="1748" w:tblpY="48"/>
        <w:tblOverlap w:val="never"/>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8"/>
        <w:gridCol w:w="8503"/>
      </w:tblGrid>
      <w:tr w14:paraId="25D81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71" w:hRule="atLeast"/>
        </w:trPr>
        <w:tc>
          <w:tcPr>
            <w:tcW w:w="308" w:type="pct"/>
            <w:vAlign w:val="center"/>
          </w:tcPr>
          <w:p w14:paraId="66400A3E">
            <w:pPr>
              <w:pStyle w:val="23"/>
              <w:adjustRightInd w:val="0"/>
              <w:snapToGrid w:val="0"/>
              <w:spacing w:before="0" w:beforeAutospacing="0" w:after="0" w:afterAutospacing="0"/>
              <w:jc w:val="center"/>
              <w:rPr>
                <w:rFonts w:hint="default" w:ascii="Times New Roman" w:hAnsi="Times New Roman" w:cs="Times New Roman"/>
                <w:color w:val="auto"/>
                <w:sz w:val="21"/>
                <w:szCs w:val="21"/>
                <w:highlight w:val="none"/>
                <w:lang w:val="en-US" w:eastAsia="zh-CN"/>
              </w:rPr>
            </w:pPr>
            <w:r>
              <w:rPr>
                <w:rFonts w:hint="default" w:ascii="黑体" w:hAnsi="黑体" w:eastAsia="黑体" w:cs="黑体"/>
                <w:color w:val="auto"/>
                <w:sz w:val="24"/>
                <w:szCs w:val="24"/>
                <w:highlight w:val="none"/>
                <w:lang w:val="en-US" w:eastAsia="zh-CN"/>
              </w:rPr>
              <w:t>建设内容</w:t>
            </w:r>
          </w:p>
        </w:tc>
        <w:tc>
          <w:tcPr>
            <w:tcW w:w="4691" w:type="pct"/>
          </w:tcPr>
          <w:p w14:paraId="68CBFE3B">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1、项目由来</w:t>
            </w:r>
          </w:p>
          <w:p w14:paraId="0E283941">
            <w:pPr>
              <w:adjustRightInd w:val="0"/>
              <w:snapToGrid w:val="0"/>
              <w:spacing w:line="360" w:lineRule="auto"/>
              <w:ind w:firstLine="441" w:firstLineChars="184"/>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淄博杰发纤维有限公司成立于2024年12月，位于山东省淄博市沂源县张家坡镇政通路88号，法定代表人为</w:t>
            </w:r>
            <w:r>
              <w:rPr>
                <w:rFonts w:hint="eastAsia" w:cs="Times New Roman"/>
                <w:color w:val="auto"/>
                <w:sz w:val="24"/>
                <w:lang w:val="en-US" w:eastAsia="zh-CN"/>
              </w:rPr>
              <w:t>刘胜杰</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本项目租赁已建成厂房，</w:t>
            </w:r>
            <w:r>
              <w:rPr>
                <w:rFonts w:hint="eastAsia" w:ascii="Times New Roman" w:hAnsi="Times New Roman" w:eastAsia="宋体" w:cs="Times New Roman"/>
                <w:color w:val="auto"/>
                <w:sz w:val="24"/>
                <w:szCs w:val="24"/>
                <w:highlight w:val="none"/>
                <w:lang w:val="en-US" w:eastAsia="zh-CN"/>
              </w:rPr>
              <w:t>不新建厂房，不新增用地，</w:t>
            </w:r>
            <w:r>
              <w:rPr>
                <w:rFonts w:hint="eastAsia" w:cs="Times New Roman"/>
                <w:color w:val="auto"/>
                <w:sz w:val="24"/>
                <w:lang w:val="en-US" w:eastAsia="zh-CN"/>
              </w:rPr>
              <w:t>租赁</w:t>
            </w:r>
            <w:r>
              <w:rPr>
                <w:rFonts w:hint="eastAsia" w:ascii="Times New Roman" w:hAnsi="Times New Roman" w:eastAsia="宋体" w:cs="Times New Roman"/>
                <w:color w:val="auto"/>
                <w:sz w:val="24"/>
                <w:lang w:val="en-US" w:eastAsia="zh-CN"/>
              </w:rPr>
              <w:t>厂区占地面积</w:t>
            </w:r>
            <w:r>
              <w:rPr>
                <w:rFonts w:hint="eastAsia" w:cs="Times New Roman"/>
                <w:color w:val="auto"/>
                <w:sz w:val="24"/>
                <w:lang w:val="en-US" w:eastAsia="zh-CN"/>
              </w:rPr>
              <w:t>3480</w:t>
            </w:r>
            <w:r>
              <w:rPr>
                <w:rFonts w:hint="eastAsia" w:ascii="Times New Roman" w:hAnsi="Times New Roman" w:eastAsia="宋体" w:cs="Times New Roman"/>
                <w:color w:val="auto"/>
                <w:sz w:val="24"/>
                <w:lang w:val="en-US" w:eastAsia="zh-CN"/>
              </w:rPr>
              <w:t>m</w:t>
            </w:r>
            <w:r>
              <w:rPr>
                <w:rFonts w:hint="eastAsia" w:ascii="Times New Roman" w:hAnsi="Times New Roman" w:eastAsia="宋体" w:cs="Times New Roman"/>
                <w:color w:val="auto"/>
                <w:sz w:val="24"/>
                <w:vertAlign w:val="superscript"/>
                <w:lang w:val="en-US" w:eastAsia="zh-CN"/>
              </w:rPr>
              <w:t>2</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经</w:t>
            </w:r>
            <w:r>
              <w:rPr>
                <w:rFonts w:hint="eastAsia" w:ascii="Times New Roman" w:hAnsi="Times New Roman" w:eastAsia="宋体" w:cs="Times New Roman"/>
                <w:color w:val="auto"/>
                <w:sz w:val="24"/>
                <w:lang w:val="en-US" w:eastAsia="zh-CN"/>
              </w:rPr>
              <w:t>营范围：</w:t>
            </w:r>
            <w:r>
              <w:rPr>
                <w:rFonts w:hint="eastAsia" w:cs="Times New Roman"/>
                <w:color w:val="auto"/>
                <w:sz w:val="24"/>
                <w:lang w:val="en-US" w:eastAsia="zh-CN"/>
              </w:rPr>
              <w:t>一般项目：纤维素纤维原料及纤维制造、合成纤维销售、美发饰品生产、美发饰品销售、工艺美术品及礼仪用品制造（象牙及其制品除外）、工艺美术品及收藏品零售（象牙及其制品除外）、服装制造、服装服饰零售、技术服务、技术开发、技术咨询、技术交流、技术转让、技术推广、货物进出口</w:t>
            </w:r>
            <w:r>
              <w:rPr>
                <w:rFonts w:hint="eastAsia" w:ascii="Times New Roman" w:hAnsi="Times New Roman" w:eastAsia="宋体" w:cs="Times New Roman"/>
                <w:color w:val="auto"/>
                <w:sz w:val="24"/>
                <w:lang w:val="en-US" w:eastAsia="zh-CN"/>
              </w:rPr>
              <w:t>。</w:t>
            </w:r>
          </w:p>
          <w:p w14:paraId="1B45CB1E">
            <w:pPr>
              <w:adjustRightInd w:val="0"/>
              <w:snapToGrid w:val="0"/>
              <w:spacing w:line="360" w:lineRule="auto"/>
              <w:ind w:firstLine="441" w:firstLineChars="184"/>
              <w:rPr>
                <w:rFonts w:hint="eastAsia" w:cs="Times New Roman"/>
                <w:color w:val="auto"/>
                <w:sz w:val="24"/>
                <w:lang w:val="en-US" w:eastAsia="zh-CN"/>
              </w:rPr>
            </w:pPr>
            <w:r>
              <w:rPr>
                <w:rFonts w:hint="eastAsia" w:cs="Times New Roman"/>
                <w:color w:val="auto"/>
                <w:sz w:val="24"/>
                <w:lang w:val="en-US" w:eastAsia="zh-CN"/>
              </w:rPr>
              <w:t>本项目投资10100万元，购置低温假发风冷生产线、耐高温假发风冷生产线、假睫毛丝生产线、辫子织机、绕线机等设备，同时配套变压器等辅助设施，项目建成后达到年产4000吨发丝及假发饰品的生产规模。</w:t>
            </w:r>
            <w:r>
              <w:rPr>
                <w:rFonts w:hint="eastAsia" w:ascii="Times New Roman" w:hAnsi="Times New Roman" w:eastAsia="宋体" w:cs="Times New Roman"/>
                <w:color w:val="auto"/>
                <w:sz w:val="24"/>
                <w:lang w:val="en-US" w:eastAsia="zh-CN"/>
              </w:rPr>
              <w:t>淄博杰发纤维有限公司</w:t>
            </w:r>
            <w:r>
              <w:rPr>
                <w:rFonts w:hint="eastAsia" w:cs="Times New Roman"/>
                <w:color w:val="auto"/>
                <w:sz w:val="24"/>
                <w:lang w:val="en-US" w:eastAsia="zh-CN"/>
              </w:rPr>
              <w:t>已于2025年3月4日取得建设项目备案证明，项目代码：2503-370323-89-01-925132。</w:t>
            </w:r>
          </w:p>
          <w:p w14:paraId="07C88D64">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2、项目概况</w:t>
            </w:r>
          </w:p>
          <w:p w14:paraId="24E7FF56">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项目名称：</w:t>
            </w:r>
            <w:r>
              <w:rPr>
                <w:rFonts w:hint="eastAsia" w:cs="Times New Roman"/>
                <w:color w:val="auto"/>
                <w:sz w:val="24"/>
                <w:szCs w:val="24"/>
                <w:highlight w:val="none"/>
                <w:lang w:val="en-US" w:eastAsia="zh-CN"/>
              </w:rPr>
              <w:t>淄博杰发纤维有限公司假发生产</w:t>
            </w:r>
            <w:r>
              <w:rPr>
                <w:rFonts w:hint="eastAsia" w:ascii="Times New Roman" w:hAnsi="Times New Roman" w:eastAsia="宋体" w:cs="Times New Roman"/>
                <w:color w:val="auto"/>
                <w:sz w:val="24"/>
                <w:szCs w:val="24"/>
                <w:highlight w:val="none"/>
                <w:lang w:val="en-US" w:eastAsia="zh-CN"/>
              </w:rPr>
              <w:t>项目</w:t>
            </w:r>
          </w:p>
          <w:p w14:paraId="6F0085AD">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总投资：</w:t>
            </w:r>
            <w:r>
              <w:rPr>
                <w:rFonts w:hint="eastAsia" w:cs="Times New Roman"/>
                <w:color w:val="auto"/>
                <w:sz w:val="24"/>
                <w:szCs w:val="24"/>
                <w:highlight w:val="none"/>
                <w:lang w:val="en-US" w:eastAsia="zh-CN"/>
              </w:rPr>
              <w:t>10100</w:t>
            </w:r>
            <w:r>
              <w:rPr>
                <w:rFonts w:hint="eastAsia" w:ascii="Times New Roman" w:hAnsi="Times New Roman" w:eastAsia="宋体" w:cs="Times New Roman"/>
                <w:color w:val="auto"/>
                <w:sz w:val="24"/>
                <w:szCs w:val="24"/>
                <w:highlight w:val="none"/>
                <w:lang w:val="en-US" w:eastAsia="zh-CN"/>
              </w:rPr>
              <w:t>万元</w:t>
            </w:r>
          </w:p>
          <w:p w14:paraId="47155796">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建设性质：</w:t>
            </w:r>
            <w:r>
              <w:rPr>
                <w:rFonts w:hint="eastAsia" w:cs="Times New Roman"/>
                <w:color w:val="auto"/>
                <w:sz w:val="24"/>
                <w:szCs w:val="24"/>
                <w:highlight w:val="none"/>
                <w:lang w:val="en-US" w:eastAsia="zh-CN"/>
              </w:rPr>
              <w:t>新建</w:t>
            </w:r>
          </w:p>
          <w:p w14:paraId="65BF25ED">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建设地点：</w:t>
            </w:r>
            <w:r>
              <w:rPr>
                <w:rFonts w:hint="eastAsia" w:ascii="Times New Roman" w:hAnsi="Times New Roman" w:eastAsia="宋体" w:cs="Times New Roman"/>
                <w:color w:val="auto"/>
                <w:sz w:val="24"/>
                <w:lang w:val="en-US" w:eastAsia="zh-CN"/>
              </w:rPr>
              <w:t>山东省淄博市沂源县张家坡镇政通路88号</w:t>
            </w:r>
            <w:r>
              <w:rPr>
                <w:rFonts w:hint="eastAsia" w:ascii="Times New Roman" w:hAnsi="Times New Roman" w:eastAsia="宋体" w:cs="宋体"/>
                <w:color w:val="auto"/>
                <w:sz w:val="24"/>
                <w:lang w:eastAsia="zh-CN"/>
              </w:rPr>
              <w:t>，项目地理位置见附图</w:t>
            </w:r>
            <w:r>
              <w:rPr>
                <w:rFonts w:hint="eastAsia" w:cs="宋体"/>
                <w:color w:val="auto"/>
                <w:sz w:val="24"/>
                <w:lang w:val="en-US" w:eastAsia="zh-CN"/>
              </w:rPr>
              <w:t>1</w:t>
            </w:r>
            <w:r>
              <w:rPr>
                <w:rFonts w:hint="default" w:ascii="Times New Roman" w:hAnsi="Times New Roman" w:eastAsia="宋体" w:cs="Times New Roman"/>
                <w:color w:val="auto"/>
                <w:sz w:val="24"/>
                <w:szCs w:val="24"/>
                <w:highlight w:val="none"/>
                <w:lang w:val="en-US" w:eastAsia="zh-CN"/>
              </w:rPr>
              <w:t>。</w:t>
            </w:r>
          </w:p>
          <w:p w14:paraId="663ACBF2">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项目主要建设内容见表</w:t>
            </w:r>
            <w:r>
              <w:rPr>
                <w:rFonts w:hint="eastAsia"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lang w:val="en-US" w:eastAsia="zh-CN"/>
              </w:rPr>
              <w:t>。</w:t>
            </w:r>
          </w:p>
          <w:p w14:paraId="3E1B7BA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eastAsia="zh-CN"/>
              </w:rPr>
            </w:pPr>
            <w:r>
              <w:rPr>
                <w:rFonts w:hint="default" w:ascii="Times New Roman" w:hAnsi="Times New Roman" w:eastAsia="黑体" w:cs="Times New Roman"/>
                <w:b w:val="0"/>
                <w:bCs w:val="0"/>
                <w:color w:val="auto"/>
                <w:kern w:val="0"/>
                <w:sz w:val="24"/>
                <w:szCs w:val="24"/>
                <w:highlight w:val="none"/>
                <w:lang w:eastAsia="zh-CN"/>
              </w:rPr>
              <w:t>表</w:t>
            </w:r>
            <w:r>
              <w:rPr>
                <w:rFonts w:hint="eastAsia" w:ascii="Times New Roman" w:hAnsi="Times New Roman" w:eastAsia="黑体" w:cs="Times New Roman"/>
                <w:b w:val="0"/>
                <w:bCs w:val="0"/>
                <w:color w:val="auto"/>
                <w:kern w:val="0"/>
                <w:sz w:val="24"/>
                <w:szCs w:val="24"/>
                <w:highlight w:val="none"/>
                <w:lang w:val="en-US" w:eastAsia="zh-CN"/>
              </w:rPr>
              <w:t xml:space="preserve">2-1 </w:t>
            </w:r>
            <w:r>
              <w:rPr>
                <w:rFonts w:hint="default" w:ascii="Times New Roman" w:hAnsi="Times New Roman" w:eastAsia="黑体" w:cs="Times New Roman"/>
                <w:b w:val="0"/>
                <w:bCs w:val="0"/>
                <w:color w:val="auto"/>
                <w:kern w:val="0"/>
                <w:sz w:val="24"/>
                <w:szCs w:val="24"/>
                <w:highlight w:val="none"/>
                <w:lang w:eastAsia="zh-CN"/>
              </w:rPr>
              <w:t>项目主要建设内容一览表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1475"/>
              <w:gridCol w:w="1051"/>
              <w:gridCol w:w="3589"/>
              <w:gridCol w:w="1083"/>
            </w:tblGrid>
            <w:tr w14:paraId="21617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tcBorders>
                    <w:tl2br w:val="nil"/>
                    <w:tr2bl w:val="nil"/>
                  </w:tcBorders>
                  <w:noWrap w:val="0"/>
                  <w:tcMar>
                    <w:top w:w="0" w:type="dxa"/>
                    <w:left w:w="17" w:type="dxa"/>
                    <w:bottom w:w="0" w:type="dxa"/>
                    <w:right w:w="17" w:type="dxa"/>
                  </w:tcMar>
                  <w:vAlign w:val="center"/>
                </w:tcPr>
                <w:p w14:paraId="3BAD014A">
                  <w:pPr>
                    <w:spacing w:line="300" w:lineRule="exact"/>
                    <w:jc w:val="center"/>
                    <w:rPr>
                      <w:rFonts w:hint="eastAsia"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工程</w:t>
                  </w:r>
                  <w:r>
                    <w:rPr>
                      <w:rFonts w:hint="eastAsia" w:ascii="Times New Roman" w:hAnsi="Times New Roman" w:eastAsia="宋体" w:cs="Times New Roman"/>
                      <w:b w:val="0"/>
                      <w:bCs w:val="0"/>
                      <w:color w:val="auto"/>
                      <w:highlight w:val="none"/>
                    </w:rPr>
                    <w:t>名称</w:t>
                  </w:r>
                </w:p>
              </w:tc>
              <w:tc>
                <w:tcPr>
                  <w:tcW w:w="891" w:type="pct"/>
                  <w:tcBorders>
                    <w:tl2br w:val="nil"/>
                    <w:tr2bl w:val="nil"/>
                  </w:tcBorders>
                  <w:noWrap w:val="0"/>
                  <w:tcMar>
                    <w:top w:w="0" w:type="dxa"/>
                    <w:left w:w="17" w:type="dxa"/>
                    <w:bottom w:w="0" w:type="dxa"/>
                    <w:right w:w="17" w:type="dxa"/>
                  </w:tcMar>
                  <w:vAlign w:val="center"/>
                </w:tcPr>
                <w:p w14:paraId="0BF88DD2">
                  <w:pPr>
                    <w:spacing w:line="300" w:lineRule="exact"/>
                    <w:jc w:val="center"/>
                    <w:rPr>
                      <w:rFonts w:hint="default"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lang w:eastAsia="zh-CN"/>
                    </w:rPr>
                    <w:t>建设</w:t>
                  </w:r>
                  <w:r>
                    <w:rPr>
                      <w:rFonts w:hint="default" w:ascii="Times New Roman" w:hAnsi="Times New Roman" w:eastAsia="宋体" w:cs="Times New Roman"/>
                      <w:b w:val="0"/>
                      <w:bCs w:val="0"/>
                      <w:color w:val="auto"/>
                      <w:highlight w:val="none"/>
                    </w:rPr>
                    <w:t>名称</w:t>
                  </w:r>
                </w:p>
              </w:tc>
              <w:tc>
                <w:tcPr>
                  <w:tcW w:w="2803" w:type="pct"/>
                  <w:gridSpan w:val="2"/>
                  <w:tcBorders>
                    <w:tl2br w:val="nil"/>
                    <w:tr2bl w:val="nil"/>
                  </w:tcBorders>
                  <w:noWrap w:val="0"/>
                  <w:tcMar>
                    <w:top w:w="0" w:type="dxa"/>
                    <w:left w:w="17" w:type="dxa"/>
                    <w:bottom w:w="0" w:type="dxa"/>
                    <w:right w:w="17" w:type="dxa"/>
                  </w:tcMar>
                  <w:vAlign w:val="center"/>
                </w:tcPr>
                <w:p w14:paraId="6F981612">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rPr>
                    <w:t>建设内容</w:t>
                  </w:r>
                </w:p>
              </w:tc>
              <w:tc>
                <w:tcPr>
                  <w:tcW w:w="654" w:type="pct"/>
                  <w:tcBorders>
                    <w:tl2br w:val="nil"/>
                    <w:tr2bl w:val="nil"/>
                  </w:tcBorders>
                  <w:noWrap w:val="0"/>
                  <w:tcMar>
                    <w:top w:w="0" w:type="dxa"/>
                    <w:left w:w="17" w:type="dxa"/>
                    <w:bottom w:w="0" w:type="dxa"/>
                    <w:right w:w="17" w:type="dxa"/>
                  </w:tcMar>
                  <w:vAlign w:val="center"/>
                </w:tcPr>
                <w:p w14:paraId="79D3E5DE">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备注</w:t>
                  </w:r>
                </w:p>
              </w:tc>
            </w:tr>
            <w:tr w14:paraId="1D19C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650" w:type="pct"/>
                  <w:vMerge w:val="restart"/>
                  <w:tcBorders>
                    <w:tl2br w:val="nil"/>
                    <w:tr2bl w:val="nil"/>
                  </w:tcBorders>
                  <w:noWrap w:val="0"/>
                  <w:tcMar>
                    <w:top w:w="0" w:type="dxa"/>
                    <w:left w:w="17" w:type="dxa"/>
                    <w:bottom w:w="0" w:type="dxa"/>
                    <w:right w:w="17" w:type="dxa"/>
                  </w:tcMar>
                  <w:vAlign w:val="center"/>
                </w:tcPr>
                <w:p w14:paraId="6B87301C">
                  <w:pPr>
                    <w:spacing w:line="300" w:lineRule="exact"/>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主体工程</w:t>
                  </w:r>
                </w:p>
              </w:tc>
              <w:tc>
                <w:tcPr>
                  <w:tcW w:w="891" w:type="pct"/>
                  <w:tcBorders>
                    <w:tl2br w:val="nil"/>
                    <w:tr2bl w:val="nil"/>
                  </w:tcBorders>
                  <w:noWrap w:val="0"/>
                  <w:tcMar>
                    <w:top w:w="0" w:type="dxa"/>
                    <w:left w:w="17" w:type="dxa"/>
                    <w:bottom w:w="0" w:type="dxa"/>
                    <w:right w:w="17" w:type="dxa"/>
                  </w:tcMar>
                  <w:vAlign w:val="center"/>
                </w:tcPr>
                <w:p w14:paraId="6E3A6891">
                  <w:pPr>
                    <w:spacing w:line="300" w:lineRule="exact"/>
                    <w:jc w:val="center"/>
                    <w:rPr>
                      <w:rFonts w:hint="default" w:ascii="Times New Roman" w:hAnsi="Times New Roman" w:eastAsia="宋体" w:cs="Times New Roman"/>
                      <w:b w:val="0"/>
                      <w:bCs w:val="0"/>
                      <w:color w:val="auto"/>
                      <w:highlight w:val="none"/>
                    </w:rPr>
                  </w:pPr>
                  <w:r>
                    <w:rPr>
                      <w:rFonts w:hint="eastAsia" w:cs="Times New Roman"/>
                      <w:b w:val="0"/>
                      <w:bCs w:val="0"/>
                      <w:color w:val="auto"/>
                      <w:highlight w:val="none"/>
                      <w:lang w:val="en-US" w:eastAsia="zh-CN"/>
                    </w:rPr>
                    <w:t>抽丝</w:t>
                  </w:r>
                  <w:r>
                    <w:rPr>
                      <w:rFonts w:hint="default" w:ascii="Times New Roman" w:hAnsi="Times New Roman" w:eastAsia="宋体" w:cs="Times New Roman"/>
                      <w:b w:val="0"/>
                      <w:bCs w:val="0"/>
                      <w:color w:val="auto"/>
                      <w:highlight w:val="none"/>
                      <w:lang w:val="en-US" w:eastAsia="en-US"/>
                    </w:rPr>
                    <w:t>车间</w:t>
                  </w:r>
                </w:p>
              </w:tc>
              <w:tc>
                <w:tcPr>
                  <w:tcW w:w="2803" w:type="pct"/>
                  <w:gridSpan w:val="2"/>
                  <w:tcBorders>
                    <w:tl2br w:val="nil"/>
                    <w:tr2bl w:val="nil"/>
                  </w:tcBorders>
                  <w:noWrap w:val="0"/>
                  <w:tcMar>
                    <w:top w:w="0" w:type="dxa"/>
                    <w:left w:w="17" w:type="dxa"/>
                    <w:bottom w:w="0" w:type="dxa"/>
                    <w:right w:w="17" w:type="dxa"/>
                  </w:tcMar>
                  <w:vAlign w:val="center"/>
                </w:tcPr>
                <w:p w14:paraId="1C278E29">
                  <w:pPr>
                    <w:spacing w:line="300" w:lineRule="exact"/>
                    <w:jc w:val="center"/>
                    <w:rPr>
                      <w:rFonts w:hint="eastAsia" w:ascii="Times New Roman" w:hAnsi="Times New Roman" w:eastAsia="宋体" w:cs="Times New Roman"/>
                      <w:b w:val="0"/>
                      <w:bCs w:val="0"/>
                      <w:color w:val="auto"/>
                      <w:highlight w:val="none"/>
                    </w:rPr>
                  </w:pPr>
                  <w:r>
                    <w:rPr>
                      <w:rFonts w:hint="eastAsia" w:cs="Times New Roman"/>
                      <w:b w:val="0"/>
                      <w:bCs w:val="0"/>
                      <w:color w:val="auto"/>
                      <w:highlight w:val="none"/>
                      <w:lang w:val="en-US" w:eastAsia="zh-CN"/>
                    </w:rPr>
                    <w:t>1</w:t>
                  </w:r>
                  <w:r>
                    <w:rPr>
                      <w:rFonts w:hint="eastAsia" w:ascii="Times New Roman" w:hAnsi="Times New Roman" w:eastAsia="宋体" w:cs="Times New Roman"/>
                      <w:b w:val="0"/>
                      <w:bCs w:val="0"/>
                      <w:color w:val="auto"/>
                      <w:highlight w:val="none"/>
                      <w:lang w:val="en-US" w:eastAsia="zh-CN"/>
                    </w:rPr>
                    <w:t>座，</w:t>
                  </w:r>
                  <w:r>
                    <w:rPr>
                      <w:rFonts w:hint="eastAsia" w:cs="Times New Roman"/>
                      <w:b w:val="0"/>
                      <w:bCs w:val="0"/>
                      <w:color w:val="auto"/>
                      <w:highlight w:val="none"/>
                      <w:lang w:val="en-US" w:eastAsia="zh-CN"/>
                    </w:rPr>
                    <w:t>三层，</w:t>
                  </w:r>
                  <w:r>
                    <w:rPr>
                      <w:rFonts w:hint="eastAsia" w:ascii="Times New Roman" w:hAnsi="Times New Roman" w:eastAsia="宋体" w:cs="Times New Roman"/>
                      <w:b w:val="0"/>
                      <w:bCs w:val="0"/>
                      <w:color w:val="auto"/>
                      <w:highlight w:val="none"/>
                      <w:lang w:val="en-US" w:eastAsia="zh-CN"/>
                    </w:rPr>
                    <w:t>占地面积</w:t>
                  </w:r>
                  <w:r>
                    <w:rPr>
                      <w:rFonts w:hint="eastAsia" w:cs="Times New Roman"/>
                      <w:b w:val="0"/>
                      <w:bCs w:val="0"/>
                      <w:color w:val="auto"/>
                      <w:highlight w:val="none"/>
                      <w:lang w:val="en-US" w:eastAsia="zh-CN"/>
                    </w:rPr>
                    <w:t>470</w:t>
                  </w:r>
                  <w:r>
                    <w:rPr>
                      <w:rFonts w:hint="default" w:ascii="Times New Roman" w:hAnsi="Times New Roman" w:eastAsia="宋体" w:cs="Times New Roman"/>
                      <w:b w:val="0"/>
                      <w:bCs w:val="0"/>
                      <w:color w:val="auto"/>
                      <w:highlight w:val="none"/>
                    </w:rPr>
                    <w:t>m</w:t>
                  </w:r>
                  <w:r>
                    <w:rPr>
                      <w:rFonts w:hint="default" w:ascii="Times New Roman" w:hAnsi="Times New Roman" w:eastAsia="宋体" w:cs="Times New Roman"/>
                      <w:b w:val="0"/>
                      <w:bCs w:val="0"/>
                      <w:color w:val="auto"/>
                      <w:highlight w:val="none"/>
                      <w:vertAlign w:val="superscript"/>
                    </w:rPr>
                    <w:t>2</w:t>
                  </w:r>
                  <w:r>
                    <w:rPr>
                      <w:rFonts w:hint="eastAsia" w:ascii="Times New Roman" w:hAnsi="Times New Roman" w:eastAsia="宋体" w:cs="Times New Roman"/>
                      <w:b w:val="0"/>
                      <w:bCs w:val="0"/>
                      <w:color w:val="auto"/>
                      <w:highlight w:val="none"/>
                      <w:lang w:val="en-US" w:eastAsia="zh-CN"/>
                    </w:rPr>
                    <w:t>，用于加工生产</w:t>
                  </w:r>
                  <w:r>
                    <w:rPr>
                      <w:rFonts w:hint="eastAsia" w:cs="Times New Roman"/>
                      <w:b w:val="0"/>
                      <w:bCs w:val="0"/>
                      <w:color w:val="auto"/>
                      <w:highlight w:val="none"/>
                      <w:lang w:val="en-US" w:eastAsia="zh-CN"/>
                    </w:rPr>
                    <w:t>PP纤维丝、生产假睫毛。</w:t>
                  </w:r>
                </w:p>
              </w:tc>
              <w:tc>
                <w:tcPr>
                  <w:tcW w:w="654" w:type="pct"/>
                  <w:vMerge w:val="restart"/>
                  <w:tcBorders>
                    <w:tl2br w:val="nil"/>
                    <w:tr2bl w:val="nil"/>
                  </w:tcBorders>
                  <w:noWrap w:val="0"/>
                  <w:tcMar>
                    <w:top w:w="0" w:type="dxa"/>
                    <w:left w:w="17" w:type="dxa"/>
                    <w:bottom w:w="0" w:type="dxa"/>
                    <w:right w:w="17" w:type="dxa"/>
                  </w:tcMar>
                  <w:vAlign w:val="center"/>
                </w:tcPr>
                <w:p w14:paraId="054E6890">
                  <w:pPr>
                    <w:spacing w:line="300" w:lineRule="exact"/>
                    <w:jc w:val="center"/>
                    <w:rPr>
                      <w:rFonts w:hint="default" w:ascii="Times New Roman" w:hAnsi="Times New Roman" w:eastAsia="宋体" w:cs="Times New Roman"/>
                      <w:b w:val="0"/>
                      <w:bCs w:val="0"/>
                      <w:color w:val="auto"/>
                      <w:highlight w:val="none"/>
                    </w:rPr>
                  </w:pPr>
                  <w:r>
                    <w:rPr>
                      <w:rFonts w:hint="eastAsia" w:cs="Times New Roman"/>
                      <w:b w:val="0"/>
                      <w:bCs w:val="0"/>
                      <w:color w:val="auto"/>
                      <w:highlight w:val="none"/>
                      <w:lang w:val="en-US" w:eastAsia="zh-CN"/>
                    </w:rPr>
                    <w:t>利用</w:t>
                  </w:r>
                  <w:r>
                    <w:rPr>
                      <w:rFonts w:hint="eastAsia" w:ascii="Times New Roman" w:hAnsi="Times New Roman" w:eastAsia="宋体" w:cs="Times New Roman"/>
                      <w:b w:val="0"/>
                      <w:bCs w:val="0"/>
                      <w:color w:val="auto"/>
                      <w:highlight w:val="none"/>
                      <w:lang w:eastAsia="zh-CN"/>
                    </w:rPr>
                    <w:t>现有</w:t>
                  </w:r>
                </w:p>
              </w:tc>
            </w:tr>
            <w:tr w14:paraId="236EB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650" w:type="pct"/>
                  <w:vMerge w:val="continue"/>
                  <w:tcBorders>
                    <w:tl2br w:val="nil"/>
                    <w:tr2bl w:val="nil"/>
                  </w:tcBorders>
                  <w:noWrap w:val="0"/>
                  <w:tcMar>
                    <w:top w:w="0" w:type="dxa"/>
                    <w:left w:w="17" w:type="dxa"/>
                    <w:bottom w:w="0" w:type="dxa"/>
                    <w:right w:w="17" w:type="dxa"/>
                  </w:tcMar>
                  <w:vAlign w:val="center"/>
                </w:tcPr>
                <w:p w14:paraId="1D537DCD">
                  <w:pPr>
                    <w:spacing w:line="300" w:lineRule="exact"/>
                    <w:jc w:val="center"/>
                    <w:rPr>
                      <w:rFonts w:hint="default" w:ascii="Times New Roman" w:hAnsi="Times New Roman" w:eastAsia="宋体" w:cs="Times New Roman"/>
                      <w:b w:val="0"/>
                      <w:bCs w:val="0"/>
                      <w:color w:val="auto"/>
                      <w:highlight w:val="none"/>
                    </w:rPr>
                  </w:pPr>
                </w:p>
              </w:tc>
              <w:tc>
                <w:tcPr>
                  <w:tcW w:w="891" w:type="pct"/>
                  <w:tcBorders>
                    <w:tl2br w:val="nil"/>
                    <w:tr2bl w:val="nil"/>
                  </w:tcBorders>
                  <w:noWrap w:val="0"/>
                  <w:tcMar>
                    <w:top w:w="0" w:type="dxa"/>
                    <w:left w:w="17" w:type="dxa"/>
                    <w:bottom w:w="0" w:type="dxa"/>
                    <w:right w:w="17" w:type="dxa"/>
                  </w:tcMar>
                  <w:vAlign w:val="center"/>
                </w:tcPr>
                <w:p w14:paraId="1E1EC00F">
                  <w:pPr>
                    <w:spacing w:line="300" w:lineRule="exact"/>
                    <w:jc w:val="center"/>
                    <w:rPr>
                      <w:rFonts w:hint="eastAsia"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综合</w:t>
                  </w:r>
                  <w:r>
                    <w:rPr>
                      <w:rFonts w:hint="eastAsia" w:ascii="Times New Roman" w:hAnsi="Times New Roman" w:eastAsia="宋体" w:cs="Times New Roman"/>
                      <w:b w:val="0"/>
                      <w:bCs w:val="0"/>
                      <w:color w:val="auto"/>
                      <w:highlight w:val="none"/>
                      <w:lang w:val="en-US" w:eastAsia="zh-CN"/>
                    </w:rPr>
                    <w:t>车间</w:t>
                  </w:r>
                </w:p>
              </w:tc>
              <w:tc>
                <w:tcPr>
                  <w:tcW w:w="2803" w:type="pct"/>
                  <w:gridSpan w:val="2"/>
                  <w:tcBorders>
                    <w:tl2br w:val="nil"/>
                    <w:tr2bl w:val="nil"/>
                  </w:tcBorders>
                  <w:noWrap w:val="0"/>
                  <w:tcMar>
                    <w:top w:w="0" w:type="dxa"/>
                    <w:left w:w="17" w:type="dxa"/>
                    <w:bottom w:w="0" w:type="dxa"/>
                    <w:right w:w="17" w:type="dxa"/>
                  </w:tcMar>
                  <w:vAlign w:val="center"/>
                </w:tcPr>
                <w:p w14:paraId="4993CA04">
                  <w:pPr>
                    <w:spacing w:line="300" w:lineRule="exact"/>
                    <w:jc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1</w:t>
                  </w:r>
                  <w:r>
                    <w:rPr>
                      <w:rFonts w:hint="eastAsia" w:ascii="Times New Roman" w:hAnsi="Times New Roman" w:eastAsia="宋体" w:cs="Times New Roman"/>
                      <w:b w:val="0"/>
                      <w:bCs w:val="0"/>
                      <w:color w:val="auto"/>
                      <w:highlight w:val="none"/>
                      <w:lang w:val="en-US" w:eastAsia="zh-CN"/>
                    </w:rPr>
                    <w:t>座，</w:t>
                  </w:r>
                  <w:r>
                    <w:rPr>
                      <w:rFonts w:hint="eastAsia" w:cs="Times New Roman"/>
                      <w:b w:val="0"/>
                      <w:bCs w:val="0"/>
                      <w:color w:val="auto"/>
                      <w:highlight w:val="none"/>
                      <w:lang w:val="en-US" w:eastAsia="zh-CN"/>
                    </w:rPr>
                    <w:t>三层，钢筋混凝土结构，</w:t>
                  </w:r>
                  <w:r>
                    <w:rPr>
                      <w:rFonts w:hint="eastAsia" w:ascii="Times New Roman" w:hAnsi="Times New Roman" w:eastAsia="宋体" w:cs="Times New Roman"/>
                      <w:b w:val="0"/>
                      <w:bCs w:val="0"/>
                      <w:color w:val="auto"/>
                      <w:highlight w:val="none"/>
                      <w:lang w:val="en-US" w:eastAsia="zh-CN"/>
                    </w:rPr>
                    <w:t>占地面积</w:t>
                  </w:r>
                  <w:r>
                    <w:rPr>
                      <w:rFonts w:hint="eastAsia" w:cs="Times New Roman"/>
                      <w:b w:val="0"/>
                      <w:bCs w:val="0"/>
                      <w:color w:val="auto"/>
                      <w:highlight w:val="none"/>
                      <w:lang w:val="en-US" w:eastAsia="zh-CN"/>
                    </w:rPr>
                    <w:t>580</w:t>
                  </w:r>
                  <w:r>
                    <w:rPr>
                      <w:rFonts w:hint="default" w:ascii="Times New Roman" w:hAnsi="Times New Roman" w:eastAsia="宋体" w:cs="Times New Roman"/>
                      <w:b w:val="0"/>
                      <w:bCs w:val="0"/>
                      <w:color w:val="auto"/>
                      <w:highlight w:val="none"/>
                    </w:rPr>
                    <w:t>m</w:t>
                  </w:r>
                  <w:r>
                    <w:rPr>
                      <w:rFonts w:hint="default" w:ascii="Times New Roman" w:hAnsi="Times New Roman" w:eastAsia="宋体" w:cs="Times New Roman"/>
                      <w:b w:val="0"/>
                      <w:bCs w:val="0"/>
                      <w:color w:val="auto"/>
                      <w:highlight w:val="none"/>
                      <w:vertAlign w:val="superscript"/>
                    </w:rPr>
                    <w:t>2</w:t>
                  </w:r>
                  <w:r>
                    <w:rPr>
                      <w:rFonts w:hint="eastAsia" w:ascii="Times New Roman" w:hAnsi="Times New Roman" w:eastAsia="宋体" w:cs="Times New Roman"/>
                      <w:b w:val="0"/>
                      <w:bCs w:val="0"/>
                      <w:color w:val="auto"/>
                      <w:highlight w:val="none"/>
                      <w:lang w:val="en-US" w:eastAsia="zh-CN"/>
                    </w:rPr>
                    <w:t>，用于</w:t>
                  </w:r>
                  <w:r>
                    <w:rPr>
                      <w:rFonts w:hint="eastAsia" w:cs="Times New Roman"/>
                      <w:b w:val="0"/>
                      <w:bCs w:val="0"/>
                      <w:color w:val="auto"/>
                      <w:highlight w:val="none"/>
                      <w:lang w:val="en-US" w:eastAsia="zh-CN"/>
                    </w:rPr>
                    <w:t>办公、存放产品，</w:t>
                  </w:r>
                  <w:r>
                    <w:rPr>
                      <w:rFonts w:hint="eastAsia" w:ascii="Times New Roman" w:hAnsi="Times New Roman" w:eastAsia="宋体" w:cs="Times New Roman"/>
                      <w:b w:val="0"/>
                      <w:bCs w:val="0"/>
                      <w:color w:val="auto"/>
                      <w:highlight w:val="none"/>
                      <w:lang w:val="en-US" w:eastAsia="zh-CN"/>
                    </w:rPr>
                    <w:t>生产加工假发、PP带</w:t>
                  </w:r>
                  <w:r>
                    <w:rPr>
                      <w:rFonts w:hint="eastAsia" w:cs="Times New Roman"/>
                      <w:b w:val="0"/>
                      <w:bCs w:val="0"/>
                      <w:color w:val="auto"/>
                      <w:highlight w:val="none"/>
                      <w:lang w:val="en-US" w:eastAsia="zh-CN"/>
                    </w:rPr>
                    <w:t>。</w:t>
                  </w:r>
                </w:p>
              </w:tc>
              <w:tc>
                <w:tcPr>
                  <w:tcW w:w="654" w:type="pct"/>
                  <w:vMerge w:val="continue"/>
                  <w:tcBorders>
                    <w:tl2br w:val="nil"/>
                    <w:tr2bl w:val="nil"/>
                  </w:tcBorders>
                  <w:noWrap w:val="0"/>
                  <w:tcMar>
                    <w:top w:w="0" w:type="dxa"/>
                    <w:left w:w="17" w:type="dxa"/>
                    <w:bottom w:w="0" w:type="dxa"/>
                    <w:right w:w="17" w:type="dxa"/>
                  </w:tcMar>
                  <w:vAlign w:val="center"/>
                </w:tcPr>
                <w:p w14:paraId="77861CE1">
                  <w:pPr>
                    <w:spacing w:line="300" w:lineRule="exact"/>
                    <w:jc w:val="center"/>
                    <w:rPr>
                      <w:rFonts w:hint="eastAsia" w:ascii="Times New Roman" w:hAnsi="Times New Roman" w:eastAsia="宋体" w:cs="Times New Roman"/>
                      <w:b w:val="0"/>
                      <w:bCs w:val="0"/>
                      <w:color w:val="auto"/>
                      <w:highlight w:val="none"/>
                      <w:lang w:eastAsia="zh-CN"/>
                    </w:rPr>
                  </w:pPr>
                </w:p>
              </w:tc>
            </w:tr>
            <w:tr w14:paraId="68DC3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tcBorders>
                    <w:tl2br w:val="nil"/>
                    <w:tr2bl w:val="nil"/>
                  </w:tcBorders>
                  <w:noWrap w:val="0"/>
                  <w:tcMar>
                    <w:top w:w="0" w:type="dxa"/>
                    <w:left w:w="17" w:type="dxa"/>
                    <w:bottom w:w="0" w:type="dxa"/>
                    <w:right w:w="17" w:type="dxa"/>
                  </w:tcMar>
                  <w:vAlign w:val="center"/>
                </w:tcPr>
                <w:p w14:paraId="7FC31836">
                  <w:pPr>
                    <w:spacing w:line="300" w:lineRule="exact"/>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辅助工程</w:t>
                  </w:r>
                </w:p>
              </w:tc>
              <w:tc>
                <w:tcPr>
                  <w:tcW w:w="891" w:type="pct"/>
                  <w:tcBorders>
                    <w:tl2br w:val="nil"/>
                    <w:tr2bl w:val="nil"/>
                  </w:tcBorders>
                  <w:noWrap w:val="0"/>
                  <w:tcMar>
                    <w:top w:w="0" w:type="dxa"/>
                    <w:left w:w="17" w:type="dxa"/>
                    <w:bottom w:w="0" w:type="dxa"/>
                    <w:right w:w="17" w:type="dxa"/>
                  </w:tcMar>
                  <w:vAlign w:val="center"/>
                </w:tcPr>
                <w:p w14:paraId="766571CF">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办公室生活区</w:t>
                  </w:r>
                </w:p>
              </w:tc>
              <w:tc>
                <w:tcPr>
                  <w:tcW w:w="2803" w:type="pct"/>
                  <w:gridSpan w:val="2"/>
                  <w:tcBorders>
                    <w:tl2br w:val="nil"/>
                    <w:tr2bl w:val="nil"/>
                  </w:tcBorders>
                  <w:noWrap w:val="0"/>
                  <w:tcMar>
                    <w:top w:w="0" w:type="dxa"/>
                    <w:left w:w="17" w:type="dxa"/>
                    <w:bottom w:w="0" w:type="dxa"/>
                    <w:right w:w="17" w:type="dxa"/>
                  </w:tcMar>
                  <w:vAlign w:val="center"/>
                </w:tcPr>
                <w:p w14:paraId="62992A88">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val="en-US" w:eastAsia="zh-CN"/>
                    </w:rPr>
                    <w:t>建筑</w:t>
                  </w:r>
                  <w:r>
                    <w:rPr>
                      <w:rFonts w:hint="eastAsia" w:ascii="Times New Roman" w:hAnsi="Times New Roman" w:eastAsia="宋体" w:cs="Times New Roman"/>
                      <w:b w:val="0"/>
                      <w:bCs w:val="0"/>
                      <w:color w:val="auto"/>
                      <w:highlight w:val="none"/>
                      <w:lang w:val="en-US" w:eastAsia="zh-CN"/>
                    </w:rPr>
                    <w:t>面积</w:t>
                  </w:r>
                  <w:r>
                    <w:rPr>
                      <w:rFonts w:hint="eastAsia" w:cs="Times New Roman"/>
                      <w:b w:val="0"/>
                      <w:bCs w:val="0"/>
                      <w:color w:val="auto"/>
                      <w:highlight w:val="none"/>
                      <w:lang w:val="en-US" w:eastAsia="zh-CN"/>
                    </w:rPr>
                    <w:t>75</w:t>
                  </w:r>
                  <w:r>
                    <w:rPr>
                      <w:rFonts w:hint="default" w:ascii="Times New Roman" w:hAnsi="Times New Roman" w:eastAsia="宋体" w:cs="Times New Roman"/>
                      <w:b w:val="0"/>
                      <w:bCs w:val="0"/>
                      <w:color w:val="auto"/>
                      <w:highlight w:val="none"/>
                    </w:rPr>
                    <w:t>m</w:t>
                  </w:r>
                  <w:r>
                    <w:rPr>
                      <w:rFonts w:hint="default" w:ascii="Times New Roman" w:hAnsi="Times New Roman" w:eastAsia="宋体" w:cs="Times New Roman"/>
                      <w:b w:val="0"/>
                      <w:bCs w:val="0"/>
                      <w:color w:val="auto"/>
                      <w:highlight w:val="none"/>
                      <w:vertAlign w:val="superscript"/>
                    </w:rPr>
                    <w:t>2</w:t>
                  </w:r>
                  <w:r>
                    <w:rPr>
                      <w:rFonts w:hint="eastAsia" w:ascii="Times New Roman" w:hAnsi="Times New Roman" w:eastAsia="宋体" w:cs="Times New Roman"/>
                      <w:b w:val="0"/>
                      <w:bCs w:val="0"/>
                      <w:color w:val="auto"/>
                      <w:highlight w:val="none"/>
                      <w:lang w:val="en-US" w:eastAsia="zh-CN"/>
                    </w:rPr>
                    <w:t>，</w:t>
                  </w:r>
                  <w:r>
                    <w:rPr>
                      <w:rFonts w:hint="eastAsia" w:cs="Times New Roman"/>
                      <w:b w:val="0"/>
                      <w:bCs w:val="0"/>
                      <w:color w:val="auto"/>
                      <w:highlight w:val="none"/>
                      <w:lang w:val="en-US" w:eastAsia="zh-CN"/>
                    </w:rPr>
                    <w:t>位于综合车间一楼</w:t>
                  </w:r>
                  <w:r>
                    <w:rPr>
                      <w:rFonts w:hint="eastAsia"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用于职工办公生活</w:t>
                  </w:r>
                  <w:r>
                    <w:rPr>
                      <w:rFonts w:hint="eastAsia" w:cs="Times New Roman"/>
                      <w:b w:val="0"/>
                      <w:bCs w:val="0"/>
                      <w:color w:val="auto"/>
                      <w:highlight w:val="none"/>
                      <w:lang w:eastAsia="zh-CN"/>
                    </w:rPr>
                    <w:t>。</w:t>
                  </w:r>
                </w:p>
              </w:tc>
              <w:tc>
                <w:tcPr>
                  <w:tcW w:w="654" w:type="pct"/>
                  <w:tcBorders>
                    <w:tl2br w:val="nil"/>
                    <w:tr2bl w:val="nil"/>
                  </w:tcBorders>
                  <w:noWrap w:val="0"/>
                  <w:tcMar>
                    <w:top w:w="0" w:type="dxa"/>
                    <w:left w:w="17" w:type="dxa"/>
                    <w:bottom w:w="0" w:type="dxa"/>
                    <w:right w:w="17" w:type="dxa"/>
                  </w:tcMar>
                  <w:vAlign w:val="center"/>
                </w:tcPr>
                <w:p w14:paraId="39FF4072">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r w14:paraId="3F58A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restart"/>
                  <w:tcBorders>
                    <w:tl2br w:val="nil"/>
                    <w:tr2bl w:val="nil"/>
                  </w:tcBorders>
                  <w:noWrap w:val="0"/>
                  <w:tcMar>
                    <w:top w:w="0" w:type="dxa"/>
                    <w:left w:w="17" w:type="dxa"/>
                    <w:bottom w:w="0" w:type="dxa"/>
                    <w:right w:w="17" w:type="dxa"/>
                  </w:tcMar>
                  <w:vAlign w:val="center"/>
                </w:tcPr>
                <w:p w14:paraId="04BD7789">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储运工程</w:t>
                  </w:r>
                </w:p>
              </w:tc>
              <w:tc>
                <w:tcPr>
                  <w:tcW w:w="891" w:type="pct"/>
                  <w:tcBorders>
                    <w:tl2br w:val="nil"/>
                    <w:tr2bl w:val="nil"/>
                  </w:tcBorders>
                  <w:noWrap w:val="0"/>
                  <w:tcMar>
                    <w:top w:w="0" w:type="dxa"/>
                    <w:left w:w="17" w:type="dxa"/>
                    <w:bottom w:w="0" w:type="dxa"/>
                    <w:right w:w="17" w:type="dxa"/>
                  </w:tcMar>
                  <w:vAlign w:val="center"/>
                </w:tcPr>
                <w:p w14:paraId="36E02FB8">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val="en-US" w:eastAsia="zh-CN"/>
                    </w:rPr>
                    <w:t>成品</w:t>
                  </w:r>
                  <w:r>
                    <w:rPr>
                      <w:rFonts w:hint="eastAsia" w:ascii="Times New Roman" w:hAnsi="Times New Roman" w:eastAsia="宋体" w:cs="Times New Roman"/>
                      <w:b w:val="0"/>
                      <w:bCs w:val="0"/>
                      <w:color w:val="auto"/>
                      <w:highlight w:val="none"/>
                      <w:lang w:eastAsia="zh-CN"/>
                    </w:rPr>
                    <w:t>仓库</w:t>
                  </w:r>
                </w:p>
              </w:tc>
              <w:tc>
                <w:tcPr>
                  <w:tcW w:w="2803" w:type="pct"/>
                  <w:gridSpan w:val="2"/>
                  <w:tcBorders>
                    <w:tl2br w:val="nil"/>
                    <w:tr2bl w:val="nil"/>
                  </w:tcBorders>
                  <w:noWrap w:val="0"/>
                  <w:tcMar>
                    <w:top w:w="0" w:type="dxa"/>
                    <w:left w:w="17" w:type="dxa"/>
                    <w:bottom w:w="0" w:type="dxa"/>
                    <w:right w:w="17" w:type="dxa"/>
                  </w:tcMar>
                  <w:vAlign w:val="center"/>
                </w:tcPr>
                <w:p w14:paraId="681738F1">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val="en-US" w:eastAsia="zh-CN"/>
                    </w:rPr>
                    <w:t>建筑</w:t>
                  </w:r>
                  <w:r>
                    <w:rPr>
                      <w:rFonts w:hint="eastAsia" w:ascii="Times New Roman" w:hAnsi="Times New Roman" w:eastAsia="宋体" w:cs="Times New Roman"/>
                      <w:b w:val="0"/>
                      <w:bCs w:val="0"/>
                      <w:color w:val="auto"/>
                      <w:highlight w:val="none"/>
                      <w:lang w:val="en-US" w:eastAsia="zh-CN"/>
                    </w:rPr>
                    <w:t>面积</w:t>
                  </w:r>
                  <w:r>
                    <w:rPr>
                      <w:rFonts w:hint="eastAsia" w:cs="Times New Roman"/>
                      <w:b w:val="0"/>
                      <w:bCs w:val="0"/>
                      <w:color w:val="auto"/>
                      <w:highlight w:val="none"/>
                      <w:lang w:val="en-US" w:eastAsia="zh-CN"/>
                    </w:rPr>
                    <w:t>480</w:t>
                  </w:r>
                  <w:r>
                    <w:rPr>
                      <w:rFonts w:hint="default" w:ascii="Times New Roman" w:hAnsi="Times New Roman" w:eastAsia="宋体" w:cs="Times New Roman"/>
                      <w:b w:val="0"/>
                      <w:bCs w:val="0"/>
                      <w:color w:val="auto"/>
                      <w:highlight w:val="none"/>
                    </w:rPr>
                    <w:t>m</w:t>
                  </w:r>
                  <w:r>
                    <w:rPr>
                      <w:rFonts w:hint="default" w:ascii="Times New Roman" w:hAnsi="Times New Roman" w:eastAsia="宋体" w:cs="Times New Roman"/>
                      <w:b w:val="0"/>
                      <w:bCs w:val="0"/>
                      <w:color w:val="auto"/>
                      <w:highlight w:val="none"/>
                      <w:vertAlign w:val="superscript"/>
                    </w:rPr>
                    <w:t>2</w:t>
                  </w:r>
                  <w:r>
                    <w:rPr>
                      <w:rFonts w:hint="eastAsia" w:ascii="Times New Roman" w:hAnsi="Times New Roman" w:eastAsia="宋体" w:cs="Times New Roman"/>
                      <w:b w:val="0"/>
                      <w:bCs w:val="0"/>
                      <w:color w:val="auto"/>
                      <w:highlight w:val="none"/>
                      <w:lang w:val="en-US" w:eastAsia="zh-CN"/>
                    </w:rPr>
                    <w:t>，</w:t>
                  </w:r>
                  <w:r>
                    <w:rPr>
                      <w:rFonts w:hint="eastAsia" w:cs="Times New Roman"/>
                      <w:b w:val="0"/>
                      <w:bCs w:val="0"/>
                      <w:color w:val="auto"/>
                      <w:highlight w:val="none"/>
                      <w:lang w:val="en-US" w:eastAsia="zh-CN"/>
                    </w:rPr>
                    <w:t>位于综合车间三楼</w:t>
                  </w:r>
                  <w:r>
                    <w:rPr>
                      <w:rFonts w:hint="eastAsia" w:ascii="Times New Roman" w:hAnsi="Times New Roman" w:eastAsia="宋体" w:cs="Times New Roman"/>
                      <w:b w:val="0"/>
                      <w:bCs w:val="0"/>
                      <w:color w:val="auto"/>
                      <w:highlight w:val="none"/>
                      <w:lang w:eastAsia="zh-CN"/>
                    </w:rPr>
                    <w:t>，用于储存产品</w:t>
                  </w:r>
                  <w:r>
                    <w:rPr>
                      <w:rFonts w:hint="eastAsia" w:ascii="Times New Roman" w:hAnsi="Times New Roman" w:eastAsia="宋体" w:cs="Times New Roman"/>
                      <w:b w:val="0"/>
                      <w:bCs w:val="0"/>
                      <w:color w:val="auto"/>
                      <w:highlight w:val="none"/>
                      <w:lang w:val="en-US" w:eastAsia="zh-CN"/>
                    </w:rPr>
                    <w:t>。</w:t>
                  </w:r>
                </w:p>
              </w:tc>
              <w:tc>
                <w:tcPr>
                  <w:tcW w:w="654" w:type="pct"/>
                  <w:tcBorders>
                    <w:tl2br w:val="nil"/>
                    <w:tr2bl w:val="nil"/>
                  </w:tcBorders>
                  <w:noWrap w:val="0"/>
                  <w:tcMar>
                    <w:top w:w="0" w:type="dxa"/>
                    <w:left w:w="17" w:type="dxa"/>
                    <w:bottom w:w="0" w:type="dxa"/>
                    <w:right w:w="17" w:type="dxa"/>
                  </w:tcMar>
                  <w:vAlign w:val="center"/>
                </w:tcPr>
                <w:p w14:paraId="6283722B">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r w14:paraId="48A71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49840546">
                  <w:pPr>
                    <w:spacing w:line="300" w:lineRule="exact"/>
                    <w:jc w:val="center"/>
                    <w:rPr>
                      <w:rFonts w:hint="eastAsia" w:ascii="Times New Roman" w:hAnsi="Times New Roman" w:eastAsia="宋体" w:cs="Times New Roman"/>
                      <w:b w:val="0"/>
                      <w:bCs w:val="0"/>
                      <w:color w:val="auto"/>
                      <w:highlight w:val="none"/>
                      <w:lang w:eastAsia="zh-CN"/>
                    </w:rPr>
                  </w:pPr>
                </w:p>
              </w:tc>
              <w:tc>
                <w:tcPr>
                  <w:tcW w:w="891" w:type="pct"/>
                  <w:tcBorders>
                    <w:tl2br w:val="nil"/>
                    <w:tr2bl w:val="nil"/>
                  </w:tcBorders>
                  <w:noWrap w:val="0"/>
                  <w:tcMar>
                    <w:top w:w="0" w:type="dxa"/>
                    <w:left w:w="17" w:type="dxa"/>
                    <w:bottom w:w="0" w:type="dxa"/>
                    <w:right w:w="17" w:type="dxa"/>
                  </w:tcMar>
                  <w:vAlign w:val="center"/>
                </w:tcPr>
                <w:p w14:paraId="058BD36C">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val="en-US" w:eastAsia="zh-CN"/>
                    </w:rPr>
                    <w:t>原料</w:t>
                  </w:r>
                  <w:r>
                    <w:rPr>
                      <w:rFonts w:hint="eastAsia" w:ascii="Times New Roman" w:hAnsi="Times New Roman" w:eastAsia="宋体" w:cs="Times New Roman"/>
                      <w:b w:val="0"/>
                      <w:bCs w:val="0"/>
                      <w:color w:val="auto"/>
                      <w:highlight w:val="none"/>
                      <w:lang w:eastAsia="zh-CN"/>
                    </w:rPr>
                    <w:t>仓库</w:t>
                  </w:r>
                </w:p>
              </w:tc>
              <w:tc>
                <w:tcPr>
                  <w:tcW w:w="2803" w:type="pct"/>
                  <w:gridSpan w:val="2"/>
                  <w:tcBorders>
                    <w:tl2br w:val="nil"/>
                    <w:tr2bl w:val="nil"/>
                  </w:tcBorders>
                  <w:noWrap w:val="0"/>
                  <w:tcMar>
                    <w:top w:w="0" w:type="dxa"/>
                    <w:left w:w="17" w:type="dxa"/>
                    <w:bottom w:w="0" w:type="dxa"/>
                    <w:right w:w="17" w:type="dxa"/>
                  </w:tcMar>
                  <w:vAlign w:val="center"/>
                </w:tcPr>
                <w:p w14:paraId="4B7D0507">
                  <w:pPr>
                    <w:spacing w:line="300" w:lineRule="exact"/>
                    <w:jc w:val="center"/>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占地面积</w:t>
                  </w:r>
                  <w:r>
                    <w:rPr>
                      <w:rFonts w:hint="eastAsia" w:cs="Times New Roman"/>
                      <w:b w:val="0"/>
                      <w:bCs w:val="0"/>
                      <w:color w:val="auto"/>
                      <w:highlight w:val="none"/>
                      <w:lang w:val="en-US" w:eastAsia="zh-CN"/>
                    </w:rPr>
                    <w:t>90</w:t>
                  </w:r>
                  <w:r>
                    <w:rPr>
                      <w:rFonts w:hint="default" w:ascii="Times New Roman" w:hAnsi="Times New Roman" w:eastAsia="宋体" w:cs="Times New Roman"/>
                      <w:b w:val="0"/>
                      <w:bCs w:val="0"/>
                      <w:color w:val="auto"/>
                      <w:highlight w:val="none"/>
                    </w:rPr>
                    <w:t>m</w:t>
                  </w:r>
                  <w:r>
                    <w:rPr>
                      <w:rFonts w:hint="default" w:ascii="Times New Roman" w:hAnsi="Times New Roman" w:eastAsia="宋体" w:cs="Times New Roman"/>
                      <w:b w:val="0"/>
                      <w:bCs w:val="0"/>
                      <w:color w:val="auto"/>
                      <w:highlight w:val="none"/>
                      <w:vertAlign w:val="superscript"/>
                    </w:rPr>
                    <w:t>2</w:t>
                  </w:r>
                  <w:r>
                    <w:rPr>
                      <w:rFonts w:hint="eastAsia" w:ascii="Times New Roman" w:hAnsi="Times New Roman" w:eastAsia="宋体" w:cs="Times New Roman"/>
                      <w:b w:val="0"/>
                      <w:bCs w:val="0"/>
                      <w:color w:val="auto"/>
                      <w:highlight w:val="none"/>
                      <w:lang w:val="en-US" w:eastAsia="zh-CN"/>
                    </w:rPr>
                    <w:t>，</w:t>
                  </w:r>
                  <w:r>
                    <w:rPr>
                      <w:rFonts w:hint="eastAsia" w:cs="Times New Roman"/>
                      <w:b w:val="0"/>
                      <w:bCs w:val="0"/>
                      <w:color w:val="auto"/>
                      <w:highlight w:val="none"/>
                      <w:lang w:val="en-US" w:eastAsia="zh-CN"/>
                    </w:rPr>
                    <w:t>位于抽丝车间内</w:t>
                  </w:r>
                  <w:r>
                    <w:rPr>
                      <w:rFonts w:hint="eastAsia" w:ascii="Times New Roman" w:hAnsi="Times New Roman" w:eastAsia="宋体" w:cs="Times New Roman"/>
                      <w:b w:val="0"/>
                      <w:bCs w:val="0"/>
                      <w:color w:val="auto"/>
                      <w:highlight w:val="none"/>
                      <w:lang w:eastAsia="zh-CN"/>
                    </w:rPr>
                    <w:t>，用于储存原料</w:t>
                  </w:r>
                  <w:r>
                    <w:rPr>
                      <w:rFonts w:hint="eastAsia" w:ascii="Times New Roman" w:hAnsi="Times New Roman" w:eastAsia="宋体" w:cs="Times New Roman"/>
                      <w:b w:val="0"/>
                      <w:bCs w:val="0"/>
                      <w:color w:val="auto"/>
                      <w:highlight w:val="none"/>
                      <w:lang w:val="en-US" w:eastAsia="zh-CN"/>
                    </w:rPr>
                    <w:t>。</w:t>
                  </w:r>
                </w:p>
              </w:tc>
              <w:tc>
                <w:tcPr>
                  <w:tcW w:w="654" w:type="pct"/>
                  <w:tcBorders>
                    <w:tl2br w:val="nil"/>
                    <w:tr2bl w:val="nil"/>
                  </w:tcBorders>
                  <w:noWrap w:val="0"/>
                  <w:tcMar>
                    <w:top w:w="0" w:type="dxa"/>
                    <w:left w:w="17" w:type="dxa"/>
                    <w:bottom w:w="0" w:type="dxa"/>
                    <w:right w:w="17" w:type="dxa"/>
                  </w:tcMar>
                  <w:vAlign w:val="center"/>
                </w:tcPr>
                <w:p w14:paraId="395862A7">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r w14:paraId="6A672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restart"/>
                  <w:tcBorders>
                    <w:tl2br w:val="nil"/>
                    <w:tr2bl w:val="nil"/>
                  </w:tcBorders>
                  <w:noWrap w:val="0"/>
                  <w:tcMar>
                    <w:top w:w="0" w:type="dxa"/>
                    <w:left w:w="17" w:type="dxa"/>
                    <w:bottom w:w="0" w:type="dxa"/>
                    <w:right w:w="17" w:type="dxa"/>
                  </w:tcMar>
                  <w:vAlign w:val="center"/>
                </w:tcPr>
                <w:p w14:paraId="17DE5059">
                  <w:pPr>
                    <w:spacing w:line="300" w:lineRule="exact"/>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公用工程</w:t>
                  </w:r>
                </w:p>
              </w:tc>
              <w:tc>
                <w:tcPr>
                  <w:tcW w:w="891" w:type="pct"/>
                  <w:tcBorders>
                    <w:tl2br w:val="nil"/>
                    <w:tr2bl w:val="nil"/>
                  </w:tcBorders>
                  <w:noWrap w:val="0"/>
                  <w:tcMar>
                    <w:top w:w="0" w:type="dxa"/>
                    <w:left w:w="17" w:type="dxa"/>
                    <w:bottom w:w="0" w:type="dxa"/>
                    <w:right w:w="17" w:type="dxa"/>
                  </w:tcMar>
                  <w:vAlign w:val="center"/>
                </w:tcPr>
                <w:p w14:paraId="4A2AC0C3">
                  <w:pPr>
                    <w:spacing w:line="300" w:lineRule="exact"/>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供电系统</w:t>
                  </w:r>
                </w:p>
              </w:tc>
              <w:tc>
                <w:tcPr>
                  <w:tcW w:w="2803" w:type="pct"/>
                  <w:gridSpan w:val="2"/>
                  <w:tcBorders>
                    <w:tl2br w:val="nil"/>
                    <w:tr2bl w:val="nil"/>
                  </w:tcBorders>
                  <w:noWrap w:val="0"/>
                  <w:tcMar>
                    <w:top w:w="0" w:type="dxa"/>
                    <w:left w:w="17" w:type="dxa"/>
                    <w:bottom w:w="0" w:type="dxa"/>
                    <w:right w:w="17" w:type="dxa"/>
                  </w:tcMar>
                  <w:vAlign w:val="center"/>
                </w:tcPr>
                <w:p w14:paraId="4FD75F27">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lang w:val="en-US" w:eastAsia="zh-CN"/>
                    </w:rPr>
                    <w:t>沂源县国家电网提供</w:t>
                  </w:r>
                  <w:r>
                    <w:rPr>
                      <w:rFonts w:hint="default" w:ascii="Times New Roman" w:hAnsi="Times New Roman" w:eastAsia="宋体" w:cs="Times New Roman"/>
                      <w:b w:val="0"/>
                      <w:bCs w:val="0"/>
                      <w:color w:val="auto"/>
                      <w:highlight w:val="none"/>
                      <w:lang w:val="en-US" w:eastAsia="zh-CN"/>
                    </w:rPr>
                    <w:t>，年用电量</w:t>
                  </w:r>
                  <w:r>
                    <w:rPr>
                      <w:rFonts w:hint="eastAsia" w:ascii="Times New Roman" w:hAnsi="Times New Roman" w:eastAsia="宋体" w:cs="Times New Roman"/>
                      <w:b w:val="0"/>
                      <w:bCs w:val="0"/>
                      <w:color w:val="auto"/>
                      <w:highlight w:val="none"/>
                      <w:lang w:val="en-US" w:eastAsia="zh-CN"/>
                    </w:rPr>
                    <w:t>约200万k</w:t>
                  </w:r>
                  <w:r>
                    <w:rPr>
                      <w:rFonts w:hint="default" w:ascii="Times New Roman" w:hAnsi="Times New Roman" w:eastAsia="宋体" w:cs="Times New Roman"/>
                      <w:b w:val="0"/>
                      <w:bCs w:val="0"/>
                      <w:color w:val="auto"/>
                      <w:highlight w:val="none"/>
                      <w:lang w:val="en-US" w:eastAsia="zh-CN"/>
                    </w:rPr>
                    <w:t>W</w:t>
                  </w:r>
                  <w:r>
                    <w:rPr>
                      <w:rFonts w:hint="eastAsia" w:ascii="Times New Roman" w:hAnsi="Times New Roman" w:eastAsia="宋体"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h</w:t>
                  </w:r>
                  <w:r>
                    <w:rPr>
                      <w:rFonts w:hint="eastAsia" w:ascii="Times New Roman" w:hAnsi="Times New Roman" w:eastAsia="宋体" w:cs="Times New Roman"/>
                      <w:b w:val="0"/>
                      <w:bCs w:val="0"/>
                      <w:color w:val="auto"/>
                      <w:highlight w:val="none"/>
                      <w:lang w:val="en-US" w:eastAsia="zh-CN"/>
                    </w:rPr>
                    <w:t>。</w:t>
                  </w:r>
                </w:p>
              </w:tc>
              <w:tc>
                <w:tcPr>
                  <w:tcW w:w="654" w:type="pct"/>
                  <w:tcBorders>
                    <w:tl2br w:val="nil"/>
                    <w:tr2bl w:val="nil"/>
                  </w:tcBorders>
                  <w:noWrap w:val="0"/>
                  <w:tcMar>
                    <w:top w:w="0" w:type="dxa"/>
                    <w:left w:w="17" w:type="dxa"/>
                    <w:bottom w:w="0" w:type="dxa"/>
                    <w:right w:w="17" w:type="dxa"/>
                  </w:tcMar>
                  <w:vAlign w:val="center"/>
                </w:tcPr>
                <w:p w14:paraId="6A5CC020">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r w14:paraId="7B3EB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714D94B4">
                  <w:pPr>
                    <w:spacing w:line="300" w:lineRule="exact"/>
                    <w:jc w:val="center"/>
                    <w:rPr>
                      <w:rFonts w:hint="default" w:ascii="Times New Roman" w:hAnsi="Times New Roman" w:eastAsia="宋体" w:cs="Times New Roman"/>
                      <w:b w:val="0"/>
                      <w:bCs w:val="0"/>
                      <w:color w:val="auto"/>
                      <w:highlight w:val="none"/>
                    </w:rPr>
                  </w:pPr>
                </w:p>
              </w:tc>
              <w:tc>
                <w:tcPr>
                  <w:tcW w:w="891" w:type="pct"/>
                  <w:tcBorders>
                    <w:tl2br w:val="nil"/>
                    <w:tr2bl w:val="nil"/>
                  </w:tcBorders>
                  <w:noWrap w:val="0"/>
                  <w:tcMar>
                    <w:top w:w="0" w:type="dxa"/>
                    <w:left w:w="17" w:type="dxa"/>
                    <w:bottom w:w="0" w:type="dxa"/>
                    <w:right w:w="17" w:type="dxa"/>
                  </w:tcMar>
                  <w:vAlign w:val="center"/>
                </w:tcPr>
                <w:p w14:paraId="6C3D5978">
                  <w:pPr>
                    <w:spacing w:line="300" w:lineRule="exact"/>
                    <w:jc w:val="center"/>
                    <w:rPr>
                      <w:rFonts w:hint="default"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lang w:eastAsia="zh-CN"/>
                    </w:rPr>
                    <w:t>给水</w:t>
                  </w:r>
                  <w:r>
                    <w:rPr>
                      <w:rFonts w:hint="default" w:ascii="Times New Roman" w:hAnsi="Times New Roman" w:eastAsia="宋体" w:cs="Times New Roman"/>
                      <w:b w:val="0"/>
                      <w:bCs w:val="0"/>
                      <w:color w:val="auto"/>
                      <w:highlight w:val="none"/>
                    </w:rPr>
                    <w:t>系统</w:t>
                  </w:r>
                </w:p>
              </w:tc>
              <w:tc>
                <w:tcPr>
                  <w:tcW w:w="2803" w:type="pct"/>
                  <w:gridSpan w:val="2"/>
                  <w:tcBorders>
                    <w:tl2br w:val="nil"/>
                    <w:tr2bl w:val="nil"/>
                  </w:tcBorders>
                  <w:noWrap w:val="0"/>
                  <w:tcMar>
                    <w:top w:w="0" w:type="dxa"/>
                    <w:left w:w="17" w:type="dxa"/>
                    <w:bottom w:w="0" w:type="dxa"/>
                    <w:right w:w="17" w:type="dxa"/>
                  </w:tcMar>
                  <w:vAlign w:val="center"/>
                </w:tcPr>
                <w:p w14:paraId="20C83040">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lang w:eastAsia="zh-CN"/>
                    </w:rPr>
                    <w:t>由</w:t>
                  </w:r>
                  <w:r>
                    <w:rPr>
                      <w:rFonts w:hint="eastAsia" w:cs="Times New Roman"/>
                      <w:b w:val="0"/>
                      <w:bCs w:val="0"/>
                      <w:color w:val="auto"/>
                      <w:highlight w:val="none"/>
                      <w:lang w:val="en-US" w:eastAsia="zh-CN"/>
                    </w:rPr>
                    <w:t>沂源县</w:t>
                  </w:r>
                  <w:r>
                    <w:rPr>
                      <w:rFonts w:hint="eastAsia" w:ascii="Times New Roman" w:hAnsi="Times New Roman" w:eastAsia="宋体" w:cs="Times New Roman"/>
                      <w:b w:val="0"/>
                      <w:bCs w:val="0"/>
                      <w:color w:val="auto"/>
                      <w:highlight w:val="none"/>
                      <w:lang w:eastAsia="zh-CN"/>
                    </w:rPr>
                    <w:t>自来水管网供给</w:t>
                  </w:r>
                  <w:r>
                    <w:rPr>
                      <w:rFonts w:hint="eastAsia" w:ascii="Times New Roman" w:hAnsi="Times New Roman" w:eastAsia="宋体" w:cs="Times New Roman"/>
                      <w:b w:val="0"/>
                      <w:bCs w:val="0"/>
                      <w:color w:val="auto"/>
                      <w:highlight w:val="none"/>
                    </w:rPr>
                    <w:t>。</w:t>
                  </w:r>
                </w:p>
              </w:tc>
              <w:tc>
                <w:tcPr>
                  <w:tcW w:w="654" w:type="pct"/>
                  <w:tcBorders>
                    <w:tl2br w:val="nil"/>
                    <w:tr2bl w:val="nil"/>
                  </w:tcBorders>
                  <w:noWrap w:val="0"/>
                  <w:tcMar>
                    <w:top w:w="0" w:type="dxa"/>
                    <w:left w:w="17" w:type="dxa"/>
                    <w:bottom w:w="0" w:type="dxa"/>
                    <w:right w:w="17" w:type="dxa"/>
                  </w:tcMar>
                  <w:vAlign w:val="center"/>
                </w:tcPr>
                <w:p w14:paraId="4C1E0FA6">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r w14:paraId="01588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5137B62E">
                  <w:pPr>
                    <w:spacing w:line="300" w:lineRule="exact"/>
                    <w:jc w:val="center"/>
                    <w:rPr>
                      <w:rFonts w:hint="default" w:ascii="Times New Roman" w:hAnsi="Times New Roman" w:eastAsia="宋体" w:cs="Times New Roman"/>
                      <w:b w:val="0"/>
                      <w:bCs w:val="0"/>
                      <w:color w:val="auto"/>
                      <w:highlight w:val="none"/>
                    </w:rPr>
                  </w:pPr>
                </w:p>
              </w:tc>
              <w:tc>
                <w:tcPr>
                  <w:tcW w:w="891" w:type="pct"/>
                  <w:tcBorders>
                    <w:tl2br w:val="nil"/>
                    <w:tr2bl w:val="nil"/>
                  </w:tcBorders>
                  <w:noWrap w:val="0"/>
                  <w:tcMar>
                    <w:top w:w="0" w:type="dxa"/>
                    <w:left w:w="17" w:type="dxa"/>
                    <w:bottom w:w="0" w:type="dxa"/>
                    <w:right w:w="17" w:type="dxa"/>
                  </w:tcMar>
                  <w:vAlign w:val="center"/>
                </w:tcPr>
                <w:p w14:paraId="7948EB26">
                  <w:pPr>
                    <w:spacing w:line="300" w:lineRule="exact"/>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排水系统</w:t>
                  </w:r>
                </w:p>
              </w:tc>
              <w:tc>
                <w:tcPr>
                  <w:tcW w:w="2803" w:type="pct"/>
                  <w:gridSpan w:val="2"/>
                  <w:tcBorders>
                    <w:tl2br w:val="nil"/>
                    <w:tr2bl w:val="nil"/>
                  </w:tcBorders>
                  <w:noWrap w:val="0"/>
                  <w:tcMar>
                    <w:top w:w="0" w:type="dxa"/>
                    <w:left w:w="17" w:type="dxa"/>
                    <w:bottom w:w="0" w:type="dxa"/>
                    <w:right w:w="17" w:type="dxa"/>
                  </w:tcMar>
                  <w:vAlign w:val="center"/>
                </w:tcPr>
                <w:p w14:paraId="5CB4EE31">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雨污分流，雨水经雨水沟排放</w:t>
                  </w:r>
                  <w:r>
                    <w:rPr>
                      <w:rFonts w:hint="eastAsia" w:cs="Times New Roman"/>
                      <w:b w:val="0"/>
                      <w:bCs w:val="0"/>
                      <w:color w:val="auto"/>
                      <w:highlight w:val="none"/>
                      <w:lang w:eastAsia="zh-CN"/>
                    </w:rPr>
                    <w:t>。</w:t>
                  </w:r>
                </w:p>
              </w:tc>
              <w:tc>
                <w:tcPr>
                  <w:tcW w:w="654" w:type="pct"/>
                  <w:tcBorders>
                    <w:tl2br w:val="nil"/>
                    <w:tr2bl w:val="nil"/>
                  </w:tcBorders>
                  <w:noWrap w:val="0"/>
                  <w:tcMar>
                    <w:top w:w="0" w:type="dxa"/>
                    <w:left w:w="17" w:type="dxa"/>
                    <w:bottom w:w="0" w:type="dxa"/>
                    <w:right w:w="17" w:type="dxa"/>
                  </w:tcMar>
                  <w:vAlign w:val="center"/>
                </w:tcPr>
                <w:p w14:paraId="4D3D5CCF">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r w14:paraId="73E6E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650" w:type="pct"/>
                  <w:vMerge w:val="restart"/>
                  <w:tcBorders>
                    <w:tl2br w:val="nil"/>
                    <w:tr2bl w:val="nil"/>
                  </w:tcBorders>
                  <w:noWrap w:val="0"/>
                  <w:tcMar>
                    <w:top w:w="0" w:type="dxa"/>
                    <w:left w:w="17" w:type="dxa"/>
                    <w:bottom w:w="0" w:type="dxa"/>
                    <w:right w:w="17" w:type="dxa"/>
                  </w:tcMar>
                  <w:vAlign w:val="center"/>
                </w:tcPr>
                <w:p w14:paraId="4C505EB5">
                  <w:pPr>
                    <w:spacing w:line="300" w:lineRule="exact"/>
                    <w:jc w:val="center"/>
                    <w:rPr>
                      <w:rFonts w:hint="default"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rPr>
                    <w:t>环保</w:t>
                  </w:r>
                  <w:r>
                    <w:rPr>
                      <w:rFonts w:hint="default" w:ascii="Times New Roman" w:hAnsi="Times New Roman" w:eastAsia="宋体" w:cs="Times New Roman"/>
                      <w:b w:val="0"/>
                      <w:bCs w:val="0"/>
                      <w:color w:val="auto"/>
                      <w:highlight w:val="none"/>
                    </w:rPr>
                    <w:t>工程</w:t>
                  </w:r>
                </w:p>
              </w:tc>
              <w:tc>
                <w:tcPr>
                  <w:tcW w:w="891" w:type="pct"/>
                  <w:vMerge w:val="restart"/>
                  <w:tcBorders>
                    <w:tl2br w:val="nil"/>
                    <w:tr2bl w:val="nil"/>
                  </w:tcBorders>
                  <w:noWrap w:val="0"/>
                  <w:tcMar>
                    <w:top w:w="0" w:type="dxa"/>
                    <w:left w:w="17" w:type="dxa"/>
                    <w:bottom w:w="0" w:type="dxa"/>
                    <w:right w:w="17" w:type="dxa"/>
                  </w:tcMar>
                  <w:vAlign w:val="center"/>
                </w:tcPr>
                <w:p w14:paraId="3256E231">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rPr>
                    <w:t>废气处理</w:t>
                  </w:r>
                </w:p>
              </w:tc>
              <w:tc>
                <w:tcPr>
                  <w:tcW w:w="635" w:type="pct"/>
                  <w:vMerge w:val="restart"/>
                  <w:tcBorders>
                    <w:tl2br w:val="nil"/>
                    <w:tr2bl w:val="nil"/>
                  </w:tcBorders>
                  <w:noWrap w:val="0"/>
                  <w:tcMar>
                    <w:top w:w="0" w:type="dxa"/>
                    <w:left w:w="17" w:type="dxa"/>
                    <w:bottom w:w="0" w:type="dxa"/>
                    <w:right w:w="17" w:type="dxa"/>
                  </w:tcMar>
                  <w:vAlign w:val="center"/>
                </w:tcPr>
                <w:p w14:paraId="207956D4">
                  <w:pPr>
                    <w:spacing w:line="300" w:lineRule="exact"/>
                    <w:jc w:val="center"/>
                    <w:rPr>
                      <w:rFonts w:hint="eastAsia"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有组织</w:t>
                  </w:r>
                </w:p>
              </w:tc>
              <w:tc>
                <w:tcPr>
                  <w:tcW w:w="2168" w:type="pct"/>
                  <w:tcBorders>
                    <w:tl2br w:val="nil"/>
                    <w:tr2bl w:val="nil"/>
                  </w:tcBorders>
                  <w:shd w:val="clear" w:color="auto" w:fill="auto"/>
                  <w:noWrap w:val="0"/>
                  <w:tcMar>
                    <w:top w:w="0" w:type="dxa"/>
                    <w:left w:w="17" w:type="dxa"/>
                    <w:bottom w:w="0" w:type="dxa"/>
                    <w:right w:w="17" w:type="dxa"/>
                  </w:tcMar>
                  <w:vAlign w:val="center"/>
                </w:tcPr>
                <w:p w14:paraId="4A6CA980">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312" w:lineRule="exact"/>
                    <w:jc w:val="center"/>
                    <w:textAlignment w:val="auto"/>
                    <w:outlineLvl w:val="0"/>
                    <w:rPr>
                      <w:rFonts w:hint="eastAsia" w:ascii="Times New Roman" w:hAnsi="Times New Roman" w:eastAsia="宋体" w:cs="Times New Roman"/>
                      <w:color w:val="auto"/>
                      <w:kern w:val="0"/>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纺丝和冷却、油剂、牵伸、压花、烘干定型、纺丝组件清洗工序</w:t>
                  </w:r>
                  <w:r>
                    <w:rPr>
                      <w:rFonts w:hint="eastAsia" w:ascii="Times New Roman" w:hAnsi="Times New Roman" w:eastAsia="宋体" w:cs="Times New Roman"/>
                      <w:b w:val="0"/>
                      <w:bCs w:val="0"/>
                      <w:color w:val="auto"/>
                      <w:kern w:val="2"/>
                      <w:sz w:val="21"/>
                      <w:szCs w:val="24"/>
                      <w:highlight w:val="none"/>
                      <w:lang w:val="en-US" w:eastAsia="zh-CN" w:bidi="ar-SA"/>
                    </w:rPr>
                    <w:t>产生的VOCs经二级活性炭吸附装置+15m高排气筒DA001排放。</w:t>
                  </w:r>
                </w:p>
              </w:tc>
              <w:tc>
                <w:tcPr>
                  <w:tcW w:w="654" w:type="pct"/>
                  <w:vMerge w:val="restart"/>
                  <w:tcBorders>
                    <w:tl2br w:val="nil"/>
                    <w:tr2bl w:val="nil"/>
                  </w:tcBorders>
                  <w:noWrap w:val="0"/>
                  <w:tcMar>
                    <w:top w:w="0" w:type="dxa"/>
                    <w:left w:w="17" w:type="dxa"/>
                    <w:bottom w:w="0" w:type="dxa"/>
                    <w:right w:w="17" w:type="dxa"/>
                  </w:tcMar>
                  <w:vAlign w:val="center"/>
                </w:tcPr>
                <w:p w14:paraId="31FBAC44">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val="en-US" w:eastAsia="zh-CN"/>
                    </w:rPr>
                    <w:t>新建</w:t>
                  </w:r>
                </w:p>
              </w:tc>
            </w:tr>
            <w:tr w14:paraId="21949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650" w:type="pct"/>
                  <w:vMerge w:val="continue"/>
                  <w:tcBorders>
                    <w:tl2br w:val="nil"/>
                    <w:tr2bl w:val="nil"/>
                  </w:tcBorders>
                  <w:noWrap w:val="0"/>
                  <w:tcMar>
                    <w:top w:w="0" w:type="dxa"/>
                    <w:left w:w="17" w:type="dxa"/>
                    <w:bottom w:w="0" w:type="dxa"/>
                    <w:right w:w="17" w:type="dxa"/>
                  </w:tcMar>
                  <w:vAlign w:val="center"/>
                </w:tcPr>
                <w:p w14:paraId="6A57457B">
                  <w:pPr>
                    <w:spacing w:line="300" w:lineRule="exact"/>
                    <w:jc w:val="center"/>
                    <w:rPr>
                      <w:color w:val="auto"/>
                    </w:rPr>
                  </w:pPr>
                </w:p>
              </w:tc>
              <w:tc>
                <w:tcPr>
                  <w:tcW w:w="891" w:type="pct"/>
                  <w:vMerge w:val="continue"/>
                  <w:tcBorders>
                    <w:tl2br w:val="nil"/>
                    <w:tr2bl w:val="nil"/>
                  </w:tcBorders>
                  <w:noWrap w:val="0"/>
                  <w:tcMar>
                    <w:top w:w="0" w:type="dxa"/>
                    <w:left w:w="17" w:type="dxa"/>
                    <w:bottom w:w="0" w:type="dxa"/>
                    <w:right w:w="17" w:type="dxa"/>
                  </w:tcMar>
                  <w:vAlign w:val="center"/>
                </w:tcPr>
                <w:p w14:paraId="26F57C4A">
                  <w:pPr>
                    <w:spacing w:line="300" w:lineRule="exact"/>
                    <w:jc w:val="center"/>
                    <w:rPr>
                      <w:color w:val="auto"/>
                    </w:rPr>
                  </w:pPr>
                </w:p>
              </w:tc>
              <w:tc>
                <w:tcPr>
                  <w:tcW w:w="635" w:type="pct"/>
                  <w:vMerge w:val="continue"/>
                  <w:tcBorders>
                    <w:tl2br w:val="nil"/>
                    <w:tr2bl w:val="nil"/>
                  </w:tcBorders>
                  <w:shd w:val="clear" w:color="auto" w:fill="auto"/>
                  <w:noWrap w:val="0"/>
                  <w:tcMar>
                    <w:top w:w="0" w:type="dxa"/>
                    <w:left w:w="17" w:type="dxa"/>
                    <w:bottom w:w="0" w:type="dxa"/>
                    <w:right w:w="17" w:type="dxa"/>
                  </w:tcMar>
                  <w:vAlign w:val="center"/>
                </w:tcPr>
                <w:p w14:paraId="69AE3204">
                  <w:pPr>
                    <w:spacing w:line="300" w:lineRule="exact"/>
                    <w:jc w:val="center"/>
                    <w:rPr>
                      <w:rFonts w:ascii="Times New Roman" w:hAnsi="Times New Roman" w:eastAsia="宋体" w:cs="Times New Roman"/>
                      <w:color w:val="auto"/>
                      <w:kern w:val="2"/>
                      <w:sz w:val="21"/>
                      <w:szCs w:val="24"/>
                      <w:lang w:val="en-US" w:eastAsia="zh-CN" w:bidi="ar-SA"/>
                    </w:rPr>
                  </w:pPr>
                </w:p>
              </w:tc>
              <w:tc>
                <w:tcPr>
                  <w:tcW w:w="2168" w:type="pct"/>
                  <w:tcBorders>
                    <w:tl2br w:val="nil"/>
                    <w:tr2bl w:val="nil"/>
                  </w:tcBorders>
                  <w:shd w:val="clear" w:color="auto" w:fill="auto"/>
                  <w:noWrap w:val="0"/>
                  <w:tcMar>
                    <w:top w:w="0" w:type="dxa"/>
                    <w:left w:w="17" w:type="dxa"/>
                    <w:bottom w:w="0" w:type="dxa"/>
                    <w:right w:w="17" w:type="dxa"/>
                  </w:tcMar>
                  <w:vAlign w:val="center"/>
                </w:tcPr>
                <w:p w14:paraId="658B5A95">
                  <w:pPr>
                    <w:spacing w:line="300" w:lineRule="exact"/>
                    <w:jc w:val="center"/>
                    <w:rPr>
                      <w:rFonts w:hint="default"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磨尖废气产生的颗粒物经</w:t>
                  </w:r>
                  <w:r>
                    <w:rPr>
                      <w:rFonts w:hint="eastAsia" w:cs="Times New Roman"/>
                      <w:b w:val="0"/>
                      <w:bCs w:val="0"/>
                      <w:color w:val="auto"/>
                      <w:highlight w:val="none"/>
                      <w:lang w:val="en-US" w:eastAsia="zh-CN"/>
                    </w:rPr>
                    <w:t>除尘器</w:t>
                  </w:r>
                  <w:r>
                    <w:rPr>
                      <w:rFonts w:hint="eastAsia" w:ascii="Times New Roman" w:hAnsi="Times New Roman" w:eastAsia="宋体" w:cs="Times New Roman"/>
                      <w:b w:val="0"/>
                      <w:bCs w:val="0"/>
                      <w:color w:val="auto"/>
                      <w:highlight w:val="none"/>
                      <w:lang w:val="en-US" w:eastAsia="zh-CN"/>
                    </w:rPr>
                    <w:t>+15m高排气筒DA00</w:t>
                  </w:r>
                  <w:r>
                    <w:rPr>
                      <w:rFonts w:hint="eastAsia" w:cs="Times New Roman"/>
                      <w:b w:val="0"/>
                      <w:bCs w:val="0"/>
                      <w:color w:val="auto"/>
                      <w:highlight w:val="none"/>
                      <w:lang w:val="en-US" w:eastAsia="zh-CN"/>
                    </w:rPr>
                    <w:t>2</w:t>
                  </w:r>
                  <w:r>
                    <w:rPr>
                      <w:rFonts w:hint="eastAsia" w:ascii="Times New Roman" w:hAnsi="Times New Roman" w:eastAsia="宋体" w:cs="Times New Roman"/>
                      <w:b w:val="0"/>
                      <w:bCs w:val="0"/>
                      <w:color w:val="auto"/>
                      <w:highlight w:val="none"/>
                      <w:lang w:val="en-US" w:eastAsia="zh-CN"/>
                    </w:rPr>
                    <w:t>排放。</w:t>
                  </w:r>
                </w:p>
              </w:tc>
              <w:tc>
                <w:tcPr>
                  <w:tcW w:w="654" w:type="pct"/>
                  <w:vMerge w:val="continue"/>
                  <w:tcBorders>
                    <w:tl2br w:val="nil"/>
                    <w:tr2bl w:val="nil"/>
                  </w:tcBorders>
                  <w:noWrap w:val="0"/>
                  <w:tcMar>
                    <w:top w:w="0" w:type="dxa"/>
                    <w:left w:w="17" w:type="dxa"/>
                    <w:bottom w:w="0" w:type="dxa"/>
                    <w:right w:w="17" w:type="dxa"/>
                  </w:tcMar>
                  <w:vAlign w:val="center"/>
                </w:tcPr>
                <w:p w14:paraId="3ACDF72B">
                  <w:pPr>
                    <w:spacing w:line="300" w:lineRule="exact"/>
                    <w:jc w:val="center"/>
                    <w:rPr>
                      <w:color w:val="auto"/>
                    </w:rPr>
                  </w:pPr>
                </w:p>
              </w:tc>
            </w:tr>
            <w:tr w14:paraId="071E0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650" w:type="pct"/>
                  <w:vMerge w:val="continue"/>
                  <w:tcBorders>
                    <w:tl2br w:val="nil"/>
                    <w:tr2bl w:val="nil"/>
                  </w:tcBorders>
                  <w:noWrap w:val="0"/>
                  <w:tcMar>
                    <w:top w:w="0" w:type="dxa"/>
                    <w:left w:w="17" w:type="dxa"/>
                    <w:bottom w:w="0" w:type="dxa"/>
                    <w:right w:w="17" w:type="dxa"/>
                  </w:tcMar>
                  <w:vAlign w:val="center"/>
                </w:tcPr>
                <w:p w14:paraId="3635D8B7">
                  <w:pPr>
                    <w:spacing w:line="300" w:lineRule="exact"/>
                    <w:jc w:val="center"/>
                    <w:rPr>
                      <w:color w:val="auto"/>
                    </w:rPr>
                  </w:pPr>
                </w:p>
              </w:tc>
              <w:tc>
                <w:tcPr>
                  <w:tcW w:w="891" w:type="pct"/>
                  <w:vMerge w:val="continue"/>
                  <w:tcBorders>
                    <w:tl2br w:val="nil"/>
                    <w:tr2bl w:val="nil"/>
                  </w:tcBorders>
                  <w:noWrap w:val="0"/>
                  <w:tcMar>
                    <w:top w:w="0" w:type="dxa"/>
                    <w:left w:w="17" w:type="dxa"/>
                    <w:bottom w:w="0" w:type="dxa"/>
                    <w:right w:w="17" w:type="dxa"/>
                  </w:tcMar>
                  <w:vAlign w:val="center"/>
                </w:tcPr>
                <w:p w14:paraId="33E87759">
                  <w:pPr>
                    <w:spacing w:line="300" w:lineRule="exact"/>
                    <w:jc w:val="center"/>
                    <w:rPr>
                      <w:color w:val="auto"/>
                    </w:rPr>
                  </w:pPr>
                </w:p>
              </w:tc>
              <w:tc>
                <w:tcPr>
                  <w:tcW w:w="635" w:type="pct"/>
                  <w:tcBorders>
                    <w:tl2br w:val="nil"/>
                    <w:tr2bl w:val="nil"/>
                  </w:tcBorders>
                  <w:shd w:val="clear" w:color="auto" w:fill="auto"/>
                  <w:noWrap w:val="0"/>
                  <w:tcMar>
                    <w:top w:w="0" w:type="dxa"/>
                    <w:left w:w="17" w:type="dxa"/>
                    <w:bottom w:w="0" w:type="dxa"/>
                    <w:right w:w="17" w:type="dxa"/>
                  </w:tcMar>
                  <w:vAlign w:val="center"/>
                </w:tcPr>
                <w:p w14:paraId="6EC48EFB">
                  <w:pPr>
                    <w:spacing w:line="300" w:lineRule="exact"/>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无组织</w:t>
                  </w:r>
                </w:p>
              </w:tc>
              <w:tc>
                <w:tcPr>
                  <w:tcW w:w="2168" w:type="pct"/>
                  <w:tcBorders>
                    <w:tl2br w:val="nil"/>
                    <w:tr2bl w:val="nil"/>
                  </w:tcBorders>
                  <w:shd w:val="clear" w:color="auto" w:fill="auto"/>
                  <w:noWrap w:val="0"/>
                  <w:tcMar>
                    <w:top w:w="0" w:type="dxa"/>
                    <w:left w:w="17" w:type="dxa"/>
                    <w:bottom w:w="0" w:type="dxa"/>
                    <w:right w:w="17" w:type="dxa"/>
                  </w:tcMar>
                  <w:vAlign w:val="center"/>
                </w:tcPr>
                <w:p w14:paraId="5E59AA4D">
                  <w:pPr>
                    <w:spacing w:line="300" w:lineRule="exact"/>
                    <w:jc w:val="center"/>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纺丝</w:t>
                  </w:r>
                  <w:r>
                    <w:rPr>
                      <w:rFonts w:hint="eastAsia" w:ascii="Times New Roman" w:hAnsi="Times New Roman" w:cs="Times New Roman"/>
                      <w:color w:val="auto"/>
                      <w:sz w:val="21"/>
                      <w:szCs w:val="21"/>
                      <w:vertAlign w:val="baseline"/>
                      <w:lang w:val="en-US" w:eastAsia="zh-CN"/>
                    </w:rPr>
                    <w:t>和冷却</w:t>
                  </w:r>
                  <w:r>
                    <w:rPr>
                      <w:rFonts w:hint="eastAsia" w:ascii="Times New Roman" w:hAnsi="Times New Roman" w:eastAsia="宋体" w:cs="Times New Roman"/>
                      <w:b w:val="0"/>
                      <w:bCs w:val="0"/>
                      <w:color w:val="auto"/>
                      <w:highlight w:val="none"/>
                      <w:lang w:val="en-US" w:eastAsia="zh-CN"/>
                    </w:rPr>
                    <w:t>、油剂、牵伸、压花、烘干定型、纺丝组件清洗等工序产生的未被收集的VOCs以及磨尖工序产生的未被收集的颗粒物，采取加强车间通风及设备密闭等措施。</w:t>
                  </w:r>
                </w:p>
              </w:tc>
              <w:tc>
                <w:tcPr>
                  <w:tcW w:w="654" w:type="pct"/>
                  <w:vMerge w:val="continue"/>
                  <w:tcBorders>
                    <w:tl2br w:val="nil"/>
                    <w:tr2bl w:val="nil"/>
                  </w:tcBorders>
                  <w:noWrap w:val="0"/>
                  <w:tcMar>
                    <w:top w:w="0" w:type="dxa"/>
                    <w:left w:w="17" w:type="dxa"/>
                    <w:bottom w:w="0" w:type="dxa"/>
                    <w:right w:w="17" w:type="dxa"/>
                  </w:tcMar>
                  <w:vAlign w:val="center"/>
                </w:tcPr>
                <w:p w14:paraId="3B493304">
                  <w:pPr>
                    <w:spacing w:line="300" w:lineRule="exact"/>
                    <w:jc w:val="center"/>
                    <w:rPr>
                      <w:color w:val="auto"/>
                    </w:rPr>
                  </w:pPr>
                </w:p>
              </w:tc>
            </w:tr>
            <w:tr w14:paraId="5FA40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0584C12E">
                  <w:pPr>
                    <w:spacing w:line="300" w:lineRule="exact"/>
                    <w:jc w:val="center"/>
                    <w:rPr>
                      <w:rFonts w:hint="default" w:ascii="Times New Roman" w:hAnsi="Times New Roman" w:eastAsia="宋体" w:cs="Times New Roman"/>
                      <w:b w:val="0"/>
                      <w:bCs w:val="0"/>
                      <w:color w:val="auto"/>
                      <w:highlight w:val="none"/>
                    </w:rPr>
                  </w:pPr>
                </w:p>
              </w:tc>
              <w:tc>
                <w:tcPr>
                  <w:tcW w:w="891" w:type="pct"/>
                  <w:vMerge w:val="restart"/>
                  <w:tcBorders>
                    <w:tl2br w:val="nil"/>
                    <w:tr2bl w:val="nil"/>
                  </w:tcBorders>
                  <w:noWrap w:val="0"/>
                  <w:tcMar>
                    <w:top w:w="0" w:type="dxa"/>
                    <w:left w:w="17" w:type="dxa"/>
                    <w:bottom w:w="0" w:type="dxa"/>
                    <w:right w:w="17" w:type="dxa"/>
                  </w:tcMar>
                  <w:vAlign w:val="center"/>
                </w:tcPr>
                <w:p w14:paraId="7EB5EF3C">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rPr>
                    <w:t>固废处理</w:t>
                  </w:r>
                </w:p>
              </w:tc>
              <w:tc>
                <w:tcPr>
                  <w:tcW w:w="635" w:type="pct"/>
                  <w:tcBorders>
                    <w:tl2br w:val="nil"/>
                    <w:tr2bl w:val="nil"/>
                  </w:tcBorders>
                  <w:noWrap w:val="0"/>
                  <w:tcMar>
                    <w:top w:w="0" w:type="dxa"/>
                    <w:left w:w="17" w:type="dxa"/>
                    <w:bottom w:w="0" w:type="dxa"/>
                    <w:right w:w="17" w:type="dxa"/>
                  </w:tcMar>
                  <w:vAlign w:val="center"/>
                </w:tcPr>
                <w:p w14:paraId="76555A0F">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生活垃圾</w:t>
                  </w:r>
                </w:p>
              </w:tc>
              <w:tc>
                <w:tcPr>
                  <w:tcW w:w="2168" w:type="pct"/>
                  <w:tcBorders>
                    <w:tl2br w:val="nil"/>
                    <w:tr2bl w:val="nil"/>
                  </w:tcBorders>
                  <w:noWrap w:val="0"/>
                  <w:tcMar>
                    <w:top w:w="0" w:type="dxa"/>
                    <w:left w:w="17" w:type="dxa"/>
                    <w:bottom w:w="0" w:type="dxa"/>
                    <w:right w:w="17" w:type="dxa"/>
                  </w:tcMar>
                  <w:vAlign w:val="center"/>
                </w:tcPr>
                <w:p w14:paraId="14D15949">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由环卫部门定期清运，进行无害化处理。</w:t>
                  </w:r>
                </w:p>
              </w:tc>
              <w:tc>
                <w:tcPr>
                  <w:tcW w:w="654" w:type="pct"/>
                  <w:tcBorders>
                    <w:tl2br w:val="nil"/>
                    <w:tr2bl w:val="nil"/>
                  </w:tcBorders>
                  <w:noWrap w:val="0"/>
                  <w:tcMar>
                    <w:top w:w="0" w:type="dxa"/>
                    <w:left w:w="17" w:type="dxa"/>
                    <w:bottom w:w="0" w:type="dxa"/>
                    <w:right w:w="17" w:type="dxa"/>
                  </w:tcMar>
                  <w:vAlign w:val="center"/>
                </w:tcPr>
                <w:p w14:paraId="73081543">
                  <w:pPr>
                    <w:spacing w:line="300" w:lineRule="exact"/>
                    <w:jc w:val="center"/>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w:t>
                  </w:r>
                </w:p>
              </w:tc>
            </w:tr>
            <w:tr w14:paraId="1125E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1187180E">
                  <w:pPr>
                    <w:spacing w:line="300" w:lineRule="exact"/>
                    <w:jc w:val="center"/>
                    <w:rPr>
                      <w:rFonts w:hint="default" w:ascii="Times New Roman" w:hAnsi="Times New Roman" w:eastAsia="宋体" w:cs="Times New Roman"/>
                      <w:b w:val="0"/>
                      <w:bCs w:val="0"/>
                      <w:color w:val="auto"/>
                      <w:highlight w:val="none"/>
                    </w:rPr>
                  </w:pPr>
                </w:p>
              </w:tc>
              <w:tc>
                <w:tcPr>
                  <w:tcW w:w="891" w:type="pct"/>
                  <w:vMerge w:val="continue"/>
                  <w:tcBorders>
                    <w:tl2br w:val="nil"/>
                    <w:tr2bl w:val="nil"/>
                  </w:tcBorders>
                  <w:noWrap w:val="0"/>
                  <w:tcMar>
                    <w:top w:w="0" w:type="dxa"/>
                    <w:left w:w="17" w:type="dxa"/>
                    <w:bottom w:w="0" w:type="dxa"/>
                    <w:right w:w="17" w:type="dxa"/>
                  </w:tcMar>
                  <w:vAlign w:val="center"/>
                </w:tcPr>
                <w:p w14:paraId="6C498ACD">
                  <w:pPr>
                    <w:spacing w:line="300" w:lineRule="exact"/>
                    <w:jc w:val="center"/>
                    <w:rPr>
                      <w:rFonts w:hint="eastAsia" w:ascii="Times New Roman" w:hAnsi="Times New Roman" w:eastAsia="宋体" w:cs="Times New Roman"/>
                      <w:b w:val="0"/>
                      <w:bCs w:val="0"/>
                      <w:color w:val="auto"/>
                      <w:highlight w:val="none"/>
                    </w:rPr>
                  </w:pPr>
                </w:p>
              </w:tc>
              <w:tc>
                <w:tcPr>
                  <w:tcW w:w="635" w:type="pct"/>
                  <w:tcBorders>
                    <w:tl2br w:val="nil"/>
                    <w:tr2bl w:val="nil"/>
                  </w:tcBorders>
                  <w:noWrap w:val="0"/>
                  <w:tcMar>
                    <w:top w:w="0" w:type="dxa"/>
                    <w:left w:w="17" w:type="dxa"/>
                    <w:bottom w:w="0" w:type="dxa"/>
                    <w:right w:w="17" w:type="dxa"/>
                  </w:tcMar>
                  <w:vAlign w:val="center"/>
                </w:tcPr>
                <w:p w14:paraId="1AF3EB31">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一般固废</w:t>
                  </w:r>
                </w:p>
              </w:tc>
              <w:tc>
                <w:tcPr>
                  <w:tcW w:w="2168" w:type="pct"/>
                  <w:tcBorders>
                    <w:tl2br w:val="nil"/>
                    <w:tr2bl w:val="nil"/>
                  </w:tcBorders>
                  <w:noWrap w:val="0"/>
                  <w:tcMar>
                    <w:top w:w="0" w:type="dxa"/>
                    <w:left w:w="17" w:type="dxa"/>
                    <w:bottom w:w="0" w:type="dxa"/>
                    <w:right w:w="17" w:type="dxa"/>
                  </w:tcMar>
                  <w:vAlign w:val="center"/>
                </w:tcPr>
                <w:p w14:paraId="3DCFFFCF">
                  <w:pPr>
                    <w:spacing w:line="300" w:lineRule="exact"/>
                    <w:jc w:val="center"/>
                    <w:rPr>
                      <w:rFonts w:hint="eastAsia" w:ascii="Times New Roman" w:hAnsi="Times New Roman" w:eastAsia="宋体" w:cs="Times New Roman"/>
                      <w:b w:val="0"/>
                      <w:bCs w:val="0"/>
                      <w:color w:val="auto"/>
                      <w:highlight w:val="none"/>
                      <w:lang w:eastAsia="zh-CN"/>
                    </w:rPr>
                  </w:pPr>
                  <w:r>
                    <w:rPr>
                      <w:rFonts w:hint="eastAsia" w:ascii="Times New Roman" w:hAnsi="Times New Roman" w:eastAsia="宋体" w:cs="Times New Roman"/>
                      <w:b w:val="0"/>
                      <w:bCs w:val="0"/>
                      <w:color w:val="auto"/>
                      <w:highlight w:val="none"/>
                      <w:lang w:eastAsia="zh-CN"/>
                    </w:rPr>
                    <w:t>暂存在一般固废暂存区，</w:t>
                  </w:r>
                  <w:r>
                    <w:rPr>
                      <w:rFonts w:hint="eastAsia" w:cs="Times New Roman"/>
                      <w:b w:val="0"/>
                      <w:bCs w:val="0"/>
                      <w:color w:val="auto"/>
                      <w:highlight w:val="none"/>
                      <w:lang w:val="en-US" w:eastAsia="zh-CN"/>
                    </w:rPr>
                    <w:t>其中废包装物、除尘器收集粉尘</w:t>
                  </w:r>
                  <w:r>
                    <w:rPr>
                      <w:rFonts w:hint="eastAsia"/>
                      <w:lang w:val="en-US" w:eastAsia="zh-CN"/>
                    </w:rPr>
                    <w:t>统一收集后</w:t>
                  </w:r>
                  <w:r>
                    <w:rPr>
                      <w:rFonts w:hint="eastAsia" w:ascii="Times New Roman" w:hAnsi="Times New Roman" w:eastAsia="宋体" w:cs="Times New Roman"/>
                      <w:b w:val="0"/>
                      <w:bCs w:val="0"/>
                      <w:color w:val="auto"/>
                      <w:highlight w:val="none"/>
                      <w:lang w:eastAsia="zh-CN"/>
                    </w:rPr>
                    <w:t>外售</w:t>
                  </w:r>
                  <w:r>
                    <w:rPr>
                      <w:rFonts w:hint="eastAsia" w:cs="Times New Roman"/>
                      <w:b w:val="0"/>
                      <w:bCs w:val="0"/>
                      <w:color w:val="auto"/>
                      <w:highlight w:val="none"/>
                      <w:lang w:val="en-US" w:eastAsia="zh-CN"/>
                    </w:rPr>
                    <w:t>处置</w:t>
                  </w:r>
                  <w:r>
                    <w:rPr>
                      <w:rFonts w:hint="eastAsia" w:ascii="Times New Roman" w:hAnsi="Times New Roman" w:eastAsia="宋体" w:cs="Times New Roman"/>
                      <w:b w:val="0"/>
                      <w:bCs w:val="0"/>
                      <w:color w:val="auto"/>
                      <w:highlight w:val="none"/>
                      <w:lang w:eastAsia="zh-CN"/>
                    </w:rPr>
                    <w:t>。</w:t>
                  </w:r>
                </w:p>
              </w:tc>
              <w:tc>
                <w:tcPr>
                  <w:tcW w:w="654" w:type="pct"/>
                  <w:tcBorders>
                    <w:tl2br w:val="nil"/>
                    <w:tr2bl w:val="nil"/>
                  </w:tcBorders>
                  <w:noWrap w:val="0"/>
                  <w:tcMar>
                    <w:top w:w="0" w:type="dxa"/>
                    <w:left w:w="17" w:type="dxa"/>
                    <w:bottom w:w="0" w:type="dxa"/>
                    <w:right w:w="17" w:type="dxa"/>
                  </w:tcMar>
                  <w:vAlign w:val="center"/>
                </w:tcPr>
                <w:p w14:paraId="7363B1F1">
                  <w:pPr>
                    <w:spacing w:line="300" w:lineRule="exact"/>
                    <w:jc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利用现有</w:t>
                  </w:r>
                </w:p>
              </w:tc>
            </w:tr>
            <w:tr w14:paraId="3757B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1316C405">
                  <w:pPr>
                    <w:spacing w:line="300" w:lineRule="exact"/>
                    <w:jc w:val="center"/>
                    <w:rPr>
                      <w:rFonts w:hint="default" w:ascii="Times New Roman" w:hAnsi="Times New Roman" w:eastAsia="宋体" w:cs="Times New Roman"/>
                      <w:b w:val="0"/>
                      <w:bCs w:val="0"/>
                      <w:color w:val="auto"/>
                      <w:highlight w:val="none"/>
                    </w:rPr>
                  </w:pPr>
                </w:p>
              </w:tc>
              <w:tc>
                <w:tcPr>
                  <w:tcW w:w="891" w:type="pct"/>
                  <w:vMerge w:val="continue"/>
                  <w:tcBorders>
                    <w:tl2br w:val="nil"/>
                    <w:tr2bl w:val="nil"/>
                  </w:tcBorders>
                  <w:noWrap w:val="0"/>
                  <w:tcMar>
                    <w:top w:w="0" w:type="dxa"/>
                    <w:left w:w="17" w:type="dxa"/>
                    <w:bottom w:w="0" w:type="dxa"/>
                    <w:right w:w="17" w:type="dxa"/>
                  </w:tcMar>
                  <w:vAlign w:val="center"/>
                </w:tcPr>
                <w:p w14:paraId="2A10A2D1">
                  <w:pPr>
                    <w:spacing w:line="300" w:lineRule="exact"/>
                    <w:jc w:val="center"/>
                    <w:rPr>
                      <w:rFonts w:hint="eastAsia" w:ascii="Times New Roman" w:hAnsi="Times New Roman" w:eastAsia="宋体" w:cs="Times New Roman"/>
                      <w:b w:val="0"/>
                      <w:bCs w:val="0"/>
                      <w:color w:val="auto"/>
                      <w:highlight w:val="none"/>
                    </w:rPr>
                  </w:pPr>
                </w:p>
              </w:tc>
              <w:tc>
                <w:tcPr>
                  <w:tcW w:w="635" w:type="pct"/>
                  <w:tcBorders>
                    <w:tl2br w:val="nil"/>
                    <w:tr2bl w:val="nil"/>
                  </w:tcBorders>
                  <w:noWrap w:val="0"/>
                  <w:tcMar>
                    <w:top w:w="0" w:type="dxa"/>
                    <w:left w:w="17" w:type="dxa"/>
                    <w:bottom w:w="0" w:type="dxa"/>
                    <w:right w:w="17" w:type="dxa"/>
                  </w:tcMar>
                  <w:vAlign w:val="center"/>
                </w:tcPr>
                <w:p w14:paraId="29381A9A">
                  <w:pPr>
                    <w:spacing w:line="300" w:lineRule="exact"/>
                    <w:jc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危险废物</w:t>
                  </w:r>
                </w:p>
              </w:tc>
              <w:tc>
                <w:tcPr>
                  <w:tcW w:w="2168" w:type="pct"/>
                  <w:tcBorders>
                    <w:tl2br w:val="nil"/>
                    <w:tr2bl w:val="nil"/>
                  </w:tcBorders>
                  <w:noWrap w:val="0"/>
                  <w:tcMar>
                    <w:top w:w="0" w:type="dxa"/>
                    <w:left w:w="17" w:type="dxa"/>
                    <w:bottom w:w="0" w:type="dxa"/>
                    <w:right w:w="17" w:type="dxa"/>
                  </w:tcMar>
                  <w:vAlign w:val="center"/>
                </w:tcPr>
                <w:p w14:paraId="1D583A23">
                  <w:pPr>
                    <w:spacing w:line="300" w:lineRule="exact"/>
                    <w:jc w:val="center"/>
                    <w:rPr>
                      <w:rFonts w:hint="eastAsia" w:ascii="Times New Roman" w:hAnsi="Times New Roman" w:eastAsia="宋体" w:cs="Times New Roman"/>
                      <w:b w:val="0"/>
                      <w:bCs w:val="0"/>
                      <w:color w:val="auto"/>
                      <w:highlight w:val="none"/>
                      <w:lang w:eastAsia="zh-CN"/>
                    </w:rPr>
                  </w:pPr>
                  <w:r>
                    <w:rPr>
                      <w:rFonts w:hint="eastAsia" w:cs="Times New Roman"/>
                      <w:b w:val="0"/>
                      <w:bCs w:val="0"/>
                      <w:color w:val="auto"/>
                      <w:highlight w:val="none"/>
                      <w:lang w:val="en-US" w:eastAsia="zh-CN"/>
                    </w:rPr>
                    <w:t>暂存在危废间，交给有资质的单位处置</w:t>
                  </w:r>
                </w:p>
              </w:tc>
              <w:tc>
                <w:tcPr>
                  <w:tcW w:w="654" w:type="pct"/>
                  <w:tcBorders>
                    <w:tl2br w:val="nil"/>
                    <w:tr2bl w:val="nil"/>
                  </w:tcBorders>
                  <w:noWrap w:val="0"/>
                  <w:tcMar>
                    <w:top w:w="0" w:type="dxa"/>
                    <w:left w:w="17" w:type="dxa"/>
                    <w:bottom w:w="0" w:type="dxa"/>
                    <w:right w:w="17" w:type="dxa"/>
                  </w:tcMar>
                  <w:vAlign w:val="center"/>
                </w:tcPr>
                <w:p w14:paraId="4C27A87C">
                  <w:pPr>
                    <w:spacing w:line="300" w:lineRule="exact"/>
                    <w:jc w:val="center"/>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利用现有</w:t>
                  </w:r>
                </w:p>
              </w:tc>
            </w:tr>
            <w:tr w14:paraId="615CE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50" w:type="pct"/>
                  <w:vMerge w:val="continue"/>
                  <w:tcBorders>
                    <w:tl2br w:val="nil"/>
                    <w:tr2bl w:val="nil"/>
                  </w:tcBorders>
                  <w:noWrap w:val="0"/>
                  <w:tcMar>
                    <w:top w:w="0" w:type="dxa"/>
                    <w:left w:w="17" w:type="dxa"/>
                    <w:bottom w:w="0" w:type="dxa"/>
                    <w:right w:w="17" w:type="dxa"/>
                  </w:tcMar>
                  <w:vAlign w:val="center"/>
                </w:tcPr>
                <w:p w14:paraId="09E1AC2E">
                  <w:pPr>
                    <w:spacing w:line="300" w:lineRule="exact"/>
                    <w:jc w:val="center"/>
                    <w:rPr>
                      <w:rFonts w:hint="default" w:ascii="Times New Roman" w:hAnsi="Times New Roman" w:eastAsia="宋体" w:cs="Times New Roman"/>
                      <w:b w:val="0"/>
                      <w:bCs w:val="0"/>
                      <w:color w:val="auto"/>
                      <w:highlight w:val="none"/>
                    </w:rPr>
                  </w:pPr>
                </w:p>
              </w:tc>
              <w:tc>
                <w:tcPr>
                  <w:tcW w:w="891" w:type="pct"/>
                  <w:tcBorders>
                    <w:tl2br w:val="nil"/>
                    <w:tr2bl w:val="nil"/>
                  </w:tcBorders>
                  <w:noWrap w:val="0"/>
                  <w:tcMar>
                    <w:top w:w="0" w:type="dxa"/>
                    <w:left w:w="17" w:type="dxa"/>
                    <w:bottom w:w="0" w:type="dxa"/>
                    <w:right w:w="17" w:type="dxa"/>
                  </w:tcMar>
                  <w:vAlign w:val="center"/>
                </w:tcPr>
                <w:p w14:paraId="7830BD4D">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rPr>
                    <w:t>废水处理</w:t>
                  </w:r>
                </w:p>
              </w:tc>
              <w:tc>
                <w:tcPr>
                  <w:tcW w:w="2803" w:type="pct"/>
                  <w:gridSpan w:val="2"/>
                  <w:tcBorders>
                    <w:tl2br w:val="nil"/>
                    <w:tr2bl w:val="nil"/>
                  </w:tcBorders>
                  <w:noWrap w:val="0"/>
                  <w:tcMar>
                    <w:top w:w="0" w:type="dxa"/>
                    <w:left w:w="17" w:type="dxa"/>
                    <w:bottom w:w="0" w:type="dxa"/>
                    <w:right w:w="17" w:type="dxa"/>
                  </w:tcMar>
                  <w:vAlign w:val="center"/>
                </w:tcPr>
                <w:p w14:paraId="54F643B8">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lang w:eastAsia="zh-CN"/>
                    </w:rPr>
                    <w:t>生产</w:t>
                  </w:r>
                  <w:r>
                    <w:rPr>
                      <w:rFonts w:hint="eastAsia" w:ascii="Times New Roman" w:hAnsi="Times New Roman" w:eastAsia="宋体" w:cs="Times New Roman"/>
                      <w:b w:val="0"/>
                      <w:bCs w:val="0"/>
                      <w:color w:val="auto"/>
                      <w:highlight w:val="none"/>
                      <w:lang w:val="en-US" w:eastAsia="zh-CN"/>
                    </w:rPr>
                    <w:t>废水</w:t>
                  </w:r>
                  <w:r>
                    <w:rPr>
                      <w:rFonts w:hint="eastAsia" w:cs="Times New Roman"/>
                      <w:b w:val="0"/>
                      <w:bCs w:val="0"/>
                      <w:color w:val="auto"/>
                      <w:highlight w:val="none"/>
                      <w:lang w:val="en-US" w:eastAsia="zh-CN"/>
                    </w:rPr>
                    <w:t>经沉淀池处理后全部回用，不外排</w:t>
                  </w:r>
                  <w:r>
                    <w:rPr>
                      <w:rFonts w:hint="eastAsia" w:ascii="Times New Roman" w:hAnsi="Times New Roman" w:eastAsia="宋体" w:cs="Times New Roman"/>
                      <w:b w:val="0"/>
                      <w:bCs w:val="0"/>
                      <w:color w:val="auto"/>
                      <w:highlight w:val="none"/>
                      <w:lang w:val="en-US" w:eastAsia="zh-CN"/>
                    </w:rPr>
                    <w:t>，生活污水</w:t>
                  </w:r>
                  <w:r>
                    <w:rPr>
                      <w:rFonts w:hint="eastAsia" w:cs="Times New Roman"/>
                      <w:b w:val="0"/>
                      <w:bCs w:val="0"/>
                      <w:color w:val="auto"/>
                      <w:highlight w:val="none"/>
                      <w:lang w:val="en-US" w:eastAsia="zh-CN"/>
                    </w:rPr>
                    <w:t>经</w:t>
                  </w:r>
                  <w:r>
                    <w:rPr>
                      <w:rFonts w:hint="eastAsia" w:ascii="Times New Roman" w:hAnsi="Times New Roman" w:eastAsia="宋体" w:cs="Times New Roman"/>
                      <w:b w:val="0"/>
                      <w:bCs w:val="0"/>
                      <w:color w:val="auto"/>
                      <w:highlight w:val="none"/>
                      <w:lang w:val="en-US" w:eastAsia="zh-CN"/>
                    </w:rPr>
                    <w:t>化粪池处理后</w:t>
                  </w:r>
                  <w:r>
                    <w:rPr>
                      <w:rFonts w:hint="eastAsia" w:cs="Times New Roman"/>
                      <w:b w:val="0"/>
                      <w:bCs w:val="0"/>
                      <w:color w:val="auto"/>
                      <w:highlight w:val="none"/>
                      <w:lang w:val="en-US" w:eastAsia="zh-CN"/>
                    </w:rPr>
                    <w:t>由环卫部门定期清运</w:t>
                  </w:r>
                  <w:r>
                    <w:rPr>
                      <w:rFonts w:hint="eastAsia" w:ascii="Times New Roman" w:hAnsi="Times New Roman" w:eastAsia="宋体" w:cs="Times New Roman"/>
                      <w:b w:val="0"/>
                      <w:bCs w:val="0"/>
                      <w:color w:val="auto"/>
                      <w:highlight w:val="none"/>
                      <w:lang w:eastAsia="zh-CN"/>
                    </w:rPr>
                    <w:t>。</w:t>
                  </w:r>
                </w:p>
              </w:tc>
              <w:tc>
                <w:tcPr>
                  <w:tcW w:w="654" w:type="pct"/>
                  <w:tcBorders>
                    <w:tl2br w:val="nil"/>
                    <w:tr2bl w:val="nil"/>
                  </w:tcBorders>
                  <w:noWrap w:val="0"/>
                  <w:tcMar>
                    <w:top w:w="0" w:type="dxa"/>
                    <w:left w:w="17" w:type="dxa"/>
                    <w:bottom w:w="0" w:type="dxa"/>
                    <w:right w:w="17" w:type="dxa"/>
                  </w:tcMar>
                  <w:vAlign w:val="center"/>
                </w:tcPr>
                <w:p w14:paraId="2CA39EEE">
                  <w:pPr>
                    <w:spacing w:line="300" w:lineRule="exact"/>
                    <w:jc w:val="center"/>
                    <w:rPr>
                      <w:rFonts w:hint="eastAsia" w:ascii="Times New Roman" w:hAnsi="Times New Roman" w:eastAsia="宋体" w:cs="Times New Roman"/>
                      <w:b w:val="0"/>
                      <w:bCs w:val="0"/>
                      <w:color w:val="auto"/>
                      <w:highlight w:val="none"/>
                    </w:rPr>
                  </w:pPr>
                  <w:r>
                    <w:rPr>
                      <w:rFonts w:hint="eastAsia" w:cs="Times New Roman"/>
                      <w:b w:val="0"/>
                      <w:bCs w:val="0"/>
                      <w:color w:val="auto"/>
                      <w:highlight w:val="none"/>
                      <w:lang w:val="en-US" w:eastAsia="zh-CN"/>
                    </w:rPr>
                    <w:t>新建</w:t>
                  </w:r>
                </w:p>
              </w:tc>
            </w:tr>
            <w:tr w14:paraId="2A560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650" w:type="pct"/>
                  <w:vMerge w:val="continue"/>
                  <w:tcBorders>
                    <w:tl2br w:val="nil"/>
                    <w:tr2bl w:val="nil"/>
                  </w:tcBorders>
                  <w:noWrap w:val="0"/>
                  <w:tcMar>
                    <w:top w:w="0" w:type="dxa"/>
                    <w:left w:w="17" w:type="dxa"/>
                    <w:bottom w:w="0" w:type="dxa"/>
                    <w:right w:w="17" w:type="dxa"/>
                  </w:tcMar>
                  <w:vAlign w:val="center"/>
                </w:tcPr>
                <w:p w14:paraId="381A9C52">
                  <w:pPr>
                    <w:spacing w:line="300" w:lineRule="exact"/>
                    <w:jc w:val="center"/>
                    <w:rPr>
                      <w:rFonts w:hint="default" w:ascii="Times New Roman" w:hAnsi="Times New Roman" w:eastAsia="宋体" w:cs="Times New Roman"/>
                      <w:b w:val="0"/>
                      <w:bCs w:val="0"/>
                      <w:color w:val="auto"/>
                      <w:highlight w:val="none"/>
                    </w:rPr>
                  </w:pPr>
                </w:p>
              </w:tc>
              <w:tc>
                <w:tcPr>
                  <w:tcW w:w="891" w:type="pct"/>
                  <w:tcBorders>
                    <w:tl2br w:val="nil"/>
                    <w:tr2bl w:val="nil"/>
                  </w:tcBorders>
                  <w:noWrap w:val="0"/>
                  <w:tcMar>
                    <w:top w:w="0" w:type="dxa"/>
                    <w:left w:w="17" w:type="dxa"/>
                    <w:bottom w:w="0" w:type="dxa"/>
                    <w:right w:w="17" w:type="dxa"/>
                  </w:tcMar>
                  <w:vAlign w:val="center"/>
                </w:tcPr>
                <w:p w14:paraId="50BA23A2">
                  <w:pPr>
                    <w:spacing w:line="300" w:lineRule="exact"/>
                    <w:jc w:val="center"/>
                    <w:rPr>
                      <w:rFonts w:hint="eastAsia" w:ascii="Times New Roman" w:hAnsi="Times New Roman" w:eastAsia="宋体" w:cs="Times New Roman"/>
                      <w:b w:val="0"/>
                      <w:bCs w:val="0"/>
                      <w:color w:val="auto"/>
                      <w:highlight w:val="none"/>
                    </w:rPr>
                  </w:pPr>
                  <w:r>
                    <w:rPr>
                      <w:rFonts w:hint="eastAsia" w:ascii="Times New Roman" w:hAnsi="Times New Roman" w:eastAsia="宋体" w:cs="Times New Roman"/>
                      <w:b w:val="0"/>
                      <w:bCs w:val="0"/>
                      <w:color w:val="auto"/>
                      <w:highlight w:val="none"/>
                    </w:rPr>
                    <w:t>噪声处理</w:t>
                  </w:r>
                </w:p>
              </w:tc>
              <w:tc>
                <w:tcPr>
                  <w:tcW w:w="2803" w:type="pct"/>
                  <w:gridSpan w:val="2"/>
                  <w:tcBorders>
                    <w:tl2br w:val="nil"/>
                    <w:tr2bl w:val="nil"/>
                  </w:tcBorders>
                  <w:noWrap w:val="0"/>
                  <w:tcMar>
                    <w:top w:w="0" w:type="dxa"/>
                    <w:left w:w="17" w:type="dxa"/>
                    <w:bottom w:w="0" w:type="dxa"/>
                    <w:right w:w="17" w:type="dxa"/>
                  </w:tcMar>
                  <w:vAlign w:val="center"/>
                </w:tcPr>
                <w:p w14:paraId="7753A905">
                  <w:pPr>
                    <w:spacing w:line="300" w:lineRule="exact"/>
                    <w:jc w:val="cente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项目</w:t>
                  </w:r>
                  <w:r>
                    <w:rPr>
                      <w:rFonts w:hint="eastAsia" w:ascii="Times New Roman" w:hAnsi="Times New Roman" w:eastAsia="宋体" w:cs="Times New Roman"/>
                      <w:b w:val="0"/>
                      <w:bCs w:val="0"/>
                      <w:color w:val="auto"/>
                      <w:highlight w:val="none"/>
                    </w:rPr>
                    <w:t>采用</w:t>
                  </w:r>
                  <w:r>
                    <w:rPr>
                      <w:rFonts w:hint="default" w:ascii="Times New Roman" w:hAnsi="Times New Roman" w:eastAsia="宋体" w:cs="Times New Roman"/>
                      <w:b w:val="0"/>
                      <w:bCs w:val="0"/>
                      <w:color w:val="auto"/>
                      <w:highlight w:val="none"/>
                    </w:rPr>
                    <w:t>设备自带基础</w:t>
                  </w:r>
                  <w:r>
                    <w:rPr>
                      <w:rFonts w:hint="eastAsia" w:ascii="Times New Roman" w:hAnsi="Times New Roman" w:eastAsia="宋体" w:cs="Times New Roman"/>
                      <w:b w:val="0"/>
                      <w:bCs w:val="0"/>
                      <w:color w:val="auto"/>
                      <w:highlight w:val="none"/>
                    </w:rPr>
                    <w:t>减振以及</w:t>
                  </w:r>
                  <w:r>
                    <w:rPr>
                      <w:rFonts w:hint="default" w:ascii="Times New Roman" w:hAnsi="Times New Roman" w:eastAsia="宋体" w:cs="Times New Roman"/>
                      <w:b w:val="0"/>
                      <w:bCs w:val="0"/>
                      <w:color w:val="auto"/>
                      <w:highlight w:val="none"/>
                    </w:rPr>
                    <w:t>厂房</w:t>
                  </w:r>
                  <w:r>
                    <w:rPr>
                      <w:rFonts w:hint="eastAsia" w:ascii="Times New Roman" w:hAnsi="Times New Roman" w:eastAsia="宋体" w:cs="Times New Roman"/>
                      <w:b w:val="0"/>
                      <w:bCs w:val="0"/>
                      <w:color w:val="auto"/>
                      <w:highlight w:val="none"/>
                    </w:rPr>
                    <w:t>隔声</w:t>
                  </w:r>
                  <w:r>
                    <w:rPr>
                      <w:rFonts w:hint="default" w:ascii="Times New Roman" w:hAnsi="Times New Roman" w:eastAsia="宋体" w:cs="Times New Roman"/>
                      <w:b w:val="0"/>
                      <w:bCs w:val="0"/>
                      <w:color w:val="auto"/>
                      <w:highlight w:val="none"/>
                    </w:rPr>
                    <w:t>等</w:t>
                  </w:r>
                  <w:r>
                    <w:rPr>
                      <w:rFonts w:hint="eastAsia" w:ascii="Times New Roman" w:hAnsi="Times New Roman" w:eastAsia="宋体" w:cs="Times New Roman"/>
                      <w:b w:val="0"/>
                      <w:bCs w:val="0"/>
                      <w:color w:val="auto"/>
                      <w:highlight w:val="none"/>
                    </w:rPr>
                    <w:t>措施降低</w:t>
                  </w:r>
                  <w:r>
                    <w:rPr>
                      <w:rFonts w:hint="default" w:ascii="Times New Roman" w:hAnsi="Times New Roman" w:eastAsia="宋体" w:cs="Times New Roman"/>
                      <w:b w:val="0"/>
                      <w:bCs w:val="0"/>
                      <w:color w:val="auto"/>
                      <w:highlight w:val="none"/>
                    </w:rPr>
                    <w:t>噪声影响。</w:t>
                  </w:r>
                </w:p>
              </w:tc>
              <w:tc>
                <w:tcPr>
                  <w:tcW w:w="654" w:type="pct"/>
                  <w:tcBorders>
                    <w:tl2br w:val="nil"/>
                    <w:tr2bl w:val="nil"/>
                  </w:tcBorders>
                  <w:noWrap w:val="0"/>
                  <w:tcMar>
                    <w:top w:w="0" w:type="dxa"/>
                    <w:left w:w="17" w:type="dxa"/>
                    <w:bottom w:w="0" w:type="dxa"/>
                    <w:right w:w="17" w:type="dxa"/>
                  </w:tcMar>
                  <w:vAlign w:val="center"/>
                </w:tcPr>
                <w:p w14:paraId="0848971D">
                  <w:pPr>
                    <w:spacing w:line="300" w:lineRule="exact"/>
                    <w:jc w:val="center"/>
                    <w:rPr>
                      <w:rFonts w:hint="default" w:ascii="Times New Roman" w:hAnsi="Times New Roman" w:eastAsia="宋体" w:cs="Times New Roman"/>
                      <w:b w:val="0"/>
                      <w:bCs w:val="0"/>
                      <w:color w:val="auto"/>
                      <w:highlight w:val="none"/>
                    </w:rPr>
                  </w:pPr>
                  <w:r>
                    <w:rPr>
                      <w:rFonts w:hint="eastAsia" w:cs="Times New Roman"/>
                      <w:b w:val="0"/>
                      <w:bCs w:val="0"/>
                      <w:color w:val="auto"/>
                      <w:highlight w:val="none"/>
                      <w:lang w:eastAsia="zh-CN"/>
                    </w:rPr>
                    <w:t>利用</w:t>
                  </w:r>
                  <w:r>
                    <w:rPr>
                      <w:rFonts w:hint="eastAsia" w:ascii="Times New Roman" w:hAnsi="Times New Roman" w:eastAsia="宋体" w:cs="Times New Roman"/>
                      <w:b w:val="0"/>
                      <w:bCs w:val="0"/>
                      <w:color w:val="auto"/>
                      <w:highlight w:val="none"/>
                      <w:lang w:eastAsia="zh-CN"/>
                    </w:rPr>
                    <w:t>现有</w:t>
                  </w:r>
                </w:p>
              </w:tc>
            </w:tr>
          </w:tbl>
          <w:p w14:paraId="5CD8BFC2">
            <w:pPr>
              <w:spacing w:line="360" w:lineRule="auto"/>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lang w:val="en-US" w:eastAsia="zh-CN"/>
              </w:rPr>
              <w:t>、产品方案</w:t>
            </w:r>
          </w:p>
          <w:p w14:paraId="6E2D4BE0">
            <w:pPr>
              <w:adjustRightInd w:val="0"/>
              <w:snapToGrid w:val="0"/>
              <w:spacing w:line="360" w:lineRule="auto"/>
              <w:ind w:firstLine="441" w:firstLineChars="184"/>
              <w:rPr>
                <w:rFonts w:hint="eastAsia" w:cs="Times New Roman"/>
                <w:color w:val="auto"/>
                <w:sz w:val="24"/>
                <w:lang w:val="en-US" w:eastAsia="zh-CN"/>
              </w:rPr>
            </w:pPr>
            <w:r>
              <w:rPr>
                <w:rFonts w:hint="eastAsia" w:ascii="Times New Roman" w:hAnsi="Times New Roman" w:eastAsia="宋体" w:cs="Times New Roman"/>
                <w:color w:val="auto"/>
                <w:sz w:val="24"/>
                <w:lang w:val="en-US" w:eastAsia="zh-CN"/>
              </w:rPr>
              <w:t>本项目</w:t>
            </w:r>
            <w:r>
              <w:rPr>
                <w:rFonts w:hint="eastAsia" w:cs="Times New Roman"/>
                <w:color w:val="auto"/>
                <w:sz w:val="24"/>
                <w:lang w:val="en-US" w:eastAsia="zh-CN"/>
              </w:rPr>
              <w:t>产品</w:t>
            </w:r>
            <w:r>
              <w:rPr>
                <w:rFonts w:hint="eastAsia" w:ascii="Times New Roman" w:hAnsi="Times New Roman" w:eastAsia="宋体" w:cs="Times New Roman"/>
                <w:color w:val="auto"/>
                <w:sz w:val="24"/>
                <w:lang w:val="en-US" w:eastAsia="zh-CN"/>
              </w:rPr>
              <w:t>为</w:t>
            </w:r>
            <w:r>
              <w:rPr>
                <w:rFonts w:hint="eastAsia" w:cs="Times New Roman"/>
                <w:color w:val="auto"/>
                <w:sz w:val="24"/>
                <w:lang w:val="en-US" w:eastAsia="zh-CN"/>
              </w:rPr>
              <w:t>纤维丝、假发、假睫毛、PP带</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生产的纤维丝作为假发和PP带生产的原料使用。丙纶丝具有耐热性、耐酸碱、不吸湿等特质，同时具有环保、质轻等优点，用来制作假发具有良好的产品效果。本项目丙纶丝假发蓬松度较高、颜色鲜艳色牢度好、手感舒适不扎手，本项目产品将销往海外。</w:t>
            </w:r>
          </w:p>
          <w:p w14:paraId="7DCD4FB4">
            <w:pPr>
              <w:adjustRightInd w:val="0"/>
              <w:snapToGrid w:val="0"/>
              <w:spacing w:line="360" w:lineRule="auto"/>
              <w:ind w:firstLine="441" w:firstLineChars="184"/>
              <w:rPr>
                <w:rFonts w:hint="default" w:eastAsia="宋体" w:cs="Times New Roman"/>
                <w:color w:val="auto"/>
                <w:sz w:val="24"/>
                <w:lang w:val="en-US" w:eastAsia="zh-CN"/>
              </w:rPr>
            </w:pPr>
            <w:r>
              <w:rPr>
                <w:rFonts w:hint="eastAsia" w:cs="Times New Roman"/>
                <w:color w:val="auto"/>
                <w:sz w:val="24"/>
                <w:lang w:val="en-US" w:eastAsia="zh-CN"/>
              </w:rPr>
              <w:t>假睫毛选用超细PEPP纤维作为原料，PEPP纤维具有耐热性、抗腐蚀、轻便等特点，</w:t>
            </w:r>
            <w:r>
              <w:rPr>
                <w:rFonts w:ascii="Arial" w:hAnsi="Arial" w:eastAsia="Arial" w:cs="Arial"/>
                <w:i w:val="0"/>
                <w:iCs w:val="0"/>
                <w:caps w:val="0"/>
                <w:color w:val="333333"/>
                <w:spacing w:val="0"/>
                <w:sz w:val="24"/>
                <w:szCs w:val="24"/>
                <w:shd w:val="clear" w:fill="FFFFFF"/>
              </w:rPr>
              <w:t>规避了水貂毛等动物毛携带病原体或引发眼部过敏的风险</w:t>
            </w:r>
            <w:r>
              <w:rPr>
                <w:rFonts w:hint="eastAsia" w:ascii="Arial" w:hAnsi="Arial" w:eastAsia="宋体" w:cs="Arial"/>
                <w:i w:val="0"/>
                <w:iCs w:val="0"/>
                <w:caps w:val="0"/>
                <w:color w:val="333333"/>
                <w:spacing w:val="0"/>
                <w:sz w:val="24"/>
                <w:szCs w:val="24"/>
                <w:shd w:val="clear" w:fill="FFFFFF"/>
                <w:lang w:eastAsia="zh-CN"/>
              </w:rPr>
              <w:t>。</w:t>
            </w:r>
            <w:r>
              <w:rPr>
                <w:rFonts w:hint="eastAsia" w:ascii="Arial" w:hAnsi="Arial" w:eastAsia="宋体" w:cs="Arial"/>
                <w:i w:val="0"/>
                <w:iCs w:val="0"/>
                <w:caps w:val="0"/>
                <w:color w:val="333333"/>
                <w:spacing w:val="0"/>
                <w:sz w:val="24"/>
                <w:szCs w:val="24"/>
                <w:shd w:val="clear" w:fill="FFFFFF"/>
                <w:lang w:val="en-US" w:eastAsia="zh-CN"/>
              </w:rPr>
              <w:t>同时通过表面磨尖处理，接近真毛质感，超细纤维能够实现单根仿生睫毛效果，极大提升睫毛自然度。</w:t>
            </w:r>
          </w:p>
          <w:p w14:paraId="383E846D">
            <w:pPr>
              <w:adjustRightInd w:val="0"/>
              <w:snapToGrid w:val="0"/>
              <w:spacing w:line="360" w:lineRule="auto"/>
              <w:ind w:firstLine="441" w:firstLineChars="184"/>
              <w:rPr>
                <w:rFonts w:hint="eastAsia" w:cs="Times New Roman"/>
                <w:color w:val="auto"/>
                <w:sz w:val="24"/>
                <w:lang w:val="en-US" w:eastAsia="zh-CN"/>
              </w:rPr>
            </w:pPr>
            <w:r>
              <w:rPr>
                <w:rFonts w:hint="eastAsia" w:cs="Times New Roman"/>
                <w:color w:val="auto"/>
                <w:sz w:val="24"/>
                <w:lang w:val="en-US" w:eastAsia="zh-CN"/>
              </w:rPr>
              <w:t>PP带具有可塑性好，断裂拉力强、耐弯曲疲劳、耐磨损、抗化学腐蚀、易清洗干燥、使用方便等优点，在</w:t>
            </w:r>
            <w:r>
              <w:rPr>
                <w:rFonts w:ascii="Arial" w:hAnsi="Arial" w:eastAsia="宋体" w:cs="Arial"/>
                <w:i w:val="0"/>
                <w:iCs w:val="0"/>
                <w:caps w:val="0"/>
                <w:color w:val="000311"/>
                <w:spacing w:val="0"/>
                <w:sz w:val="24"/>
                <w:szCs w:val="24"/>
                <w:shd w:val="clear" w:fill="FFFFFF"/>
              </w:rPr>
              <w:t>服装、箱包、工业和农业等领域</w:t>
            </w:r>
            <w:r>
              <w:rPr>
                <w:rFonts w:hint="eastAsia" w:cs="Times New Roman"/>
                <w:color w:val="auto"/>
                <w:sz w:val="24"/>
                <w:lang w:val="en-US" w:eastAsia="zh-CN"/>
              </w:rPr>
              <w:t>广泛应用，可用作服装配饰、箱包手提带、汽车安全带、工业吊装带、捆绑带植物支撑带、农具绑定带等。</w:t>
            </w:r>
          </w:p>
          <w:p w14:paraId="6E5A0592">
            <w:pPr>
              <w:adjustRightInd w:val="0"/>
              <w:snapToGrid w:val="0"/>
              <w:spacing w:line="360" w:lineRule="auto"/>
              <w:ind w:firstLine="441" w:firstLineChars="184"/>
              <w:rPr>
                <w:rFonts w:hint="eastAsia" w:cs="Times New Roman"/>
                <w:color w:val="auto"/>
                <w:sz w:val="24"/>
                <w:lang w:val="en-US" w:eastAsia="zh-CN"/>
              </w:rPr>
            </w:pPr>
            <w:r>
              <w:rPr>
                <w:rFonts w:hint="eastAsia" w:cs="Times New Roman"/>
                <w:color w:val="auto"/>
                <w:sz w:val="24"/>
                <w:lang w:val="en-US" w:eastAsia="zh-CN"/>
              </w:rPr>
              <w:t>项目产品方案见下表。</w:t>
            </w:r>
          </w:p>
          <w:p w14:paraId="6632881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ascii="Times New Roman" w:hAnsi="Times New Roman" w:eastAsia="黑体" w:cs="Times New Roman"/>
                <w:b w:val="0"/>
                <w:bCs w:val="0"/>
                <w:color w:val="auto"/>
                <w:kern w:val="0"/>
                <w:sz w:val="24"/>
                <w:szCs w:val="24"/>
                <w:highlight w:val="none"/>
                <w:lang w:val="en-US" w:eastAsia="zh-CN"/>
              </w:rPr>
              <w:t xml:space="preserve">2-2 </w:t>
            </w:r>
            <w:r>
              <w:rPr>
                <w:rFonts w:hint="default" w:ascii="Times New Roman" w:hAnsi="Times New Roman" w:eastAsia="黑体" w:cs="Times New Roman"/>
                <w:b w:val="0"/>
                <w:bCs w:val="0"/>
                <w:color w:val="auto"/>
                <w:kern w:val="0"/>
                <w:sz w:val="24"/>
                <w:szCs w:val="24"/>
                <w:highlight w:val="none"/>
                <w:lang w:val="en-US" w:eastAsia="zh-CN"/>
              </w:rPr>
              <w:t>项目产品方案一览表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0"/>
              <w:gridCol w:w="1844"/>
              <w:gridCol w:w="1468"/>
              <w:gridCol w:w="2792"/>
            </w:tblGrid>
            <w:tr w14:paraId="58BF5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noWrap w:val="0"/>
                  <w:vAlign w:val="center"/>
                </w:tcPr>
                <w:p w14:paraId="44F3C060">
                  <w:pPr>
                    <w:snapToGrid w:val="0"/>
                    <w:jc w:val="center"/>
                    <w:rPr>
                      <w:color w:val="auto"/>
                      <w:kern w:val="0"/>
                      <w:szCs w:val="21"/>
                    </w:rPr>
                  </w:pPr>
                  <w:r>
                    <w:rPr>
                      <w:color w:val="auto"/>
                      <w:kern w:val="0"/>
                      <w:szCs w:val="21"/>
                    </w:rPr>
                    <w:t>产品名称</w:t>
                  </w:r>
                </w:p>
              </w:tc>
              <w:tc>
                <w:tcPr>
                  <w:tcW w:w="1114" w:type="pct"/>
                  <w:noWrap w:val="0"/>
                  <w:vAlign w:val="center"/>
                </w:tcPr>
                <w:p w14:paraId="32537895">
                  <w:pPr>
                    <w:snapToGrid w:val="0"/>
                    <w:jc w:val="center"/>
                    <w:rPr>
                      <w:color w:val="auto"/>
                      <w:kern w:val="0"/>
                      <w:szCs w:val="21"/>
                    </w:rPr>
                  </w:pPr>
                  <w:r>
                    <w:rPr>
                      <w:color w:val="auto"/>
                      <w:kern w:val="0"/>
                      <w:szCs w:val="21"/>
                    </w:rPr>
                    <w:t>计量单位</w:t>
                  </w:r>
                </w:p>
              </w:tc>
              <w:tc>
                <w:tcPr>
                  <w:tcW w:w="887" w:type="pct"/>
                  <w:noWrap w:val="0"/>
                  <w:vAlign w:val="center"/>
                </w:tcPr>
                <w:p w14:paraId="74A466BC">
                  <w:pPr>
                    <w:snapToGrid w:val="0"/>
                    <w:jc w:val="center"/>
                    <w:rPr>
                      <w:color w:val="auto"/>
                      <w:kern w:val="0"/>
                      <w:szCs w:val="21"/>
                    </w:rPr>
                  </w:pPr>
                  <w:r>
                    <w:rPr>
                      <w:color w:val="auto"/>
                      <w:kern w:val="0"/>
                      <w:szCs w:val="21"/>
                    </w:rPr>
                    <w:t>产能</w:t>
                  </w:r>
                </w:p>
              </w:tc>
              <w:tc>
                <w:tcPr>
                  <w:tcW w:w="1687" w:type="pct"/>
                  <w:noWrap w:val="0"/>
                  <w:vAlign w:val="center"/>
                </w:tcPr>
                <w:p w14:paraId="69E8ED15">
                  <w:pPr>
                    <w:snapToGrid w:val="0"/>
                    <w:jc w:val="center"/>
                    <w:rPr>
                      <w:rFonts w:hint="eastAsia" w:eastAsia="宋体"/>
                      <w:color w:val="auto"/>
                      <w:kern w:val="0"/>
                      <w:szCs w:val="21"/>
                      <w:lang w:val="en-US" w:eastAsia="zh-CN"/>
                    </w:rPr>
                  </w:pPr>
                  <w:r>
                    <w:rPr>
                      <w:rFonts w:hint="eastAsia"/>
                      <w:color w:val="auto"/>
                      <w:kern w:val="0"/>
                      <w:szCs w:val="21"/>
                      <w:lang w:val="en-US" w:eastAsia="zh-CN"/>
                    </w:rPr>
                    <w:t>备注</w:t>
                  </w:r>
                </w:p>
              </w:tc>
            </w:tr>
            <w:tr w14:paraId="1BCE2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1311" w:type="pct"/>
                  <w:noWrap w:val="0"/>
                  <w:vAlign w:val="center"/>
                </w:tcPr>
                <w:p w14:paraId="3FFC1755">
                  <w:pPr>
                    <w:snapToGrid w:val="0"/>
                    <w:jc w:val="center"/>
                    <w:rPr>
                      <w:rFonts w:hint="default" w:eastAsia="宋体"/>
                      <w:color w:val="auto"/>
                      <w:kern w:val="0"/>
                      <w:szCs w:val="21"/>
                      <w:lang w:val="en-US" w:eastAsia="zh-CN"/>
                    </w:rPr>
                  </w:pPr>
                  <w:r>
                    <w:rPr>
                      <w:rFonts w:hint="eastAsia"/>
                      <w:color w:val="auto"/>
                      <w:kern w:val="0"/>
                      <w:szCs w:val="21"/>
                      <w:lang w:val="en-US" w:eastAsia="zh-CN"/>
                    </w:rPr>
                    <w:t>纤维丝</w:t>
                  </w:r>
                </w:p>
              </w:tc>
              <w:tc>
                <w:tcPr>
                  <w:tcW w:w="1114" w:type="pct"/>
                  <w:noWrap w:val="0"/>
                  <w:vAlign w:val="center"/>
                </w:tcPr>
                <w:p w14:paraId="4D05A48D">
                  <w:pPr>
                    <w:snapToGrid w:val="0"/>
                    <w:jc w:val="center"/>
                    <w:rPr>
                      <w:color w:val="auto"/>
                      <w:kern w:val="0"/>
                      <w:szCs w:val="21"/>
                    </w:rPr>
                  </w:pPr>
                  <w:r>
                    <w:rPr>
                      <w:rFonts w:hint="eastAsia"/>
                      <w:color w:val="auto"/>
                      <w:szCs w:val="21"/>
                      <w:lang w:val="en-US" w:eastAsia="zh-CN"/>
                    </w:rPr>
                    <w:t>吨/年</w:t>
                  </w:r>
                </w:p>
              </w:tc>
              <w:tc>
                <w:tcPr>
                  <w:tcW w:w="887" w:type="pct"/>
                  <w:noWrap w:val="0"/>
                  <w:vAlign w:val="center"/>
                </w:tcPr>
                <w:p w14:paraId="6F71C36B">
                  <w:pPr>
                    <w:snapToGrid w:val="0"/>
                    <w:jc w:val="center"/>
                    <w:rPr>
                      <w:rFonts w:hint="default" w:eastAsia="宋体"/>
                      <w:color w:val="auto"/>
                      <w:kern w:val="0"/>
                      <w:szCs w:val="21"/>
                      <w:lang w:val="en-US" w:eastAsia="zh-CN"/>
                    </w:rPr>
                  </w:pPr>
                  <w:r>
                    <w:rPr>
                      <w:rFonts w:hint="eastAsia"/>
                      <w:color w:val="auto"/>
                      <w:kern w:val="0"/>
                      <w:szCs w:val="21"/>
                      <w:lang w:val="en-US" w:eastAsia="zh-CN"/>
                    </w:rPr>
                    <w:t>3800t/a</w:t>
                  </w:r>
                </w:p>
              </w:tc>
              <w:tc>
                <w:tcPr>
                  <w:tcW w:w="1687" w:type="pct"/>
                  <w:noWrap w:val="0"/>
                  <w:vAlign w:val="center"/>
                </w:tcPr>
                <w:p w14:paraId="77745248">
                  <w:pPr>
                    <w:snapToGrid w:val="0"/>
                    <w:jc w:val="center"/>
                    <w:rPr>
                      <w:rFonts w:hint="default"/>
                      <w:color w:val="auto"/>
                      <w:kern w:val="0"/>
                      <w:szCs w:val="21"/>
                      <w:lang w:val="en-US" w:eastAsia="zh-CN"/>
                    </w:rPr>
                  </w:pPr>
                  <w:r>
                    <w:rPr>
                      <w:rFonts w:hint="eastAsia"/>
                      <w:lang w:val="en-US" w:eastAsia="zh-CN"/>
                    </w:rPr>
                    <w:t>其中1000t</w:t>
                  </w:r>
                  <w:r>
                    <w:rPr>
                      <w:rFonts w:hint="eastAsia"/>
                      <w:color w:val="auto"/>
                      <w:kern w:val="0"/>
                      <w:szCs w:val="21"/>
                      <w:lang w:val="en-US" w:eastAsia="zh-CN"/>
                    </w:rPr>
                    <w:t>用于本项目假发、PP带的生产，2800t外售</w:t>
                  </w:r>
                </w:p>
              </w:tc>
            </w:tr>
            <w:tr w14:paraId="28F5B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noWrap w:val="0"/>
                  <w:vAlign w:val="center"/>
                </w:tcPr>
                <w:p w14:paraId="69EAE5F8">
                  <w:pPr>
                    <w:snapToGrid w:val="0"/>
                    <w:jc w:val="center"/>
                    <w:rPr>
                      <w:rFonts w:hint="default" w:eastAsia="宋体"/>
                      <w:color w:val="auto"/>
                      <w:kern w:val="0"/>
                      <w:szCs w:val="21"/>
                      <w:lang w:val="en-US" w:eastAsia="zh-CN"/>
                    </w:rPr>
                  </w:pPr>
                  <w:r>
                    <w:rPr>
                      <w:rFonts w:hint="eastAsia"/>
                      <w:color w:val="auto"/>
                      <w:kern w:val="0"/>
                      <w:szCs w:val="21"/>
                      <w:lang w:val="en-US" w:eastAsia="zh-CN"/>
                    </w:rPr>
                    <w:t>假发</w:t>
                  </w:r>
                </w:p>
              </w:tc>
              <w:tc>
                <w:tcPr>
                  <w:tcW w:w="1114" w:type="pct"/>
                  <w:noWrap w:val="0"/>
                  <w:vAlign w:val="center"/>
                </w:tcPr>
                <w:p w14:paraId="1ED58C52">
                  <w:pPr>
                    <w:snapToGrid w:val="0"/>
                    <w:jc w:val="center"/>
                    <w:rPr>
                      <w:rFonts w:hint="default" w:eastAsia="宋体"/>
                      <w:color w:val="auto"/>
                      <w:kern w:val="0"/>
                      <w:szCs w:val="21"/>
                      <w:lang w:val="en-US" w:eastAsia="zh-CN"/>
                    </w:rPr>
                  </w:pPr>
                  <w:r>
                    <w:rPr>
                      <w:rFonts w:hint="eastAsia"/>
                      <w:color w:val="auto"/>
                      <w:szCs w:val="21"/>
                      <w:lang w:val="en-US" w:eastAsia="zh-CN"/>
                    </w:rPr>
                    <w:t>吨/年</w:t>
                  </w:r>
                </w:p>
              </w:tc>
              <w:tc>
                <w:tcPr>
                  <w:tcW w:w="887" w:type="pct"/>
                  <w:noWrap w:val="0"/>
                  <w:vAlign w:val="center"/>
                </w:tcPr>
                <w:p w14:paraId="70AF1AB0">
                  <w:pPr>
                    <w:snapToGrid w:val="0"/>
                    <w:jc w:val="center"/>
                    <w:rPr>
                      <w:rFonts w:hint="default" w:eastAsia="宋体"/>
                      <w:color w:val="auto"/>
                      <w:kern w:val="0"/>
                      <w:szCs w:val="21"/>
                      <w:lang w:val="en-US" w:eastAsia="zh-CN"/>
                    </w:rPr>
                  </w:pPr>
                  <w:r>
                    <w:rPr>
                      <w:rFonts w:hint="eastAsia"/>
                      <w:color w:val="auto"/>
                      <w:kern w:val="0"/>
                      <w:szCs w:val="21"/>
                      <w:lang w:val="en-US" w:eastAsia="zh-CN"/>
                    </w:rPr>
                    <w:t>500t/a</w:t>
                  </w:r>
                </w:p>
              </w:tc>
              <w:tc>
                <w:tcPr>
                  <w:tcW w:w="1687" w:type="pct"/>
                  <w:noWrap w:val="0"/>
                  <w:vAlign w:val="center"/>
                </w:tcPr>
                <w:p w14:paraId="55425B4A">
                  <w:pPr>
                    <w:snapToGrid w:val="0"/>
                    <w:jc w:val="center"/>
                    <w:rPr>
                      <w:rFonts w:hint="default"/>
                      <w:color w:val="auto"/>
                      <w:kern w:val="0"/>
                      <w:szCs w:val="21"/>
                      <w:lang w:val="en-US" w:eastAsia="zh-CN"/>
                    </w:rPr>
                  </w:pPr>
                  <w:r>
                    <w:rPr>
                      <w:rFonts w:hint="eastAsia"/>
                      <w:color w:val="auto"/>
                      <w:kern w:val="0"/>
                      <w:szCs w:val="21"/>
                      <w:lang w:val="en-US" w:eastAsia="zh-CN"/>
                    </w:rPr>
                    <w:t>外售</w:t>
                  </w:r>
                </w:p>
              </w:tc>
            </w:tr>
            <w:tr w14:paraId="45CB7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noWrap w:val="0"/>
                  <w:vAlign w:val="center"/>
                </w:tcPr>
                <w:p w14:paraId="3473A11F">
                  <w:pPr>
                    <w:snapToGrid w:val="0"/>
                    <w:jc w:val="center"/>
                    <w:rPr>
                      <w:rFonts w:hint="default"/>
                      <w:color w:val="auto"/>
                      <w:kern w:val="0"/>
                      <w:szCs w:val="21"/>
                      <w:lang w:val="en-US" w:eastAsia="zh-CN"/>
                    </w:rPr>
                  </w:pPr>
                  <w:r>
                    <w:rPr>
                      <w:rFonts w:hint="eastAsia"/>
                      <w:color w:val="auto"/>
                      <w:kern w:val="0"/>
                      <w:szCs w:val="21"/>
                      <w:lang w:val="en-US" w:eastAsia="zh-CN"/>
                    </w:rPr>
                    <w:t>假睫毛</w:t>
                  </w:r>
                </w:p>
              </w:tc>
              <w:tc>
                <w:tcPr>
                  <w:tcW w:w="1114" w:type="pct"/>
                  <w:noWrap w:val="0"/>
                  <w:vAlign w:val="center"/>
                </w:tcPr>
                <w:p w14:paraId="46C7373E">
                  <w:pPr>
                    <w:snapToGrid w:val="0"/>
                    <w:jc w:val="center"/>
                    <w:rPr>
                      <w:rFonts w:hint="eastAsia"/>
                      <w:color w:val="auto"/>
                      <w:szCs w:val="21"/>
                      <w:lang w:val="en-US" w:eastAsia="zh-CN"/>
                    </w:rPr>
                  </w:pPr>
                  <w:r>
                    <w:rPr>
                      <w:rFonts w:hint="eastAsia"/>
                      <w:color w:val="auto"/>
                      <w:szCs w:val="21"/>
                      <w:lang w:val="en-US" w:eastAsia="zh-CN"/>
                    </w:rPr>
                    <w:t>吨/年</w:t>
                  </w:r>
                </w:p>
              </w:tc>
              <w:tc>
                <w:tcPr>
                  <w:tcW w:w="887" w:type="pct"/>
                  <w:noWrap w:val="0"/>
                  <w:vAlign w:val="center"/>
                </w:tcPr>
                <w:p w14:paraId="618B16F2">
                  <w:pPr>
                    <w:snapToGrid w:val="0"/>
                    <w:jc w:val="center"/>
                    <w:rPr>
                      <w:rFonts w:hint="default"/>
                      <w:color w:val="auto"/>
                      <w:kern w:val="0"/>
                      <w:szCs w:val="21"/>
                      <w:lang w:val="en-US" w:eastAsia="zh-CN"/>
                    </w:rPr>
                  </w:pPr>
                  <w:r>
                    <w:rPr>
                      <w:rFonts w:hint="eastAsia"/>
                      <w:color w:val="auto"/>
                      <w:kern w:val="0"/>
                      <w:szCs w:val="21"/>
                      <w:lang w:val="en-US" w:eastAsia="zh-CN"/>
                    </w:rPr>
                    <w:t>200t/a</w:t>
                  </w:r>
                </w:p>
              </w:tc>
              <w:tc>
                <w:tcPr>
                  <w:tcW w:w="1687" w:type="pct"/>
                  <w:noWrap w:val="0"/>
                  <w:vAlign w:val="center"/>
                </w:tcPr>
                <w:p w14:paraId="23551EBB">
                  <w:pPr>
                    <w:snapToGrid w:val="0"/>
                    <w:jc w:val="center"/>
                    <w:rPr>
                      <w:rFonts w:hint="default" w:eastAsia="宋体"/>
                      <w:color w:val="auto"/>
                      <w:kern w:val="0"/>
                      <w:szCs w:val="21"/>
                      <w:lang w:val="en-US" w:eastAsia="zh-CN"/>
                    </w:rPr>
                  </w:pPr>
                  <w:r>
                    <w:rPr>
                      <w:rFonts w:hint="eastAsia"/>
                      <w:color w:val="auto"/>
                      <w:kern w:val="0"/>
                      <w:szCs w:val="21"/>
                      <w:lang w:val="en-US" w:eastAsia="zh-CN"/>
                    </w:rPr>
                    <w:t>外售</w:t>
                  </w:r>
                </w:p>
              </w:tc>
            </w:tr>
            <w:tr w14:paraId="1F3B6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1" w:type="pct"/>
                  <w:noWrap w:val="0"/>
                  <w:vAlign w:val="center"/>
                </w:tcPr>
                <w:p w14:paraId="757B63A1">
                  <w:pPr>
                    <w:snapToGrid w:val="0"/>
                    <w:jc w:val="center"/>
                    <w:rPr>
                      <w:rFonts w:hint="default"/>
                      <w:color w:val="auto"/>
                      <w:kern w:val="0"/>
                      <w:szCs w:val="21"/>
                      <w:lang w:val="en-US" w:eastAsia="zh-CN"/>
                    </w:rPr>
                  </w:pPr>
                  <w:r>
                    <w:rPr>
                      <w:rFonts w:hint="eastAsia"/>
                      <w:color w:val="auto"/>
                      <w:kern w:val="0"/>
                      <w:szCs w:val="21"/>
                      <w:lang w:val="en-US" w:eastAsia="zh-CN"/>
                    </w:rPr>
                    <w:t>PP带</w:t>
                  </w:r>
                </w:p>
              </w:tc>
              <w:tc>
                <w:tcPr>
                  <w:tcW w:w="1114" w:type="pct"/>
                  <w:noWrap w:val="0"/>
                  <w:vAlign w:val="center"/>
                </w:tcPr>
                <w:p w14:paraId="59C71DD5">
                  <w:pPr>
                    <w:snapToGrid w:val="0"/>
                    <w:jc w:val="center"/>
                    <w:rPr>
                      <w:rFonts w:hint="eastAsia"/>
                      <w:color w:val="auto"/>
                      <w:szCs w:val="21"/>
                      <w:lang w:val="en-US" w:eastAsia="zh-CN"/>
                    </w:rPr>
                  </w:pPr>
                  <w:r>
                    <w:rPr>
                      <w:rFonts w:hint="eastAsia"/>
                      <w:color w:val="auto"/>
                      <w:szCs w:val="21"/>
                      <w:lang w:val="en-US" w:eastAsia="zh-CN"/>
                    </w:rPr>
                    <w:t>吨/年</w:t>
                  </w:r>
                </w:p>
              </w:tc>
              <w:tc>
                <w:tcPr>
                  <w:tcW w:w="887" w:type="pct"/>
                  <w:noWrap w:val="0"/>
                  <w:vAlign w:val="center"/>
                </w:tcPr>
                <w:p w14:paraId="5726DCA3">
                  <w:pPr>
                    <w:snapToGrid w:val="0"/>
                    <w:jc w:val="center"/>
                    <w:rPr>
                      <w:rFonts w:hint="default"/>
                      <w:color w:val="auto"/>
                      <w:kern w:val="0"/>
                      <w:szCs w:val="21"/>
                      <w:lang w:val="en-US" w:eastAsia="zh-CN"/>
                    </w:rPr>
                  </w:pPr>
                  <w:r>
                    <w:rPr>
                      <w:rFonts w:hint="eastAsia"/>
                      <w:color w:val="auto"/>
                      <w:kern w:val="0"/>
                      <w:szCs w:val="21"/>
                      <w:lang w:val="en-US" w:eastAsia="zh-CN"/>
                    </w:rPr>
                    <w:t>500t/a</w:t>
                  </w:r>
                </w:p>
              </w:tc>
              <w:tc>
                <w:tcPr>
                  <w:tcW w:w="1687" w:type="pct"/>
                  <w:noWrap w:val="0"/>
                  <w:vAlign w:val="center"/>
                </w:tcPr>
                <w:p w14:paraId="056BA0E4">
                  <w:pPr>
                    <w:snapToGrid w:val="0"/>
                    <w:jc w:val="center"/>
                    <w:rPr>
                      <w:rFonts w:hint="default" w:eastAsia="宋体"/>
                      <w:color w:val="auto"/>
                      <w:kern w:val="0"/>
                      <w:szCs w:val="21"/>
                      <w:lang w:val="en-US" w:eastAsia="zh-CN"/>
                    </w:rPr>
                  </w:pPr>
                  <w:r>
                    <w:rPr>
                      <w:rFonts w:hint="eastAsia"/>
                      <w:color w:val="auto"/>
                      <w:kern w:val="0"/>
                      <w:szCs w:val="21"/>
                      <w:lang w:val="en-US" w:eastAsia="zh-CN"/>
                    </w:rPr>
                    <w:t>外售</w:t>
                  </w:r>
                </w:p>
              </w:tc>
            </w:tr>
          </w:tbl>
          <w:p w14:paraId="1B6EC39D">
            <w:pPr>
              <w:adjustRightInd w:val="0"/>
              <w:snapToGrid w:val="0"/>
              <w:spacing w:line="360" w:lineRule="auto"/>
              <w:ind w:firstLine="441" w:firstLineChars="184"/>
              <w:rPr>
                <w:rFonts w:hint="default" w:cs="Times New Roman"/>
                <w:color w:val="auto"/>
                <w:sz w:val="24"/>
                <w:lang w:val="en-US" w:eastAsia="zh-CN"/>
              </w:rPr>
            </w:pPr>
            <w:r>
              <w:rPr>
                <w:rFonts w:hint="eastAsia" w:cs="Times New Roman"/>
                <w:color w:val="auto"/>
                <w:sz w:val="24"/>
                <w:lang w:val="en-US" w:eastAsia="zh-CN"/>
              </w:rPr>
              <w:t>本项目假发产品执行《发制品 通用技术规范》（GB/T 41637-2022）标准，PP纤维丝执行《丙纶短纤维》（FZ/T 52003-2014）的标准，产品质量标准见表2-3。</w:t>
            </w:r>
          </w:p>
          <w:p w14:paraId="795C923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表2-</w:t>
            </w:r>
            <w:r>
              <w:rPr>
                <w:rFonts w:hint="eastAsia" w:ascii="Times New Roman" w:hAnsi="Times New Roman" w:eastAsia="黑体" w:cs="Times New Roman"/>
                <w:color w:val="auto"/>
                <w:kern w:val="0"/>
                <w:sz w:val="24"/>
                <w:highlight w:val="none"/>
                <w:lang w:val="en-US" w:eastAsia="zh-CN"/>
              </w:rPr>
              <w:t>3 假发</w:t>
            </w:r>
            <w:r>
              <w:rPr>
                <w:rFonts w:hint="default" w:ascii="Times New Roman" w:hAnsi="Times New Roman" w:eastAsia="黑体" w:cs="Times New Roman"/>
                <w:color w:val="auto"/>
                <w:kern w:val="0"/>
                <w:sz w:val="24"/>
                <w:highlight w:val="none"/>
              </w:rPr>
              <w:t>产品标准要求</w:t>
            </w:r>
          </w:p>
          <w:p w14:paraId="0D1BD53D">
            <w:pPr>
              <w:spacing w:line="19" w:lineRule="exact"/>
              <w:rPr>
                <w:color w:val="auto"/>
              </w:rPr>
            </w:pPr>
          </w:p>
          <w:tbl>
            <w:tblPr>
              <w:tblStyle w:val="122"/>
              <w:tblW w:w="4984" w:type="pct"/>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393"/>
              <w:gridCol w:w="938"/>
              <w:gridCol w:w="825"/>
              <w:gridCol w:w="918"/>
              <w:gridCol w:w="861"/>
              <w:gridCol w:w="934"/>
              <w:gridCol w:w="936"/>
              <w:gridCol w:w="842"/>
              <w:gridCol w:w="731"/>
              <w:gridCol w:w="879"/>
            </w:tblGrid>
            <w:tr w14:paraId="76CA40D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237" w:type="pct"/>
                  <w:vMerge w:val="restart"/>
                  <w:tcBorders>
                    <w:tl2br w:val="nil"/>
                    <w:tr2bl w:val="nil"/>
                  </w:tcBorders>
                  <w:noWrap w:val="0"/>
                  <w:vAlign w:val="center"/>
                </w:tcPr>
                <w:p w14:paraId="24F8B58A">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序号</w:t>
                  </w:r>
                </w:p>
              </w:tc>
              <w:tc>
                <w:tcPr>
                  <w:tcW w:w="568" w:type="pct"/>
                  <w:vMerge w:val="restart"/>
                  <w:tcBorders>
                    <w:tl2br w:val="nil"/>
                    <w:tr2bl w:val="nil"/>
                  </w:tcBorders>
                  <w:noWrap w:val="0"/>
                  <w:vAlign w:val="center"/>
                </w:tcPr>
                <w:p w14:paraId="62385482">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产品名称</w:t>
                  </w:r>
                </w:p>
              </w:tc>
              <w:tc>
                <w:tcPr>
                  <w:tcW w:w="499" w:type="pct"/>
                  <w:vMerge w:val="restart"/>
                  <w:tcBorders>
                    <w:tl2br w:val="nil"/>
                    <w:tr2bl w:val="nil"/>
                  </w:tcBorders>
                  <w:noWrap w:val="0"/>
                  <w:vAlign w:val="center"/>
                </w:tcPr>
                <w:p w14:paraId="53AC8CD7">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pH值</w:t>
                  </w:r>
                </w:p>
              </w:tc>
              <w:tc>
                <w:tcPr>
                  <w:tcW w:w="1077" w:type="pct"/>
                  <w:gridSpan w:val="2"/>
                  <w:tcBorders>
                    <w:tl2br w:val="nil"/>
                    <w:tr2bl w:val="nil"/>
                  </w:tcBorders>
                  <w:noWrap w:val="0"/>
                  <w:vAlign w:val="center"/>
                </w:tcPr>
                <w:p w14:paraId="4E590DC3">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耐摩擦色牢度/级</w:t>
                  </w:r>
                </w:p>
              </w:tc>
              <w:tc>
                <w:tcPr>
                  <w:tcW w:w="1132" w:type="pct"/>
                  <w:gridSpan w:val="2"/>
                  <w:tcBorders>
                    <w:tl2br w:val="nil"/>
                    <w:tr2bl w:val="nil"/>
                  </w:tcBorders>
                  <w:noWrap w:val="0"/>
                  <w:vAlign w:val="center"/>
                </w:tcPr>
                <w:p w14:paraId="0D1D7B3E">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耐汗渍色牢度/级</w:t>
                  </w:r>
                </w:p>
              </w:tc>
              <w:tc>
                <w:tcPr>
                  <w:tcW w:w="509" w:type="pct"/>
                  <w:vMerge w:val="restart"/>
                  <w:tcBorders>
                    <w:tl2br w:val="nil"/>
                    <w:tr2bl w:val="nil"/>
                  </w:tcBorders>
                  <w:noWrap w:val="0"/>
                  <w:vAlign w:val="center"/>
                </w:tcPr>
                <w:p w14:paraId="57081292">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耐水色牢度/级（变色、沾色）</w:t>
                  </w:r>
                </w:p>
              </w:tc>
              <w:tc>
                <w:tcPr>
                  <w:tcW w:w="442" w:type="pct"/>
                  <w:vMerge w:val="restart"/>
                  <w:tcBorders>
                    <w:tl2br w:val="nil"/>
                    <w:tr2bl w:val="nil"/>
                  </w:tcBorders>
                  <w:noWrap w:val="0"/>
                  <w:vAlign w:val="center"/>
                </w:tcPr>
                <w:p w14:paraId="5BD40476">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异味</w:t>
                  </w:r>
                </w:p>
              </w:tc>
              <w:tc>
                <w:tcPr>
                  <w:tcW w:w="532" w:type="pct"/>
                  <w:vMerge w:val="restart"/>
                  <w:tcBorders>
                    <w:tl2br w:val="nil"/>
                    <w:tr2bl w:val="nil"/>
                  </w:tcBorders>
                  <w:noWrap w:val="0"/>
                  <w:vAlign w:val="center"/>
                </w:tcPr>
                <w:p w14:paraId="0A2580C8">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甲醛/（mg/kg）</w:t>
                  </w:r>
                </w:p>
              </w:tc>
            </w:tr>
            <w:tr w14:paraId="239E09B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74" w:hRule="atLeast"/>
              </w:trPr>
              <w:tc>
                <w:tcPr>
                  <w:tcW w:w="237" w:type="pct"/>
                  <w:vMerge w:val="continue"/>
                  <w:tcBorders>
                    <w:tl2br w:val="nil"/>
                    <w:tr2bl w:val="nil"/>
                  </w:tcBorders>
                  <w:noWrap w:val="0"/>
                  <w:vAlign w:val="center"/>
                </w:tcPr>
                <w:p w14:paraId="08EF4C51">
                  <w:pPr>
                    <w:jc w:val="center"/>
                    <w:rPr>
                      <w:rFonts w:hint="default" w:ascii="Times New Roman" w:hAnsi="Times New Roman" w:eastAsia="宋体" w:cs="Times New Roman"/>
                      <w:bCs/>
                      <w:color w:val="auto"/>
                      <w:sz w:val="21"/>
                      <w:szCs w:val="21"/>
                      <w:lang w:val="en-US" w:eastAsia="zh-CN"/>
                    </w:rPr>
                  </w:pPr>
                </w:p>
              </w:tc>
              <w:tc>
                <w:tcPr>
                  <w:tcW w:w="568" w:type="pct"/>
                  <w:vMerge w:val="continue"/>
                  <w:tcBorders>
                    <w:tl2br w:val="nil"/>
                    <w:tr2bl w:val="nil"/>
                  </w:tcBorders>
                  <w:noWrap w:val="0"/>
                  <w:vAlign w:val="center"/>
                </w:tcPr>
                <w:p w14:paraId="35930D3B">
                  <w:pPr>
                    <w:jc w:val="center"/>
                    <w:rPr>
                      <w:rFonts w:hint="default" w:ascii="Times New Roman" w:hAnsi="Times New Roman" w:eastAsia="宋体" w:cs="Times New Roman"/>
                      <w:bCs/>
                      <w:color w:val="auto"/>
                      <w:sz w:val="21"/>
                      <w:szCs w:val="21"/>
                      <w:lang w:val="en-US" w:eastAsia="zh-CN"/>
                    </w:rPr>
                  </w:pPr>
                </w:p>
              </w:tc>
              <w:tc>
                <w:tcPr>
                  <w:tcW w:w="499" w:type="pct"/>
                  <w:vMerge w:val="continue"/>
                  <w:tcBorders>
                    <w:tl2br w:val="nil"/>
                    <w:tr2bl w:val="nil"/>
                  </w:tcBorders>
                  <w:noWrap w:val="0"/>
                  <w:vAlign w:val="center"/>
                </w:tcPr>
                <w:p w14:paraId="7D2C4E10">
                  <w:pPr>
                    <w:jc w:val="center"/>
                    <w:rPr>
                      <w:rFonts w:hint="eastAsia" w:ascii="Times New Roman" w:hAnsi="Times New Roman" w:cs="Times New Roman"/>
                      <w:bCs/>
                      <w:color w:val="auto"/>
                      <w:sz w:val="21"/>
                      <w:szCs w:val="21"/>
                      <w:lang w:val="en-US" w:eastAsia="zh-CN"/>
                    </w:rPr>
                  </w:pPr>
                </w:p>
              </w:tc>
              <w:tc>
                <w:tcPr>
                  <w:tcW w:w="555" w:type="pct"/>
                  <w:tcBorders>
                    <w:tl2br w:val="nil"/>
                    <w:tr2bl w:val="nil"/>
                  </w:tcBorders>
                  <w:noWrap w:val="0"/>
                  <w:vAlign w:val="center"/>
                </w:tcPr>
                <w:p w14:paraId="1EF7FC73">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耐干摩擦</w:t>
                  </w:r>
                </w:p>
              </w:tc>
              <w:tc>
                <w:tcPr>
                  <w:tcW w:w="521" w:type="pct"/>
                  <w:tcBorders>
                    <w:tl2br w:val="nil"/>
                    <w:tr2bl w:val="nil"/>
                  </w:tcBorders>
                  <w:noWrap w:val="0"/>
                  <w:vAlign w:val="center"/>
                </w:tcPr>
                <w:p w14:paraId="5173F255">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耐湿摩擦</w:t>
                  </w:r>
                </w:p>
              </w:tc>
              <w:tc>
                <w:tcPr>
                  <w:tcW w:w="565" w:type="pct"/>
                  <w:tcBorders>
                    <w:tl2br w:val="nil"/>
                    <w:tr2bl w:val="nil"/>
                  </w:tcBorders>
                  <w:noWrap w:val="0"/>
                  <w:vAlign w:val="center"/>
                </w:tcPr>
                <w:p w14:paraId="2D7D7122">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耐酸汗渍（变色、沾色）</w:t>
                  </w:r>
                </w:p>
              </w:tc>
              <w:tc>
                <w:tcPr>
                  <w:tcW w:w="566" w:type="pct"/>
                  <w:tcBorders>
                    <w:tl2br w:val="nil"/>
                    <w:tr2bl w:val="nil"/>
                  </w:tcBorders>
                  <w:noWrap w:val="0"/>
                  <w:vAlign w:val="center"/>
                </w:tcPr>
                <w:p w14:paraId="5380BE55">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耐碱汗渍（变色、沾色）</w:t>
                  </w:r>
                </w:p>
              </w:tc>
              <w:tc>
                <w:tcPr>
                  <w:tcW w:w="509" w:type="pct"/>
                  <w:vMerge w:val="continue"/>
                  <w:tcBorders>
                    <w:tl2br w:val="nil"/>
                    <w:tr2bl w:val="nil"/>
                  </w:tcBorders>
                  <w:noWrap w:val="0"/>
                  <w:vAlign w:val="center"/>
                </w:tcPr>
                <w:p w14:paraId="37196281">
                  <w:pPr>
                    <w:jc w:val="center"/>
                    <w:rPr>
                      <w:rFonts w:hint="default" w:ascii="Times New Roman" w:hAnsi="Times New Roman" w:eastAsia="宋体" w:cs="Times New Roman"/>
                      <w:bCs/>
                      <w:color w:val="auto"/>
                      <w:sz w:val="21"/>
                      <w:szCs w:val="21"/>
                      <w:lang w:val="en-US" w:eastAsia="zh-CN"/>
                    </w:rPr>
                  </w:pPr>
                </w:p>
              </w:tc>
              <w:tc>
                <w:tcPr>
                  <w:tcW w:w="442" w:type="pct"/>
                  <w:vMerge w:val="continue"/>
                  <w:tcBorders>
                    <w:tl2br w:val="nil"/>
                    <w:tr2bl w:val="nil"/>
                  </w:tcBorders>
                  <w:noWrap w:val="0"/>
                  <w:vAlign w:val="center"/>
                </w:tcPr>
                <w:p w14:paraId="7C506048">
                  <w:pPr>
                    <w:jc w:val="center"/>
                    <w:rPr>
                      <w:rFonts w:hint="default" w:ascii="Times New Roman" w:hAnsi="Times New Roman" w:eastAsia="宋体" w:cs="Times New Roman"/>
                      <w:bCs/>
                      <w:color w:val="auto"/>
                      <w:sz w:val="21"/>
                      <w:szCs w:val="21"/>
                      <w:lang w:val="en-US" w:eastAsia="zh-CN"/>
                    </w:rPr>
                  </w:pPr>
                </w:p>
              </w:tc>
              <w:tc>
                <w:tcPr>
                  <w:tcW w:w="532" w:type="pct"/>
                  <w:vMerge w:val="continue"/>
                  <w:tcBorders>
                    <w:tl2br w:val="nil"/>
                    <w:tr2bl w:val="nil"/>
                  </w:tcBorders>
                  <w:noWrap w:val="0"/>
                  <w:vAlign w:val="center"/>
                </w:tcPr>
                <w:p w14:paraId="22577816">
                  <w:pPr>
                    <w:jc w:val="center"/>
                    <w:rPr>
                      <w:rFonts w:hint="default" w:ascii="Times New Roman" w:hAnsi="Times New Roman" w:eastAsia="宋体" w:cs="Times New Roman"/>
                      <w:bCs/>
                      <w:color w:val="auto"/>
                      <w:sz w:val="21"/>
                      <w:szCs w:val="21"/>
                      <w:lang w:val="en-US" w:eastAsia="zh-CN"/>
                    </w:rPr>
                  </w:pPr>
                </w:p>
              </w:tc>
            </w:tr>
            <w:tr w14:paraId="1A21332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237" w:type="pct"/>
                  <w:tcBorders>
                    <w:tl2br w:val="nil"/>
                    <w:tr2bl w:val="nil"/>
                  </w:tcBorders>
                  <w:noWrap w:val="0"/>
                  <w:vAlign w:val="center"/>
                </w:tcPr>
                <w:p w14:paraId="5FF55D19">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w:t>
                  </w:r>
                </w:p>
              </w:tc>
              <w:tc>
                <w:tcPr>
                  <w:tcW w:w="568" w:type="pct"/>
                  <w:tcBorders>
                    <w:tl2br w:val="nil"/>
                    <w:tr2bl w:val="nil"/>
                  </w:tcBorders>
                  <w:noWrap w:val="0"/>
                  <w:vAlign w:val="center"/>
                </w:tcPr>
                <w:p w14:paraId="09BA7F33">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假发</w:t>
                  </w:r>
                </w:p>
              </w:tc>
              <w:tc>
                <w:tcPr>
                  <w:tcW w:w="499" w:type="pct"/>
                  <w:tcBorders>
                    <w:tl2br w:val="nil"/>
                    <w:tr2bl w:val="nil"/>
                  </w:tcBorders>
                  <w:noWrap w:val="0"/>
                  <w:vAlign w:val="center"/>
                </w:tcPr>
                <w:p w14:paraId="3F06557A">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4.0-8.5</w:t>
                  </w:r>
                </w:p>
              </w:tc>
              <w:tc>
                <w:tcPr>
                  <w:tcW w:w="555" w:type="pct"/>
                  <w:tcBorders>
                    <w:tl2br w:val="nil"/>
                    <w:tr2bl w:val="nil"/>
                  </w:tcBorders>
                  <w:noWrap w:val="0"/>
                  <w:vAlign w:val="center"/>
                </w:tcPr>
                <w:p w14:paraId="4B53C0B9">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≥4</w:t>
                  </w:r>
                </w:p>
              </w:tc>
              <w:tc>
                <w:tcPr>
                  <w:tcW w:w="521" w:type="pct"/>
                  <w:tcBorders>
                    <w:tl2br w:val="nil"/>
                    <w:tr2bl w:val="nil"/>
                  </w:tcBorders>
                  <w:noWrap w:val="0"/>
                  <w:vAlign w:val="center"/>
                </w:tcPr>
                <w:p w14:paraId="5644BDCD">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≥3</w:t>
                  </w:r>
                </w:p>
              </w:tc>
              <w:tc>
                <w:tcPr>
                  <w:tcW w:w="565" w:type="pct"/>
                  <w:tcBorders>
                    <w:tl2br w:val="nil"/>
                    <w:tr2bl w:val="nil"/>
                  </w:tcBorders>
                  <w:noWrap w:val="0"/>
                  <w:vAlign w:val="center"/>
                </w:tcPr>
                <w:p w14:paraId="4776374B">
                  <w:pPr>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≥3</w:t>
                  </w:r>
                </w:p>
              </w:tc>
              <w:tc>
                <w:tcPr>
                  <w:tcW w:w="566" w:type="pct"/>
                  <w:tcBorders>
                    <w:tl2br w:val="nil"/>
                    <w:tr2bl w:val="nil"/>
                  </w:tcBorders>
                  <w:noWrap w:val="0"/>
                  <w:vAlign w:val="center"/>
                </w:tcPr>
                <w:p w14:paraId="45F91922">
                  <w:pPr>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≥3</w:t>
                  </w:r>
                </w:p>
              </w:tc>
              <w:tc>
                <w:tcPr>
                  <w:tcW w:w="509" w:type="pct"/>
                  <w:tcBorders>
                    <w:tl2br w:val="nil"/>
                    <w:tr2bl w:val="nil"/>
                  </w:tcBorders>
                  <w:noWrap w:val="0"/>
                  <w:vAlign w:val="center"/>
                </w:tcPr>
                <w:p w14:paraId="56F708AC">
                  <w:pPr>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≥3</w:t>
                  </w:r>
                </w:p>
              </w:tc>
              <w:tc>
                <w:tcPr>
                  <w:tcW w:w="442" w:type="pct"/>
                  <w:tcBorders>
                    <w:tl2br w:val="nil"/>
                    <w:tr2bl w:val="nil"/>
                  </w:tcBorders>
                  <w:noWrap w:val="0"/>
                  <w:vAlign w:val="center"/>
                </w:tcPr>
                <w:p w14:paraId="1775B200">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无异味</w:t>
                  </w:r>
                </w:p>
              </w:tc>
              <w:tc>
                <w:tcPr>
                  <w:tcW w:w="532" w:type="pct"/>
                  <w:tcBorders>
                    <w:tl2br w:val="nil"/>
                    <w:tr2bl w:val="nil"/>
                  </w:tcBorders>
                  <w:noWrap w:val="0"/>
                  <w:vAlign w:val="center"/>
                </w:tcPr>
                <w:p w14:paraId="481BA7DC">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cs="Times New Roman"/>
                      <w:bCs/>
                      <w:color w:val="auto"/>
                      <w:sz w:val="21"/>
                      <w:szCs w:val="21"/>
                      <w:lang w:val="en-US" w:eastAsia="zh-CN"/>
                    </w:rPr>
                    <w:t>≤75</w:t>
                  </w:r>
                </w:p>
              </w:tc>
            </w:tr>
          </w:tbl>
          <w:p w14:paraId="482B86B0">
            <w:pPr>
              <w:spacing w:line="360" w:lineRule="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4</w:t>
            </w:r>
            <w:r>
              <w:rPr>
                <w:rFonts w:hint="default" w:ascii="Times New Roman" w:hAnsi="Times New Roman" w:eastAsia="黑体" w:cs="Times New Roman"/>
                <w:color w:val="auto"/>
                <w:sz w:val="24"/>
                <w:szCs w:val="24"/>
                <w:highlight w:val="none"/>
                <w:lang w:val="en-US" w:eastAsia="zh-CN"/>
              </w:rPr>
              <w:t>、主要设备</w:t>
            </w:r>
          </w:p>
          <w:p w14:paraId="002747F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w:t>
            </w:r>
            <w:r>
              <w:rPr>
                <w:rFonts w:hint="eastAsia" w:eastAsia="黑体" w:cs="Times New Roman"/>
                <w:b w:val="0"/>
                <w:bCs w:val="0"/>
                <w:color w:val="auto"/>
                <w:kern w:val="0"/>
                <w:sz w:val="24"/>
                <w:szCs w:val="24"/>
                <w:highlight w:val="none"/>
                <w:lang w:val="en-US" w:eastAsia="zh-CN"/>
              </w:rPr>
              <w:t>4</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eastAsia" w:eastAsia="黑体" w:cs="Times New Roman"/>
                <w:b w:val="0"/>
                <w:bCs w:val="0"/>
                <w:color w:val="auto"/>
                <w:kern w:val="0"/>
                <w:sz w:val="24"/>
                <w:szCs w:val="24"/>
                <w:highlight w:val="none"/>
                <w:lang w:val="en-US" w:eastAsia="zh-CN"/>
              </w:rPr>
              <w:t>项目主要生产</w:t>
            </w:r>
            <w:r>
              <w:rPr>
                <w:rFonts w:hint="default" w:ascii="Times New Roman" w:hAnsi="Times New Roman" w:eastAsia="黑体" w:cs="Times New Roman"/>
                <w:b w:val="0"/>
                <w:bCs w:val="0"/>
                <w:color w:val="auto"/>
                <w:kern w:val="0"/>
                <w:sz w:val="24"/>
                <w:szCs w:val="24"/>
                <w:highlight w:val="none"/>
                <w:lang w:val="en-US" w:eastAsia="zh-CN"/>
              </w:rPr>
              <w:t>设备一览表</w:t>
            </w:r>
          </w:p>
          <w:tbl>
            <w:tblPr>
              <w:tblStyle w:val="27"/>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91"/>
              <w:gridCol w:w="2623"/>
              <w:gridCol w:w="1698"/>
              <w:gridCol w:w="2957"/>
            </w:tblGrid>
            <w:tr w14:paraId="36A604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737CF8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序号</w:t>
                  </w:r>
                </w:p>
              </w:tc>
              <w:tc>
                <w:tcPr>
                  <w:tcW w:w="1586" w:type="pct"/>
                  <w:tcBorders>
                    <w:tl2br w:val="nil"/>
                    <w:tr2bl w:val="nil"/>
                  </w:tcBorders>
                  <w:noWrap w:val="0"/>
                  <w:vAlign w:val="center"/>
                </w:tcPr>
                <w:p w14:paraId="5D4CB7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设备名称</w:t>
                  </w:r>
                </w:p>
              </w:tc>
              <w:tc>
                <w:tcPr>
                  <w:tcW w:w="1027" w:type="pct"/>
                  <w:tcBorders>
                    <w:tl2br w:val="nil"/>
                    <w:tr2bl w:val="nil"/>
                  </w:tcBorders>
                  <w:noWrap w:val="0"/>
                  <w:vAlign w:val="center"/>
                </w:tcPr>
                <w:p w14:paraId="6F2CF2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数量（台/套）</w:t>
                  </w:r>
                </w:p>
              </w:tc>
              <w:tc>
                <w:tcPr>
                  <w:tcW w:w="1787" w:type="pct"/>
                  <w:tcBorders>
                    <w:tl2br w:val="nil"/>
                    <w:tr2bl w:val="nil"/>
                  </w:tcBorders>
                  <w:shd w:val="clear" w:color="auto" w:fill="auto"/>
                  <w:noWrap w:val="0"/>
                  <w:vAlign w:val="center"/>
                </w:tcPr>
                <w:p w14:paraId="40899161">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规格型号</w:t>
                  </w:r>
                </w:p>
              </w:tc>
            </w:tr>
            <w:tr w14:paraId="2B1040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000" w:type="pct"/>
                  <w:gridSpan w:val="4"/>
                  <w:tcBorders>
                    <w:tl2br w:val="nil"/>
                    <w:tr2bl w:val="nil"/>
                  </w:tcBorders>
                  <w:noWrap w:val="0"/>
                  <w:vAlign w:val="center"/>
                </w:tcPr>
                <w:p w14:paraId="78ECE6FE">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抽丝工艺设备</w:t>
                  </w:r>
                </w:p>
              </w:tc>
            </w:tr>
            <w:tr w14:paraId="18837A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205B99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1</w:t>
                  </w:r>
                </w:p>
              </w:tc>
              <w:tc>
                <w:tcPr>
                  <w:tcW w:w="1586" w:type="pct"/>
                  <w:tcBorders>
                    <w:tl2br w:val="nil"/>
                    <w:tr2bl w:val="nil"/>
                  </w:tcBorders>
                  <w:shd w:val="clear" w:color="auto" w:fill="auto"/>
                  <w:noWrap w:val="0"/>
                  <w:vAlign w:val="center"/>
                </w:tcPr>
                <w:p w14:paraId="6EFD7BE6">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纺丝设备</w:t>
                  </w:r>
                </w:p>
              </w:tc>
              <w:tc>
                <w:tcPr>
                  <w:tcW w:w="1027" w:type="pct"/>
                  <w:tcBorders>
                    <w:tl2br w:val="nil"/>
                    <w:tr2bl w:val="nil"/>
                  </w:tcBorders>
                  <w:noWrap w:val="0"/>
                  <w:vAlign w:val="center"/>
                </w:tcPr>
                <w:p w14:paraId="46BD7A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2套</w:t>
                  </w:r>
                </w:p>
              </w:tc>
              <w:tc>
                <w:tcPr>
                  <w:tcW w:w="1787" w:type="pct"/>
                  <w:tcBorders>
                    <w:tl2br w:val="nil"/>
                    <w:tr2bl w:val="nil"/>
                  </w:tcBorders>
                  <w:shd w:val="clear" w:color="auto" w:fill="auto"/>
                  <w:noWrap w:val="0"/>
                  <w:vAlign w:val="center"/>
                </w:tcPr>
                <w:p w14:paraId="21AF07F5">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w:t>
                  </w:r>
                </w:p>
              </w:tc>
            </w:tr>
            <w:tr w14:paraId="578FBA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2AFCBDC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配有</w:t>
                  </w:r>
                </w:p>
              </w:tc>
              <w:tc>
                <w:tcPr>
                  <w:tcW w:w="1586" w:type="pct"/>
                  <w:tcBorders>
                    <w:tl2br w:val="nil"/>
                    <w:tr2bl w:val="nil"/>
                  </w:tcBorders>
                  <w:shd w:val="clear" w:color="auto" w:fill="auto"/>
                  <w:noWrap w:val="0"/>
                  <w:vAlign w:val="center"/>
                </w:tcPr>
                <w:p w14:paraId="6A274EC7">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自动上料机</w:t>
                  </w:r>
                </w:p>
              </w:tc>
              <w:tc>
                <w:tcPr>
                  <w:tcW w:w="1027" w:type="pct"/>
                  <w:tcBorders>
                    <w:tl2br w:val="nil"/>
                    <w:tr2bl w:val="nil"/>
                  </w:tcBorders>
                  <w:noWrap w:val="0"/>
                  <w:vAlign w:val="center"/>
                </w:tcPr>
                <w:p w14:paraId="453C7A6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w:t>
                  </w:r>
                  <w:r>
                    <w:rPr>
                      <w:rFonts w:hint="default" w:ascii="Times New Roman" w:hAnsi="Times New Roman" w:eastAsia="宋体" w:cs="Times New Roman"/>
                      <w:i w:val="0"/>
                      <w:iCs w:val="0"/>
                      <w:color w:val="auto"/>
                      <w:sz w:val="21"/>
                      <w:szCs w:val="21"/>
                      <w:highlight w:val="none"/>
                      <w:u w:val="none"/>
                      <w:lang w:val="en-US" w:eastAsia="zh-CN"/>
                    </w:rPr>
                    <w:t>台</w:t>
                  </w:r>
                </w:p>
              </w:tc>
              <w:tc>
                <w:tcPr>
                  <w:tcW w:w="1787" w:type="pct"/>
                  <w:tcBorders>
                    <w:tl2br w:val="nil"/>
                    <w:tr2bl w:val="nil"/>
                  </w:tcBorders>
                  <w:shd w:val="clear" w:color="auto" w:fill="auto"/>
                  <w:noWrap w:val="0"/>
                  <w:vAlign w:val="center"/>
                </w:tcPr>
                <w:p w14:paraId="64E9E0EF">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w:t>
                  </w:r>
                </w:p>
              </w:tc>
            </w:tr>
            <w:tr w14:paraId="05C9E7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599" w:type="pct"/>
                  <w:tcBorders>
                    <w:tl2br w:val="nil"/>
                    <w:tr2bl w:val="nil"/>
                  </w:tcBorders>
                  <w:noWrap w:val="0"/>
                  <w:vAlign w:val="center"/>
                </w:tcPr>
                <w:p w14:paraId="240673B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p>
              </w:tc>
              <w:tc>
                <w:tcPr>
                  <w:tcW w:w="1586" w:type="pct"/>
                  <w:tcBorders>
                    <w:tl2br w:val="nil"/>
                    <w:tr2bl w:val="nil"/>
                  </w:tcBorders>
                  <w:shd w:val="clear" w:color="auto" w:fill="auto"/>
                  <w:noWrap w:val="0"/>
                  <w:vAlign w:val="center"/>
                </w:tcPr>
                <w:p w14:paraId="36C23EF6">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螺杆挤出机</w:t>
                  </w:r>
                </w:p>
              </w:tc>
              <w:tc>
                <w:tcPr>
                  <w:tcW w:w="1027" w:type="pct"/>
                  <w:tcBorders>
                    <w:tl2br w:val="nil"/>
                    <w:tr2bl w:val="nil"/>
                  </w:tcBorders>
                  <w:noWrap w:val="0"/>
                  <w:vAlign w:val="center"/>
                </w:tcPr>
                <w:p w14:paraId="50B530A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w:t>
                  </w:r>
                  <w:r>
                    <w:rPr>
                      <w:rFonts w:hint="default" w:ascii="Times New Roman" w:hAnsi="Times New Roman" w:eastAsia="宋体" w:cs="Times New Roman"/>
                      <w:i w:val="0"/>
                      <w:iCs w:val="0"/>
                      <w:color w:val="auto"/>
                      <w:sz w:val="21"/>
                      <w:szCs w:val="21"/>
                      <w:highlight w:val="none"/>
                      <w:u w:val="none"/>
                      <w:lang w:val="en-US" w:eastAsia="zh-CN"/>
                    </w:rPr>
                    <w:t>台</w:t>
                  </w:r>
                </w:p>
              </w:tc>
              <w:tc>
                <w:tcPr>
                  <w:tcW w:w="1787" w:type="pct"/>
                  <w:tcBorders>
                    <w:tl2br w:val="nil"/>
                    <w:tr2bl w:val="nil"/>
                  </w:tcBorders>
                  <w:shd w:val="clear" w:color="auto" w:fill="auto"/>
                  <w:noWrap w:val="0"/>
                  <w:vAlign w:val="center"/>
                </w:tcPr>
                <w:p w14:paraId="0BEFE4AC">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48kw</w:t>
                  </w:r>
                </w:p>
              </w:tc>
            </w:tr>
            <w:tr w14:paraId="5BB4B8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487F4E2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p>
              </w:tc>
              <w:tc>
                <w:tcPr>
                  <w:tcW w:w="1586" w:type="pct"/>
                  <w:tcBorders>
                    <w:tl2br w:val="nil"/>
                    <w:tr2bl w:val="nil"/>
                  </w:tcBorders>
                  <w:shd w:val="clear" w:color="auto" w:fill="auto"/>
                  <w:noWrap w:val="0"/>
                  <w:vAlign w:val="center"/>
                </w:tcPr>
                <w:p w14:paraId="674A5712">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牵伸卷绕设备</w:t>
                  </w:r>
                </w:p>
              </w:tc>
              <w:tc>
                <w:tcPr>
                  <w:tcW w:w="1027" w:type="pct"/>
                  <w:tcBorders>
                    <w:tl2br w:val="nil"/>
                    <w:tr2bl w:val="nil"/>
                  </w:tcBorders>
                  <w:noWrap w:val="0"/>
                  <w:vAlign w:val="center"/>
                </w:tcPr>
                <w:p w14:paraId="5208799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2套</w:t>
                  </w:r>
                </w:p>
              </w:tc>
              <w:tc>
                <w:tcPr>
                  <w:tcW w:w="1787" w:type="pct"/>
                  <w:tcBorders>
                    <w:tl2br w:val="nil"/>
                    <w:tr2bl w:val="nil"/>
                  </w:tcBorders>
                  <w:shd w:val="clear" w:color="auto" w:fill="auto"/>
                  <w:noWrap w:val="0"/>
                  <w:vAlign w:val="center"/>
                </w:tcPr>
                <w:p w14:paraId="2FF8AF2B">
                  <w:pPr>
                    <w:ind w:left="-71" w:leftChars="-44" w:right="-113" w:rightChars="0" w:hanging="21" w:hangingChars="10"/>
                    <w:jc w:val="center"/>
                    <w:rPr>
                      <w:rFonts w:hint="default"/>
                      <w:color w:val="auto"/>
                      <w:szCs w:val="21"/>
                      <w:highlight w:val="none"/>
                      <w:lang w:val="en-US" w:eastAsia="zh-CN"/>
                    </w:rPr>
                  </w:pPr>
                </w:p>
              </w:tc>
            </w:tr>
            <w:tr w14:paraId="71EAC6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724006A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配有</w:t>
                  </w:r>
                </w:p>
              </w:tc>
              <w:tc>
                <w:tcPr>
                  <w:tcW w:w="1586" w:type="pct"/>
                  <w:tcBorders>
                    <w:tl2br w:val="nil"/>
                    <w:tr2bl w:val="nil"/>
                  </w:tcBorders>
                  <w:shd w:val="clear" w:color="auto" w:fill="auto"/>
                  <w:noWrap w:val="0"/>
                  <w:vAlign w:val="center"/>
                </w:tcPr>
                <w:p w14:paraId="1D22AF8E">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牵伸卷绕机架</w:t>
                  </w:r>
                </w:p>
              </w:tc>
              <w:tc>
                <w:tcPr>
                  <w:tcW w:w="1027" w:type="pct"/>
                  <w:tcBorders>
                    <w:tl2br w:val="nil"/>
                    <w:tr2bl w:val="nil"/>
                  </w:tcBorders>
                  <w:noWrap w:val="0"/>
                  <w:vAlign w:val="center"/>
                </w:tcPr>
                <w:p w14:paraId="0C1E785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2套</w:t>
                  </w:r>
                </w:p>
              </w:tc>
              <w:tc>
                <w:tcPr>
                  <w:tcW w:w="1787" w:type="pct"/>
                  <w:tcBorders>
                    <w:tl2br w:val="nil"/>
                    <w:tr2bl w:val="nil"/>
                  </w:tcBorders>
                  <w:shd w:val="clear" w:color="auto" w:fill="auto"/>
                  <w:noWrap w:val="0"/>
                  <w:vAlign w:val="center"/>
                </w:tcPr>
                <w:p w14:paraId="6800E489">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w:t>
                  </w:r>
                </w:p>
              </w:tc>
            </w:tr>
            <w:tr w14:paraId="022AB0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4282E9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p>
              </w:tc>
              <w:tc>
                <w:tcPr>
                  <w:tcW w:w="1586" w:type="pct"/>
                  <w:tcBorders>
                    <w:tl2br w:val="nil"/>
                    <w:tr2bl w:val="nil"/>
                  </w:tcBorders>
                  <w:shd w:val="clear" w:color="auto" w:fill="auto"/>
                  <w:noWrap w:val="0"/>
                  <w:vAlign w:val="center"/>
                </w:tcPr>
                <w:p w14:paraId="6FA7EAAA">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牵伸辊</w:t>
                  </w:r>
                </w:p>
              </w:tc>
              <w:tc>
                <w:tcPr>
                  <w:tcW w:w="1027" w:type="pct"/>
                  <w:tcBorders>
                    <w:tl2br w:val="nil"/>
                    <w:tr2bl w:val="nil"/>
                  </w:tcBorders>
                  <w:noWrap w:val="0"/>
                  <w:vAlign w:val="center"/>
                </w:tcPr>
                <w:p w14:paraId="59FAF454">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6对</w:t>
                  </w:r>
                </w:p>
              </w:tc>
              <w:tc>
                <w:tcPr>
                  <w:tcW w:w="1787" w:type="pct"/>
                  <w:tcBorders>
                    <w:tl2br w:val="nil"/>
                    <w:tr2bl w:val="nil"/>
                  </w:tcBorders>
                  <w:shd w:val="clear" w:color="auto" w:fill="auto"/>
                  <w:noWrap w:val="0"/>
                  <w:vAlign w:val="center"/>
                </w:tcPr>
                <w:p w14:paraId="6E61A068">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8.5kw</w:t>
                  </w:r>
                </w:p>
              </w:tc>
            </w:tr>
            <w:tr w14:paraId="6900DB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76EBA46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3</w:t>
                  </w:r>
                </w:p>
              </w:tc>
              <w:tc>
                <w:tcPr>
                  <w:tcW w:w="1586" w:type="pct"/>
                  <w:tcBorders>
                    <w:tl2br w:val="nil"/>
                    <w:tr2bl w:val="nil"/>
                  </w:tcBorders>
                  <w:shd w:val="clear" w:color="auto" w:fill="auto"/>
                  <w:noWrap w:val="0"/>
                  <w:vAlign w:val="center"/>
                </w:tcPr>
                <w:p w14:paraId="0AB011B8">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侧吹风装置</w:t>
                  </w:r>
                </w:p>
              </w:tc>
              <w:tc>
                <w:tcPr>
                  <w:tcW w:w="1027" w:type="pct"/>
                  <w:tcBorders>
                    <w:tl2br w:val="nil"/>
                    <w:tr2bl w:val="nil"/>
                  </w:tcBorders>
                  <w:noWrap w:val="0"/>
                  <w:vAlign w:val="center"/>
                </w:tcPr>
                <w:p w14:paraId="60AF77F5">
                  <w:pPr>
                    <w:ind w:left="-71" w:leftChars="-44" w:right="-113" w:rightChars="0" w:hanging="21" w:hangingChars="10"/>
                    <w:jc w:val="center"/>
                    <w:rPr>
                      <w:rFonts w:hint="eastAsia"/>
                      <w:color w:val="auto"/>
                      <w:szCs w:val="21"/>
                      <w:highlight w:val="none"/>
                      <w:lang w:val="en-US" w:eastAsia="zh-CN"/>
                    </w:rPr>
                  </w:pPr>
                  <w:r>
                    <w:rPr>
                      <w:rFonts w:hint="eastAsia" w:cs="Times New Roman"/>
                      <w:i w:val="0"/>
                      <w:iCs w:val="0"/>
                      <w:color w:val="auto"/>
                      <w:sz w:val="21"/>
                      <w:szCs w:val="21"/>
                      <w:highlight w:val="none"/>
                      <w:u w:val="none"/>
                      <w:lang w:val="en-US" w:eastAsia="zh-CN"/>
                    </w:rPr>
                    <w:t>2套</w:t>
                  </w:r>
                </w:p>
              </w:tc>
              <w:tc>
                <w:tcPr>
                  <w:tcW w:w="1787" w:type="pct"/>
                  <w:tcBorders>
                    <w:tl2br w:val="nil"/>
                    <w:tr2bl w:val="nil"/>
                  </w:tcBorders>
                  <w:shd w:val="clear" w:color="auto" w:fill="auto"/>
                  <w:noWrap w:val="0"/>
                  <w:vAlign w:val="center"/>
                </w:tcPr>
                <w:p w14:paraId="7E464DA6">
                  <w:pPr>
                    <w:ind w:left="-71" w:leftChars="-44" w:right="-113" w:rightChars="0" w:hanging="21" w:hangingChars="10"/>
                    <w:jc w:val="center"/>
                    <w:rPr>
                      <w:rFonts w:hint="default"/>
                      <w:color w:val="auto"/>
                      <w:szCs w:val="21"/>
                      <w:highlight w:val="none"/>
                      <w:lang w:val="en-US" w:eastAsia="zh-CN"/>
                    </w:rPr>
                  </w:pPr>
                  <w:r>
                    <w:rPr>
                      <w:rFonts w:hint="eastAsia"/>
                      <w:color w:val="auto"/>
                      <w:szCs w:val="21"/>
                      <w:highlight w:val="none"/>
                      <w:lang w:val="en-US" w:eastAsia="zh-CN"/>
                    </w:rPr>
                    <w:t>/</w:t>
                  </w:r>
                </w:p>
              </w:tc>
            </w:tr>
            <w:tr w14:paraId="5B3B92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6D4BCA5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4</w:t>
                  </w:r>
                </w:p>
              </w:tc>
              <w:tc>
                <w:tcPr>
                  <w:tcW w:w="1586" w:type="pct"/>
                  <w:tcBorders>
                    <w:tl2br w:val="nil"/>
                    <w:tr2bl w:val="nil"/>
                  </w:tcBorders>
                  <w:shd w:val="clear" w:color="auto" w:fill="auto"/>
                  <w:noWrap w:val="0"/>
                  <w:vAlign w:val="center"/>
                </w:tcPr>
                <w:p w14:paraId="3C6A94F7">
                  <w:pPr>
                    <w:ind w:left="-71" w:leftChars="-44" w:right="-113" w:rightChars="0" w:hanging="21" w:hangingChars="1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真空清洗炉</w:t>
                  </w:r>
                </w:p>
              </w:tc>
              <w:tc>
                <w:tcPr>
                  <w:tcW w:w="1027" w:type="pct"/>
                  <w:tcBorders>
                    <w:tl2br w:val="nil"/>
                    <w:tr2bl w:val="nil"/>
                  </w:tcBorders>
                  <w:shd w:val="clear" w:color="auto" w:fill="auto"/>
                  <w:noWrap w:val="0"/>
                  <w:vAlign w:val="center"/>
                </w:tcPr>
                <w:p w14:paraId="3BE89C5B">
                  <w:pPr>
                    <w:ind w:left="-71" w:leftChars="-44" w:right="-113" w:rightChars="0" w:hanging="21" w:hangingChars="1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w:t>
                  </w:r>
                  <w:r>
                    <w:rPr>
                      <w:rFonts w:hint="default"/>
                      <w:color w:val="auto"/>
                      <w:szCs w:val="21"/>
                      <w:highlight w:val="none"/>
                      <w:lang w:val="en-US" w:eastAsia="zh-CN"/>
                    </w:rPr>
                    <w:t>台</w:t>
                  </w:r>
                </w:p>
              </w:tc>
              <w:tc>
                <w:tcPr>
                  <w:tcW w:w="1787" w:type="pct"/>
                  <w:tcBorders>
                    <w:tl2br w:val="nil"/>
                    <w:tr2bl w:val="nil"/>
                  </w:tcBorders>
                  <w:shd w:val="clear" w:color="auto" w:fill="auto"/>
                  <w:noWrap w:val="0"/>
                  <w:vAlign w:val="center"/>
                </w:tcPr>
                <w:p w14:paraId="20D76EFC">
                  <w:pPr>
                    <w:ind w:left="-71" w:leftChars="-44" w:right="-113" w:rightChars="0" w:hanging="21" w:hangingChars="10"/>
                    <w:jc w:val="center"/>
                    <w:rPr>
                      <w:rFonts w:hint="default" w:ascii="宋体" w:hAnsi="宋体" w:eastAsia="宋体" w:cs="宋体"/>
                      <w:color w:val="auto"/>
                      <w:kern w:val="2"/>
                      <w:sz w:val="21"/>
                      <w:szCs w:val="21"/>
                      <w:highlight w:val="none"/>
                      <w:lang w:val="en-US" w:eastAsia="zh-CN" w:bidi="ar-SA"/>
                    </w:rPr>
                  </w:pPr>
                  <w:r>
                    <w:rPr>
                      <w:rFonts w:hint="eastAsia" w:ascii="Times New Roman" w:hAnsi="Times New Roman" w:cs="宋体" w:eastAsiaTheme="minorEastAsia"/>
                      <w:color w:val="auto"/>
                      <w:sz w:val="21"/>
                      <w:szCs w:val="21"/>
                      <w:highlight w:val="none"/>
                      <w:lang w:val="en-US" w:eastAsia="zh-CN"/>
                    </w:rPr>
                    <w:t>Φ600*800</w:t>
                  </w:r>
                </w:p>
              </w:tc>
            </w:tr>
            <w:tr w14:paraId="03E97B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7DF7352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5</w:t>
                  </w:r>
                </w:p>
              </w:tc>
              <w:tc>
                <w:tcPr>
                  <w:tcW w:w="1586" w:type="pct"/>
                  <w:tcBorders>
                    <w:tl2br w:val="nil"/>
                    <w:tr2bl w:val="nil"/>
                  </w:tcBorders>
                  <w:shd w:val="clear" w:color="auto" w:fill="auto"/>
                  <w:noWrap w:val="0"/>
                  <w:vAlign w:val="center"/>
                </w:tcPr>
                <w:p w14:paraId="1B115EEB">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组件预热炉</w:t>
                  </w:r>
                </w:p>
              </w:tc>
              <w:tc>
                <w:tcPr>
                  <w:tcW w:w="1027" w:type="pct"/>
                  <w:tcBorders>
                    <w:tl2br w:val="nil"/>
                    <w:tr2bl w:val="nil"/>
                  </w:tcBorders>
                  <w:shd w:val="clear" w:color="auto" w:fill="auto"/>
                  <w:noWrap w:val="0"/>
                  <w:vAlign w:val="center"/>
                </w:tcPr>
                <w:p w14:paraId="3ED25D3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w:t>
                  </w:r>
                  <w:r>
                    <w:rPr>
                      <w:rFonts w:hint="default" w:ascii="Times New Roman" w:hAnsi="Times New Roman" w:eastAsia="宋体" w:cs="Times New Roman"/>
                      <w:i w:val="0"/>
                      <w:iCs w:val="0"/>
                      <w:color w:val="auto"/>
                      <w:sz w:val="21"/>
                      <w:szCs w:val="21"/>
                      <w:highlight w:val="none"/>
                      <w:u w:val="none"/>
                      <w:lang w:val="en-US" w:eastAsia="zh-CN"/>
                    </w:rPr>
                    <w:t>台</w:t>
                  </w:r>
                </w:p>
              </w:tc>
              <w:tc>
                <w:tcPr>
                  <w:tcW w:w="1787" w:type="pct"/>
                  <w:tcBorders>
                    <w:tl2br w:val="nil"/>
                    <w:tr2bl w:val="nil"/>
                  </w:tcBorders>
                  <w:shd w:val="clear" w:color="auto" w:fill="auto"/>
                  <w:noWrap w:val="0"/>
                  <w:vAlign w:val="center"/>
                </w:tcPr>
                <w:p w14:paraId="59192277">
                  <w:pPr>
                    <w:ind w:left="-71" w:leftChars="-44" w:right="-113" w:rightChars="0" w:hanging="21" w:hangingChars="1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1200*500*300</w:t>
                  </w:r>
                </w:p>
              </w:tc>
            </w:tr>
            <w:tr w14:paraId="0219B8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57E4FFF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6</w:t>
                  </w:r>
                </w:p>
              </w:tc>
              <w:tc>
                <w:tcPr>
                  <w:tcW w:w="1586" w:type="pct"/>
                  <w:tcBorders>
                    <w:tl2br w:val="nil"/>
                    <w:tr2bl w:val="nil"/>
                  </w:tcBorders>
                  <w:shd w:val="clear" w:color="auto" w:fill="auto"/>
                  <w:noWrap w:val="0"/>
                  <w:vAlign w:val="center"/>
                </w:tcPr>
                <w:p w14:paraId="76C66D52">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二级活性炭吸附装置</w:t>
                  </w:r>
                </w:p>
              </w:tc>
              <w:tc>
                <w:tcPr>
                  <w:tcW w:w="1027" w:type="pct"/>
                  <w:tcBorders>
                    <w:tl2br w:val="nil"/>
                    <w:tr2bl w:val="nil"/>
                  </w:tcBorders>
                  <w:shd w:val="clear" w:color="auto" w:fill="auto"/>
                  <w:noWrap w:val="0"/>
                  <w:vAlign w:val="center"/>
                </w:tcPr>
                <w:p w14:paraId="342D77D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w:t>
                  </w:r>
                  <w:r>
                    <w:rPr>
                      <w:rFonts w:hint="default" w:ascii="Times New Roman" w:hAnsi="Times New Roman" w:eastAsia="宋体" w:cs="Times New Roman"/>
                      <w:i w:val="0"/>
                      <w:iCs w:val="0"/>
                      <w:color w:val="auto"/>
                      <w:sz w:val="21"/>
                      <w:szCs w:val="21"/>
                      <w:highlight w:val="none"/>
                      <w:u w:val="none"/>
                      <w:lang w:val="en-US" w:eastAsia="zh-CN"/>
                    </w:rPr>
                    <w:t>台</w:t>
                  </w:r>
                </w:p>
              </w:tc>
              <w:tc>
                <w:tcPr>
                  <w:tcW w:w="1787" w:type="pct"/>
                  <w:tcBorders>
                    <w:tl2br w:val="nil"/>
                    <w:tr2bl w:val="nil"/>
                  </w:tcBorders>
                  <w:shd w:val="clear" w:color="auto" w:fill="auto"/>
                  <w:noWrap w:val="0"/>
                  <w:vAlign w:val="center"/>
                </w:tcPr>
                <w:p w14:paraId="1974A69F">
                  <w:pPr>
                    <w:ind w:left="-71" w:leftChars="-44" w:right="-113" w:rightChars="0" w:hanging="21" w:hangingChars="1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r>
            <w:tr w14:paraId="6F4C92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000" w:type="pct"/>
                  <w:gridSpan w:val="4"/>
                  <w:tcBorders>
                    <w:tl2br w:val="nil"/>
                    <w:tr2bl w:val="nil"/>
                  </w:tcBorders>
                  <w:noWrap w:val="0"/>
                  <w:vAlign w:val="center"/>
                </w:tcPr>
                <w:p w14:paraId="1B949E97">
                  <w:pPr>
                    <w:ind w:left="-71" w:leftChars="-44" w:right="-113" w:rightChars="0" w:hanging="21" w:hangingChars="10"/>
                    <w:jc w:val="center"/>
                    <w:rPr>
                      <w:rFonts w:hint="default" w:eastAsia="宋体"/>
                      <w:color w:val="auto"/>
                      <w:szCs w:val="21"/>
                      <w:highlight w:val="none"/>
                      <w:lang w:val="en-US" w:eastAsia="zh-CN"/>
                    </w:rPr>
                  </w:pPr>
                  <w:r>
                    <w:rPr>
                      <w:rFonts w:hint="eastAsia"/>
                      <w:color w:val="auto"/>
                      <w:szCs w:val="21"/>
                      <w:highlight w:val="none"/>
                      <w:lang w:val="en-US" w:eastAsia="zh-CN"/>
                    </w:rPr>
                    <w:t>假发生产工艺设备</w:t>
                  </w:r>
                </w:p>
              </w:tc>
            </w:tr>
            <w:tr w14:paraId="5B2917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5079F02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7</w:t>
                  </w:r>
                </w:p>
              </w:tc>
              <w:tc>
                <w:tcPr>
                  <w:tcW w:w="1586" w:type="pct"/>
                  <w:tcBorders>
                    <w:tl2br w:val="nil"/>
                    <w:tr2bl w:val="nil"/>
                  </w:tcBorders>
                  <w:shd w:val="clear" w:color="auto" w:fill="auto"/>
                  <w:noWrap w:val="0"/>
                  <w:vAlign w:val="center"/>
                </w:tcPr>
                <w:p w14:paraId="12175CE7">
                  <w:pPr>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辫子织机</w:t>
                  </w:r>
                </w:p>
              </w:tc>
              <w:tc>
                <w:tcPr>
                  <w:tcW w:w="1027" w:type="pct"/>
                  <w:tcBorders>
                    <w:tl2br w:val="nil"/>
                    <w:tr2bl w:val="nil"/>
                  </w:tcBorders>
                  <w:noWrap w:val="0"/>
                  <w:vAlign w:val="center"/>
                </w:tcPr>
                <w:p w14:paraId="474F3673">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color w:val="auto"/>
                      <w:kern w:val="2"/>
                      <w:sz w:val="21"/>
                      <w:szCs w:val="21"/>
                      <w:lang w:val="en-US" w:eastAsia="zh-CN" w:bidi="ar-SA"/>
                    </w:rPr>
                    <w:t>40台</w:t>
                  </w:r>
                </w:p>
              </w:tc>
              <w:tc>
                <w:tcPr>
                  <w:tcW w:w="1787" w:type="pct"/>
                  <w:tcBorders>
                    <w:tl2br w:val="nil"/>
                    <w:tr2bl w:val="nil"/>
                  </w:tcBorders>
                  <w:shd w:val="clear" w:color="auto" w:fill="auto"/>
                  <w:noWrap w:val="0"/>
                  <w:vAlign w:val="center"/>
                </w:tcPr>
                <w:p w14:paraId="2CCC5E1B">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定制</w:t>
                  </w:r>
                </w:p>
              </w:tc>
            </w:tr>
            <w:tr w14:paraId="1A32C8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7F96589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8</w:t>
                  </w:r>
                </w:p>
              </w:tc>
              <w:tc>
                <w:tcPr>
                  <w:tcW w:w="1586" w:type="pct"/>
                  <w:tcBorders>
                    <w:tl2br w:val="nil"/>
                    <w:tr2bl w:val="nil"/>
                  </w:tcBorders>
                  <w:shd w:val="clear" w:color="auto" w:fill="auto"/>
                  <w:noWrap w:val="0"/>
                  <w:vAlign w:val="center"/>
                </w:tcPr>
                <w:p w14:paraId="64979042">
                  <w:pPr>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Cs/>
                      <w:color w:val="auto"/>
                      <w:sz w:val="21"/>
                      <w:szCs w:val="21"/>
                      <w:lang w:val="en-US" w:eastAsia="zh-CN"/>
                    </w:rPr>
                    <w:t>压花机</w:t>
                  </w:r>
                </w:p>
              </w:tc>
              <w:tc>
                <w:tcPr>
                  <w:tcW w:w="1027" w:type="pct"/>
                  <w:tcBorders>
                    <w:tl2br w:val="nil"/>
                    <w:tr2bl w:val="nil"/>
                  </w:tcBorders>
                  <w:noWrap w:val="0"/>
                  <w:vAlign w:val="center"/>
                </w:tcPr>
                <w:p w14:paraId="2AE42114">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color w:val="auto"/>
                      <w:kern w:val="2"/>
                      <w:sz w:val="21"/>
                      <w:szCs w:val="21"/>
                      <w:lang w:val="en-US" w:eastAsia="zh-CN" w:bidi="ar-SA"/>
                    </w:rPr>
                    <w:t>10台</w:t>
                  </w:r>
                </w:p>
              </w:tc>
              <w:tc>
                <w:tcPr>
                  <w:tcW w:w="1787" w:type="pct"/>
                  <w:tcBorders>
                    <w:tl2br w:val="nil"/>
                    <w:tr2bl w:val="nil"/>
                  </w:tcBorders>
                  <w:shd w:val="clear" w:color="auto" w:fill="auto"/>
                  <w:noWrap w:val="0"/>
                  <w:vAlign w:val="center"/>
                </w:tcPr>
                <w:p w14:paraId="3D36CB2C">
                  <w:pPr>
                    <w:ind w:left="-71" w:leftChars="-44" w:right="-113" w:rightChars="0" w:hanging="21" w:hangingChars="1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定制</w:t>
                  </w:r>
                </w:p>
              </w:tc>
            </w:tr>
            <w:tr w14:paraId="79F8D7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571BA1E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9</w:t>
                  </w:r>
                </w:p>
              </w:tc>
              <w:tc>
                <w:tcPr>
                  <w:tcW w:w="1586" w:type="pct"/>
                  <w:tcBorders>
                    <w:tl2br w:val="nil"/>
                    <w:tr2bl w:val="nil"/>
                  </w:tcBorders>
                  <w:shd w:val="clear" w:color="auto" w:fill="auto"/>
                  <w:noWrap w:val="0"/>
                  <w:vAlign w:val="center"/>
                </w:tcPr>
                <w:p w14:paraId="3632969C">
                  <w:pPr>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bidi="ar-SA"/>
                    </w:rPr>
                    <w:t>绕线机</w:t>
                  </w:r>
                </w:p>
              </w:tc>
              <w:tc>
                <w:tcPr>
                  <w:tcW w:w="1027" w:type="pct"/>
                  <w:tcBorders>
                    <w:tl2br w:val="nil"/>
                    <w:tr2bl w:val="nil"/>
                  </w:tcBorders>
                  <w:noWrap w:val="0"/>
                  <w:vAlign w:val="center"/>
                </w:tcPr>
                <w:p w14:paraId="536C7875">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color w:val="auto"/>
                      <w:kern w:val="2"/>
                      <w:sz w:val="21"/>
                      <w:szCs w:val="21"/>
                      <w:lang w:val="en-US" w:eastAsia="zh-CN" w:bidi="ar-SA"/>
                    </w:rPr>
                    <w:t>6台</w:t>
                  </w:r>
                </w:p>
              </w:tc>
              <w:tc>
                <w:tcPr>
                  <w:tcW w:w="1787" w:type="pct"/>
                  <w:tcBorders>
                    <w:tl2br w:val="nil"/>
                    <w:tr2bl w:val="nil"/>
                  </w:tcBorders>
                  <w:shd w:val="clear" w:color="auto" w:fill="auto"/>
                  <w:noWrap w:val="0"/>
                  <w:vAlign w:val="center"/>
                </w:tcPr>
                <w:p w14:paraId="480558E6">
                  <w:pPr>
                    <w:ind w:left="-71" w:leftChars="-44" w:right="-113" w:rightChars="0" w:hanging="21" w:hangingChars="1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定制</w:t>
                  </w:r>
                </w:p>
              </w:tc>
            </w:tr>
            <w:tr w14:paraId="0B4C9B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20E39C0E">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10</w:t>
                  </w:r>
                </w:p>
              </w:tc>
              <w:tc>
                <w:tcPr>
                  <w:tcW w:w="1586" w:type="pct"/>
                  <w:tcBorders>
                    <w:tl2br w:val="nil"/>
                    <w:tr2bl w:val="nil"/>
                  </w:tcBorders>
                  <w:shd w:val="clear" w:color="auto" w:fill="auto"/>
                  <w:noWrap w:val="0"/>
                  <w:vAlign w:val="center"/>
                </w:tcPr>
                <w:p w14:paraId="6B3E1F1F">
                  <w:pPr>
                    <w:ind w:left="-71" w:leftChars="-44" w:right="-113" w:rightChars="0" w:hanging="21" w:hangingChars="10"/>
                    <w:jc w:val="center"/>
                    <w:rPr>
                      <w:rFonts w:hint="eastAsia" w:cs="Times New Roman"/>
                      <w:color w:val="auto"/>
                      <w:kern w:val="2"/>
                      <w:sz w:val="21"/>
                      <w:szCs w:val="21"/>
                      <w:lang w:val="en-US" w:eastAsia="zh-CN" w:bidi="ar-SA"/>
                    </w:rPr>
                  </w:pPr>
                  <w:r>
                    <w:rPr>
                      <w:rFonts w:hint="eastAsia" w:cs="Times New Roman"/>
                      <w:color w:val="auto"/>
                      <w:sz w:val="21"/>
                      <w:lang w:val="en-US" w:eastAsia="zh-CN" w:bidi="ar-SA"/>
                    </w:rPr>
                    <w:t>整经机</w:t>
                  </w:r>
                </w:p>
              </w:tc>
              <w:tc>
                <w:tcPr>
                  <w:tcW w:w="1027" w:type="pct"/>
                  <w:tcBorders>
                    <w:tl2br w:val="nil"/>
                    <w:tr2bl w:val="nil"/>
                  </w:tcBorders>
                  <w:noWrap w:val="0"/>
                  <w:vAlign w:val="center"/>
                </w:tcPr>
                <w:p w14:paraId="78DF371F">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2台</w:t>
                  </w:r>
                </w:p>
              </w:tc>
              <w:tc>
                <w:tcPr>
                  <w:tcW w:w="1787" w:type="pct"/>
                  <w:tcBorders>
                    <w:tl2br w:val="nil"/>
                    <w:tr2bl w:val="nil"/>
                  </w:tcBorders>
                  <w:shd w:val="clear" w:color="auto" w:fill="auto"/>
                  <w:noWrap w:val="0"/>
                  <w:vAlign w:val="center"/>
                </w:tcPr>
                <w:p w14:paraId="48100C54">
                  <w:pPr>
                    <w:ind w:left="-71" w:leftChars="-44" w:right="-113" w:rightChars="0" w:hanging="21" w:hangingChars="1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14:paraId="4A0020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000" w:type="pct"/>
                  <w:gridSpan w:val="4"/>
                  <w:tcBorders>
                    <w:tl2br w:val="nil"/>
                    <w:tr2bl w:val="nil"/>
                  </w:tcBorders>
                  <w:noWrap w:val="0"/>
                  <w:vAlign w:val="center"/>
                </w:tcPr>
                <w:p w14:paraId="110D2399">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眼睫毛生产工艺设备</w:t>
                  </w:r>
                </w:p>
              </w:tc>
            </w:tr>
            <w:tr w14:paraId="7E887D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noWrap w:val="0"/>
                  <w:vAlign w:val="center"/>
                </w:tcPr>
                <w:p w14:paraId="375304F8">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11</w:t>
                  </w:r>
                </w:p>
              </w:tc>
              <w:tc>
                <w:tcPr>
                  <w:tcW w:w="1586" w:type="pct"/>
                  <w:tcBorders>
                    <w:tl2br w:val="nil"/>
                    <w:tr2bl w:val="nil"/>
                  </w:tcBorders>
                  <w:shd w:val="clear" w:color="auto" w:fill="auto"/>
                  <w:noWrap w:val="0"/>
                  <w:vAlign w:val="center"/>
                </w:tcPr>
                <w:p w14:paraId="564F7C01">
                  <w:pPr>
                    <w:jc w:val="center"/>
                    <w:rPr>
                      <w:rFonts w:hint="eastAsia"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color w:val="auto"/>
                      <w:sz w:val="21"/>
                      <w:lang w:val="en-US" w:eastAsia="zh-CN"/>
                    </w:rPr>
                    <w:t>断毛机</w:t>
                  </w:r>
                </w:p>
              </w:tc>
              <w:tc>
                <w:tcPr>
                  <w:tcW w:w="1027" w:type="pct"/>
                  <w:tcBorders>
                    <w:tl2br w:val="nil"/>
                    <w:tr2bl w:val="nil"/>
                  </w:tcBorders>
                  <w:noWrap w:val="0"/>
                  <w:vAlign w:val="center"/>
                </w:tcPr>
                <w:p w14:paraId="7023A4F9">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5台</w:t>
                  </w:r>
                </w:p>
              </w:tc>
              <w:tc>
                <w:tcPr>
                  <w:tcW w:w="1787" w:type="pct"/>
                  <w:tcBorders>
                    <w:tl2br w:val="nil"/>
                    <w:tr2bl w:val="nil"/>
                  </w:tcBorders>
                  <w:shd w:val="clear" w:color="auto" w:fill="auto"/>
                  <w:noWrap w:val="0"/>
                  <w:vAlign w:val="center"/>
                </w:tcPr>
                <w:p w14:paraId="3DB54455">
                  <w:pPr>
                    <w:ind w:left="-71" w:leftChars="-44" w:right="-113" w:rightChars="0" w:hanging="21" w:hangingChars="1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定制</w:t>
                  </w:r>
                </w:p>
              </w:tc>
            </w:tr>
            <w:tr w14:paraId="128BFC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17C647F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12</w:t>
                  </w:r>
                </w:p>
              </w:tc>
              <w:tc>
                <w:tcPr>
                  <w:tcW w:w="1586" w:type="pct"/>
                  <w:tcBorders>
                    <w:tl2br w:val="nil"/>
                    <w:tr2bl w:val="nil"/>
                  </w:tcBorders>
                  <w:shd w:val="clear" w:color="auto" w:fill="auto"/>
                  <w:noWrap w:val="0"/>
                  <w:vAlign w:val="center"/>
                </w:tcPr>
                <w:p w14:paraId="1B5747A9">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lang w:val="en-US" w:eastAsia="zh-CN" w:bidi="ar-SA"/>
                    </w:rPr>
                    <w:t>揉丝机</w:t>
                  </w:r>
                </w:p>
              </w:tc>
              <w:tc>
                <w:tcPr>
                  <w:tcW w:w="1027" w:type="pct"/>
                  <w:tcBorders>
                    <w:tl2br w:val="nil"/>
                    <w:tr2bl w:val="nil"/>
                  </w:tcBorders>
                  <w:noWrap w:val="0"/>
                  <w:vAlign w:val="center"/>
                </w:tcPr>
                <w:p w14:paraId="2E63F8F3">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1台</w:t>
                  </w:r>
                </w:p>
              </w:tc>
              <w:tc>
                <w:tcPr>
                  <w:tcW w:w="1787" w:type="pct"/>
                  <w:tcBorders>
                    <w:tl2br w:val="nil"/>
                    <w:tr2bl w:val="nil"/>
                  </w:tcBorders>
                  <w:shd w:val="clear" w:color="auto" w:fill="auto"/>
                  <w:noWrap w:val="0"/>
                  <w:vAlign w:val="center"/>
                </w:tcPr>
                <w:p w14:paraId="6EBC2512">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定制</w:t>
                  </w:r>
                </w:p>
              </w:tc>
            </w:tr>
            <w:tr w14:paraId="655C22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7F5F191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13</w:t>
                  </w:r>
                </w:p>
              </w:tc>
              <w:tc>
                <w:tcPr>
                  <w:tcW w:w="1586" w:type="pct"/>
                  <w:tcBorders>
                    <w:tl2br w:val="nil"/>
                    <w:tr2bl w:val="nil"/>
                  </w:tcBorders>
                  <w:shd w:val="clear" w:color="auto" w:fill="auto"/>
                  <w:noWrap w:val="0"/>
                  <w:vAlign w:val="center"/>
                </w:tcPr>
                <w:p w14:paraId="48FC0D80">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lang w:val="en-US" w:eastAsia="zh-CN" w:bidi="ar-SA"/>
                    </w:rPr>
                    <w:t>热风循环烘干箱</w:t>
                  </w:r>
                </w:p>
              </w:tc>
              <w:tc>
                <w:tcPr>
                  <w:tcW w:w="1027" w:type="pct"/>
                  <w:tcBorders>
                    <w:tl2br w:val="nil"/>
                    <w:tr2bl w:val="nil"/>
                  </w:tcBorders>
                  <w:noWrap w:val="0"/>
                  <w:vAlign w:val="center"/>
                </w:tcPr>
                <w:p w14:paraId="42DDFF42">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1台</w:t>
                  </w:r>
                </w:p>
              </w:tc>
              <w:tc>
                <w:tcPr>
                  <w:tcW w:w="1787" w:type="pct"/>
                  <w:tcBorders>
                    <w:tl2br w:val="nil"/>
                    <w:tr2bl w:val="nil"/>
                  </w:tcBorders>
                  <w:shd w:val="clear" w:color="auto" w:fill="auto"/>
                  <w:noWrap w:val="0"/>
                  <w:vAlign w:val="center"/>
                </w:tcPr>
                <w:p w14:paraId="7E8F0EE3">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15kw</w:t>
                  </w:r>
                </w:p>
              </w:tc>
            </w:tr>
            <w:tr w14:paraId="5D3F84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1DCFD0AC">
                  <w:pPr>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sz w:val="21"/>
                      <w:lang w:val="en-US" w:eastAsia="zh-CN" w:bidi="ar-SA"/>
                    </w:rPr>
                    <w:t>14</w:t>
                  </w:r>
                </w:p>
              </w:tc>
              <w:tc>
                <w:tcPr>
                  <w:tcW w:w="1586" w:type="pct"/>
                  <w:tcBorders>
                    <w:tl2br w:val="nil"/>
                    <w:tr2bl w:val="nil"/>
                  </w:tcBorders>
                  <w:shd w:val="clear" w:color="auto" w:fill="auto"/>
                  <w:noWrap w:val="0"/>
                  <w:vAlign w:val="center"/>
                </w:tcPr>
                <w:p w14:paraId="65739B47">
                  <w:pPr>
                    <w:jc w:val="center"/>
                    <w:rPr>
                      <w:rFonts w:hint="default" w:ascii="Times New Roman" w:hAnsi="Times New Roman" w:eastAsia="宋体" w:cs="Times New Roman"/>
                      <w:color w:val="auto"/>
                      <w:sz w:val="21"/>
                      <w:lang w:val="en-US" w:eastAsia="zh-CN" w:bidi="ar-SA"/>
                    </w:rPr>
                  </w:pPr>
                  <w:r>
                    <w:rPr>
                      <w:rFonts w:hint="eastAsia" w:ascii="Times New Roman" w:hAnsi="Times New Roman" w:eastAsia="宋体" w:cs="Times New Roman"/>
                      <w:color w:val="auto"/>
                      <w:sz w:val="21"/>
                      <w:lang w:val="en-US" w:eastAsia="zh-CN" w:bidi="ar-SA"/>
                    </w:rPr>
                    <w:t>离心甩干机</w:t>
                  </w:r>
                </w:p>
              </w:tc>
              <w:tc>
                <w:tcPr>
                  <w:tcW w:w="1027" w:type="pct"/>
                  <w:tcBorders>
                    <w:tl2br w:val="nil"/>
                    <w:tr2bl w:val="nil"/>
                  </w:tcBorders>
                  <w:noWrap w:val="0"/>
                  <w:vAlign w:val="center"/>
                </w:tcPr>
                <w:p w14:paraId="63057760">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1台</w:t>
                  </w:r>
                </w:p>
              </w:tc>
              <w:tc>
                <w:tcPr>
                  <w:tcW w:w="1787" w:type="pct"/>
                  <w:tcBorders>
                    <w:tl2br w:val="nil"/>
                    <w:tr2bl w:val="nil"/>
                  </w:tcBorders>
                  <w:shd w:val="clear" w:color="auto" w:fill="auto"/>
                  <w:noWrap w:val="0"/>
                  <w:vAlign w:val="center"/>
                </w:tcPr>
                <w:p w14:paraId="1FAA5FDC">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SS753-800</w:t>
                  </w:r>
                </w:p>
              </w:tc>
            </w:tr>
            <w:tr w14:paraId="3C23FF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129DFC9C">
                  <w:pPr>
                    <w:jc w:val="center"/>
                    <w:rPr>
                      <w:rFonts w:hint="default" w:ascii="Times New Roman" w:hAnsi="Times New Roman" w:eastAsia="宋体" w:cs="Times New Roman"/>
                      <w:color w:val="auto"/>
                      <w:sz w:val="21"/>
                      <w:lang w:val="en-US" w:eastAsia="zh-CN" w:bidi="ar-SA"/>
                    </w:rPr>
                  </w:pPr>
                  <w:r>
                    <w:rPr>
                      <w:rFonts w:hint="eastAsia" w:cs="Times New Roman"/>
                      <w:color w:val="auto"/>
                      <w:sz w:val="21"/>
                      <w:lang w:val="en-US" w:eastAsia="zh-CN" w:bidi="ar-SA"/>
                    </w:rPr>
                    <w:t>15</w:t>
                  </w:r>
                </w:p>
              </w:tc>
              <w:tc>
                <w:tcPr>
                  <w:tcW w:w="1586" w:type="pct"/>
                  <w:tcBorders>
                    <w:tl2br w:val="nil"/>
                    <w:tr2bl w:val="nil"/>
                  </w:tcBorders>
                  <w:shd w:val="clear" w:color="auto" w:fill="auto"/>
                  <w:noWrap w:val="0"/>
                  <w:vAlign w:val="center"/>
                </w:tcPr>
                <w:p w14:paraId="7E0ACB03">
                  <w:pPr>
                    <w:jc w:val="center"/>
                    <w:rPr>
                      <w:rFonts w:hint="default" w:ascii="Times New Roman" w:hAnsi="Times New Roman" w:eastAsia="宋体" w:cs="Times New Roman"/>
                      <w:color w:val="auto"/>
                      <w:sz w:val="21"/>
                      <w:lang w:val="en-US" w:eastAsia="zh-CN" w:bidi="ar-SA"/>
                    </w:rPr>
                  </w:pPr>
                  <w:r>
                    <w:rPr>
                      <w:rFonts w:hint="eastAsia" w:cs="Times New Roman"/>
                      <w:color w:val="auto"/>
                      <w:sz w:val="21"/>
                      <w:lang w:val="en-US" w:eastAsia="zh-CN" w:bidi="ar-SA"/>
                    </w:rPr>
                    <w:t>布袋除尘器</w:t>
                  </w:r>
                </w:p>
              </w:tc>
              <w:tc>
                <w:tcPr>
                  <w:tcW w:w="1027" w:type="pct"/>
                  <w:tcBorders>
                    <w:tl2br w:val="nil"/>
                    <w:tr2bl w:val="nil"/>
                  </w:tcBorders>
                  <w:noWrap w:val="0"/>
                  <w:vAlign w:val="center"/>
                </w:tcPr>
                <w:p w14:paraId="311208FB">
                  <w:pPr>
                    <w:keepNext w:val="0"/>
                    <w:keepLines w:val="0"/>
                    <w:widowControl/>
                    <w:suppressLineNumbers w:val="0"/>
                    <w:jc w:val="center"/>
                    <w:textAlignment w:val="center"/>
                    <w:rPr>
                      <w:rFonts w:hint="eastAsia"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1台</w:t>
                  </w:r>
                </w:p>
              </w:tc>
              <w:tc>
                <w:tcPr>
                  <w:tcW w:w="1787" w:type="pct"/>
                  <w:tcBorders>
                    <w:tl2br w:val="nil"/>
                    <w:tr2bl w:val="nil"/>
                  </w:tcBorders>
                  <w:shd w:val="clear" w:color="auto" w:fill="auto"/>
                  <w:noWrap w:val="0"/>
                  <w:vAlign w:val="center"/>
                </w:tcPr>
                <w:p w14:paraId="27D910F1">
                  <w:pPr>
                    <w:ind w:left="-71" w:leftChars="-44" w:right="-113" w:rightChars="0" w:hanging="21" w:hangingChars="1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14:paraId="0ABA24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2AFCF1CE">
                  <w:pPr>
                    <w:jc w:val="center"/>
                    <w:rPr>
                      <w:rFonts w:hint="eastAsia" w:cs="Times New Roman"/>
                      <w:color w:val="auto"/>
                      <w:sz w:val="21"/>
                      <w:lang w:val="en-US" w:eastAsia="zh-CN" w:bidi="ar-SA"/>
                    </w:rPr>
                  </w:pPr>
                  <w:r>
                    <w:rPr>
                      <w:rFonts w:hint="eastAsia" w:cs="Times New Roman"/>
                      <w:color w:val="auto"/>
                      <w:sz w:val="21"/>
                      <w:lang w:val="en-US" w:eastAsia="zh-CN" w:bidi="ar-SA"/>
                    </w:rPr>
                    <w:t>16</w:t>
                  </w:r>
                </w:p>
              </w:tc>
              <w:tc>
                <w:tcPr>
                  <w:tcW w:w="1586" w:type="pct"/>
                  <w:tcBorders>
                    <w:tl2br w:val="nil"/>
                    <w:tr2bl w:val="nil"/>
                  </w:tcBorders>
                  <w:shd w:val="clear" w:color="auto" w:fill="auto"/>
                  <w:noWrap w:val="0"/>
                  <w:vAlign w:val="center"/>
                </w:tcPr>
                <w:p w14:paraId="2FF8100F">
                  <w:pPr>
                    <w:jc w:val="center"/>
                    <w:rPr>
                      <w:rFonts w:hint="default" w:cs="Times New Roman"/>
                      <w:color w:val="auto"/>
                      <w:sz w:val="21"/>
                      <w:lang w:val="en-US" w:eastAsia="zh-CN" w:bidi="ar-SA"/>
                    </w:rPr>
                  </w:pPr>
                  <w:r>
                    <w:rPr>
                      <w:rFonts w:hint="eastAsia" w:cs="Times New Roman"/>
                      <w:color w:val="auto"/>
                      <w:sz w:val="21"/>
                      <w:lang w:val="en-US" w:eastAsia="zh-CN" w:bidi="ar-SA"/>
                    </w:rPr>
                    <w:t>水槽</w:t>
                  </w:r>
                </w:p>
              </w:tc>
              <w:tc>
                <w:tcPr>
                  <w:tcW w:w="1027" w:type="pct"/>
                  <w:tcBorders>
                    <w:tl2br w:val="nil"/>
                    <w:tr2bl w:val="nil"/>
                  </w:tcBorders>
                  <w:noWrap w:val="0"/>
                  <w:vAlign w:val="center"/>
                </w:tcPr>
                <w:p w14:paraId="7D093BB4">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2个</w:t>
                  </w:r>
                </w:p>
              </w:tc>
              <w:tc>
                <w:tcPr>
                  <w:tcW w:w="1787" w:type="pct"/>
                  <w:tcBorders>
                    <w:tl2br w:val="nil"/>
                    <w:tr2bl w:val="nil"/>
                  </w:tcBorders>
                  <w:shd w:val="clear" w:color="auto" w:fill="auto"/>
                  <w:noWrap w:val="0"/>
                  <w:vAlign w:val="center"/>
                </w:tcPr>
                <w:p w14:paraId="28904644">
                  <w:pPr>
                    <w:ind w:left="-71" w:leftChars="-44" w:right="-113" w:rightChars="0" w:hanging="21" w:hangingChars="10"/>
                    <w:jc w:val="center"/>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1m*1.6m*0.4m</w:t>
                  </w:r>
                </w:p>
              </w:tc>
            </w:tr>
            <w:tr w14:paraId="0425F6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000" w:type="pct"/>
                  <w:gridSpan w:val="4"/>
                  <w:tcBorders>
                    <w:tl2br w:val="nil"/>
                    <w:tr2bl w:val="nil"/>
                  </w:tcBorders>
                  <w:shd w:val="clear" w:color="auto" w:fill="auto"/>
                  <w:noWrap w:val="0"/>
                  <w:vAlign w:val="center"/>
                </w:tcPr>
                <w:p w14:paraId="378A6C5F">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PP带生产工艺设备</w:t>
                  </w:r>
                </w:p>
              </w:tc>
            </w:tr>
            <w:tr w14:paraId="2D9116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599" w:type="pct"/>
                  <w:tcBorders>
                    <w:tl2br w:val="nil"/>
                    <w:tr2bl w:val="nil"/>
                  </w:tcBorders>
                  <w:shd w:val="clear" w:color="auto" w:fill="auto"/>
                  <w:noWrap w:val="0"/>
                  <w:vAlign w:val="center"/>
                </w:tcPr>
                <w:p w14:paraId="2E0EBAAD">
                  <w:pPr>
                    <w:jc w:val="center"/>
                    <w:rPr>
                      <w:rFonts w:hint="default" w:ascii="Times New Roman" w:hAnsi="Times New Roman" w:eastAsia="宋体" w:cs="Times New Roman"/>
                      <w:color w:val="auto"/>
                      <w:sz w:val="21"/>
                      <w:lang w:val="en-US" w:eastAsia="zh-CN" w:bidi="ar-SA"/>
                    </w:rPr>
                  </w:pPr>
                  <w:r>
                    <w:rPr>
                      <w:rFonts w:hint="eastAsia" w:cs="Times New Roman"/>
                      <w:color w:val="auto"/>
                      <w:sz w:val="21"/>
                      <w:lang w:val="en-US" w:eastAsia="zh-CN" w:bidi="ar-SA"/>
                    </w:rPr>
                    <w:t>17</w:t>
                  </w:r>
                </w:p>
              </w:tc>
              <w:tc>
                <w:tcPr>
                  <w:tcW w:w="1586" w:type="pct"/>
                  <w:tcBorders>
                    <w:tl2br w:val="nil"/>
                    <w:tr2bl w:val="nil"/>
                  </w:tcBorders>
                  <w:shd w:val="clear" w:color="auto" w:fill="auto"/>
                  <w:noWrap w:val="0"/>
                  <w:vAlign w:val="center"/>
                </w:tcPr>
                <w:p w14:paraId="3233D80E">
                  <w:pPr>
                    <w:jc w:val="center"/>
                    <w:rPr>
                      <w:rFonts w:hint="default" w:ascii="Times New Roman" w:hAnsi="Times New Roman" w:eastAsia="宋体" w:cs="Times New Roman"/>
                      <w:color w:val="auto"/>
                      <w:sz w:val="21"/>
                      <w:lang w:val="en-US" w:eastAsia="zh-CN" w:bidi="ar-SA"/>
                    </w:rPr>
                  </w:pPr>
                  <w:r>
                    <w:rPr>
                      <w:rFonts w:hint="eastAsia" w:cs="Times New Roman"/>
                      <w:color w:val="auto"/>
                      <w:sz w:val="21"/>
                      <w:lang w:val="en-US" w:eastAsia="zh-CN" w:bidi="ar-SA"/>
                    </w:rPr>
                    <w:t>整经机</w:t>
                  </w:r>
                </w:p>
              </w:tc>
              <w:tc>
                <w:tcPr>
                  <w:tcW w:w="1027" w:type="pct"/>
                  <w:tcBorders>
                    <w:tl2br w:val="nil"/>
                    <w:tr2bl w:val="nil"/>
                  </w:tcBorders>
                  <w:noWrap w:val="0"/>
                  <w:vAlign w:val="center"/>
                </w:tcPr>
                <w:p w14:paraId="7CD2513E">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15台</w:t>
                  </w:r>
                </w:p>
              </w:tc>
              <w:tc>
                <w:tcPr>
                  <w:tcW w:w="1787" w:type="pct"/>
                  <w:tcBorders>
                    <w:tl2br w:val="nil"/>
                    <w:tr2bl w:val="nil"/>
                  </w:tcBorders>
                  <w:shd w:val="clear" w:color="auto" w:fill="auto"/>
                  <w:noWrap w:val="0"/>
                  <w:vAlign w:val="center"/>
                </w:tcPr>
                <w:p w14:paraId="3860F4EF">
                  <w:pPr>
                    <w:ind w:left="-71" w:leftChars="-44" w:right="-113" w:rightChars="0" w:hanging="21" w:hangingChars="1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bl>
          <w:p w14:paraId="6A059A8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5、主要原辅材料</w:t>
            </w:r>
          </w:p>
          <w:p w14:paraId="75370B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项目主要原辅材料消耗情况见表</w:t>
            </w:r>
            <w:r>
              <w:rPr>
                <w:rFonts w:hint="eastAsia" w:ascii="Times New Roman" w:hAnsi="Times New Roman" w:cs="Times New Roman"/>
                <w:bCs/>
                <w:color w:val="auto"/>
                <w:sz w:val="24"/>
                <w:szCs w:val="24"/>
                <w:highlight w:val="none"/>
                <w:lang w:val="en-US" w:eastAsia="zh-CN"/>
              </w:rPr>
              <w:t>2-</w:t>
            </w:r>
            <w:r>
              <w:rPr>
                <w:rFonts w:hint="eastAsia"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w:t>
            </w:r>
          </w:p>
          <w:p w14:paraId="3D6923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表2-</w:t>
            </w:r>
            <w:r>
              <w:rPr>
                <w:rFonts w:hint="eastAsia" w:eastAsia="黑体" w:cs="Times New Roman"/>
                <w:b w:val="0"/>
                <w:bCs w:val="0"/>
                <w:color w:val="auto"/>
                <w:kern w:val="0"/>
                <w:sz w:val="24"/>
                <w:szCs w:val="24"/>
                <w:highlight w:val="none"/>
                <w:lang w:val="en-US" w:eastAsia="zh-CN"/>
              </w:rPr>
              <w:t>5</w:t>
            </w:r>
            <w:r>
              <w:rPr>
                <w:rFonts w:hint="default" w:ascii="Times New Roman" w:hAnsi="Times New Roman" w:eastAsia="黑体" w:cs="Times New Roman"/>
                <w:b w:val="0"/>
                <w:bCs w:val="0"/>
                <w:color w:val="auto"/>
                <w:kern w:val="0"/>
                <w:sz w:val="24"/>
                <w:szCs w:val="24"/>
                <w:highlight w:val="none"/>
                <w:lang w:val="en-US" w:eastAsia="zh-CN"/>
              </w:rPr>
              <w:t xml:space="preserve"> 原辅材料、能源消耗一览表</w:t>
            </w:r>
          </w:p>
          <w:tbl>
            <w:tblPr>
              <w:tblStyle w:val="2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406"/>
              <w:gridCol w:w="1851"/>
              <w:gridCol w:w="1009"/>
              <w:gridCol w:w="1017"/>
              <w:gridCol w:w="2338"/>
            </w:tblGrid>
            <w:tr w14:paraId="26B0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noWrap w:val="0"/>
                  <w:vAlign w:val="center"/>
                </w:tcPr>
                <w:p w14:paraId="7BE54A5A">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序号</w:t>
                  </w:r>
                </w:p>
              </w:tc>
              <w:tc>
                <w:tcPr>
                  <w:tcW w:w="850" w:type="pct"/>
                  <w:noWrap w:val="0"/>
                  <w:vAlign w:val="center"/>
                </w:tcPr>
                <w:p w14:paraId="772FA4B1">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名称</w:t>
                  </w:r>
                </w:p>
              </w:tc>
              <w:tc>
                <w:tcPr>
                  <w:tcW w:w="1119" w:type="pct"/>
                  <w:noWrap w:val="0"/>
                  <w:vAlign w:val="center"/>
                </w:tcPr>
                <w:p w14:paraId="79512959">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规格</w:t>
                  </w:r>
                </w:p>
              </w:tc>
              <w:tc>
                <w:tcPr>
                  <w:tcW w:w="610" w:type="pct"/>
                  <w:noWrap w:val="0"/>
                  <w:vAlign w:val="center"/>
                </w:tcPr>
                <w:p w14:paraId="6E257174">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单位</w:t>
                  </w:r>
                </w:p>
              </w:tc>
              <w:tc>
                <w:tcPr>
                  <w:tcW w:w="615" w:type="pct"/>
                  <w:noWrap w:val="0"/>
                  <w:vAlign w:val="center"/>
                </w:tcPr>
                <w:p w14:paraId="4C8E1D33">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消耗量</w:t>
                  </w:r>
                </w:p>
              </w:tc>
              <w:tc>
                <w:tcPr>
                  <w:tcW w:w="1411" w:type="pct"/>
                  <w:tcBorders>
                    <w:right w:val="single" w:color="auto" w:sz="4" w:space="0"/>
                  </w:tcBorders>
                  <w:noWrap w:val="0"/>
                  <w:vAlign w:val="center"/>
                </w:tcPr>
                <w:p w14:paraId="4E12D0F0">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备注</w:t>
                  </w:r>
                </w:p>
              </w:tc>
            </w:tr>
            <w:tr w14:paraId="1261D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left w:val="single" w:color="auto" w:sz="4" w:space="0"/>
                    <w:right w:val="single" w:color="auto" w:sz="4" w:space="0"/>
                  </w:tcBorders>
                  <w:noWrap w:val="0"/>
                  <w:vAlign w:val="center"/>
                </w:tcPr>
                <w:p w14:paraId="3E6E8FB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纤维丝</w:t>
                  </w:r>
                  <w:r>
                    <w:rPr>
                      <w:rFonts w:hint="eastAsia" w:ascii="Times New Roman" w:hAnsi="Times New Roman" w:eastAsia="宋体" w:cs="Times New Roman"/>
                      <w:b w:val="0"/>
                      <w:bCs w:val="0"/>
                      <w:color w:val="auto"/>
                      <w:szCs w:val="21"/>
                      <w:lang w:val="en-US" w:eastAsia="zh-CN"/>
                    </w:rPr>
                    <w:t>生产原料</w:t>
                  </w:r>
                </w:p>
              </w:tc>
            </w:tr>
            <w:tr w14:paraId="71EBC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noWrap w:val="0"/>
                  <w:vAlign w:val="center"/>
                </w:tcPr>
                <w:p w14:paraId="7501DAAD">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1</w:t>
                  </w:r>
                </w:p>
              </w:tc>
              <w:tc>
                <w:tcPr>
                  <w:tcW w:w="850" w:type="pct"/>
                  <w:noWrap w:val="0"/>
                  <w:vAlign w:val="center"/>
                </w:tcPr>
                <w:p w14:paraId="5928E36E">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聚丙烯</w:t>
                  </w:r>
                </w:p>
              </w:tc>
              <w:tc>
                <w:tcPr>
                  <w:tcW w:w="1119" w:type="pct"/>
                  <w:noWrap w:val="0"/>
                  <w:vAlign w:val="center"/>
                </w:tcPr>
                <w:p w14:paraId="25C08077">
                  <w:pPr>
                    <w:snapToGrid w:val="0"/>
                    <w:jc w:val="center"/>
                    <w:rPr>
                      <w:rFonts w:hint="eastAsia" w:ascii="Times New Roman" w:hAnsi="Times New Roman" w:eastAsia="宋体" w:cs="Times New Roman"/>
                      <w:b w:val="0"/>
                      <w:bCs w:val="0"/>
                      <w:color w:val="auto"/>
                      <w:szCs w:val="21"/>
                      <w:lang w:val="en-US" w:eastAsia="zh-CN"/>
                    </w:rPr>
                  </w:pPr>
                  <w:r>
                    <w:rPr>
                      <w:rFonts w:hint="eastAsia"/>
                      <w:color w:val="auto"/>
                      <w:sz w:val="21"/>
                      <w:szCs w:val="21"/>
                      <w:lang w:val="en-US" w:eastAsia="zh-CN"/>
                    </w:rPr>
                    <w:t>固体</w:t>
                  </w:r>
                </w:p>
              </w:tc>
              <w:tc>
                <w:tcPr>
                  <w:tcW w:w="610" w:type="pct"/>
                  <w:noWrap w:val="0"/>
                  <w:vAlign w:val="center"/>
                </w:tcPr>
                <w:p w14:paraId="140D0A30">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6277D689">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3750</w:t>
                  </w:r>
                </w:p>
              </w:tc>
              <w:tc>
                <w:tcPr>
                  <w:tcW w:w="1411" w:type="pct"/>
                  <w:tcBorders>
                    <w:right w:val="single" w:color="auto" w:sz="4" w:space="0"/>
                  </w:tcBorders>
                  <w:noWrap w:val="0"/>
                  <w:vAlign w:val="center"/>
                </w:tcPr>
                <w:p w14:paraId="5B7AFBC9">
                  <w:pPr>
                    <w:snapToGrid w:val="0"/>
                    <w:jc w:val="center"/>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为纤维丝</w:t>
                  </w:r>
                  <w:r>
                    <w:rPr>
                      <w:rFonts w:hint="eastAsia" w:ascii="Times New Roman" w:hAnsi="Times New Roman" w:eastAsia="宋体" w:cs="Times New Roman"/>
                      <w:b w:val="0"/>
                      <w:bCs w:val="0"/>
                      <w:color w:val="auto"/>
                      <w:szCs w:val="21"/>
                      <w:lang w:val="en-US" w:eastAsia="zh-CN"/>
                    </w:rPr>
                    <w:t>生产</w:t>
                  </w:r>
                  <w:r>
                    <w:rPr>
                      <w:rFonts w:hint="eastAsia" w:cs="Times New Roman"/>
                      <w:b w:val="0"/>
                      <w:bCs w:val="0"/>
                      <w:color w:val="auto"/>
                      <w:szCs w:val="21"/>
                      <w:lang w:val="en-US" w:eastAsia="zh-CN"/>
                    </w:rPr>
                    <w:t>的</w:t>
                  </w:r>
                  <w:r>
                    <w:rPr>
                      <w:rFonts w:hint="eastAsia" w:ascii="Times New Roman" w:hAnsi="Times New Roman" w:eastAsia="宋体" w:cs="Times New Roman"/>
                      <w:b w:val="0"/>
                      <w:bCs w:val="0"/>
                      <w:color w:val="auto"/>
                      <w:szCs w:val="21"/>
                      <w:lang w:val="en-US" w:eastAsia="zh-CN"/>
                    </w:rPr>
                    <w:t>原料，</w:t>
                  </w:r>
                  <w:r>
                    <w:rPr>
                      <w:rFonts w:hint="eastAsia"/>
                      <w:color w:val="auto"/>
                      <w:sz w:val="21"/>
                      <w:szCs w:val="21"/>
                      <w:lang w:val="en-US" w:eastAsia="zh-CN"/>
                    </w:rPr>
                    <w:t>外购，袋装</w:t>
                  </w:r>
                </w:p>
              </w:tc>
            </w:tr>
            <w:tr w14:paraId="3FDCA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shd w:val="clear" w:color="auto" w:fill="auto"/>
                  <w:noWrap w:val="0"/>
                  <w:vAlign w:val="center"/>
                </w:tcPr>
                <w:p w14:paraId="6B986C5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Cs w:val="21"/>
                      <w:lang w:val="en-US" w:eastAsia="zh-CN"/>
                    </w:rPr>
                    <w:t>2</w:t>
                  </w:r>
                </w:p>
              </w:tc>
              <w:tc>
                <w:tcPr>
                  <w:tcW w:w="850" w:type="pct"/>
                  <w:noWrap w:val="0"/>
                  <w:vAlign w:val="center"/>
                </w:tcPr>
                <w:p w14:paraId="176B7C7D">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cs="Times New Roman"/>
                      <w:b w:val="0"/>
                      <w:bCs w:val="0"/>
                      <w:color w:val="auto"/>
                      <w:szCs w:val="21"/>
                      <w:lang w:val="en-US" w:eastAsia="zh-CN"/>
                    </w:rPr>
                  </w:pPr>
                  <w:r>
                    <w:rPr>
                      <w:rFonts w:hint="eastAsia"/>
                      <w:bCs/>
                      <w:color w:val="auto"/>
                      <w:sz w:val="21"/>
                      <w:szCs w:val="21"/>
                      <w:lang w:val="en-US" w:eastAsia="zh-CN"/>
                    </w:rPr>
                    <w:t>色母料</w:t>
                  </w:r>
                </w:p>
              </w:tc>
              <w:tc>
                <w:tcPr>
                  <w:tcW w:w="1119" w:type="pct"/>
                  <w:noWrap w:val="0"/>
                  <w:vAlign w:val="center"/>
                </w:tcPr>
                <w:p w14:paraId="725FAE35">
                  <w:pPr>
                    <w:snapToGrid w:val="0"/>
                    <w:jc w:val="center"/>
                    <w:rPr>
                      <w:rFonts w:hint="eastAsia" w:ascii="Times New Roman" w:hAnsi="Times New Roman" w:eastAsia="宋体" w:cs="Times New Roman"/>
                      <w:b w:val="0"/>
                      <w:bCs w:val="0"/>
                      <w:color w:val="auto"/>
                      <w:szCs w:val="21"/>
                      <w:lang w:val="en-US" w:eastAsia="zh-CN"/>
                    </w:rPr>
                  </w:pPr>
                  <w:r>
                    <w:rPr>
                      <w:rFonts w:hint="eastAsia"/>
                      <w:color w:val="auto"/>
                      <w:sz w:val="21"/>
                      <w:szCs w:val="21"/>
                      <w:lang w:val="en-US" w:eastAsia="zh-CN"/>
                    </w:rPr>
                    <w:t>固体</w:t>
                  </w:r>
                </w:p>
              </w:tc>
              <w:tc>
                <w:tcPr>
                  <w:tcW w:w="610" w:type="pct"/>
                  <w:noWrap w:val="0"/>
                  <w:vAlign w:val="center"/>
                </w:tcPr>
                <w:p w14:paraId="7F6432DB">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45F7035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50</w:t>
                  </w:r>
                </w:p>
              </w:tc>
              <w:tc>
                <w:tcPr>
                  <w:tcW w:w="1411" w:type="pct"/>
                  <w:tcBorders>
                    <w:right w:val="single" w:color="auto" w:sz="4" w:space="0"/>
                  </w:tcBorders>
                  <w:noWrap w:val="0"/>
                  <w:vAlign w:val="center"/>
                </w:tcPr>
                <w:p w14:paraId="4F835C4B">
                  <w:pPr>
                    <w:keepNext w:val="0"/>
                    <w:keepLines w:val="0"/>
                    <w:widowControl/>
                    <w:suppressLineNumbers w:val="0"/>
                    <w:jc w:val="center"/>
                    <w:rPr>
                      <w:rFonts w:hint="eastAsia"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为纤维丝</w:t>
                  </w:r>
                  <w:r>
                    <w:rPr>
                      <w:rFonts w:hint="eastAsia" w:ascii="Times New Roman" w:hAnsi="Times New Roman" w:eastAsia="宋体" w:cs="Times New Roman"/>
                      <w:b w:val="0"/>
                      <w:bCs w:val="0"/>
                      <w:color w:val="auto"/>
                      <w:szCs w:val="21"/>
                      <w:lang w:val="en-US" w:eastAsia="zh-CN"/>
                    </w:rPr>
                    <w:t>生产</w:t>
                  </w:r>
                  <w:r>
                    <w:rPr>
                      <w:rFonts w:hint="eastAsia" w:cs="Times New Roman"/>
                      <w:b w:val="0"/>
                      <w:bCs w:val="0"/>
                      <w:color w:val="auto"/>
                      <w:szCs w:val="21"/>
                      <w:lang w:val="en-US" w:eastAsia="zh-CN"/>
                    </w:rPr>
                    <w:t>的</w:t>
                  </w:r>
                  <w:r>
                    <w:rPr>
                      <w:rFonts w:hint="eastAsia" w:ascii="Times New Roman" w:hAnsi="Times New Roman" w:eastAsia="宋体" w:cs="Times New Roman"/>
                      <w:b w:val="0"/>
                      <w:bCs w:val="0"/>
                      <w:color w:val="auto"/>
                      <w:szCs w:val="21"/>
                      <w:lang w:val="en-US" w:eastAsia="zh-CN"/>
                    </w:rPr>
                    <w:t>原料，</w:t>
                  </w:r>
                  <w:r>
                    <w:rPr>
                      <w:rFonts w:hint="eastAsia"/>
                      <w:color w:val="auto"/>
                      <w:sz w:val="21"/>
                      <w:szCs w:val="21"/>
                      <w:lang w:val="en-US" w:eastAsia="zh-CN"/>
                    </w:rPr>
                    <w:t>外购，袋装</w:t>
                  </w:r>
                </w:p>
              </w:tc>
            </w:tr>
            <w:tr w14:paraId="4D76D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shd w:val="clear" w:color="auto" w:fill="auto"/>
                  <w:noWrap w:val="0"/>
                  <w:vAlign w:val="center"/>
                </w:tcPr>
                <w:p w14:paraId="40603F23">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3</w:t>
                  </w:r>
                </w:p>
              </w:tc>
              <w:tc>
                <w:tcPr>
                  <w:tcW w:w="850" w:type="pct"/>
                  <w:noWrap w:val="0"/>
                  <w:vAlign w:val="center"/>
                </w:tcPr>
                <w:p w14:paraId="6B8E6622">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纺丝油</w:t>
                  </w:r>
                </w:p>
              </w:tc>
              <w:tc>
                <w:tcPr>
                  <w:tcW w:w="1119" w:type="pct"/>
                  <w:noWrap w:val="0"/>
                  <w:vAlign w:val="center"/>
                </w:tcPr>
                <w:p w14:paraId="3FDF3559">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液体</w:t>
                  </w:r>
                </w:p>
              </w:tc>
              <w:tc>
                <w:tcPr>
                  <w:tcW w:w="610" w:type="pct"/>
                  <w:noWrap w:val="0"/>
                  <w:vAlign w:val="center"/>
                </w:tcPr>
                <w:p w14:paraId="277F158E">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1A414B3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8.209</w:t>
                  </w:r>
                </w:p>
              </w:tc>
              <w:tc>
                <w:tcPr>
                  <w:tcW w:w="1411" w:type="pct"/>
                  <w:tcBorders>
                    <w:right w:val="single" w:color="auto" w:sz="4" w:space="0"/>
                  </w:tcBorders>
                  <w:noWrap w:val="0"/>
                  <w:vAlign w:val="center"/>
                </w:tcPr>
                <w:p w14:paraId="2162C816">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为假发生产的原料，外购</w:t>
                  </w:r>
                </w:p>
              </w:tc>
            </w:tr>
            <w:tr w14:paraId="28345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392" w:type="pct"/>
                  <w:tcBorders>
                    <w:left w:val="single" w:color="auto" w:sz="4" w:space="0"/>
                  </w:tcBorders>
                  <w:shd w:val="clear" w:color="auto" w:fill="auto"/>
                  <w:noWrap w:val="0"/>
                  <w:vAlign w:val="center"/>
                </w:tcPr>
                <w:p w14:paraId="109D5929">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Cs w:val="21"/>
                      <w:lang w:val="en-US" w:eastAsia="zh-CN"/>
                    </w:rPr>
                    <w:t>4</w:t>
                  </w:r>
                </w:p>
              </w:tc>
              <w:tc>
                <w:tcPr>
                  <w:tcW w:w="850" w:type="pct"/>
                  <w:noWrap w:val="0"/>
                  <w:vAlign w:val="center"/>
                </w:tcPr>
                <w:p w14:paraId="1742B51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PEPP纤维丝</w:t>
                  </w:r>
                </w:p>
              </w:tc>
              <w:tc>
                <w:tcPr>
                  <w:tcW w:w="1119" w:type="pct"/>
                  <w:noWrap w:val="0"/>
                  <w:vAlign w:val="center"/>
                </w:tcPr>
                <w:p w14:paraId="6237A032">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固态</w:t>
                  </w:r>
                </w:p>
              </w:tc>
              <w:tc>
                <w:tcPr>
                  <w:tcW w:w="610" w:type="pct"/>
                  <w:noWrap w:val="0"/>
                  <w:vAlign w:val="center"/>
                </w:tcPr>
                <w:p w14:paraId="0D672D14">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11C410DB">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204.6</w:t>
                  </w:r>
                </w:p>
              </w:tc>
              <w:tc>
                <w:tcPr>
                  <w:tcW w:w="1411" w:type="pct"/>
                  <w:tcBorders>
                    <w:right w:val="single" w:color="auto" w:sz="4" w:space="0"/>
                  </w:tcBorders>
                  <w:noWrap w:val="0"/>
                  <w:vAlign w:val="center"/>
                </w:tcPr>
                <w:p w14:paraId="480159B2">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为假睫毛</w:t>
                  </w:r>
                  <w:r>
                    <w:rPr>
                      <w:rFonts w:hint="eastAsia" w:ascii="Times New Roman" w:hAnsi="Times New Roman" w:eastAsia="宋体" w:cs="Times New Roman"/>
                      <w:b w:val="0"/>
                      <w:bCs w:val="0"/>
                      <w:color w:val="auto"/>
                      <w:szCs w:val="21"/>
                      <w:lang w:val="en-US" w:eastAsia="zh-CN"/>
                    </w:rPr>
                    <w:t>生产</w:t>
                  </w:r>
                  <w:r>
                    <w:rPr>
                      <w:rFonts w:hint="eastAsia" w:cs="Times New Roman"/>
                      <w:b w:val="0"/>
                      <w:bCs w:val="0"/>
                      <w:color w:val="auto"/>
                      <w:szCs w:val="21"/>
                      <w:lang w:val="en-US" w:eastAsia="zh-CN"/>
                    </w:rPr>
                    <w:t>的</w:t>
                  </w:r>
                  <w:r>
                    <w:rPr>
                      <w:rFonts w:hint="eastAsia" w:ascii="Times New Roman" w:hAnsi="Times New Roman" w:eastAsia="宋体" w:cs="Times New Roman"/>
                      <w:b w:val="0"/>
                      <w:bCs w:val="0"/>
                      <w:color w:val="auto"/>
                      <w:szCs w:val="21"/>
                      <w:lang w:val="en-US" w:eastAsia="zh-CN"/>
                    </w:rPr>
                    <w:t>原料，</w:t>
                  </w:r>
                  <w:r>
                    <w:rPr>
                      <w:rFonts w:hint="eastAsia" w:cs="Times New Roman"/>
                      <w:b w:val="0"/>
                      <w:bCs w:val="0"/>
                      <w:color w:val="auto"/>
                      <w:szCs w:val="21"/>
                      <w:lang w:val="en-US" w:eastAsia="zh-CN"/>
                    </w:rPr>
                    <w:t>外购</w:t>
                  </w:r>
                </w:p>
              </w:tc>
            </w:tr>
            <w:tr w14:paraId="6243F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shd w:val="clear" w:color="auto" w:fill="auto"/>
                  <w:noWrap w:val="0"/>
                  <w:vAlign w:val="center"/>
                </w:tcPr>
                <w:p w14:paraId="166971D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Cs w:val="21"/>
                      <w:lang w:val="en-US" w:eastAsia="zh-CN"/>
                    </w:rPr>
                    <w:t>5</w:t>
                  </w:r>
                </w:p>
              </w:tc>
              <w:tc>
                <w:tcPr>
                  <w:tcW w:w="850" w:type="pct"/>
                  <w:noWrap w:val="0"/>
                  <w:vAlign w:val="center"/>
                </w:tcPr>
                <w:p w14:paraId="270E9A8B">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活性炭</w:t>
                  </w:r>
                </w:p>
              </w:tc>
              <w:tc>
                <w:tcPr>
                  <w:tcW w:w="1119" w:type="pct"/>
                  <w:shd w:val="clear" w:color="auto" w:fill="auto"/>
                  <w:noWrap w:val="0"/>
                  <w:vAlign w:val="center"/>
                </w:tcPr>
                <w:p w14:paraId="5F64C6B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Cs w:val="21"/>
                      <w:lang w:val="en-US" w:eastAsia="zh-CN"/>
                    </w:rPr>
                    <w:t>固态</w:t>
                  </w:r>
                </w:p>
              </w:tc>
              <w:tc>
                <w:tcPr>
                  <w:tcW w:w="610" w:type="pct"/>
                  <w:shd w:val="clear" w:color="auto" w:fill="auto"/>
                  <w:noWrap w:val="0"/>
                  <w:vAlign w:val="center"/>
                </w:tcPr>
                <w:p w14:paraId="179B5974">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679461A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2</w:t>
                  </w:r>
                </w:p>
              </w:tc>
              <w:tc>
                <w:tcPr>
                  <w:tcW w:w="1411" w:type="pct"/>
                  <w:tcBorders>
                    <w:right w:val="single" w:color="auto" w:sz="4" w:space="0"/>
                  </w:tcBorders>
                  <w:noWrap w:val="0"/>
                  <w:vAlign w:val="center"/>
                </w:tcPr>
                <w:p w14:paraId="0D8636B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外购</w:t>
                  </w:r>
                </w:p>
              </w:tc>
            </w:tr>
            <w:tr w14:paraId="6AAE3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shd w:val="clear" w:color="auto" w:fill="auto"/>
                  <w:noWrap w:val="0"/>
                  <w:vAlign w:val="center"/>
                </w:tcPr>
                <w:p w14:paraId="30C67CA0">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6</w:t>
                  </w:r>
                </w:p>
              </w:tc>
              <w:tc>
                <w:tcPr>
                  <w:tcW w:w="1406" w:type="dxa"/>
                  <w:noWrap w:val="0"/>
                  <w:vAlign w:val="center"/>
                </w:tcPr>
                <w:p w14:paraId="74523BC8">
                  <w:pPr>
                    <w:jc w:val="center"/>
                    <w:rPr>
                      <w:rFonts w:hint="eastAsia" w:cs="Times New Roman"/>
                      <w:b w:val="0"/>
                      <w:bCs w:val="0"/>
                      <w:color w:val="auto"/>
                      <w:szCs w:val="21"/>
                      <w:lang w:val="en-US" w:eastAsia="zh-CN"/>
                    </w:rPr>
                  </w:pPr>
                  <w:r>
                    <w:rPr>
                      <w:rFonts w:hint="eastAsia"/>
                      <w:bCs/>
                      <w:color w:val="auto"/>
                      <w:sz w:val="21"/>
                      <w:szCs w:val="21"/>
                      <w:lang w:val="en-US" w:eastAsia="zh-CN"/>
                    </w:rPr>
                    <w:t>聚丙烯酰胺（PAM）</w:t>
                  </w:r>
                </w:p>
              </w:tc>
              <w:tc>
                <w:tcPr>
                  <w:tcW w:w="1851" w:type="dxa"/>
                  <w:shd w:val="clear" w:color="auto" w:fill="auto"/>
                  <w:noWrap w:val="0"/>
                  <w:vAlign w:val="center"/>
                </w:tcPr>
                <w:p w14:paraId="3DECB05A">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固态</w:t>
                  </w:r>
                </w:p>
              </w:tc>
              <w:tc>
                <w:tcPr>
                  <w:tcW w:w="1009" w:type="dxa"/>
                  <w:shd w:val="clear" w:color="auto" w:fill="auto"/>
                  <w:noWrap w:val="0"/>
                  <w:vAlign w:val="center"/>
                </w:tcPr>
                <w:p w14:paraId="04B4B41E">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0E18C0D2">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cs="Times New Roman"/>
                      <w:b w:val="0"/>
                      <w:bCs w:val="0"/>
                      <w:color w:val="auto"/>
                      <w:szCs w:val="21"/>
                      <w:lang w:val="en-US" w:eastAsia="zh-CN"/>
                    </w:rPr>
                  </w:pPr>
                </w:p>
              </w:tc>
              <w:tc>
                <w:tcPr>
                  <w:tcW w:w="1411" w:type="pct"/>
                  <w:tcBorders>
                    <w:right w:val="single" w:color="auto" w:sz="4" w:space="0"/>
                  </w:tcBorders>
                  <w:noWrap w:val="0"/>
                  <w:vAlign w:val="center"/>
                </w:tcPr>
                <w:p w14:paraId="6F9812A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用于废水处理，外购</w:t>
                  </w:r>
                </w:p>
              </w:tc>
            </w:tr>
            <w:tr w14:paraId="3C537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shd w:val="clear" w:color="auto" w:fill="auto"/>
                  <w:noWrap w:val="0"/>
                  <w:vAlign w:val="center"/>
                </w:tcPr>
                <w:p w14:paraId="28299025">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cs="Times New Roman"/>
                      <w:b w:val="0"/>
                      <w:bCs w:val="0"/>
                      <w:color w:val="auto"/>
                      <w:szCs w:val="21"/>
                      <w:lang w:val="en-US" w:eastAsia="zh-CN"/>
                    </w:rPr>
                  </w:pPr>
                  <w:r>
                    <w:rPr>
                      <w:rFonts w:hint="eastAsia" w:cs="Times New Roman"/>
                      <w:b w:val="0"/>
                      <w:bCs w:val="0"/>
                      <w:color w:val="auto"/>
                      <w:szCs w:val="21"/>
                      <w:lang w:val="en-US" w:eastAsia="zh-CN"/>
                    </w:rPr>
                    <w:t>7</w:t>
                  </w:r>
                </w:p>
              </w:tc>
              <w:tc>
                <w:tcPr>
                  <w:tcW w:w="1406" w:type="dxa"/>
                  <w:noWrap w:val="0"/>
                  <w:vAlign w:val="center"/>
                </w:tcPr>
                <w:p w14:paraId="09D76A48">
                  <w:pPr>
                    <w:jc w:val="center"/>
                    <w:rPr>
                      <w:rFonts w:hint="eastAsia" w:cs="Times New Roman"/>
                      <w:b w:val="0"/>
                      <w:bCs w:val="0"/>
                      <w:color w:val="auto"/>
                      <w:szCs w:val="21"/>
                      <w:lang w:val="en-US" w:eastAsia="zh-CN"/>
                    </w:rPr>
                  </w:pPr>
                  <w:r>
                    <w:rPr>
                      <w:rFonts w:hint="eastAsia"/>
                      <w:bCs/>
                      <w:color w:val="auto"/>
                      <w:sz w:val="21"/>
                      <w:szCs w:val="21"/>
                      <w:lang w:val="en-US" w:eastAsia="zh-CN"/>
                    </w:rPr>
                    <w:t>聚合氯化铝（PAC）</w:t>
                  </w:r>
                </w:p>
              </w:tc>
              <w:tc>
                <w:tcPr>
                  <w:tcW w:w="1851" w:type="dxa"/>
                  <w:shd w:val="clear" w:color="auto" w:fill="auto"/>
                  <w:noWrap w:val="0"/>
                  <w:vAlign w:val="center"/>
                </w:tcPr>
                <w:p w14:paraId="09B086F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固态</w:t>
                  </w:r>
                </w:p>
              </w:tc>
              <w:tc>
                <w:tcPr>
                  <w:tcW w:w="1009" w:type="dxa"/>
                  <w:shd w:val="clear" w:color="auto" w:fill="auto"/>
                  <w:noWrap w:val="0"/>
                  <w:vAlign w:val="center"/>
                </w:tcPr>
                <w:p w14:paraId="26AF7C72">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t/a</w:t>
                  </w:r>
                </w:p>
              </w:tc>
              <w:tc>
                <w:tcPr>
                  <w:tcW w:w="615" w:type="pct"/>
                  <w:noWrap w:val="0"/>
                  <w:vAlign w:val="center"/>
                </w:tcPr>
                <w:p w14:paraId="413A329D">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cs="Times New Roman"/>
                      <w:b w:val="0"/>
                      <w:bCs w:val="0"/>
                      <w:color w:val="auto"/>
                      <w:szCs w:val="21"/>
                      <w:lang w:val="en-US" w:eastAsia="zh-CN"/>
                    </w:rPr>
                  </w:pPr>
                </w:p>
              </w:tc>
              <w:tc>
                <w:tcPr>
                  <w:tcW w:w="1411" w:type="pct"/>
                  <w:tcBorders>
                    <w:right w:val="single" w:color="auto" w:sz="4" w:space="0"/>
                  </w:tcBorders>
                  <w:noWrap w:val="0"/>
                  <w:vAlign w:val="center"/>
                </w:tcPr>
                <w:p w14:paraId="397CCB7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cs="Times New Roman"/>
                      <w:b w:val="0"/>
                      <w:bCs w:val="0"/>
                      <w:color w:val="auto"/>
                      <w:szCs w:val="21"/>
                      <w:lang w:val="en-US" w:eastAsia="zh-CN"/>
                    </w:rPr>
                  </w:pPr>
                  <w:r>
                    <w:rPr>
                      <w:rFonts w:hint="eastAsia" w:cs="Times New Roman"/>
                      <w:b w:val="0"/>
                      <w:bCs w:val="0"/>
                      <w:color w:val="auto"/>
                      <w:szCs w:val="21"/>
                      <w:lang w:val="en-US" w:eastAsia="zh-CN"/>
                    </w:rPr>
                    <w:t>用于废水处理，外购</w:t>
                  </w:r>
                </w:p>
              </w:tc>
            </w:tr>
            <w:tr w14:paraId="59E05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left w:val="single" w:color="auto" w:sz="4" w:space="0"/>
                    <w:right w:val="single" w:color="auto" w:sz="4" w:space="0"/>
                  </w:tcBorders>
                  <w:noWrap w:val="0"/>
                  <w:vAlign w:val="center"/>
                </w:tcPr>
                <w:p w14:paraId="0F6EDDE4">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能耗</w:t>
                  </w:r>
                </w:p>
              </w:tc>
            </w:tr>
            <w:tr w14:paraId="4B5EF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shd w:val="clear" w:color="auto" w:fill="auto"/>
                  <w:noWrap w:val="0"/>
                  <w:vAlign w:val="center"/>
                </w:tcPr>
                <w:p w14:paraId="4638073B">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lang w:val="en-US" w:eastAsia="zh-CN"/>
                    </w:rPr>
                    <w:t>序号</w:t>
                  </w:r>
                </w:p>
              </w:tc>
              <w:tc>
                <w:tcPr>
                  <w:tcW w:w="850" w:type="pct"/>
                  <w:shd w:val="clear" w:color="auto" w:fill="auto"/>
                  <w:noWrap w:val="0"/>
                  <w:vAlign w:val="center"/>
                </w:tcPr>
                <w:p w14:paraId="2DA676F7">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b w:val="0"/>
                      <w:bCs w:val="0"/>
                      <w:color w:val="auto"/>
                      <w:sz w:val="21"/>
                      <w:szCs w:val="21"/>
                      <w:highlight w:val="none"/>
                      <w:lang w:val="en-US" w:eastAsia="zh-CN"/>
                    </w:rPr>
                    <w:t>名称</w:t>
                  </w:r>
                </w:p>
              </w:tc>
              <w:tc>
                <w:tcPr>
                  <w:tcW w:w="1119" w:type="pct"/>
                  <w:shd w:val="clear" w:color="auto" w:fill="auto"/>
                  <w:noWrap w:val="0"/>
                  <w:vAlign w:val="center"/>
                </w:tcPr>
                <w:p w14:paraId="047059B9">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Cs w:val="21"/>
                      <w:lang w:val="en-US" w:eastAsia="zh-CN"/>
                    </w:rPr>
                    <w:t>规格</w:t>
                  </w:r>
                </w:p>
              </w:tc>
              <w:tc>
                <w:tcPr>
                  <w:tcW w:w="610" w:type="pct"/>
                  <w:shd w:val="clear" w:color="auto" w:fill="auto"/>
                  <w:noWrap w:val="0"/>
                  <w:vAlign w:val="center"/>
                </w:tcPr>
                <w:p w14:paraId="05324881">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b w:val="0"/>
                      <w:bCs w:val="0"/>
                      <w:color w:val="auto"/>
                      <w:sz w:val="21"/>
                      <w:szCs w:val="21"/>
                      <w:highlight w:val="none"/>
                      <w:lang w:val="en-US" w:eastAsia="zh-CN"/>
                    </w:rPr>
                    <w:t>单位</w:t>
                  </w:r>
                </w:p>
              </w:tc>
              <w:tc>
                <w:tcPr>
                  <w:tcW w:w="615" w:type="pct"/>
                  <w:shd w:val="clear" w:color="auto" w:fill="auto"/>
                  <w:noWrap w:val="0"/>
                  <w:vAlign w:val="center"/>
                </w:tcPr>
                <w:p w14:paraId="0A274B23">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b w:val="0"/>
                      <w:bCs w:val="0"/>
                      <w:color w:val="auto"/>
                      <w:sz w:val="21"/>
                      <w:szCs w:val="21"/>
                      <w:highlight w:val="none"/>
                      <w:lang w:val="en-US" w:eastAsia="zh-CN"/>
                    </w:rPr>
                    <w:t>用量</w:t>
                  </w:r>
                </w:p>
              </w:tc>
              <w:tc>
                <w:tcPr>
                  <w:tcW w:w="1411" w:type="pct"/>
                  <w:tcBorders>
                    <w:right w:val="single" w:color="auto" w:sz="4" w:space="0"/>
                  </w:tcBorders>
                  <w:noWrap w:val="0"/>
                  <w:vAlign w:val="center"/>
                </w:tcPr>
                <w:p w14:paraId="3B04C0D4">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b w:val="0"/>
                      <w:bCs w:val="0"/>
                      <w:color w:val="auto"/>
                      <w:sz w:val="21"/>
                      <w:szCs w:val="21"/>
                      <w:highlight w:val="none"/>
                      <w:lang w:val="en-US" w:eastAsia="zh-CN"/>
                    </w:rPr>
                    <w:t>备注</w:t>
                  </w:r>
                </w:p>
              </w:tc>
            </w:tr>
            <w:tr w14:paraId="02614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noWrap w:val="0"/>
                  <w:vAlign w:val="center"/>
                </w:tcPr>
                <w:p w14:paraId="52DCF547">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1</w:t>
                  </w:r>
                </w:p>
              </w:tc>
              <w:tc>
                <w:tcPr>
                  <w:tcW w:w="850" w:type="pct"/>
                  <w:shd w:val="clear" w:color="auto" w:fill="auto"/>
                  <w:noWrap w:val="0"/>
                  <w:vAlign w:val="center"/>
                </w:tcPr>
                <w:p w14:paraId="5B85927E">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b w:val="0"/>
                      <w:bCs w:val="0"/>
                      <w:color w:val="auto"/>
                      <w:sz w:val="21"/>
                      <w:szCs w:val="21"/>
                      <w:highlight w:val="none"/>
                      <w:lang w:val="en-US" w:eastAsia="zh-CN"/>
                    </w:rPr>
                    <w:t>水</w:t>
                  </w:r>
                </w:p>
              </w:tc>
              <w:tc>
                <w:tcPr>
                  <w:tcW w:w="1119" w:type="pct"/>
                  <w:noWrap w:val="0"/>
                  <w:vAlign w:val="center"/>
                </w:tcPr>
                <w:p w14:paraId="67664FDA">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w:t>
                  </w:r>
                </w:p>
              </w:tc>
              <w:tc>
                <w:tcPr>
                  <w:tcW w:w="610" w:type="pct"/>
                  <w:shd w:val="clear" w:color="auto" w:fill="auto"/>
                  <w:noWrap w:val="0"/>
                  <w:vAlign w:val="center"/>
                </w:tcPr>
                <w:p w14:paraId="0860E681">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宋体"/>
                      <w:b w:val="0"/>
                      <w:bCs w:val="0"/>
                      <w:color w:val="auto"/>
                      <w:sz w:val="21"/>
                      <w:szCs w:val="21"/>
                      <w:highlight w:val="none"/>
                      <w:lang w:val="en-US" w:eastAsia="zh-CN"/>
                    </w:rPr>
                    <w:t>m</w:t>
                  </w:r>
                  <w:r>
                    <w:rPr>
                      <w:rFonts w:hint="eastAsia" w:ascii="Times New Roman" w:hAnsi="Times New Roman" w:cs="宋体"/>
                      <w:b w:val="0"/>
                      <w:bCs w:val="0"/>
                      <w:color w:val="auto"/>
                      <w:sz w:val="21"/>
                      <w:szCs w:val="21"/>
                      <w:highlight w:val="none"/>
                      <w:vertAlign w:val="superscript"/>
                      <w:lang w:val="en-US" w:eastAsia="zh-CN"/>
                    </w:rPr>
                    <w:t>3</w:t>
                  </w:r>
                  <w:r>
                    <w:rPr>
                      <w:rFonts w:hint="default" w:ascii="Times New Roman" w:hAnsi="Times New Roman" w:eastAsia="宋体"/>
                      <w:b w:val="0"/>
                      <w:bCs w:val="0"/>
                      <w:color w:val="auto"/>
                      <w:sz w:val="21"/>
                      <w:szCs w:val="21"/>
                      <w:highlight w:val="none"/>
                      <w:lang w:val="en-US" w:eastAsia="zh-CN"/>
                    </w:rPr>
                    <w:t>/a</w:t>
                  </w:r>
                </w:p>
              </w:tc>
              <w:tc>
                <w:tcPr>
                  <w:tcW w:w="615" w:type="pct"/>
                  <w:noWrap w:val="0"/>
                  <w:vAlign w:val="center"/>
                </w:tcPr>
                <w:p w14:paraId="09D7C8D8">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972.4</w:t>
                  </w:r>
                </w:p>
              </w:tc>
              <w:tc>
                <w:tcPr>
                  <w:tcW w:w="1411" w:type="pct"/>
                  <w:tcBorders>
                    <w:right w:val="single" w:color="auto" w:sz="4" w:space="0"/>
                  </w:tcBorders>
                  <w:shd w:val="clear" w:color="auto" w:fill="auto"/>
                  <w:noWrap w:val="0"/>
                  <w:vAlign w:val="center"/>
                </w:tcPr>
                <w:p w14:paraId="055D3B37">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lang w:val="en-US" w:eastAsia="zh-CN"/>
                    </w:rPr>
                    <w:t>当地自来水管网统一供给</w:t>
                  </w:r>
                </w:p>
              </w:tc>
            </w:tr>
            <w:tr w14:paraId="71C4C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2" w:type="pct"/>
                  <w:tcBorders>
                    <w:left w:val="single" w:color="auto" w:sz="4" w:space="0"/>
                  </w:tcBorders>
                  <w:noWrap w:val="0"/>
                  <w:vAlign w:val="center"/>
                </w:tcPr>
                <w:p w14:paraId="175169E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2</w:t>
                  </w:r>
                </w:p>
              </w:tc>
              <w:tc>
                <w:tcPr>
                  <w:tcW w:w="850" w:type="pct"/>
                  <w:shd w:val="clear" w:color="auto" w:fill="auto"/>
                  <w:noWrap w:val="0"/>
                  <w:vAlign w:val="center"/>
                </w:tcPr>
                <w:p w14:paraId="44BB69DB">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b w:val="0"/>
                      <w:bCs w:val="0"/>
                      <w:color w:val="auto"/>
                      <w:sz w:val="21"/>
                      <w:szCs w:val="21"/>
                      <w:highlight w:val="none"/>
                      <w:lang w:val="en-US" w:eastAsia="zh-CN"/>
                    </w:rPr>
                    <w:t>电</w:t>
                  </w:r>
                </w:p>
              </w:tc>
              <w:tc>
                <w:tcPr>
                  <w:tcW w:w="1119" w:type="pct"/>
                  <w:noWrap w:val="0"/>
                  <w:vAlign w:val="center"/>
                </w:tcPr>
                <w:p w14:paraId="3CC89DBF">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w:t>
                  </w:r>
                </w:p>
              </w:tc>
              <w:tc>
                <w:tcPr>
                  <w:tcW w:w="610" w:type="pct"/>
                  <w:shd w:val="clear" w:color="auto" w:fill="auto"/>
                  <w:noWrap w:val="0"/>
                  <w:vAlign w:val="center"/>
                </w:tcPr>
                <w:p w14:paraId="3149AE01">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Cs w:val="21"/>
                      <w:lang w:val="en-US" w:eastAsia="zh-CN"/>
                    </w:rPr>
                    <w:t>万</w:t>
                  </w:r>
                  <w:r>
                    <w:rPr>
                      <w:rFonts w:hint="default" w:ascii="Times New Roman" w:hAnsi="Times New Roman" w:eastAsia="宋体"/>
                      <w:b w:val="0"/>
                      <w:bCs w:val="0"/>
                      <w:color w:val="auto"/>
                      <w:sz w:val="21"/>
                      <w:szCs w:val="21"/>
                      <w:highlight w:val="none"/>
                      <w:lang w:val="en-US" w:eastAsia="zh-CN"/>
                    </w:rPr>
                    <w:t>kwh/a</w:t>
                  </w:r>
                </w:p>
              </w:tc>
              <w:tc>
                <w:tcPr>
                  <w:tcW w:w="615" w:type="pct"/>
                  <w:noWrap w:val="0"/>
                  <w:vAlign w:val="center"/>
                </w:tcPr>
                <w:p w14:paraId="2D5E8587">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default"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200</w:t>
                  </w:r>
                </w:p>
              </w:tc>
              <w:tc>
                <w:tcPr>
                  <w:tcW w:w="1411" w:type="pct"/>
                  <w:tcBorders>
                    <w:right w:val="single" w:color="auto" w:sz="4" w:space="0"/>
                  </w:tcBorders>
                  <w:shd w:val="clear" w:color="auto" w:fill="auto"/>
                  <w:noWrap w:val="0"/>
                  <w:vAlign w:val="center"/>
                </w:tcPr>
                <w:p w14:paraId="149A3BDD">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center"/>
                    <w:textAlignment w:val="auto"/>
                    <w:outlineLvl w:val="9"/>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b w:val="0"/>
                      <w:bCs w:val="0"/>
                      <w:color w:val="auto"/>
                      <w:sz w:val="21"/>
                      <w:szCs w:val="21"/>
                      <w:highlight w:val="none"/>
                      <w:lang w:val="en-US" w:eastAsia="zh-CN"/>
                    </w:rPr>
                    <w:t>由</w:t>
                  </w:r>
                  <w:r>
                    <w:rPr>
                      <w:rFonts w:hint="eastAsia"/>
                      <w:b w:val="0"/>
                      <w:bCs w:val="0"/>
                      <w:color w:val="auto"/>
                      <w:sz w:val="21"/>
                      <w:szCs w:val="21"/>
                      <w:highlight w:val="none"/>
                      <w:lang w:val="en-US" w:eastAsia="zh-CN"/>
                    </w:rPr>
                    <w:t>沂源县</w:t>
                  </w:r>
                  <w:r>
                    <w:rPr>
                      <w:rFonts w:hint="eastAsia" w:ascii="Times New Roman" w:hAnsi="Times New Roman" w:eastAsia="宋体"/>
                      <w:b w:val="0"/>
                      <w:bCs w:val="0"/>
                      <w:color w:val="auto"/>
                      <w:sz w:val="21"/>
                      <w:szCs w:val="21"/>
                      <w:highlight w:val="none"/>
                      <w:lang w:val="en-US" w:eastAsia="zh-CN"/>
                    </w:rPr>
                    <w:t>国家电网</w:t>
                  </w:r>
                  <w:r>
                    <w:rPr>
                      <w:rFonts w:hint="default" w:ascii="Times New Roman" w:hAnsi="Times New Roman" w:eastAsia="宋体"/>
                      <w:b w:val="0"/>
                      <w:bCs w:val="0"/>
                      <w:color w:val="auto"/>
                      <w:sz w:val="21"/>
                      <w:szCs w:val="21"/>
                      <w:highlight w:val="none"/>
                      <w:lang w:val="en-US" w:eastAsia="zh-CN"/>
                    </w:rPr>
                    <w:t>供给</w:t>
                  </w:r>
                </w:p>
              </w:tc>
            </w:tr>
            <w:tr w14:paraId="64A14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tcBorders>
                    <w:left w:val="single" w:color="auto" w:sz="4" w:space="0"/>
                    <w:right w:val="single" w:color="auto" w:sz="4" w:space="0"/>
                  </w:tcBorders>
                  <w:noWrap w:val="0"/>
                  <w:vAlign w:val="center"/>
                </w:tcPr>
                <w:p w14:paraId="75BDAA06">
                  <w:pPr>
                    <w:keepNext w:val="0"/>
                    <w:keepLines w:val="0"/>
                    <w:pageBreakBefore w:val="0"/>
                    <w:widowControl/>
                    <w:kinsoku/>
                    <w:wordWrap/>
                    <w:overflowPunct/>
                    <w:topLinePunct w:val="0"/>
                    <w:autoSpaceDE w:val="0"/>
                    <w:autoSpaceDN w:val="0"/>
                    <w:bidi w:val="0"/>
                    <w:adjustRightInd w:val="0"/>
                    <w:snapToGrid w:val="0"/>
                    <w:spacing w:after="0" w:afterLines="0" w:line="240" w:lineRule="auto"/>
                    <w:ind w:right="0" w:rightChars="0"/>
                    <w:jc w:val="left"/>
                    <w:textAlignment w:val="auto"/>
                    <w:outlineLvl w:val="9"/>
                    <w:rPr>
                      <w:rFonts w:hint="default" w:ascii="Times New Roman" w:hAnsi="Times New Roman" w:eastAsia="宋体"/>
                      <w:b w:val="0"/>
                      <w:bCs w:val="0"/>
                      <w:color w:val="auto"/>
                      <w:sz w:val="21"/>
                      <w:szCs w:val="21"/>
                      <w:highlight w:val="none"/>
                      <w:lang w:val="en-US" w:eastAsia="zh-CN"/>
                    </w:rPr>
                  </w:pPr>
                  <w:r>
                    <w:rPr>
                      <w:rFonts w:hint="eastAsia"/>
                      <w:b w:val="0"/>
                      <w:bCs w:val="0"/>
                      <w:color w:val="auto"/>
                      <w:sz w:val="21"/>
                      <w:szCs w:val="21"/>
                      <w:highlight w:val="none"/>
                      <w:lang w:val="en-US" w:eastAsia="zh-CN"/>
                    </w:rPr>
                    <w:t>备注：外购的纺丝油剂与水以1:15比例兑稀混溶</w:t>
                  </w:r>
                </w:p>
              </w:tc>
            </w:tr>
          </w:tbl>
          <w:p w14:paraId="17C94AE0">
            <w:pPr>
              <w:spacing w:line="360" w:lineRule="auto"/>
              <w:ind w:firstLine="482"/>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原辅材料理化性质：</w:t>
            </w:r>
          </w:p>
          <w:p w14:paraId="566EA736">
            <w:pPr>
              <w:spacing w:line="360" w:lineRule="auto"/>
              <w:ind w:firstLine="482"/>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聚丙烯</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是由丙烯单体通过加聚反应制成的半结晶的热塑性聚合物。通常呈白色蜡状固体，无毒、无味，外观透明且质地轻盈。其化学式为(C</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lang w:eastAsia="zh-CN"/>
              </w:rPr>
              <w:t>H</w:t>
            </w:r>
            <w:r>
              <w:rPr>
                <w:rFonts w:hint="default" w:ascii="Times New Roman" w:hAnsi="Times New Roman" w:eastAsia="宋体" w:cs="Times New Roman"/>
                <w:color w:val="auto"/>
                <w:sz w:val="24"/>
                <w:szCs w:val="24"/>
                <w:highlight w:val="none"/>
                <w:vertAlign w:val="subscript"/>
                <w:lang w:eastAsia="zh-CN"/>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vertAlign w:val="subscript"/>
                <w:lang w:eastAsia="zh-CN"/>
              </w:rPr>
              <w:t>n</w:t>
            </w:r>
            <w:r>
              <w:rPr>
                <w:rFonts w:hint="eastAsia" w:ascii="Times New Roman" w:hAnsi="Times New Roman" w:eastAsia="宋体" w:cs="Times New Roman"/>
                <w:color w:val="auto"/>
                <w:sz w:val="24"/>
                <w:szCs w:val="24"/>
                <w:highlight w:val="none"/>
                <w:lang w:eastAsia="zh-CN"/>
              </w:rPr>
              <w:t>聚丙烯具有轻巧、耐磨损、抗菌性和易染色等特性，被广泛用于服装、毛毯等纤维制品</w:t>
            </w:r>
            <w:r>
              <w:rPr>
                <w:rFonts w:hint="default" w:ascii="Times New Roman" w:hAnsi="Times New Roman" w:eastAsia="宋体" w:cs="Times New Roman"/>
                <w:color w:val="auto"/>
                <w:sz w:val="24"/>
                <w:szCs w:val="24"/>
                <w:highlight w:val="none"/>
                <w:lang w:eastAsia="zh-CN"/>
              </w:rPr>
              <w:t>；具有良好的绝缘性能，被用于制造如冰箱、洗衣机、空调、电视机的外壳和零部件等；具有良好的化学稳定性、耐热性、透明度和机械性能，被用于制造医疗器械；具有良好的耐腐蚀性、耐候性和可塑性，被用于制造建筑和建材产品等</w:t>
            </w:r>
            <w:r>
              <w:rPr>
                <w:rFonts w:hint="eastAsia" w:ascii="Times New Roman" w:hAnsi="Times New Roman" w:eastAsia="宋体" w:cs="Times New Roman"/>
                <w:color w:val="auto"/>
                <w:sz w:val="24"/>
                <w:szCs w:val="24"/>
                <w:highlight w:val="none"/>
                <w:lang w:eastAsia="zh-CN"/>
              </w:rPr>
              <w:t>。</w:t>
            </w:r>
          </w:p>
          <w:p w14:paraId="576977F0">
            <w:pPr>
              <w:spacing w:line="360" w:lineRule="auto"/>
              <w:ind w:firstLine="482"/>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色母料</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是由</w:t>
            </w:r>
            <w:r>
              <w:rPr>
                <w:rFonts w:hint="default" w:ascii="Times New Roman" w:hAnsi="Times New Roman" w:eastAsia="宋体" w:cs="Times New Roman"/>
                <w:color w:val="auto"/>
                <w:sz w:val="24"/>
                <w:szCs w:val="24"/>
                <w:highlight w:val="none"/>
                <w:lang w:eastAsia="zh-CN"/>
              </w:rPr>
              <w:fldChar w:fldCharType="begin"/>
            </w:r>
            <w:r>
              <w:rPr>
                <w:rFonts w:hint="default" w:ascii="Times New Roman" w:hAnsi="Times New Roman" w:eastAsia="宋体" w:cs="Times New Roman"/>
                <w:color w:val="auto"/>
                <w:sz w:val="24"/>
                <w:szCs w:val="24"/>
                <w:highlight w:val="none"/>
                <w:lang w:eastAsia="zh-CN"/>
              </w:rPr>
              <w:instrText xml:space="preserve"> HYPERLINK "https://baike.baidu.com/item/%E6%A0%91%E8%84%82/281282?fromModule=lemma_inlink" \t "https://baike.baidu.com/item/%E8%89%B2%E6%AF%8D%E6%96%99/_blank" </w:instrText>
            </w:r>
            <w:r>
              <w:rPr>
                <w:rFonts w:hint="default" w:ascii="Times New Roman" w:hAnsi="Times New Roman" w:eastAsia="宋体" w:cs="Times New Roman"/>
                <w:color w:val="auto"/>
                <w:sz w:val="24"/>
                <w:szCs w:val="24"/>
                <w:highlight w:val="none"/>
                <w:lang w:eastAsia="zh-CN"/>
              </w:rPr>
              <w:fldChar w:fldCharType="separate"/>
            </w:r>
            <w:r>
              <w:rPr>
                <w:rFonts w:hint="default" w:ascii="Times New Roman" w:hAnsi="Times New Roman" w:eastAsia="宋体" w:cs="Times New Roman"/>
                <w:color w:val="auto"/>
                <w:sz w:val="24"/>
                <w:szCs w:val="24"/>
                <w:highlight w:val="none"/>
                <w:lang w:eastAsia="zh-CN"/>
              </w:rPr>
              <w:t>树脂</w:t>
            </w:r>
            <w:r>
              <w:rPr>
                <w:rFonts w:hint="default" w:ascii="Times New Roman" w:hAnsi="Times New Roman" w:eastAsia="宋体" w:cs="Times New Roman"/>
                <w:color w:val="auto"/>
                <w:sz w:val="24"/>
                <w:szCs w:val="24"/>
                <w:highlight w:val="none"/>
                <w:lang w:eastAsia="zh-CN"/>
              </w:rPr>
              <w:fldChar w:fldCharType="end"/>
            </w:r>
            <w:r>
              <w:rPr>
                <w:rFonts w:hint="default" w:ascii="Times New Roman" w:hAnsi="Times New Roman" w:eastAsia="宋体" w:cs="Times New Roman"/>
                <w:color w:val="auto"/>
                <w:sz w:val="24"/>
                <w:szCs w:val="24"/>
                <w:highlight w:val="none"/>
                <w:lang w:eastAsia="zh-CN"/>
              </w:rPr>
              <w:t>和大量颜料（达50%）或染料配制成高浓度颜色的</w:t>
            </w:r>
            <w:r>
              <w:rPr>
                <w:rFonts w:hint="default" w:ascii="Times New Roman" w:hAnsi="Times New Roman" w:eastAsia="宋体" w:cs="Times New Roman"/>
                <w:color w:val="auto"/>
                <w:sz w:val="24"/>
                <w:szCs w:val="24"/>
                <w:highlight w:val="none"/>
                <w:lang w:eastAsia="zh-CN"/>
              </w:rPr>
              <w:fldChar w:fldCharType="begin"/>
            </w:r>
            <w:r>
              <w:rPr>
                <w:rFonts w:hint="default" w:ascii="Times New Roman" w:hAnsi="Times New Roman" w:eastAsia="宋体" w:cs="Times New Roman"/>
                <w:color w:val="auto"/>
                <w:sz w:val="24"/>
                <w:szCs w:val="24"/>
                <w:highlight w:val="none"/>
                <w:lang w:eastAsia="zh-CN"/>
              </w:rPr>
              <w:instrText xml:space="preserve"> HYPERLINK "https://baike.baidu.com/item/%E6%B7%B7%E5%90%88%E7%89%A9/1133642?fromModule=lemma_inlink" \t "https://baike.baidu.com/item/%E8%89%B2%E6%AF%8D%E6%96%99/_blank" </w:instrText>
            </w:r>
            <w:r>
              <w:rPr>
                <w:rFonts w:hint="default" w:ascii="Times New Roman" w:hAnsi="Times New Roman" w:eastAsia="宋体" w:cs="Times New Roman"/>
                <w:color w:val="auto"/>
                <w:sz w:val="24"/>
                <w:szCs w:val="24"/>
                <w:highlight w:val="none"/>
                <w:lang w:eastAsia="zh-CN"/>
              </w:rPr>
              <w:fldChar w:fldCharType="separate"/>
            </w:r>
            <w:r>
              <w:rPr>
                <w:rFonts w:hint="default" w:ascii="Times New Roman" w:hAnsi="Times New Roman" w:eastAsia="宋体" w:cs="Times New Roman"/>
                <w:color w:val="auto"/>
                <w:sz w:val="24"/>
                <w:szCs w:val="24"/>
                <w:highlight w:val="none"/>
                <w:lang w:eastAsia="zh-CN"/>
              </w:rPr>
              <w:t>混合物</w:t>
            </w:r>
            <w:r>
              <w:rPr>
                <w:rFonts w:hint="default" w:ascii="Times New Roman" w:hAnsi="Times New Roman" w:eastAsia="宋体" w:cs="Times New Roman"/>
                <w:color w:val="auto"/>
                <w:sz w:val="24"/>
                <w:szCs w:val="24"/>
                <w:highlight w:val="none"/>
                <w:lang w:eastAsia="zh-CN"/>
              </w:rPr>
              <w:fldChar w:fldCharType="end"/>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fldChar w:fldCharType="begin"/>
            </w:r>
            <w:r>
              <w:rPr>
                <w:rFonts w:hint="default" w:ascii="Times New Roman" w:hAnsi="Times New Roman" w:eastAsia="宋体" w:cs="Times New Roman"/>
                <w:color w:val="auto"/>
                <w:sz w:val="24"/>
                <w:szCs w:val="24"/>
                <w:highlight w:val="none"/>
                <w:lang w:eastAsia="zh-CN"/>
              </w:rPr>
              <w:instrText xml:space="preserve"> HYPERLINK "https://baike.baidu.com/item/%E8%89%B2%E6%AF%8D/6454204?fromModule=lemma_inlink" \t "https://baike.baidu.com/item/%E8%89%B2%E6%AF%8D%E6%96%99/_blank" </w:instrText>
            </w:r>
            <w:r>
              <w:rPr>
                <w:rFonts w:hint="default" w:ascii="Times New Roman" w:hAnsi="Times New Roman" w:eastAsia="宋体" w:cs="Times New Roman"/>
                <w:color w:val="auto"/>
                <w:sz w:val="24"/>
                <w:szCs w:val="24"/>
                <w:highlight w:val="none"/>
                <w:lang w:eastAsia="zh-CN"/>
              </w:rPr>
              <w:fldChar w:fldCharType="separate"/>
            </w:r>
            <w:r>
              <w:rPr>
                <w:rFonts w:hint="default" w:ascii="Times New Roman" w:hAnsi="Times New Roman" w:eastAsia="宋体" w:cs="Times New Roman"/>
                <w:color w:val="auto"/>
                <w:sz w:val="24"/>
                <w:szCs w:val="24"/>
                <w:highlight w:val="none"/>
                <w:lang w:eastAsia="zh-CN"/>
              </w:rPr>
              <w:t>色母</w:t>
            </w:r>
            <w:r>
              <w:rPr>
                <w:rFonts w:hint="default" w:ascii="Times New Roman" w:hAnsi="Times New Roman" w:eastAsia="宋体" w:cs="Times New Roman"/>
                <w:color w:val="auto"/>
                <w:sz w:val="24"/>
                <w:szCs w:val="24"/>
                <w:highlight w:val="none"/>
                <w:lang w:eastAsia="zh-CN"/>
              </w:rPr>
              <w:fldChar w:fldCharType="end"/>
            </w:r>
            <w:r>
              <w:rPr>
                <w:rFonts w:hint="default" w:ascii="Times New Roman" w:hAnsi="Times New Roman" w:eastAsia="宋体" w:cs="Times New Roman"/>
                <w:color w:val="auto"/>
                <w:sz w:val="24"/>
                <w:szCs w:val="24"/>
                <w:highlight w:val="none"/>
                <w:lang w:eastAsia="zh-CN"/>
              </w:rPr>
              <w:t>又名</w:t>
            </w:r>
            <w:r>
              <w:rPr>
                <w:rFonts w:hint="default" w:ascii="Times New Roman" w:hAnsi="Times New Roman" w:eastAsia="宋体" w:cs="Times New Roman"/>
                <w:color w:val="auto"/>
                <w:sz w:val="24"/>
                <w:szCs w:val="24"/>
                <w:highlight w:val="none"/>
                <w:lang w:eastAsia="zh-CN"/>
              </w:rPr>
              <w:fldChar w:fldCharType="begin"/>
            </w:r>
            <w:r>
              <w:rPr>
                <w:rFonts w:hint="default" w:ascii="Times New Roman" w:hAnsi="Times New Roman" w:eastAsia="宋体" w:cs="Times New Roman"/>
                <w:color w:val="auto"/>
                <w:sz w:val="24"/>
                <w:szCs w:val="24"/>
                <w:highlight w:val="none"/>
                <w:lang w:eastAsia="zh-CN"/>
              </w:rPr>
              <w:instrText xml:space="preserve"> HYPERLINK "https://baike.baidu.com/item/%E8%89%B2%E7%A7%8D/917214?fromModule=lemma_inlink" \t "https://baike.baidu.com/item/%E8%89%B2%E6%AF%8D%E6%96%99/_blank" </w:instrText>
            </w:r>
            <w:r>
              <w:rPr>
                <w:rFonts w:hint="default" w:ascii="Times New Roman" w:hAnsi="Times New Roman" w:eastAsia="宋体" w:cs="Times New Roman"/>
                <w:color w:val="auto"/>
                <w:sz w:val="24"/>
                <w:szCs w:val="24"/>
                <w:highlight w:val="none"/>
                <w:lang w:eastAsia="zh-CN"/>
              </w:rPr>
              <w:fldChar w:fldCharType="separate"/>
            </w:r>
            <w:r>
              <w:rPr>
                <w:rFonts w:hint="default" w:ascii="Times New Roman" w:hAnsi="Times New Roman" w:eastAsia="宋体" w:cs="Times New Roman"/>
                <w:color w:val="auto"/>
                <w:sz w:val="24"/>
                <w:szCs w:val="24"/>
                <w:highlight w:val="none"/>
                <w:lang w:eastAsia="zh-CN"/>
              </w:rPr>
              <w:t>色种</w:t>
            </w:r>
            <w:r>
              <w:rPr>
                <w:rFonts w:hint="default" w:ascii="Times New Roman" w:hAnsi="Times New Roman" w:eastAsia="宋体" w:cs="Times New Roman"/>
                <w:color w:val="auto"/>
                <w:sz w:val="24"/>
                <w:szCs w:val="24"/>
                <w:highlight w:val="none"/>
                <w:lang w:eastAsia="zh-CN"/>
              </w:rPr>
              <w:fldChar w:fldCharType="end"/>
            </w:r>
            <w:r>
              <w:rPr>
                <w:rFonts w:hint="default" w:ascii="Times New Roman" w:hAnsi="Times New Roman" w:eastAsia="宋体" w:cs="Times New Roman"/>
                <w:color w:val="auto"/>
                <w:sz w:val="24"/>
                <w:szCs w:val="24"/>
                <w:highlight w:val="none"/>
                <w:lang w:eastAsia="zh-CN"/>
              </w:rPr>
              <w:t>，是一种把超常量的颜料或染料均匀载附于树脂之中而制得的聚集体。</w:t>
            </w:r>
          </w:p>
          <w:p w14:paraId="22E10BBA">
            <w:pPr>
              <w:spacing w:line="360" w:lineRule="auto"/>
              <w:ind w:firstLine="482"/>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（3）PEPP纤维丝</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是一种由聚乙烯和聚丙烯组成的复合材料，</w:t>
            </w:r>
            <w:r>
              <w:rPr>
                <w:rFonts w:hint="eastAsia" w:ascii="Times New Roman" w:hAnsi="Times New Roman" w:eastAsia="宋体" w:cs="Times New Roman"/>
                <w:color w:val="auto"/>
                <w:sz w:val="24"/>
                <w:szCs w:val="24"/>
                <w:highlight w:val="none"/>
                <w:lang w:eastAsia="zh-CN"/>
              </w:rPr>
              <w:t>这种材料结合了PE和PP的优点，具有</w:t>
            </w:r>
            <w:r>
              <w:rPr>
                <w:rFonts w:hint="eastAsia" w:cs="Times New Roman"/>
                <w:color w:val="auto"/>
                <w:sz w:val="24"/>
                <w:szCs w:val="24"/>
                <w:highlight w:val="none"/>
                <w:lang w:val="en-US" w:eastAsia="zh-CN"/>
              </w:rPr>
              <w:t>较高的强度和韧性，易于加工成型，能够在较高的温度下保持稳定的性能</w:t>
            </w:r>
            <w:r>
              <w:rPr>
                <w:rFonts w:hint="eastAsia" w:ascii="Times New Roman" w:hAnsi="Times New Roman" w:eastAsia="宋体" w:cs="Times New Roman"/>
                <w:color w:val="auto"/>
                <w:sz w:val="24"/>
                <w:szCs w:val="24"/>
                <w:highlight w:val="none"/>
                <w:lang w:eastAsia="zh-CN"/>
              </w:rPr>
              <w:t>，广泛应用于包装、建筑、汽车和电子设备等</w:t>
            </w:r>
            <w:r>
              <w:rPr>
                <w:rFonts w:hint="eastAsia" w:cs="Times New Roman"/>
                <w:color w:val="auto"/>
                <w:sz w:val="24"/>
                <w:szCs w:val="24"/>
                <w:highlight w:val="none"/>
                <w:lang w:val="en-US" w:eastAsia="zh-CN"/>
              </w:rPr>
              <w:t>领域</w:t>
            </w:r>
            <w:r>
              <w:rPr>
                <w:rFonts w:hint="default" w:ascii="Times New Roman" w:hAnsi="Times New Roman" w:eastAsia="宋体" w:cs="Times New Roman"/>
                <w:color w:val="auto"/>
                <w:sz w:val="24"/>
                <w:szCs w:val="24"/>
                <w:highlight w:val="none"/>
                <w:lang w:eastAsia="zh-CN"/>
              </w:rPr>
              <w:t>。</w:t>
            </w:r>
          </w:p>
          <w:p w14:paraId="25CF9417">
            <w:pPr>
              <w:spacing w:line="360" w:lineRule="auto"/>
              <w:ind w:firstLine="482"/>
              <w:rPr>
                <w:rFonts w:hint="eastAsia"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纺丝油：</w:t>
            </w:r>
            <w:r>
              <w:rPr>
                <w:rFonts w:hint="eastAsia" w:ascii="Times New Roman" w:hAnsi="Times New Roman" w:eastAsia="宋体" w:cs="Times New Roman"/>
                <w:color w:val="auto"/>
                <w:sz w:val="24"/>
                <w:szCs w:val="24"/>
                <w:highlight w:val="none"/>
                <w:lang w:eastAsia="zh-CN"/>
              </w:rPr>
              <w:t>黄棕色黏稠液体，</w:t>
            </w:r>
            <w:r>
              <w:rPr>
                <w:rFonts w:hint="eastAsia" w:ascii="Times New Roman" w:hAnsi="Times New Roman" w:eastAsia="宋体" w:cs="Times New Roman"/>
                <w:color w:val="auto"/>
                <w:sz w:val="24"/>
                <w:szCs w:val="24"/>
                <w:highlight w:val="none"/>
                <w:lang w:val="en-US" w:eastAsia="zh-CN"/>
              </w:rPr>
              <w:t>是</w:t>
            </w:r>
            <w:r>
              <w:rPr>
                <w:rFonts w:hint="eastAsia" w:cs="Times New Roman"/>
                <w:color w:val="auto"/>
                <w:sz w:val="24"/>
                <w:szCs w:val="24"/>
                <w:highlight w:val="none"/>
                <w:lang w:val="en-US" w:eastAsia="zh-CN"/>
              </w:rPr>
              <w:t>纤维</w:t>
            </w:r>
            <w:r>
              <w:rPr>
                <w:rFonts w:hint="eastAsia" w:ascii="Times New Roman" w:hAnsi="Times New Roman" w:eastAsia="宋体" w:cs="Times New Roman"/>
                <w:color w:val="auto"/>
                <w:sz w:val="24"/>
                <w:szCs w:val="24"/>
                <w:highlight w:val="none"/>
                <w:lang w:val="en-US" w:eastAsia="zh-CN"/>
              </w:rPr>
              <w:t>纺丝过程中用到的专用油剂，对纤维有平滑、集束、抗静电等作用</w:t>
            </w:r>
            <w:r>
              <w:rPr>
                <w:rFonts w:hint="eastAsia" w:ascii="Times New Roman" w:hAnsi="Times New Roman" w:cs="Times New Roman"/>
                <w:color w:val="auto"/>
                <w:sz w:val="24"/>
                <w:szCs w:val="24"/>
                <w:highlight w:val="none"/>
                <w:lang w:val="en-US" w:eastAsia="zh-CN"/>
              </w:rPr>
              <w:t>。使用后在其表面形成一层油膜，改善纤维平滑性，降低丝束的摩擦系数，增强可纺性，提高纺丝效率，保护纤维的质量。</w:t>
            </w:r>
          </w:p>
          <w:p w14:paraId="66ECCFC5">
            <w:pPr>
              <w:keepNext w:val="0"/>
              <w:keepLines w:val="0"/>
              <w:pageBreakBefore w:val="0"/>
              <w:kinsoku/>
              <w:wordWrap/>
              <w:overflowPunct/>
              <w:topLinePunct w:val="0"/>
              <w:autoSpaceDE/>
              <w:autoSpaceDN/>
              <w:bidi w:val="0"/>
              <w:spacing w:line="360" w:lineRule="auto"/>
              <w:ind w:right="0"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szCs w:val="24"/>
                <w:highlight w:val="none"/>
                <w:lang w:val="en-US" w:eastAsia="zh-CN"/>
              </w:rPr>
              <w:t>（5）聚丙烯酰胺（PAM）：</w:t>
            </w:r>
            <w:r>
              <w:rPr>
                <w:rFonts w:hint="default" w:ascii="Times New Roman" w:hAnsi="Times New Roman" w:eastAsia="宋体" w:cs="Times New Roman"/>
                <w:color w:val="auto"/>
                <w:sz w:val="24"/>
                <w:lang w:val="en-US" w:eastAsia="zh-CN"/>
              </w:rPr>
              <w:t>理</w:t>
            </w:r>
            <w:r>
              <w:rPr>
                <w:rFonts w:hint="default" w:ascii="Times New Roman" w:hAnsi="Times New Roman" w:eastAsia="宋体" w:cs="Times New Roman"/>
                <w:color w:val="auto"/>
                <w:sz w:val="24"/>
                <w:szCs w:val="24"/>
                <w:highlight w:val="none"/>
                <w:lang w:val="en-US" w:eastAsia="zh-CN"/>
              </w:rPr>
              <w:t>化性</w:t>
            </w:r>
            <w:r>
              <w:rPr>
                <w:rFonts w:hint="default" w:ascii="Times New Roman" w:hAnsi="Times New Roman" w:eastAsia="宋体" w:cs="Times New Roman"/>
                <w:color w:val="auto"/>
                <w:sz w:val="24"/>
                <w:lang w:val="en-US" w:eastAsia="zh-CN"/>
              </w:rPr>
              <w:t>质：分子式(C</w:t>
            </w:r>
            <w:r>
              <w:rPr>
                <w:rFonts w:hint="default" w:ascii="Times New Roman" w:hAnsi="Times New Roman" w:eastAsia="宋体" w:cs="Times New Roman"/>
                <w:color w:val="auto"/>
                <w:sz w:val="24"/>
                <w:vertAlign w:val="subscript"/>
                <w:lang w:val="en-US" w:eastAsia="zh-CN"/>
              </w:rPr>
              <w:t>3</w:t>
            </w:r>
            <w:r>
              <w:rPr>
                <w:rFonts w:hint="default" w:ascii="Times New Roman" w:hAnsi="Times New Roman" w:eastAsia="宋体" w:cs="Times New Roman"/>
                <w:color w:val="auto"/>
                <w:sz w:val="24"/>
                <w:lang w:val="en-US" w:eastAsia="zh-CN"/>
              </w:rPr>
              <w:t>H</w:t>
            </w:r>
            <w:r>
              <w:rPr>
                <w:rFonts w:hint="default" w:ascii="Times New Roman" w:hAnsi="Times New Roman" w:eastAsia="宋体" w:cs="Times New Roman"/>
                <w:color w:val="auto"/>
                <w:sz w:val="24"/>
                <w:vertAlign w:val="subscript"/>
                <w:lang w:val="en-US" w:eastAsia="zh-CN"/>
              </w:rPr>
              <w:t>5</w:t>
            </w:r>
            <w:r>
              <w:rPr>
                <w:rFonts w:hint="default" w:ascii="Times New Roman" w:hAnsi="Times New Roman" w:eastAsia="宋体" w:cs="Times New Roman"/>
                <w:color w:val="auto"/>
                <w:sz w:val="24"/>
                <w:lang w:val="en-US" w:eastAsia="zh-CN"/>
              </w:rPr>
              <w:t>NO)n，白色粉末或半透明颗粒，密度(23℃)1.302g/cm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，溶于水，几乎不溶于有机溶剂，如苯、甲苯、乙醇、丙酮、酯类等，仅在乙二醇、甘油、甲方酰胺、乳酸、丙烯酸中溶解1%左右。燃烧爆炸性：易燃。</w:t>
            </w:r>
          </w:p>
          <w:p w14:paraId="6115C81A">
            <w:pPr>
              <w:keepNext w:val="0"/>
              <w:keepLines w:val="0"/>
              <w:pageBreakBefore w:val="0"/>
              <w:kinsoku/>
              <w:wordWrap/>
              <w:overflowPunct/>
              <w:topLinePunct w:val="0"/>
              <w:autoSpaceDE/>
              <w:autoSpaceDN/>
              <w:bidi w:val="0"/>
              <w:spacing w:line="360" w:lineRule="auto"/>
              <w:ind w:right="0" w:firstLine="480" w:firstLineChars="200"/>
              <w:textAlignment w:val="auto"/>
              <w:rPr>
                <w:rFonts w:hint="eastAsia" w:eastAsia="黑体"/>
                <w:color w:val="auto"/>
                <w:sz w:val="24"/>
                <w:lang w:val="en-US" w:eastAsia="zh-CN"/>
              </w:rPr>
            </w:pPr>
            <w:r>
              <w:rPr>
                <w:rFonts w:hint="eastAsia" w:ascii="Times New Roman" w:hAnsi="Times New Roman" w:eastAsia="宋体" w:cs="Times New Roman"/>
                <w:color w:val="auto"/>
                <w:sz w:val="24"/>
                <w:szCs w:val="24"/>
                <w:highlight w:val="none"/>
                <w:lang w:val="en-US" w:eastAsia="zh-CN"/>
              </w:rPr>
              <w:t>（6）聚合氯化铝（PAC）：</w:t>
            </w:r>
            <w:r>
              <w:rPr>
                <w:rFonts w:hint="default" w:ascii="Times New Roman" w:hAnsi="Times New Roman" w:eastAsia="宋体" w:cs="Times New Roman"/>
                <w:color w:val="auto"/>
                <w:sz w:val="24"/>
                <w:szCs w:val="24"/>
                <w:highlight w:val="none"/>
                <w:lang w:val="en-US" w:eastAsia="zh-CN"/>
              </w:rPr>
              <w:t>理化性质</w:t>
            </w:r>
            <w:r>
              <w:rPr>
                <w:rFonts w:hint="default" w:ascii="Times New Roman" w:hAnsi="Times New Roman" w:eastAsia="宋体" w:cs="Times New Roman"/>
                <w:color w:val="auto"/>
                <w:sz w:val="24"/>
                <w:lang w:val="en-US" w:eastAsia="zh-CN"/>
              </w:rPr>
              <w:t>：分子式[Al</w:t>
            </w:r>
            <w:r>
              <w:rPr>
                <w:rFonts w:hint="default" w:ascii="Times New Roman" w:hAnsi="Times New Roman" w:eastAsia="宋体" w:cs="Times New Roman"/>
                <w:color w:val="auto"/>
                <w:sz w:val="24"/>
                <w:vertAlign w:val="subscript"/>
                <w:lang w:val="en-US" w:eastAsia="zh-CN"/>
              </w:rPr>
              <w:t>2</w:t>
            </w:r>
            <w:r>
              <w:rPr>
                <w:rFonts w:hint="default" w:ascii="Times New Roman" w:hAnsi="Times New Roman" w:eastAsia="宋体" w:cs="Times New Roman"/>
                <w:color w:val="auto"/>
                <w:sz w:val="24"/>
                <w:lang w:val="en-US" w:eastAsia="zh-CN"/>
              </w:rPr>
              <w:t>(OH)nCl</w:t>
            </w:r>
            <w:r>
              <w:rPr>
                <w:rFonts w:hint="default" w:ascii="Times New Roman" w:hAnsi="Times New Roman" w:eastAsia="宋体" w:cs="Times New Roman"/>
                <w:color w:val="auto"/>
                <w:sz w:val="24"/>
                <w:vertAlign w:val="subscript"/>
                <w:lang w:val="en-US" w:eastAsia="zh-CN"/>
              </w:rPr>
              <w:t>6</w:t>
            </w:r>
            <w:r>
              <w:rPr>
                <w:rFonts w:hint="default" w:ascii="Times New Roman" w:hAnsi="Times New Roman" w:eastAsia="宋体" w:cs="Times New Roman"/>
                <w:color w:val="auto"/>
                <w:sz w:val="24"/>
                <w:lang w:val="en-US" w:eastAsia="zh-CN"/>
              </w:rPr>
              <w:t>-n]m，颜色呈黄色或淡黄色、深褐色、深灰色树脂状固体，密度(23℃)</w:t>
            </w:r>
            <w:r>
              <w:rPr>
                <w:rFonts w:hint="eastAsia" w:ascii="Times New Roman" w:hAnsi="Times New Roman" w:eastAsia="宋体" w:cs="Times New Roman"/>
                <w:color w:val="auto"/>
                <w:sz w:val="24"/>
                <w:lang w:val="en-US" w:eastAsia="zh-CN"/>
              </w:rPr>
              <w:t>1.3</w:t>
            </w:r>
            <w:r>
              <w:rPr>
                <w:rFonts w:hint="default" w:ascii="Times New Roman" w:hAnsi="Times New Roman" w:eastAsia="宋体" w:cs="Times New Roman"/>
                <w:color w:val="auto"/>
                <w:sz w:val="24"/>
                <w:lang w:val="en-US" w:eastAsia="zh-CN"/>
              </w:rPr>
              <w:t>g/cm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，易溶于水，</w:t>
            </w:r>
            <w:r>
              <w:rPr>
                <w:rFonts w:hint="eastAsia" w:ascii="Times New Roman" w:hAnsi="Times New Roman" w:eastAsia="宋体" w:cs="Times New Roman"/>
                <w:color w:val="auto"/>
                <w:sz w:val="24"/>
                <w:lang w:val="en-US" w:eastAsia="zh-CN"/>
              </w:rPr>
              <w:t>可溶于</w:t>
            </w:r>
            <w:r>
              <w:rPr>
                <w:rFonts w:hint="default" w:ascii="Times New Roman" w:hAnsi="Times New Roman" w:eastAsia="宋体" w:cs="Times New Roman"/>
                <w:color w:val="auto"/>
                <w:sz w:val="24"/>
                <w:lang w:val="en-US" w:eastAsia="zh-CN"/>
              </w:rPr>
              <w:t>醇和乙醚等有机溶剂。燃烧爆炸性：不易燃易爆。</w:t>
            </w:r>
          </w:p>
          <w:p w14:paraId="2EF6CBAB">
            <w:pPr>
              <w:pStyle w:val="26"/>
              <w:keepNext w:val="0"/>
              <w:keepLines w:val="0"/>
              <w:pageBreakBefore w:val="0"/>
              <w:kinsoku/>
              <w:wordWrap/>
              <w:overflowPunct/>
              <w:topLinePunct w:val="0"/>
              <w:autoSpaceDE/>
              <w:autoSpaceDN/>
              <w:bidi w:val="0"/>
              <w:spacing w:before="0" w:after="0" w:line="360" w:lineRule="auto"/>
              <w:ind w:right="0" w:firstLine="480" w:firstLineChars="200"/>
              <w:textAlignment w:val="auto"/>
              <w:rPr>
                <w:rFonts w:hint="eastAsia"/>
                <w:lang w:val="en-US" w:eastAsia="zh-CN"/>
              </w:rPr>
            </w:pPr>
            <w:r>
              <w:rPr>
                <w:rFonts w:hint="eastAsia" w:ascii="Times New Roman" w:hAnsi="Times New Roman" w:eastAsia="宋体" w:cs="Times New Roman"/>
                <w:color w:val="auto"/>
                <w:kern w:val="2"/>
                <w:sz w:val="24"/>
                <w:szCs w:val="24"/>
                <w:highlight w:val="none"/>
                <w:lang w:val="en-US" w:eastAsia="zh-CN" w:bidi="ar-SA"/>
              </w:rPr>
              <w:t>（7）机油：</w:t>
            </w:r>
            <w:r>
              <w:rPr>
                <w:rFonts w:hint="default" w:ascii="Times New Roman" w:hAnsi="Times New Roman" w:eastAsia="宋体" w:cs="Times New Roman"/>
                <w:color w:val="auto"/>
                <w:kern w:val="2"/>
                <w:sz w:val="24"/>
                <w:szCs w:val="24"/>
                <w:highlight w:val="none"/>
                <w:lang w:val="en-US" w:eastAsia="zh-CN" w:bidi="ar-SA"/>
              </w:rPr>
              <w:t>理化性质：油状液体</w:t>
            </w:r>
            <w:r>
              <w:rPr>
                <w:rFonts w:hint="default" w:ascii="Times New Roman" w:hAnsi="Times New Roman" w:eastAsia="宋体" w:cs="Times New Roman"/>
                <w:color w:val="auto"/>
                <w:sz w:val="24"/>
                <w:lang w:val="en-US" w:eastAsia="zh-CN"/>
              </w:rPr>
              <w:t>，淡黄色至褐色，无气味或略带异味。闪点：76°C，引燃温度：248°C，相对密度(水=1)：&lt;1。本品易燃，具有刺激性。遇明火、高热可燃。燃烧爆炸性：可燃。</w:t>
            </w:r>
          </w:p>
          <w:p w14:paraId="1F1C4781">
            <w:pPr>
              <w:keepNext w:val="0"/>
              <w:keepLines w:val="0"/>
              <w:pageBreakBefore w:val="0"/>
              <w:kinsoku/>
              <w:wordWrap/>
              <w:overflowPunct/>
              <w:topLinePunct w:val="0"/>
              <w:autoSpaceDE/>
              <w:autoSpaceDN/>
              <w:bidi w:val="0"/>
              <w:spacing w:line="360" w:lineRule="auto"/>
              <w:ind w:right="0"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本项目物料平衡表见下表。</w:t>
            </w:r>
          </w:p>
          <w:p w14:paraId="34775A84">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黑体" w:cs="Times New Roman"/>
                <w:color w:val="auto"/>
                <w:kern w:val="0"/>
                <w:sz w:val="24"/>
                <w:highlight w:val="none"/>
              </w:rPr>
            </w:pPr>
          </w:p>
          <w:p w14:paraId="1F0311D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黑体" w:cs="Times New Roman"/>
                <w:color w:val="auto"/>
                <w:kern w:val="0"/>
                <w:sz w:val="24"/>
                <w:highlight w:val="none"/>
              </w:rPr>
            </w:pPr>
          </w:p>
          <w:p w14:paraId="73D855B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表2-</w:t>
            </w:r>
            <w:r>
              <w:rPr>
                <w:rFonts w:hint="eastAsia" w:ascii="Times New Roman" w:hAnsi="Times New Roman" w:eastAsia="黑体" w:cs="Times New Roman"/>
                <w:color w:val="auto"/>
                <w:kern w:val="0"/>
                <w:sz w:val="24"/>
                <w:highlight w:val="none"/>
                <w:lang w:val="en-US" w:eastAsia="zh-CN"/>
              </w:rPr>
              <w:t>6</w:t>
            </w:r>
            <w:r>
              <w:rPr>
                <w:rFonts w:hint="default" w:ascii="Times New Roman" w:hAnsi="Times New Roman" w:eastAsia="黑体" w:cs="Times New Roman"/>
                <w:color w:val="auto"/>
                <w:kern w:val="0"/>
                <w:sz w:val="24"/>
                <w:highlight w:val="none"/>
                <w:lang w:val="en-US" w:eastAsia="zh-CN"/>
              </w:rPr>
              <w:t xml:space="preserve"> </w:t>
            </w:r>
            <w:r>
              <w:rPr>
                <w:rFonts w:hint="default" w:ascii="Times New Roman" w:hAnsi="Times New Roman" w:eastAsia="黑体" w:cs="Times New Roman"/>
                <w:color w:val="auto"/>
                <w:kern w:val="0"/>
                <w:sz w:val="24"/>
                <w:highlight w:val="none"/>
              </w:rPr>
              <w:t>物料</w:t>
            </w:r>
            <w:r>
              <w:rPr>
                <w:rFonts w:hint="eastAsia" w:ascii="Times New Roman" w:hAnsi="Times New Roman" w:eastAsia="黑体" w:cs="Times New Roman"/>
                <w:color w:val="auto"/>
                <w:kern w:val="0"/>
                <w:sz w:val="24"/>
                <w:highlight w:val="none"/>
                <w:lang w:val="en-US" w:eastAsia="zh-CN"/>
              </w:rPr>
              <w:t>总</w:t>
            </w:r>
            <w:r>
              <w:rPr>
                <w:rFonts w:hint="default" w:ascii="Times New Roman" w:hAnsi="Times New Roman" w:eastAsia="黑体" w:cs="Times New Roman"/>
                <w:color w:val="auto"/>
                <w:kern w:val="0"/>
                <w:sz w:val="24"/>
                <w:highlight w:val="none"/>
              </w:rPr>
              <w:t>平衡表（t/a）</w:t>
            </w:r>
          </w:p>
          <w:tbl>
            <w:tblPr>
              <w:tblStyle w:val="2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643"/>
              <w:gridCol w:w="1379"/>
              <w:gridCol w:w="1379"/>
              <w:gridCol w:w="1379"/>
              <w:gridCol w:w="1379"/>
            </w:tblGrid>
            <w:tr w14:paraId="1982C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0C267EDF">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3"/>
                      <w:sz w:val="21"/>
                      <w:szCs w:val="21"/>
                      <w:vertAlign w:val="baseline"/>
                      <w:lang w:val="en-US" w:eastAsia="zh-CN"/>
                    </w:rPr>
                    <w:t>序号</w:t>
                  </w:r>
                </w:p>
              </w:tc>
              <w:tc>
                <w:tcPr>
                  <w:tcW w:w="993" w:type="pct"/>
                  <w:noWrap w:val="0"/>
                  <w:vAlign w:val="center"/>
                </w:tcPr>
                <w:p w14:paraId="60263C08">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3"/>
                      <w:sz w:val="21"/>
                      <w:szCs w:val="21"/>
                      <w:vertAlign w:val="baseline"/>
                      <w:lang w:val="en-US" w:eastAsia="zh-CN"/>
                    </w:rPr>
                    <w:t>进料</w:t>
                  </w:r>
                </w:p>
              </w:tc>
              <w:tc>
                <w:tcPr>
                  <w:tcW w:w="833" w:type="pct"/>
                  <w:noWrap w:val="0"/>
                  <w:vAlign w:val="center"/>
                </w:tcPr>
                <w:p w14:paraId="25E6129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1"/>
                      <w:sz w:val="21"/>
                      <w:szCs w:val="21"/>
                      <w:lang w:val="en-US" w:eastAsia="zh-CN"/>
                    </w:rPr>
                    <w:t>含量</w:t>
                  </w:r>
                  <w:r>
                    <w:rPr>
                      <w:rFonts w:hint="default" w:ascii="Times New Roman" w:hAnsi="Times New Roman" w:eastAsia="宋体" w:cs="Times New Roman"/>
                      <w:b w:val="0"/>
                      <w:bCs w:val="0"/>
                      <w:color w:val="auto"/>
                      <w:spacing w:val="1"/>
                      <w:sz w:val="21"/>
                      <w:szCs w:val="21"/>
                    </w:rPr>
                    <w:t>（t/a）</w:t>
                  </w:r>
                </w:p>
              </w:tc>
              <w:tc>
                <w:tcPr>
                  <w:tcW w:w="833" w:type="pct"/>
                  <w:noWrap w:val="0"/>
                  <w:vAlign w:val="center"/>
                </w:tcPr>
                <w:p w14:paraId="068E3FE5">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分类</w:t>
                  </w:r>
                </w:p>
              </w:tc>
              <w:tc>
                <w:tcPr>
                  <w:tcW w:w="833" w:type="pct"/>
                  <w:noWrap w:val="0"/>
                  <w:vAlign w:val="center"/>
                </w:tcPr>
                <w:p w14:paraId="2F017739">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3"/>
                      <w:sz w:val="21"/>
                      <w:szCs w:val="21"/>
                      <w:vertAlign w:val="baseline"/>
                      <w:lang w:val="en-US" w:eastAsia="zh-CN"/>
                    </w:rPr>
                    <w:t>出料</w:t>
                  </w:r>
                </w:p>
              </w:tc>
              <w:tc>
                <w:tcPr>
                  <w:tcW w:w="833" w:type="pct"/>
                  <w:noWrap w:val="0"/>
                  <w:vAlign w:val="center"/>
                </w:tcPr>
                <w:p w14:paraId="2B61E38F">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1"/>
                      <w:sz w:val="21"/>
                      <w:szCs w:val="21"/>
                      <w:lang w:val="en-US" w:eastAsia="zh-CN"/>
                    </w:rPr>
                    <w:t>含量</w:t>
                  </w:r>
                  <w:r>
                    <w:rPr>
                      <w:rFonts w:hint="default" w:ascii="Times New Roman" w:hAnsi="Times New Roman" w:eastAsia="宋体" w:cs="Times New Roman"/>
                      <w:b w:val="0"/>
                      <w:bCs w:val="0"/>
                      <w:color w:val="auto"/>
                      <w:spacing w:val="1"/>
                      <w:sz w:val="21"/>
                      <w:szCs w:val="21"/>
                    </w:rPr>
                    <w:t>（t/a）</w:t>
                  </w:r>
                </w:p>
              </w:tc>
            </w:tr>
            <w:tr w14:paraId="43368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5762161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3"/>
                      <w:sz w:val="21"/>
                      <w:szCs w:val="21"/>
                      <w:vertAlign w:val="baseline"/>
                      <w:lang w:val="en-US" w:eastAsia="zh-CN"/>
                    </w:rPr>
                    <w:t>1</w:t>
                  </w:r>
                </w:p>
              </w:tc>
              <w:tc>
                <w:tcPr>
                  <w:tcW w:w="993" w:type="pct"/>
                  <w:noWrap w:val="0"/>
                  <w:vAlign w:val="center"/>
                </w:tcPr>
                <w:p w14:paraId="7A50EF3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color w:val="auto"/>
                      <w:sz w:val="21"/>
                      <w:szCs w:val="21"/>
                      <w:lang w:val="en-US" w:eastAsia="zh-CN"/>
                    </w:rPr>
                    <w:t>聚丙烯</w:t>
                  </w:r>
                </w:p>
              </w:tc>
              <w:tc>
                <w:tcPr>
                  <w:tcW w:w="833" w:type="pct"/>
                  <w:noWrap w:val="0"/>
                  <w:vAlign w:val="center"/>
                </w:tcPr>
                <w:p w14:paraId="2BA83779">
                  <w:pPr>
                    <w:keepNext w:val="0"/>
                    <w:keepLines w:val="0"/>
                    <w:widowControl/>
                    <w:suppressLineNumbers w:val="0"/>
                    <w:jc w:val="center"/>
                    <w:textAlignment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3750</w:t>
                  </w:r>
                </w:p>
              </w:tc>
              <w:tc>
                <w:tcPr>
                  <w:tcW w:w="833" w:type="pct"/>
                  <w:vMerge w:val="restart"/>
                  <w:noWrap w:val="0"/>
                  <w:vAlign w:val="center"/>
                </w:tcPr>
                <w:p w14:paraId="430ABF1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产品</w:t>
                  </w:r>
                </w:p>
              </w:tc>
              <w:tc>
                <w:tcPr>
                  <w:tcW w:w="833" w:type="pct"/>
                  <w:noWrap w:val="0"/>
                  <w:vAlign w:val="center"/>
                </w:tcPr>
                <w:p w14:paraId="1FDB10E4">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纤维丝</w:t>
                  </w:r>
                </w:p>
              </w:tc>
              <w:tc>
                <w:tcPr>
                  <w:tcW w:w="833" w:type="pct"/>
                  <w:noWrap w:val="0"/>
                  <w:vAlign w:val="center"/>
                </w:tcPr>
                <w:p w14:paraId="007B8BCE">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2800</w:t>
                  </w:r>
                </w:p>
              </w:tc>
            </w:tr>
            <w:tr w14:paraId="1D933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3E78D015">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2</w:t>
                  </w:r>
                </w:p>
              </w:tc>
              <w:tc>
                <w:tcPr>
                  <w:tcW w:w="993" w:type="pct"/>
                  <w:noWrap w:val="0"/>
                  <w:vAlign w:val="center"/>
                </w:tcPr>
                <w:p w14:paraId="11B64D5C">
                  <w:pPr>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Cs/>
                      <w:color w:val="auto"/>
                      <w:sz w:val="21"/>
                      <w:szCs w:val="21"/>
                      <w:lang w:val="en-US" w:eastAsia="zh-CN"/>
                    </w:rPr>
                    <w:t>色母料</w:t>
                  </w:r>
                </w:p>
              </w:tc>
              <w:tc>
                <w:tcPr>
                  <w:tcW w:w="833" w:type="pct"/>
                  <w:noWrap w:val="0"/>
                  <w:vAlign w:val="center"/>
                </w:tcPr>
                <w:p w14:paraId="5CA17CE4">
                  <w:pPr>
                    <w:keepNext w:val="0"/>
                    <w:keepLines w:val="0"/>
                    <w:widowControl/>
                    <w:suppressLineNumbers w:val="0"/>
                    <w:jc w:val="center"/>
                    <w:textAlignment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50</w:t>
                  </w:r>
                </w:p>
              </w:tc>
              <w:tc>
                <w:tcPr>
                  <w:tcW w:w="833" w:type="pct"/>
                  <w:vMerge w:val="continue"/>
                  <w:noWrap w:val="0"/>
                  <w:vAlign w:val="center"/>
                </w:tcPr>
                <w:p w14:paraId="0F8FB95D">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5F2420AC">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假发</w:t>
                  </w:r>
                </w:p>
              </w:tc>
              <w:tc>
                <w:tcPr>
                  <w:tcW w:w="833" w:type="pct"/>
                  <w:noWrap w:val="0"/>
                  <w:vAlign w:val="center"/>
                </w:tcPr>
                <w:p w14:paraId="55D61665">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500</w:t>
                  </w:r>
                </w:p>
              </w:tc>
            </w:tr>
            <w:tr w14:paraId="3D57B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18C82C7C">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3</w:t>
                  </w:r>
                </w:p>
              </w:tc>
              <w:tc>
                <w:tcPr>
                  <w:tcW w:w="993" w:type="pct"/>
                  <w:noWrap w:val="0"/>
                  <w:vAlign w:val="center"/>
                </w:tcPr>
                <w:p w14:paraId="23B62E96">
                  <w:pPr>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PEPP纤维丝</w:t>
                  </w:r>
                </w:p>
              </w:tc>
              <w:tc>
                <w:tcPr>
                  <w:tcW w:w="833" w:type="pct"/>
                  <w:noWrap w:val="0"/>
                  <w:vAlign w:val="center"/>
                </w:tcPr>
                <w:p w14:paraId="1C4225FC">
                  <w:pPr>
                    <w:keepNext w:val="0"/>
                    <w:keepLines w:val="0"/>
                    <w:widowControl/>
                    <w:suppressLineNumbers w:val="0"/>
                    <w:jc w:val="center"/>
                    <w:textAlignment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204.6</w:t>
                  </w:r>
                </w:p>
              </w:tc>
              <w:tc>
                <w:tcPr>
                  <w:tcW w:w="833" w:type="pct"/>
                  <w:vMerge w:val="continue"/>
                  <w:noWrap w:val="0"/>
                  <w:vAlign w:val="center"/>
                </w:tcPr>
                <w:p w14:paraId="0FB17D97">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19D83835">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假睫毛</w:t>
                  </w:r>
                </w:p>
              </w:tc>
              <w:tc>
                <w:tcPr>
                  <w:tcW w:w="833" w:type="pct"/>
                  <w:noWrap w:val="0"/>
                  <w:vAlign w:val="center"/>
                </w:tcPr>
                <w:p w14:paraId="697CA7A7">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200</w:t>
                  </w:r>
                </w:p>
              </w:tc>
            </w:tr>
            <w:tr w14:paraId="0BC18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13FC7E2C">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4</w:t>
                  </w:r>
                </w:p>
              </w:tc>
              <w:tc>
                <w:tcPr>
                  <w:tcW w:w="993" w:type="pct"/>
                  <w:noWrap w:val="0"/>
                  <w:vAlign w:val="center"/>
                </w:tcPr>
                <w:p w14:paraId="78A2F7E3">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纺丝油</w:t>
                  </w:r>
                </w:p>
              </w:tc>
              <w:tc>
                <w:tcPr>
                  <w:tcW w:w="833" w:type="pct"/>
                  <w:noWrap w:val="0"/>
                  <w:vAlign w:val="center"/>
                </w:tcPr>
                <w:p w14:paraId="7B8AA7AC">
                  <w:pPr>
                    <w:keepNext w:val="0"/>
                    <w:keepLines w:val="0"/>
                    <w:widowControl/>
                    <w:suppressLineNumbers w:val="0"/>
                    <w:jc w:val="center"/>
                    <w:textAlignment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8.209</w:t>
                  </w:r>
                </w:p>
              </w:tc>
              <w:tc>
                <w:tcPr>
                  <w:tcW w:w="833" w:type="pct"/>
                  <w:vMerge w:val="continue"/>
                  <w:noWrap w:val="0"/>
                  <w:vAlign w:val="center"/>
                </w:tcPr>
                <w:p w14:paraId="46124ECF">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4F2A389C">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PP带</w:t>
                  </w:r>
                </w:p>
              </w:tc>
              <w:tc>
                <w:tcPr>
                  <w:tcW w:w="833" w:type="pct"/>
                  <w:noWrap w:val="0"/>
                  <w:vAlign w:val="center"/>
                </w:tcPr>
                <w:p w14:paraId="259B27C1">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500</w:t>
                  </w:r>
                </w:p>
              </w:tc>
            </w:tr>
            <w:tr w14:paraId="3CD90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2E243AE5">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5</w:t>
                  </w:r>
                </w:p>
              </w:tc>
              <w:tc>
                <w:tcPr>
                  <w:tcW w:w="993" w:type="pct"/>
                  <w:noWrap w:val="0"/>
                  <w:vAlign w:val="center"/>
                </w:tcPr>
                <w:p w14:paraId="0CCF9720">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活性炭</w:t>
                  </w:r>
                </w:p>
              </w:tc>
              <w:tc>
                <w:tcPr>
                  <w:tcW w:w="833" w:type="pct"/>
                  <w:noWrap w:val="0"/>
                  <w:vAlign w:val="center"/>
                </w:tcPr>
                <w:p w14:paraId="5F9A0947">
                  <w:pPr>
                    <w:keepNext w:val="0"/>
                    <w:keepLines w:val="0"/>
                    <w:widowControl/>
                    <w:suppressLineNumbers w:val="0"/>
                    <w:jc w:val="center"/>
                    <w:textAlignment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2</w:t>
                  </w:r>
                </w:p>
              </w:tc>
              <w:tc>
                <w:tcPr>
                  <w:tcW w:w="833" w:type="pct"/>
                  <w:vMerge w:val="restart"/>
                  <w:noWrap w:val="0"/>
                  <w:vAlign w:val="center"/>
                </w:tcPr>
                <w:p w14:paraId="053356DA">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废气</w:t>
                  </w:r>
                </w:p>
              </w:tc>
              <w:tc>
                <w:tcPr>
                  <w:tcW w:w="833" w:type="pct"/>
                  <w:noWrap w:val="0"/>
                  <w:vAlign w:val="center"/>
                </w:tcPr>
                <w:p w14:paraId="1582A0A6">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VOCs</w:t>
                  </w:r>
                </w:p>
              </w:tc>
              <w:tc>
                <w:tcPr>
                  <w:tcW w:w="833" w:type="pct"/>
                  <w:noWrap w:val="0"/>
                  <w:vAlign w:val="center"/>
                </w:tcPr>
                <w:p w14:paraId="21DB28CE">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0.232</w:t>
                  </w:r>
                </w:p>
              </w:tc>
            </w:tr>
            <w:tr w14:paraId="21597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40F548E2">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6</w:t>
                  </w:r>
                </w:p>
              </w:tc>
              <w:tc>
                <w:tcPr>
                  <w:tcW w:w="993" w:type="pct"/>
                  <w:noWrap w:val="0"/>
                  <w:vAlign w:val="center"/>
                </w:tcPr>
                <w:p w14:paraId="1AB6890E">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机油</w:t>
                  </w:r>
                </w:p>
              </w:tc>
              <w:tc>
                <w:tcPr>
                  <w:tcW w:w="833" w:type="pct"/>
                  <w:noWrap w:val="0"/>
                  <w:vAlign w:val="center"/>
                </w:tcPr>
                <w:p w14:paraId="6084533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0.5</w:t>
                  </w:r>
                </w:p>
              </w:tc>
              <w:tc>
                <w:tcPr>
                  <w:tcW w:w="833" w:type="pct"/>
                  <w:vMerge w:val="continue"/>
                  <w:noWrap w:val="0"/>
                  <w:vAlign w:val="center"/>
                </w:tcPr>
                <w:p w14:paraId="57CC95D0">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370B5538">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颗粒物</w:t>
                  </w:r>
                </w:p>
              </w:tc>
              <w:tc>
                <w:tcPr>
                  <w:tcW w:w="833" w:type="pct"/>
                  <w:noWrap w:val="0"/>
                  <w:vAlign w:val="center"/>
                </w:tcPr>
                <w:p w14:paraId="649942F0">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0.018</w:t>
                  </w:r>
                </w:p>
              </w:tc>
            </w:tr>
            <w:tr w14:paraId="372DD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1C1127F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600599EE">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63BB7702">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1D181A79">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6ACF1065">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无组织VOCs</w:t>
                  </w:r>
                </w:p>
              </w:tc>
              <w:tc>
                <w:tcPr>
                  <w:tcW w:w="833" w:type="pct"/>
                  <w:noWrap w:val="0"/>
                  <w:vAlign w:val="center"/>
                </w:tcPr>
                <w:p w14:paraId="01CD3556">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0.129</w:t>
                  </w:r>
                </w:p>
              </w:tc>
            </w:tr>
            <w:tr w14:paraId="4D7D6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7AD92090">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105F6061">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74DFCB7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5C3B0947">
                  <w:pPr>
                    <w:pStyle w:val="130"/>
                    <w:spacing w:before="47" w:line="219" w:lineRule="auto"/>
                    <w:jc w:val="center"/>
                    <w:rPr>
                      <w:rFonts w:hint="default" w:ascii="Times New Roman" w:hAnsi="Times New Roman" w:eastAsia="宋体" w:cs="Times New Roman"/>
                      <w:b w:val="0"/>
                      <w:bCs w:val="0"/>
                      <w:color w:val="auto"/>
                      <w:spacing w:val="-3"/>
                      <w:kern w:val="2"/>
                      <w:sz w:val="21"/>
                      <w:szCs w:val="21"/>
                      <w:vertAlign w:val="baseline"/>
                      <w:lang w:val="en-US" w:eastAsia="zh-CN" w:bidi="ar-SA"/>
                    </w:rPr>
                  </w:pPr>
                </w:p>
              </w:tc>
              <w:tc>
                <w:tcPr>
                  <w:tcW w:w="833" w:type="pct"/>
                  <w:noWrap w:val="0"/>
                  <w:vAlign w:val="center"/>
                </w:tcPr>
                <w:p w14:paraId="73D6715F">
                  <w:pPr>
                    <w:jc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无组织颗粒物</w:t>
                  </w:r>
                </w:p>
              </w:tc>
              <w:tc>
                <w:tcPr>
                  <w:tcW w:w="833" w:type="pct"/>
                  <w:noWrap w:val="0"/>
                  <w:vAlign w:val="center"/>
                </w:tcPr>
                <w:p w14:paraId="235154F6">
                  <w:pPr>
                    <w:keepNext w:val="0"/>
                    <w:keepLines w:val="0"/>
                    <w:widowControl/>
                    <w:suppressLineNumbers w:val="0"/>
                    <w:jc w:val="center"/>
                    <w:textAlignment w:val="center"/>
                    <w:rPr>
                      <w:rFonts w:hint="default"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0.2</w:t>
                  </w:r>
                </w:p>
              </w:tc>
            </w:tr>
            <w:tr w14:paraId="5F532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035DB9AA">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38C2C4F1">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0D93021F">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restart"/>
                  <w:noWrap w:val="0"/>
                  <w:vAlign w:val="center"/>
                </w:tcPr>
                <w:p w14:paraId="4805E56B">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固体废物</w:t>
                  </w:r>
                </w:p>
              </w:tc>
              <w:tc>
                <w:tcPr>
                  <w:tcW w:w="833" w:type="pct"/>
                  <w:noWrap w:val="0"/>
                  <w:vAlign w:val="center"/>
                </w:tcPr>
                <w:p w14:paraId="30DED5A9">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废包装物</w:t>
                  </w:r>
                </w:p>
              </w:tc>
              <w:tc>
                <w:tcPr>
                  <w:tcW w:w="833" w:type="pct"/>
                  <w:noWrap w:val="0"/>
                  <w:vAlign w:val="center"/>
                </w:tcPr>
                <w:p w14:paraId="411B99A2">
                  <w:pPr>
                    <w:jc w:val="center"/>
                    <w:rPr>
                      <w:rFonts w:hint="eastAsia"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5</w:t>
                  </w:r>
                </w:p>
              </w:tc>
            </w:tr>
            <w:tr w14:paraId="4B351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48932962">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65B82077">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5AB50637">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28CED268">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587D118E">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除尘器收集粉尘</w:t>
                  </w:r>
                </w:p>
              </w:tc>
              <w:tc>
                <w:tcPr>
                  <w:tcW w:w="833" w:type="pct"/>
                  <w:noWrap w:val="0"/>
                  <w:vAlign w:val="center"/>
                </w:tcPr>
                <w:p w14:paraId="2CD1D45E">
                  <w:pPr>
                    <w:jc w:val="center"/>
                    <w:rPr>
                      <w:rFonts w:hint="eastAsia"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1.8</w:t>
                  </w:r>
                </w:p>
              </w:tc>
            </w:tr>
            <w:tr w14:paraId="5CC79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505D5EB0">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265FA2DE">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6EE7C38C">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4B41B292">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1D884C92">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纺丝组件清洗废渣</w:t>
                  </w:r>
                </w:p>
              </w:tc>
              <w:tc>
                <w:tcPr>
                  <w:tcW w:w="833" w:type="pct"/>
                  <w:noWrap w:val="0"/>
                  <w:vAlign w:val="center"/>
                </w:tcPr>
                <w:p w14:paraId="68DDBDEC">
                  <w:pPr>
                    <w:jc w:val="center"/>
                    <w:rPr>
                      <w:rFonts w:hint="eastAsia"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2</w:t>
                  </w:r>
                </w:p>
              </w:tc>
            </w:tr>
            <w:tr w14:paraId="3F5EB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7C80F2EC">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6A420984">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58030A89">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1BD3E33A">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034AB8E4">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废油剂容器</w:t>
                  </w:r>
                </w:p>
              </w:tc>
              <w:tc>
                <w:tcPr>
                  <w:tcW w:w="833" w:type="pct"/>
                  <w:noWrap w:val="0"/>
                  <w:vAlign w:val="center"/>
                </w:tcPr>
                <w:p w14:paraId="3B14236C">
                  <w:pPr>
                    <w:jc w:val="center"/>
                    <w:rPr>
                      <w:rFonts w:hint="eastAsia"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0.2</w:t>
                  </w:r>
                </w:p>
              </w:tc>
            </w:tr>
            <w:tr w14:paraId="25847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740115F3">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699C2A05">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7DACCD45">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534F1EF8">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249BDCBC">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碎发丝</w:t>
                  </w:r>
                </w:p>
              </w:tc>
              <w:tc>
                <w:tcPr>
                  <w:tcW w:w="833" w:type="pct"/>
                  <w:noWrap w:val="0"/>
                  <w:vAlign w:val="center"/>
                </w:tcPr>
                <w:p w14:paraId="211652AA">
                  <w:pPr>
                    <w:jc w:val="center"/>
                    <w:rPr>
                      <w:rFonts w:hint="eastAsia"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2</w:t>
                  </w:r>
                </w:p>
              </w:tc>
            </w:tr>
            <w:tr w14:paraId="7CA0C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1CC6A1BB">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0B10FDD6">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092FF2FE">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4DBE6D54">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5BB4E67A">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废机油</w:t>
                  </w:r>
                </w:p>
              </w:tc>
              <w:tc>
                <w:tcPr>
                  <w:tcW w:w="833" w:type="pct"/>
                  <w:noWrap w:val="0"/>
                  <w:vAlign w:val="center"/>
                </w:tcPr>
                <w:p w14:paraId="63BA019C">
                  <w:pPr>
                    <w:jc w:val="center"/>
                    <w:rPr>
                      <w:rFonts w:hint="eastAsia" w:ascii="Times New Roman" w:hAnsi="Times New Roman" w:cs="Times New Roman"/>
                      <w:b w:val="0"/>
                      <w:bCs w:val="0"/>
                      <w:color w:val="auto"/>
                      <w:spacing w:val="-3"/>
                      <w:sz w:val="21"/>
                      <w:szCs w:val="21"/>
                      <w:vertAlign w:val="baseline"/>
                      <w:lang w:val="en-US" w:eastAsia="zh-CN"/>
                    </w:rPr>
                  </w:pPr>
                  <w:r>
                    <w:rPr>
                      <w:rFonts w:hint="default" w:ascii="Times New Roman" w:hAnsi="Times New Roman" w:cs="Times New Roman"/>
                      <w:b w:val="0"/>
                      <w:bCs w:val="0"/>
                      <w:color w:val="auto"/>
                      <w:spacing w:val="-3"/>
                      <w:sz w:val="21"/>
                      <w:szCs w:val="21"/>
                      <w:vertAlign w:val="baseline"/>
                      <w:lang w:val="en-US" w:eastAsia="zh-CN"/>
                    </w:rPr>
                    <w:t>0.5</w:t>
                  </w:r>
                </w:p>
              </w:tc>
            </w:tr>
            <w:tr w14:paraId="173E4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5E67FA94">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628A254D">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17FBA61A">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474976F3">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3E3AC0C3">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废活性炭</w:t>
                  </w:r>
                </w:p>
              </w:tc>
              <w:tc>
                <w:tcPr>
                  <w:tcW w:w="833" w:type="pct"/>
                  <w:noWrap w:val="0"/>
                  <w:vAlign w:val="center"/>
                </w:tcPr>
                <w:p w14:paraId="287F5246">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2.93</w:t>
                  </w:r>
                </w:p>
              </w:tc>
            </w:tr>
            <w:tr w14:paraId="4E734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72" w:type="pct"/>
                  <w:noWrap w:val="0"/>
                  <w:vAlign w:val="center"/>
                </w:tcPr>
                <w:p w14:paraId="1EFC1552">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993" w:type="pct"/>
                  <w:noWrap w:val="0"/>
                  <w:vAlign w:val="center"/>
                </w:tcPr>
                <w:p w14:paraId="7B955F49">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0935624B">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vMerge w:val="continue"/>
                  <w:noWrap w:val="0"/>
                  <w:vAlign w:val="center"/>
                </w:tcPr>
                <w:p w14:paraId="1B9A96A5">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p>
              </w:tc>
              <w:tc>
                <w:tcPr>
                  <w:tcW w:w="833" w:type="pct"/>
                  <w:noWrap w:val="0"/>
                  <w:vAlign w:val="center"/>
                </w:tcPr>
                <w:p w14:paraId="3585A8A0">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沉淀池污泥</w:t>
                  </w:r>
                </w:p>
              </w:tc>
              <w:tc>
                <w:tcPr>
                  <w:tcW w:w="833" w:type="pct"/>
                  <w:noWrap w:val="0"/>
                  <w:vAlign w:val="center"/>
                </w:tcPr>
                <w:p w14:paraId="7FCC41F6">
                  <w:pPr>
                    <w:jc w:val="center"/>
                    <w:rPr>
                      <w:rFonts w:hint="eastAsia" w:ascii="Times New Roman" w:hAnsi="Times New Roman" w:cs="Times New Roman"/>
                      <w:b w:val="0"/>
                      <w:bCs w:val="0"/>
                      <w:color w:val="auto"/>
                      <w:spacing w:val="-3"/>
                      <w:sz w:val="21"/>
                      <w:szCs w:val="21"/>
                      <w:vertAlign w:val="baseline"/>
                      <w:lang w:val="en-US" w:eastAsia="zh-CN"/>
                    </w:rPr>
                  </w:pPr>
                  <w:r>
                    <w:rPr>
                      <w:rFonts w:hint="eastAsia" w:ascii="Times New Roman" w:hAnsi="Times New Roman" w:cs="Times New Roman"/>
                      <w:b w:val="0"/>
                      <w:bCs w:val="0"/>
                      <w:color w:val="auto"/>
                      <w:spacing w:val="-3"/>
                      <w:sz w:val="21"/>
                      <w:szCs w:val="21"/>
                      <w:vertAlign w:val="baseline"/>
                      <w:lang w:val="en-US" w:eastAsia="zh-CN"/>
                    </w:rPr>
                    <w:t>0.3</w:t>
                  </w:r>
                </w:p>
              </w:tc>
            </w:tr>
            <w:tr w14:paraId="2A7BF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665" w:type="pct"/>
                  <w:gridSpan w:val="2"/>
                  <w:noWrap w:val="0"/>
                  <w:vAlign w:val="center"/>
                </w:tcPr>
                <w:p w14:paraId="68B642F2">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3"/>
                      <w:sz w:val="21"/>
                      <w:szCs w:val="21"/>
                      <w:vertAlign w:val="baseline"/>
                      <w:lang w:val="en-US" w:eastAsia="zh-CN"/>
                    </w:rPr>
                    <w:t>合计</w:t>
                  </w:r>
                </w:p>
              </w:tc>
              <w:tc>
                <w:tcPr>
                  <w:tcW w:w="833" w:type="pct"/>
                  <w:noWrap w:val="0"/>
                  <w:vAlign w:val="center"/>
                </w:tcPr>
                <w:p w14:paraId="683F3B6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4015.309</w:t>
                  </w:r>
                </w:p>
              </w:tc>
              <w:tc>
                <w:tcPr>
                  <w:tcW w:w="1667" w:type="pct"/>
                  <w:gridSpan w:val="2"/>
                  <w:noWrap w:val="0"/>
                  <w:vAlign w:val="center"/>
                </w:tcPr>
                <w:p w14:paraId="3135174D">
                  <w:pPr>
                    <w:pStyle w:val="130"/>
                    <w:spacing w:before="47" w:line="219" w:lineRule="auto"/>
                    <w:jc w:val="center"/>
                    <w:rPr>
                      <w:rFonts w:hint="default" w:ascii="Times New Roman" w:hAnsi="Times New Roman" w:eastAsia="宋体" w:cs="Times New Roman"/>
                      <w:b w:val="0"/>
                      <w:bCs w:val="0"/>
                      <w:color w:val="auto"/>
                      <w:spacing w:val="-3"/>
                      <w:sz w:val="21"/>
                      <w:szCs w:val="21"/>
                      <w:vertAlign w:val="baseline"/>
                      <w:lang w:val="en-US" w:eastAsia="zh-CN"/>
                    </w:rPr>
                  </w:pPr>
                  <w:r>
                    <w:rPr>
                      <w:rFonts w:hint="default" w:ascii="Times New Roman" w:hAnsi="Times New Roman" w:eastAsia="宋体" w:cs="Times New Roman"/>
                      <w:b w:val="0"/>
                      <w:bCs w:val="0"/>
                      <w:color w:val="auto"/>
                      <w:spacing w:val="-3"/>
                      <w:sz w:val="21"/>
                      <w:szCs w:val="21"/>
                      <w:vertAlign w:val="baseline"/>
                      <w:lang w:val="en-US" w:eastAsia="zh-CN"/>
                    </w:rPr>
                    <w:t>合计</w:t>
                  </w:r>
                </w:p>
              </w:tc>
              <w:tc>
                <w:tcPr>
                  <w:tcW w:w="833" w:type="pct"/>
                  <w:noWrap w:val="0"/>
                  <w:vAlign w:val="center"/>
                </w:tcPr>
                <w:p w14:paraId="0CC5793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4015.309</w:t>
                  </w:r>
                </w:p>
              </w:tc>
            </w:tr>
            <w:tr w14:paraId="0905C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000" w:type="pct"/>
                  <w:gridSpan w:val="6"/>
                  <w:noWrap w:val="0"/>
                  <w:vAlign w:val="center"/>
                </w:tcPr>
                <w:p w14:paraId="2F5E71BA">
                  <w:pPr>
                    <w:keepNext w:val="0"/>
                    <w:keepLines w:val="0"/>
                    <w:widowControl/>
                    <w:suppressLineNumbers w:val="0"/>
                    <w:jc w:val="left"/>
                    <w:textAlignment w:val="center"/>
                    <w:rPr>
                      <w:rFonts w:hint="default" w:ascii="Times New Roman" w:hAnsi="Times New Roman" w:cs="Times New Roman"/>
                      <w:i w:val="0"/>
                      <w:iCs w:val="0"/>
                      <w:color w:val="auto"/>
                      <w:kern w:val="2"/>
                      <w:sz w:val="21"/>
                      <w:szCs w:val="21"/>
                      <w:u w:val="none"/>
                      <w:lang w:val="en-US" w:eastAsia="zh-CN" w:bidi="ar-SA"/>
                    </w:rPr>
                  </w:pPr>
                  <w:r>
                    <w:rPr>
                      <w:rFonts w:hint="eastAsia" w:ascii="Times New Roman" w:hAnsi="Times New Roman" w:cs="Times New Roman"/>
                      <w:i w:val="0"/>
                      <w:iCs w:val="0"/>
                      <w:color w:val="auto"/>
                      <w:kern w:val="2"/>
                      <w:sz w:val="21"/>
                      <w:szCs w:val="21"/>
                      <w:u w:val="none"/>
                      <w:lang w:val="en-US" w:eastAsia="zh-CN" w:bidi="ar-SA"/>
                    </w:rPr>
                    <w:t>备注：本项目生产纤维丝3800t/a，其中1000t直接用于生产假发、PP带，剩余部分外售，本次物料平衡为避免重复计算，纤维丝产品</w:t>
                  </w:r>
                  <w:r>
                    <w:rPr>
                      <w:rFonts w:hint="eastAsia" w:cs="Times New Roman"/>
                      <w:i w:val="0"/>
                      <w:iCs w:val="0"/>
                      <w:color w:val="auto"/>
                      <w:kern w:val="2"/>
                      <w:sz w:val="21"/>
                      <w:szCs w:val="21"/>
                      <w:u w:val="none"/>
                      <w:lang w:val="en-US" w:eastAsia="zh-CN" w:bidi="ar-SA"/>
                    </w:rPr>
                    <w:t>按2800t/a计。</w:t>
                  </w:r>
                </w:p>
              </w:tc>
            </w:tr>
          </w:tbl>
          <w:p w14:paraId="0737497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6</w:t>
            </w:r>
            <w:r>
              <w:rPr>
                <w:rFonts w:hint="default" w:ascii="Times New Roman" w:hAnsi="Times New Roman" w:eastAsia="黑体" w:cs="Times New Roman"/>
                <w:color w:val="auto"/>
                <w:sz w:val="24"/>
                <w:szCs w:val="24"/>
                <w:highlight w:val="none"/>
                <w:lang w:val="en-US" w:eastAsia="zh-CN"/>
              </w:rPr>
              <w:t>、公用工程及辅助工程</w:t>
            </w:r>
          </w:p>
          <w:p w14:paraId="54ACB09A">
            <w:pPr>
              <w:spacing w:line="360" w:lineRule="auto"/>
              <w:ind w:firstLine="480"/>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（1）给水</w:t>
            </w:r>
          </w:p>
          <w:p w14:paraId="3FDC5E24">
            <w:pPr>
              <w:spacing w:line="360" w:lineRule="auto"/>
              <w:ind w:firstLine="480"/>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eastAsia="zh-CN"/>
              </w:rPr>
              <w:t>本项目</w:t>
            </w:r>
            <w:r>
              <w:rPr>
                <w:rFonts w:hint="eastAsia" w:ascii="Times New Roman" w:hAnsi="Times New Roman" w:eastAsia="宋体" w:cs="Times New Roman"/>
                <w:b w:val="0"/>
                <w:bCs w:val="0"/>
                <w:color w:val="auto"/>
                <w:sz w:val="24"/>
                <w:szCs w:val="24"/>
                <w:highlight w:val="none"/>
                <w:lang w:val="en-US" w:eastAsia="zh-CN"/>
              </w:rPr>
              <w:t>用水主要为生活用水，生活用水由自来水管网提供。</w:t>
            </w:r>
          </w:p>
          <w:p w14:paraId="64752B6D">
            <w:pPr>
              <w:spacing w:line="360" w:lineRule="auto"/>
              <w:ind w:firstLine="480"/>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w:t>
            </w:r>
            <w:r>
              <w:rPr>
                <w:rFonts w:hint="eastAsia" w:ascii="Times New Roman" w:hAnsi="Times New Roman" w:eastAsia="宋体" w:cs="Times New Roman"/>
                <w:b w:val="0"/>
                <w:bCs w:val="0"/>
                <w:color w:val="auto"/>
                <w:sz w:val="24"/>
                <w:szCs w:val="24"/>
                <w:highlight w:val="none"/>
                <w:lang w:val="en-US" w:eastAsia="zh-CN"/>
              </w:rPr>
              <w:t>生活用水：本项目职工定员</w:t>
            </w:r>
            <w:r>
              <w:rPr>
                <w:rFonts w:hint="eastAsia" w:cs="Times New Roman"/>
                <w:b w:val="0"/>
                <w:bCs w:val="0"/>
                <w:color w:val="auto"/>
                <w:sz w:val="24"/>
                <w:szCs w:val="24"/>
                <w:highlight w:val="none"/>
                <w:lang w:val="en-US" w:eastAsia="zh-CN"/>
              </w:rPr>
              <w:t>30</w:t>
            </w:r>
            <w:r>
              <w:rPr>
                <w:rFonts w:hint="eastAsia" w:ascii="Times New Roman" w:hAnsi="Times New Roman" w:eastAsia="宋体" w:cs="Times New Roman"/>
                <w:b w:val="0"/>
                <w:bCs w:val="0"/>
                <w:color w:val="auto"/>
                <w:sz w:val="24"/>
                <w:szCs w:val="24"/>
                <w:highlight w:val="none"/>
                <w:lang w:val="en-US" w:eastAsia="zh-CN"/>
              </w:rPr>
              <w:t>人</w:t>
            </w:r>
            <w:r>
              <w:rPr>
                <w:rFonts w:hint="eastAsia" w:ascii="Times New Roman" w:hAnsi="Times New Roman" w:eastAsia="宋体" w:cs="Times New Roman"/>
                <w:b w:val="0"/>
                <w:bCs w:val="0"/>
                <w:color w:val="auto"/>
                <w:sz w:val="24"/>
                <w:szCs w:val="24"/>
                <w:highlight w:val="none"/>
                <w:lang w:val="de-DE" w:eastAsia="zh-CN"/>
              </w:rPr>
              <w:t>，</w:t>
            </w:r>
            <w:r>
              <w:rPr>
                <w:rFonts w:hint="eastAsia" w:ascii="Times New Roman" w:hAnsi="Times New Roman" w:eastAsia="宋体" w:cs="Times New Roman"/>
                <w:b w:val="0"/>
                <w:bCs w:val="0"/>
                <w:color w:val="auto"/>
                <w:sz w:val="24"/>
                <w:szCs w:val="24"/>
                <w:highlight w:val="none"/>
                <w:lang w:val="en-US" w:eastAsia="zh-CN"/>
              </w:rPr>
              <w:t>根据《建筑给水排水设计标准》（GB500515-2019）中用水量按50L/人·天计，预计生活用水量约</w:t>
            </w:r>
            <w:r>
              <w:rPr>
                <w:rFonts w:hint="eastAsia" w:cs="Times New Roman"/>
                <w:b w:val="0"/>
                <w:bCs w:val="0"/>
                <w:color w:val="auto"/>
                <w:sz w:val="24"/>
                <w:szCs w:val="24"/>
                <w:highlight w:val="none"/>
                <w:lang w:val="en-US" w:eastAsia="zh-CN"/>
              </w:rPr>
              <w:t>450</w:t>
            </w:r>
            <w:r>
              <w:rPr>
                <w:rFonts w:hint="eastAsia" w:ascii="Times New Roman" w:hAnsi="Times New Roman" w:eastAsia="宋体" w:cs="Times New Roman"/>
                <w:b w:val="0"/>
                <w:bCs w:val="0"/>
                <w:color w:val="auto"/>
                <w:sz w:val="24"/>
                <w:szCs w:val="24"/>
                <w:highlight w:val="no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/a。</w:t>
            </w:r>
          </w:p>
          <w:p w14:paraId="0A447A27">
            <w:pPr>
              <w:spacing w:line="360" w:lineRule="auto"/>
              <w:ind w:firstLine="48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w:t>
            </w:r>
            <w:r>
              <w:rPr>
                <w:rFonts w:hint="eastAsia" w:cs="Times New Roman"/>
                <w:b w:val="0"/>
                <w:bCs w:val="0"/>
                <w:color w:val="auto"/>
                <w:sz w:val="24"/>
                <w:szCs w:val="24"/>
                <w:highlight w:val="none"/>
                <w:lang w:val="en-US" w:eastAsia="zh-CN"/>
              </w:rPr>
              <w:t>洗丝用水：项目设置2个水洗槽，其中1个用于一级水洗，1个用于二级水洗，尺寸均为1m*1.6m*0.4m，水池加水量约为80%，每个槽体中水量约为0.512m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。则废水产生量为307.2m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/a，其中损耗量按20%计，因此所需的新鲜水量为384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w:t>
            </w:r>
          </w:p>
          <w:p w14:paraId="334498ED">
            <w:pPr>
              <w:spacing w:line="360" w:lineRule="auto"/>
              <w:ind w:firstLine="480"/>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③</w:t>
            </w:r>
            <w:r>
              <w:rPr>
                <w:rFonts w:hint="eastAsia" w:ascii="Times New Roman" w:hAnsi="Times New Roman" w:eastAsia="宋体" w:cs="Times New Roman"/>
                <w:b w:val="0"/>
                <w:bCs w:val="0"/>
                <w:color w:val="auto"/>
                <w:sz w:val="24"/>
                <w:szCs w:val="24"/>
                <w:highlight w:val="none"/>
                <w:lang w:val="en-US" w:eastAsia="zh-CN"/>
              </w:rPr>
              <w:t>纺丝油剂调配用水</w:t>
            </w:r>
          </w:p>
          <w:p w14:paraId="0CA00693">
            <w:pPr>
              <w:spacing w:line="360" w:lineRule="auto"/>
              <w:ind w:firstLine="48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根据企业提供资料，需将纺丝油</w:t>
            </w:r>
            <w:r>
              <w:rPr>
                <w:rFonts w:hint="eastAsia" w:ascii="Times New Roman" w:hAnsi="Times New Roman" w:eastAsia="宋体" w:cs="Times New Roman"/>
                <w:b w:val="0"/>
                <w:bCs w:val="0"/>
                <w:color w:val="auto"/>
                <w:sz w:val="24"/>
                <w:szCs w:val="24"/>
                <w:highlight w:val="none"/>
                <w:lang w:val="en-US" w:eastAsia="zh-CN"/>
              </w:rPr>
              <w:t>与水按照1：15</w:t>
            </w:r>
            <w:r>
              <w:rPr>
                <w:rFonts w:hint="default" w:ascii="Times New Roman" w:hAnsi="Times New Roman" w:eastAsia="宋体" w:cs="Times New Roman"/>
                <w:b w:val="0"/>
                <w:bCs w:val="0"/>
                <w:color w:val="auto"/>
                <w:sz w:val="24"/>
                <w:szCs w:val="24"/>
                <w:highlight w:val="none"/>
                <w:lang w:val="en-US" w:eastAsia="zh-CN"/>
              </w:rPr>
              <w:t>调配成纺丝油剂溶液。</w:t>
            </w:r>
            <w:r>
              <w:rPr>
                <w:rFonts w:hint="eastAsia" w:ascii="Times New Roman" w:hAnsi="Times New Roman" w:eastAsia="宋体" w:cs="Times New Roman"/>
                <w:b w:val="0"/>
                <w:bCs w:val="0"/>
                <w:color w:val="auto"/>
                <w:sz w:val="24"/>
                <w:szCs w:val="24"/>
                <w:highlight w:val="none"/>
                <w:lang w:val="en-US" w:eastAsia="zh-CN"/>
              </w:rPr>
              <w:t>本项目纺丝油剂使用量为</w:t>
            </w:r>
            <w:r>
              <w:rPr>
                <w:rFonts w:hint="eastAsia" w:cs="Times New Roman"/>
                <w:b w:val="0"/>
                <w:bCs w:val="0"/>
                <w:color w:val="auto"/>
                <w:sz w:val="24"/>
                <w:szCs w:val="24"/>
                <w:highlight w:val="none"/>
                <w:lang w:val="en-US" w:eastAsia="zh-CN"/>
              </w:rPr>
              <w:t>8.209</w:t>
            </w:r>
            <w:r>
              <w:rPr>
                <w:rFonts w:hint="eastAsia" w:ascii="Times New Roman" w:hAnsi="Times New Roman" w:eastAsia="宋体" w:cs="Times New Roman"/>
                <w:b w:val="0"/>
                <w:bCs w:val="0"/>
                <w:color w:val="auto"/>
                <w:sz w:val="24"/>
                <w:szCs w:val="24"/>
                <w:highlight w:val="none"/>
                <w:lang w:val="en-US" w:eastAsia="zh-CN"/>
              </w:rPr>
              <w:t>t/a，因此纺丝油剂调配用水量约为</w:t>
            </w:r>
            <w:r>
              <w:rPr>
                <w:rFonts w:hint="eastAsia" w:cs="Times New Roman"/>
                <w:b w:val="0"/>
                <w:bCs w:val="0"/>
                <w:color w:val="auto"/>
                <w:sz w:val="24"/>
                <w:szCs w:val="24"/>
                <w:highlight w:val="none"/>
                <w:lang w:val="en-US" w:eastAsia="zh-CN"/>
              </w:rPr>
              <w:t>124</w:t>
            </w:r>
            <w:r>
              <w:rPr>
                <w:rFonts w:hint="eastAsia" w:ascii="Times New Roman" w:hAnsi="Times New Roman" w:eastAsia="宋体" w:cs="Times New Roman"/>
                <w:b w:val="0"/>
                <w:bCs w:val="0"/>
                <w:color w:val="auto"/>
                <w:sz w:val="24"/>
                <w:szCs w:val="24"/>
                <w:highlight w:val="none"/>
                <w:lang w:val="en-US" w:eastAsia="zh-CN"/>
              </w:rPr>
              <w:t>t/a。</w:t>
            </w:r>
          </w:p>
          <w:p w14:paraId="545A9680">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default" w:ascii="Times New Roman" w:hAnsi="Times New Roman" w:cs="宋体"/>
                <w:b w:val="0"/>
                <w:bCs w:val="0"/>
                <w:color w:val="auto"/>
                <w:sz w:val="24"/>
                <w:szCs w:val="24"/>
                <w:highlight w:val="none"/>
                <w:shd w:val="clear" w:color="auto" w:fill="auto"/>
                <w:lang w:val="en-US" w:eastAsia="zh-CN"/>
              </w:rPr>
            </w:pPr>
            <w:r>
              <w:rPr>
                <w:rFonts w:hint="eastAsia" w:ascii="宋体" w:hAnsi="宋体" w:eastAsia="宋体" w:cs="宋体"/>
                <w:b w:val="0"/>
                <w:bCs w:val="0"/>
                <w:color w:val="auto"/>
                <w:sz w:val="24"/>
                <w:szCs w:val="24"/>
                <w:highlight w:val="none"/>
                <w:lang w:val="en-US" w:eastAsia="zh-CN"/>
              </w:rPr>
              <w:t>④</w:t>
            </w:r>
            <w:r>
              <w:rPr>
                <w:rFonts w:hint="eastAsia" w:cs="Times New Roman"/>
                <w:b w:val="0"/>
                <w:bCs w:val="0"/>
                <w:color w:val="auto"/>
                <w:sz w:val="24"/>
                <w:szCs w:val="24"/>
                <w:highlight w:val="none"/>
                <w:lang w:val="en-US" w:eastAsia="zh-CN"/>
              </w:rPr>
              <w:t>纺丝组件清洗用水：项目使用的纺丝组件经过真空清洗后表面会含有少量灰渣，需使用超声波清洗机进行清洗，项目使用的超声波清洗机水箱容</w:t>
            </w:r>
            <w:r>
              <w:rPr>
                <w:rFonts w:hint="eastAsia" w:ascii="Times New Roman" w:hAnsi="Times New Roman" w:cs="宋体"/>
                <w:b w:val="0"/>
                <w:bCs w:val="0"/>
                <w:color w:val="auto"/>
                <w:sz w:val="24"/>
                <w:szCs w:val="24"/>
                <w:highlight w:val="none"/>
                <w:lang w:val="en-US" w:eastAsia="zh-CN"/>
              </w:rPr>
              <w:t>量约1.5立方米，</w:t>
            </w:r>
            <w:r>
              <w:rPr>
                <w:rFonts w:hint="default" w:ascii="Times New Roman" w:hAnsi="Times New Roman" w:cs="宋体"/>
                <w:b w:val="0"/>
                <w:bCs w:val="0"/>
                <w:color w:val="auto"/>
                <w:sz w:val="24"/>
                <w:szCs w:val="24"/>
                <w:highlight w:val="none"/>
                <w:shd w:val="clear" w:color="auto" w:fill="auto"/>
                <w:lang w:val="en-US" w:eastAsia="zh-CN"/>
              </w:rPr>
              <w:t>有效容积按容积的80%计算，</w:t>
            </w:r>
            <w:r>
              <w:rPr>
                <w:rFonts w:hint="eastAsia" w:ascii="Times New Roman" w:hAnsi="Times New Roman" w:cs="宋体"/>
                <w:b w:val="0"/>
                <w:bCs w:val="0"/>
                <w:color w:val="auto"/>
                <w:sz w:val="24"/>
                <w:szCs w:val="24"/>
                <w:highlight w:val="none"/>
                <w:shd w:val="clear" w:color="auto" w:fill="auto"/>
                <w:lang w:val="en-US" w:eastAsia="zh-CN"/>
              </w:rPr>
              <w:t>则有效容积约为1.2m</w:t>
            </w:r>
            <w:r>
              <w:rPr>
                <w:rFonts w:hint="eastAsia" w:ascii="Times New Roman" w:hAnsi="Times New Roman" w:cs="宋体"/>
                <w:b w:val="0"/>
                <w:bCs w:val="0"/>
                <w:color w:val="auto"/>
                <w:sz w:val="24"/>
                <w:szCs w:val="24"/>
                <w:highlight w:val="none"/>
                <w:shd w:val="clear" w:color="auto" w:fill="auto"/>
                <w:vertAlign w:val="superscript"/>
                <w:lang w:val="en-US" w:eastAsia="zh-CN"/>
              </w:rPr>
              <w:t>3</w:t>
            </w:r>
            <w:r>
              <w:rPr>
                <w:rFonts w:hint="eastAsia" w:ascii="Times New Roman" w:hAnsi="Times New Roman" w:cs="宋体"/>
                <w:b w:val="0"/>
                <w:bCs w:val="0"/>
                <w:color w:val="auto"/>
                <w:sz w:val="24"/>
                <w:szCs w:val="24"/>
                <w:highlight w:val="none"/>
                <w:shd w:val="clear" w:color="auto" w:fill="auto"/>
                <w:lang w:val="en-US" w:eastAsia="zh-CN"/>
              </w:rPr>
              <w:t>，</w:t>
            </w:r>
            <w:r>
              <w:rPr>
                <w:rFonts w:hint="eastAsia" w:ascii="Times New Roman" w:hAnsi="Times New Roman" w:cs="宋体"/>
                <w:b w:val="0"/>
                <w:bCs w:val="0"/>
                <w:color w:val="auto"/>
                <w:sz w:val="24"/>
                <w:szCs w:val="24"/>
                <w:highlight w:val="none"/>
                <w:lang w:val="en-US" w:eastAsia="zh-CN"/>
              </w:rPr>
              <w:t>超声波水箱内产生的废水主要污染物为SS，其浓度约为100mg/L，清洗废水经沉淀池沉淀处理后循环使用，不外排。项目超声波清洗机按每月清洗一次计（每年清洗12次），本项目超声波清洗机的用水量约1.2m</w:t>
            </w:r>
            <w:r>
              <w:rPr>
                <w:rFonts w:hint="eastAsia" w:ascii="Times New Roman" w:hAnsi="Times New Roman" w:cs="宋体"/>
                <w:b w:val="0"/>
                <w:bCs w:val="0"/>
                <w:color w:val="auto"/>
                <w:sz w:val="24"/>
                <w:szCs w:val="24"/>
                <w:highlight w:val="none"/>
                <w:vertAlign w:val="superscript"/>
                <w:lang w:val="en-US" w:eastAsia="zh-CN"/>
              </w:rPr>
              <w:t>3</w:t>
            </w:r>
            <w:r>
              <w:rPr>
                <w:rFonts w:hint="eastAsia" w:ascii="Times New Roman" w:hAnsi="Times New Roman" w:cs="宋体"/>
                <w:b w:val="0"/>
                <w:bCs w:val="0"/>
                <w:color w:val="auto"/>
                <w:sz w:val="24"/>
                <w:szCs w:val="24"/>
                <w:highlight w:val="none"/>
                <w:lang w:val="en-US" w:eastAsia="zh-CN"/>
              </w:rPr>
              <w:t>/次（14.4m</w:t>
            </w:r>
            <w:r>
              <w:rPr>
                <w:rFonts w:hint="eastAsia" w:ascii="Times New Roman" w:hAnsi="Times New Roman" w:cs="宋体"/>
                <w:b w:val="0"/>
                <w:bCs w:val="0"/>
                <w:color w:val="auto"/>
                <w:sz w:val="24"/>
                <w:szCs w:val="24"/>
                <w:highlight w:val="none"/>
                <w:vertAlign w:val="superscript"/>
                <w:lang w:val="en-US" w:eastAsia="zh-CN"/>
              </w:rPr>
              <w:t>3</w:t>
            </w:r>
            <w:r>
              <w:rPr>
                <w:rFonts w:hint="eastAsia" w:ascii="Times New Roman" w:hAnsi="Times New Roman" w:cs="宋体"/>
                <w:b w:val="0"/>
                <w:bCs w:val="0"/>
                <w:color w:val="auto"/>
                <w:sz w:val="24"/>
                <w:szCs w:val="24"/>
                <w:highlight w:val="none"/>
                <w:lang w:val="en-US" w:eastAsia="zh-CN"/>
              </w:rPr>
              <w:t>/a）。</w:t>
            </w:r>
            <w:r>
              <w:rPr>
                <w:rFonts w:hint="default" w:ascii="Times New Roman" w:hAnsi="Times New Roman" w:cs="宋体"/>
                <w:b w:val="0"/>
                <w:bCs w:val="0"/>
                <w:color w:val="auto"/>
                <w:sz w:val="24"/>
                <w:szCs w:val="24"/>
                <w:highlight w:val="none"/>
                <w:shd w:val="clear" w:color="auto" w:fill="auto"/>
                <w:lang w:val="en-US" w:eastAsia="zh-CN"/>
              </w:rPr>
              <w:t>自来水清洗</w:t>
            </w:r>
            <w:r>
              <w:rPr>
                <w:rFonts w:hint="eastAsia" w:ascii="Times New Roman" w:hAnsi="Times New Roman" w:cs="宋体"/>
                <w:b w:val="0"/>
                <w:bCs w:val="0"/>
                <w:color w:val="auto"/>
                <w:sz w:val="24"/>
                <w:szCs w:val="24"/>
                <w:highlight w:val="none"/>
                <w:shd w:val="clear" w:color="auto" w:fill="auto"/>
                <w:lang w:val="en-US" w:eastAsia="zh-CN"/>
              </w:rPr>
              <w:t>纺丝组件</w:t>
            </w:r>
            <w:r>
              <w:rPr>
                <w:rFonts w:hint="default" w:ascii="Times New Roman" w:hAnsi="Times New Roman" w:cs="宋体"/>
                <w:b w:val="0"/>
                <w:bCs w:val="0"/>
                <w:color w:val="auto"/>
                <w:sz w:val="24"/>
                <w:szCs w:val="24"/>
                <w:highlight w:val="none"/>
                <w:shd w:val="clear" w:color="auto" w:fill="auto"/>
                <w:lang w:val="en-US" w:eastAsia="zh-CN"/>
              </w:rPr>
              <w:t>产生的废水经沉淀处理后循环使用，参考《工业循环水冷却设计规范》(GB/T50102-2014)，蒸发损失水率约为2.1%，风吹损失水率约为0.8%</w:t>
            </w:r>
            <w:r>
              <w:rPr>
                <w:rFonts w:hint="eastAsia" w:ascii="Times New Roman" w:hAnsi="Times New Roman" w:cs="宋体"/>
                <w:b w:val="0"/>
                <w:bCs w:val="0"/>
                <w:color w:val="auto"/>
                <w:sz w:val="24"/>
                <w:szCs w:val="24"/>
                <w:highlight w:val="none"/>
                <w:shd w:val="clear" w:color="auto" w:fill="auto"/>
                <w:lang w:val="en-US" w:eastAsia="zh-CN"/>
              </w:rPr>
              <w:t>。</w:t>
            </w:r>
            <w:r>
              <w:rPr>
                <w:rFonts w:hint="default" w:ascii="Times New Roman" w:hAnsi="Times New Roman" w:cs="宋体"/>
                <w:b w:val="0"/>
                <w:bCs w:val="0"/>
                <w:color w:val="auto"/>
                <w:sz w:val="24"/>
                <w:szCs w:val="24"/>
                <w:highlight w:val="none"/>
                <w:shd w:val="clear" w:color="auto" w:fill="auto"/>
                <w:lang w:val="en-US" w:eastAsia="zh-CN"/>
              </w:rPr>
              <w:t>本项目清洗损失水率按2.9%计，则补充水量为</w:t>
            </w:r>
            <w:r>
              <w:rPr>
                <w:rFonts w:hint="eastAsia" w:ascii="Times New Roman" w:hAnsi="Times New Roman" w:cs="宋体"/>
                <w:b w:val="0"/>
                <w:bCs w:val="0"/>
                <w:color w:val="auto"/>
                <w:sz w:val="24"/>
                <w:szCs w:val="24"/>
                <w:highlight w:val="none"/>
                <w:shd w:val="clear" w:color="auto" w:fill="auto"/>
                <w:lang w:val="en-US" w:eastAsia="zh-CN"/>
              </w:rPr>
              <w:t>0.42</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default" w:ascii="Times New Roman" w:hAnsi="Times New Roman" w:cs="宋体"/>
                <w:b w:val="0"/>
                <w:bCs w:val="0"/>
                <w:color w:val="auto"/>
                <w:sz w:val="24"/>
                <w:szCs w:val="24"/>
                <w:highlight w:val="none"/>
                <w:shd w:val="clear" w:color="auto" w:fill="auto"/>
                <w:lang w:val="en-US" w:eastAsia="zh-CN"/>
              </w:rPr>
              <w:t>/a，循环水量为</w:t>
            </w:r>
            <w:r>
              <w:rPr>
                <w:rFonts w:hint="eastAsia" w:ascii="Times New Roman" w:hAnsi="Times New Roman" w:cs="宋体"/>
                <w:b w:val="0"/>
                <w:bCs w:val="0"/>
                <w:color w:val="auto"/>
                <w:sz w:val="24"/>
                <w:szCs w:val="24"/>
                <w:highlight w:val="none"/>
                <w:shd w:val="clear" w:color="auto" w:fill="auto"/>
                <w:lang w:val="en-US" w:eastAsia="zh-CN"/>
              </w:rPr>
              <w:t>13.98</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default" w:ascii="Times New Roman" w:hAnsi="Times New Roman" w:cs="宋体"/>
                <w:b w:val="0"/>
                <w:bCs w:val="0"/>
                <w:color w:val="auto"/>
                <w:sz w:val="24"/>
                <w:szCs w:val="24"/>
                <w:highlight w:val="none"/>
                <w:shd w:val="clear" w:color="auto" w:fill="auto"/>
                <w:lang w:val="en-US" w:eastAsia="zh-CN"/>
              </w:rPr>
              <w:t>/a。</w:t>
            </w:r>
          </w:p>
          <w:p w14:paraId="1F474CC6">
            <w:pPr>
              <w:spacing w:line="360" w:lineRule="auto"/>
              <w:ind w:firstLine="480"/>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排水</w:t>
            </w:r>
          </w:p>
          <w:p w14:paraId="35BE88CB">
            <w:pPr>
              <w:spacing w:line="360" w:lineRule="auto"/>
              <w:ind w:firstLine="480"/>
              <w:rPr>
                <w:rFonts w:hint="eastAsia"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排水采用雨污分流制，雨水单独收集后外排。本项目废水主要为生活污水</w:t>
            </w: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洗丝废水、纺丝组件清洗废水</w:t>
            </w:r>
            <w:r>
              <w:rPr>
                <w:rFonts w:hint="eastAsia" w:ascii="Times New Roman" w:hAnsi="Times New Roman" w:eastAsia="宋体" w:cs="Times New Roman"/>
                <w:b w:val="0"/>
                <w:bCs w:val="0"/>
                <w:color w:val="auto"/>
                <w:sz w:val="24"/>
                <w:szCs w:val="24"/>
                <w:highlight w:val="none"/>
                <w:lang w:eastAsia="zh-CN"/>
              </w:rPr>
              <w:t>。</w:t>
            </w:r>
          </w:p>
          <w:p w14:paraId="769C49CD">
            <w:pPr>
              <w:spacing w:line="360" w:lineRule="auto"/>
              <w:ind w:firstLine="480"/>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生活污水：</w:t>
            </w:r>
            <w:r>
              <w:rPr>
                <w:rFonts w:hint="eastAsia" w:ascii="Times New Roman" w:hAnsi="Times New Roman" w:eastAsia="宋体" w:cs="Times New Roman"/>
                <w:b w:val="0"/>
                <w:bCs w:val="0"/>
                <w:color w:val="auto"/>
                <w:sz w:val="24"/>
                <w:szCs w:val="24"/>
                <w:highlight w:val="none"/>
                <w:lang w:eastAsia="zh-CN"/>
              </w:rPr>
              <w:t>生活污水排污系数按80%计，生活污水产生量约</w:t>
            </w:r>
            <w:r>
              <w:rPr>
                <w:rFonts w:hint="eastAsia" w:cs="Times New Roman"/>
                <w:b w:val="0"/>
                <w:bCs w:val="0"/>
                <w:color w:val="auto"/>
                <w:sz w:val="24"/>
                <w:szCs w:val="24"/>
                <w:highlight w:val="none"/>
                <w:lang w:val="en-US" w:eastAsia="zh-CN"/>
              </w:rPr>
              <w:t>360</w:t>
            </w:r>
            <w:r>
              <w:rPr>
                <w:rFonts w:hint="eastAsia" w:ascii="Times New Roman" w:hAnsi="Times New Roman" w:eastAsia="宋体" w:cs="Times New Roman"/>
                <w:b w:val="0"/>
                <w:bCs w:val="0"/>
                <w:color w:val="auto"/>
                <w:sz w:val="24"/>
                <w:szCs w:val="24"/>
                <w:highlight w:val="no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/a</w:t>
            </w:r>
            <w:r>
              <w:rPr>
                <w:rFonts w:hint="eastAsia" w:ascii="Times New Roman" w:hAnsi="Times New Roman" w:eastAsia="宋体" w:cs="Times New Roman"/>
                <w:b w:val="0"/>
                <w:bCs w:val="0"/>
                <w:color w:val="auto"/>
                <w:sz w:val="24"/>
                <w:szCs w:val="24"/>
                <w:highlight w:val="none"/>
                <w:lang w:eastAsia="zh-CN"/>
              </w:rPr>
              <w:t>。主要污染因子</w:t>
            </w:r>
            <w:r>
              <w:rPr>
                <w:rFonts w:hint="default" w:ascii="Times New Roman" w:hAnsi="Times New Roman" w:eastAsia="宋体" w:cs="Times New Roman"/>
                <w:b w:val="0"/>
                <w:bCs w:val="0"/>
                <w:color w:val="auto"/>
                <w:sz w:val="24"/>
                <w:szCs w:val="24"/>
                <w:highlight w:val="none"/>
                <w:lang w:eastAsia="zh-CN"/>
              </w:rPr>
              <w:t>为COD、NH</w:t>
            </w:r>
            <w:r>
              <w:rPr>
                <w:rFonts w:hint="default" w:ascii="Times New Roman" w:hAnsi="Times New Roman" w:eastAsia="宋体" w:cs="Times New Roman"/>
                <w:b w:val="0"/>
                <w:bCs w:val="0"/>
                <w:color w:val="auto"/>
                <w:sz w:val="24"/>
                <w:szCs w:val="24"/>
                <w:highlight w:val="none"/>
                <w:vertAlign w:val="subscript"/>
                <w:lang w:eastAsia="zh-CN"/>
              </w:rPr>
              <w:t>3</w:t>
            </w:r>
            <w:r>
              <w:rPr>
                <w:rFonts w:hint="default" w:ascii="Times New Roman" w:hAnsi="Times New Roman" w:eastAsia="宋体" w:cs="Times New Roman"/>
                <w:b w:val="0"/>
                <w:bCs w:val="0"/>
                <w:color w:val="auto"/>
                <w:sz w:val="24"/>
                <w:szCs w:val="24"/>
                <w:highlight w:val="none"/>
                <w:lang w:eastAsia="zh-CN"/>
              </w:rPr>
              <w:t>-N等，生活污水经化粪池处理后</w:t>
            </w:r>
            <w:r>
              <w:rPr>
                <w:rFonts w:hint="eastAsia" w:cs="Times New Roman"/>
                <w:b w:val="0"/>
                <w:bCs w:val="0"/>
                <w:color w:val="auto"/>
                <w:sz w:val="24"/>
                <w:szCs w:val="24"/>
                <w:highlight w:val="none"/>
                <w:lang w:val="en-US" w:eastAsia="zh-CN"/>
              </w:rPr>
              <w:t>由环卫部门定期清运</w:t>
            </w:r>
            <w:r>
              <w:rPr>
                <w:rFonts w:hint="default" w:ascii="Times New Roman" w:hAnsi="Times New Roman" w:eastAsia="宋体" w:cs="Times New Roman"/>
                <w:b w:val="0"/>
                <w:bCs w:val="0"/>
                <w:color w:val="auto"/>
                <w:sz w:val="24"/>
                <w:szCs w:val="24"/>
                <w:highlight w:val="none"/>
                <w:lang w:eastAsia="zh-CN"/>
              </w:rPr>
              <w:t>。</w:t>
            </w:r>
          </w:p>
          <w:p w14:paraId="20E81640">
            <w:pPr>
              <w:spacing w:line="360" w:lineRule="auto"/>
              <w:ind w:firstLine="480"/>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洗丝废水：假睫毛生产中洗丝工序产生少量废水，每一批纤维丝采用二级清洗的方式，</w:t>
            </w:r>
            <w:r>
              <w:rPr>
                <w:rFonts w:hint="eastAsia" w:cs="Times New Roman"/>
                <w:color w:val="auto"/>
                <w:sz w:val="24"/>
                <w:highlight w:val="none"/>
                <w:lang w:val="en-US" w:eastAsia="zh-CN"/>
              </w:rPr>
              <w:t>一级水洗槽每天排放更换2次，二级水洗槽循环使用，二级水洗槽水循环进入一级水洗槽，进行逆流清洗。</w:t>
            </w:r>
            <w:r>
              <w:rPr>
                <w:rFonts w:hint="eastAsia" w:cs="Times New Roman"/>
                <w:b w:val="0"/>
                <w:bCs w:val="0"/>
                <w:color w:val="auto"/>
                <w:sz w:val="24"/>
                <w:szCs w:val="24"/>
                <w:highlight w:val="none"/>
                <w:lang w:val="en-US" w:eastAsia="zh-CN"/>
              </w:rPr>
              <w:t>产生的废水主要污染物为SS，洗丝废水经沉淀池沉淀处理后全部回用，不外排。洗丝后纤维丝携带少量废水进入下一工序，经甩干为甩干废水，携带废水约为洗丝产生废水的20%，洗丝废水的产生量为245.76</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/a，甩干废水产生量为61.44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/a，其中损耗量按20%计，因此所需的新鲜水量为384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w:t>
            </w:r>
          </w:p>
          <w:p w14:paraId="767FF64C">
            <w:pPr>
              <w:spacing w:line="360" w:lineRule="auto"/>
              <w:ind w:firstLine="480"/>
              <w:rPr>
                <w:rFonts w:hint="default"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甩干废水：本项目甩干工序产生少量废水，统一收集经沉淀池处理后全部回用于洗丝工序，甩干工序中产生的废水主要为洗丝后纤维丝携带的水分，根据行业经验，甩干废水约为洗丝废水量的20%，因此甩干废水产生量为61.44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w:t>
            </w:r>
          </w:p>
          <w:p w14:paraId="45388EF5">
            <w:pPr>
              <w:spacing w:line="360" w:lineRule="auto"/>
              <w:ind w:firstLine="480"/>
              <w:rPr>
                <w:rFonts w:hint="default"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纺丝组件清洗废水：项目超声波清洗机按每月清洗一次计（每年清洗12次），本项目超声波清洗机的用水量约1.2m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/次（14.4m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w:t>
            </w:r>
          </w:p>
          <w:p w14:paraId="1237802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宋体" w:cs="宋体"/>
                <w:color w:val="auto"/>
                <w:sz w:val="24"/>
                <w:lang w:eastAsia="zh-CN"/>
              </w:rPr>
              <w:object>
                <v:shape id="_x0000_i1025" o:spt="75" type="#_x0000_t75" style="height:280.65pt;width:440.4pt;" o:ole="t" filled="f" o:preferrelative="t" stroked="f" coordsize="21600,21600">
                  <v:path/>
                  <v:fill on="f" focussize="0,0"/>
                  <v:stroke on="f"/>
                  <v:imagedata r:id="rId7" o:title=""/>
                  <o:lock v:ext="edit" aspectratio="f"/>
                  <w10:wrap type="none"/>
                  <w10:anchorlock/>
                </v:shape>
                <o:OLEObject Type="Embed" ProgID="Visio.Drawing.15" ShapeID="_x0000_i1025" DrawAspect="Content" ObjectID="_1468075725" r:id="rId6">
                  <o:LockedField>false</o:LockedField>
                </o:OLEObject>
              </w:object>
            </w:r>
            <w:r>
              <w:rPr>
                <w:rFonts w:hint="default" w:ascii="Times New Roman" w:hAnsi="Times New Roman" w:eastAsia="黑体" w:cs="Times New Roman"/>
                <w:color w:val="auto"/>
                <w:sz w:val="24"/>
                <w:szCs w:val="24"/>
                <w:highlight w:val="none"/>
                <w:lang w:val="en-US" w:eastAsia="zh-CN"/>
              </w:rPr>
              <w:t>图2-</w:t>
            </w:r>
            <w:r>
              <w:rPr>
                <w:rFonts w:hint="eastAsia" w:eastAsia="黑体" w:cs="Times New Roman"/>
                <w:color w:val="auto"/>
                <w:sz w:val="24"/>
                <w:szCs w:val="24"/>
                <w:highlight w:val="none"/>
                <w:lang w:val="en-US" w:eastAsia="zh-CN"/>
              </w:rPr>
              <w:t>1</w:t>
            </w:r>
            <w:r>
              <w:rPr>
                <w:rFonts w:hint="eastAsia" w:ascii="Times New Roman" w:hAnsi="Times New Roman" w:eastAsia="黑体" w:cs="Times New Roman"/>
                <w:color w:val="auto"/>
                <w:sz w:val="24"/>
                <w:szCs w:val="24"/>
                <w:highlight w:val="none"/>
                <w:lang w:val="en-US" w:eastAsia="zh-CN"/>
              </w:rPr>
              <w:t xml:space="preserve"> 项目水平衡图（单位m</w:t>
            </w:r>
            <w:r>
              <w:rPr>
                <w:rFonts w:hint="eastAsia" w:ascii="Times New Roman" w:hAnsi="Times New Roman" w:eastAsia="黑体" w:cs="Times New Roman"/>
                <w:color w:val="auto"/>
                <w:sz w:val="24"/>
                <w:szCs w:val="24"/>
                <w:highlight w:val="none"/>
                <w:vertAlign w:val="superscript"/>
                <w:lang w:val="en-US" w:eastAsia="zh-CN"/>
              </w:rPr>
              <w:t>3</w:t>
            </w:r>
            <w:r>
              <w:rPr>
                <w:rFonts w:hint="eastAsia" w:ascii="Times New Roman" w:hAnsi="Times New Roman" w:eastAsia="黑体" w:cs="Times New Roman"/>
                <w:color w:val="auto"/>
                <w:sz w:val="24"/>
                <w:szCs w:val="24"/>
                <w:highlight w:val="none"/>
                <w:lang w:val="en-US" w:eastAsia="zh-CN"/>
              </w:rPr>
              <w:t>/a）</w:t>
            </w:r>
          </w:p>
          <w:p w14:paraId="44E05053">
            <w:pPr>
              <w:spacing w:line="360" w:lineRule="auto"/>
              <w:ind w:firstLine="480"/>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（3）供电</w:t>
            </w:r>
          </w:p>
          <w:p w14:paraId="290D5D2C">
            <w:pPr>
              <w:spacing w:line="360" w:lineRule="auto"/>
              <w:ind w:firstLine="480"/>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本项目</w:t>
            </w:r>
            <w:r>
              <w:rPr>
                <w:rFonts w:hint="default" w:ascii="Times New Roman" w:hAnsi="Times New Roman" w:eastAsia="宋体" w:cs="Times New Roman"/>
                <w:b w:val="0"/>
                <w:bCs w:val="0"/>
                <w:color w:val="auto"/>
                <w:sz w:val="24"/>
                <w:szCs w:val="24"/>
                <w:highlight w:val="none"/>
                <w:lang w:eastAsia="zh-CN"/>
              </w:rPr>
              <w:t>用电</w:t>
            </w:r>
            <w:r>
              <w:rPr>
                <w:rFonts w:hint="eastAsia" w:ascii="Times New Roman" w:hAnsi="Times New Roman" w:eastAsia="宋体" w:cs="Times New Roman"/>
                <w:b w:val="0"/>
                <w:bCs w:val="0"/>
                <w:color w:val="auto"/>
                <w:sz w:val="24"/>
                <w:szCs w:val="24"/>
                <w:highlight w:val="none"/>
                <w:lang w:eastAsia="zh-CN"/>
              </w:rPr>
              <w:t>由</w:t>
            </w:r>
            <w:r>
              <w:rPr>
                <w:rFonts w:hint="eastAsia" w:cs="Times New Roman"/>
                <w:b w:val="0"/>
                <w:bCs w:val="0"/>
                <w:color w:val="auto"/>
                <w:sz w:val="24"/>
                <w:szCs w:val="24"/>
                <w:highlight w:val="none"/>
                <w:lang w:val="en-US" w:eastAsia="zh-CN"/>
              </w:rPr>
              <w:t>沂源县</w:t>
            </w:r>
            <w:r>
              <w:rPr>
                <w:rFonts w:hint="eastAsia" w:ascii="Times New Roman" w:hAnsi="Times New Roman" w:eastAsia="宋体" w:cs="Times New Roman"/>
                <w:b w:val="0"/>
                <w:bCs w:val="0"/>
                <w:color w:val="auto"/>
                <w:sz w:val="24"/>
                <w:szCs w:val="24"/>
                <w:highlight w:val="none"/>
                <w:lang w:eastAsia="zh-CN"/>
              </w:rPr>
              <w:t>国家电网供给</w:t>
            </w:r>
            <w:r>
              <w:rPr>
                <w:rFonts w:hint="default" w:ascii="Times New Roman" w:hAnsi="Times New Roman" w:eastAsia="宋体" w:cs="Times New Roman"/>
                <w:b w:val="0"/>
                <w:bCs w:val="0"/>
                <w:color w:val="auto"/>
                <w:sz w:val="24"/>
                <w:szCs w:val="24"/>
                <w:highlight w:val="none"/>
                <w:lang w:eastAsia="zh-CN"/>
              </w:rPr>
              <w:t>，年用电量约为</w:t>
            </w:r>
            <w:r>
              <w:rPr>
                <w:rFonts w:hint="eastAsia" w:ascii="Times New Roman" w:hAnsi="Times New Roman" w:eastAsia="宋体" w:cs="Times New Roman"/>
                <w:b w:val="0"/>
                <w:bCs w:val="0"/>
                <w:color w:val="auto"/>
                <w:sz w:val="24"/>
                <w:szCs w:val="24"/>
                <w:highlight w:val="none"/>
                <w:lang w:val="en-US" w:eastAsia="zh-CN"/>
              </w:rPr>
              <w:t>200</w:t>
            </w:r>
            <w:r>
              <w:rPr>
                <w:rFonts w:hint="eastAsia" w:ascii="Times New Roman" w:hAnsi="Times New Roman" w:eastAsia="宋体" w:cs="Times New Roman"/>
                <w:b w:val="0"/>
                <w:bCs w:val="0"/>
                <w:color w:val="auto"/>
                <w:sz w:val="24"/>
                <w:szCs w:val="24"/>
                <w:highlight w:val="none"/>
                <w:lang w:eastAsia="zh-CN"/>
              </w:rPr>
              <w:t>万kW</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eastAsia="zh-CN"/>
              </w:rPr>
              <w:t>h，</w:t>
            </w:r>
            <w:r>
              <w:rPr>
                <w:rFonts w:hint="default" w:ascii="Times New Roman" w:hAnsi="Times New Roman" w:eastAsia="宋体" w:cs="Times New Roman"/>
                <w:b w:val="0"/>
                <w:bCs w:val="0"/>
                <w:color w:val="auto"/>
                <w:sz w:val="24"/>
                <w:szCs w:val="24"/>
                <w:highlight w:val="none"/>
                <w:lang w:eastAsia="zh-CN"/>
              </w:rPr>
              <w:t>能够满足生产需求。</w:t>
            </w:r>
          </w:p>
          <w:p w14:paraId="206BA361">
            <w:pPr>
              <w:spacing w:line="360" w:lineRule="auto"/>
              <w:ind w:firstLine="480"/>
              <w:rPr>
                <w:rFonts w:hint="eastAsia"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4</w:t>
            </w:r>
            <w:r>
              <w:rPr>
                <w:rFonts w:hint="eastAsia" w:ascii="Times New Roman" w:hAnsi="Times New Roman" w:eastAsia="宋体" w:cs="Times New Roman"/>
                <w:b w:val="0"/>
                <w:bCs w:val="0"/>
                <w:color w:val="auto"/>
                <w:sz w:val="24"/>
                <w:szCs w:val="24"/>
                <w:highlight w:val="none"/>
                <w:lang w:eastAsia="zh-CN"/>
              </w:rPr>
              <w:t>）供热</w:t>
            </w:r>
          </w:p>
          <w:p w14:paraId="3BEFEFB4">
            <w:pPr>
              <w:spacing w:line="360" w:lineRule="auto"/>
              <w:ind w:firstLine="480"/>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办公室冬季取暖使用空调供暖。</w:t>
            </w:r>
          </w:p>
          <w:p w14:paraId="1E48846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7</w:t>
            </w:r>
            <w:r>
              <w:rPr>
                <w:rFonts w:hint="default" w:ascii="Times New Roman" w:hAnsi="Times New Roman" w:eastAsia="黑体" w:cs="Times New Roman"/>
                <w:color w:val="auto"/>
                <w:sz w:val="24"/>
                <w:szCs w:val="24"/>
                <w:highlight w:val="none"/>
                <w:lang w:val="en-US" w:eastAsia="zh-CN"/>
              </w:rPr>
              <w:t>、平面布置及合理性分析</w:t>
            </w:r>
          </w:p>
          <w:p w14:paraId="42F0D2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（1）厂区四至情况</w:t>
            </w:r>
          </w:p>
          <w:p w14:paraId="6F7219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淄博杰发纤维有限公司占地面积</w:t>
            </w:r>
            <w:r>
              <w:rPr>
                <w:rFonts w:hint="eastAsia" w:cs="Times New Roman"/>
                <w:color w:val="auto"/>
                <w:sz w:val="24"/>
                <w:highlight w:val="none"/>
                <w:lang w:val="en-US" w:eastAsia="zh-CN"/>
              </w:rPr>
              <w:t>3480</w:t>
            </w:r>
            <w:r>
              <w:rPr>
                <w:rFonts w:hint="eastAsia" w:ascii="Times New Roman" w:hAnsi="Times New Roman" w:eastAsia="宋体" w:cs="Times New Roman"/>
                <w:color w:val="auto"/>
                <w:sz w:val="24"/>
                <w:highlight w:val="none"/>
                <w:lang w:val="en-US" w:eastAsia="zh-CN"/>
              </w:rPr>
              <w:t>平方米，位于山东省淄博市沂源县张家坡镇政通路88号，其北侧为</w:t>
            </w:r>
            <w:r>
              <w:rPr>
                <w:rFonts w:hint="eastAsia" w:cs="Times New Roman"/>
                <w:color w:val="auto"/>
                <w:sz w:val="24"/>
                <w:highlight w:val="none"/>
                <w:lang w:val="en-US" w:eastAsia="zh-CN"/>
              </w:rPr>
              <w:t>道路</w:t>
            </w:r>
            <w:r>
              <w:rPr>
                <w:rFonts w:hint="eastAsia" w:ascii="Times New Roman" w:hAnsi="Times New Roman" w:eastAsia="宋体" w:cs="Times New Roman"/>
                <w:color w:val="auto"/>
                <w:sz w:val="24"/>
                <w:highlight w:val="none"/>
                <w:lang w:val="en-US" w:eastAsia="zh-CN"/>
              </w:rPr>
              <w:t>，东侧为</w:t>
            </w:r>
            <w:r>
              <w:rPr>
                <w:rFonts w:hint="eastAsia" w:cs="Times New Roman"/>
                <w:color w:val="auto"/>
                <w:sz w:val="24"/>
                <w:highlight w:val="none"/>
                <w:lang w:val="en-US" w:eastAsia="zh-CN"/>
              </w:rPr>
              <w:t>农田</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西侧为闲置房屋，南侧为河道</w:t>
            </w:r>
            <w:r>
              <w:rPr>
                <w:rFonts w:hint="eastAsia" w:ascii="Times New Roman" w:hAnsi="Times New Roman" w:eastAsia="宋体" w:cs="Times New Roman"/>
                <w:color w:val="auto"/>
                <w:sz w:val="24"/>
                <w:highlight w:val="none"/>
                <w:lang w:val="en-US" w:eastAsia="zh-CN"/>
              </w:rPr>
              <w:t>。距离本项目最近的敏感点为厂区</w:t>
            </w:r>
            <w:r>
              <w:rPr>
                <w:rFonts w:hint="eastAsia" w:cs="Times New Roman"/>
                <w:color w:val="auto"/>
                <w:sz w:val="24"/>
                <w:highlight w:val="none"/>
                <w:lang w:val="en-US" w:eastAsia="zh-CN"/>
              </w:rPr>
              <w:t>南侧42</w:t>
            </w:r>
            <w:r>
              <w:rPr>
                <w:rFonts w:hint="eastAsia" w:ascii="Times New Roman" w:hAnsi="Times New Roman" w:eastAsia="宋体" w:cs="Times New Roman"/>
                <w:color w:val="auto"/>
                <w:sz w:val="24"/>
                <w:highlight w:val="none"/>
                <w:lang w:val="en-US" w:eastAsia="zh-CN"/>
              </w:rPr>
              <w:t>m的</w:t>
            </w:r>
            <w:r>
              <w:rPr>
                <w:rFonts w:hint="eastAsia" w:cs="Times New Roman"/>
                <w:color w:val="auto"/>
                <w:sz w:val="24"/>
                <w:highlight w:val="none"/>
                <w:lang w:val="en-US" w:eastAsia="zh-CN"/>
              </w:rPr>
              <w:t>前瓜峪村</w:t>
            </w:r>
            <w:r>
              <w:rPr>
                <w:rFonts w:hint="eastAsia" w:ascii="Times New Roman" w:hAnsi="Times New Roman" w:eastAsia="宋体" w:cs="Times New Roman"/>
                <w:color w:val="auto"/>
                <w:sz w:val="24"/>
                <w:highlight w:val="none"/>
                <w:lang w:val="en-US" w:eastAsia="zh-CN"/>
              </w:rPr>
              <w:t>。项目所在</w:t>
            </w:r>
            <w:r>
              <w:rPr>
                <w:rFonts w:hint="eastAsia" w:cs="Times New Roman"/>
                <w:color w:val="auto"/>
                <w:sz w:val="24"/>
                <w:highlight w:val="none"/>
                <w:lang w:val="en-US" w:eastAsia="zh-CN"/>
              </w:rPr>
              <w:t>位置</w:t>
            </w:r>
            <w:r>
              <w:rPr>
                <w:rFonts w:hint="eastAsia" w:ascii="Times New Roman" w:hAnsi="Times New Roman" w:eastAsia="宋体" w:cs="Times New Roman"/>
                <w:color w:val="auto"/>
                <w:sz w:val="24"/>
                <w:highlight w:val="none"/>
                <w:lang w:val="en-US" w:eastAsia="zh-CN"/>
              </w:rPr>
              <w:t>交通便利。</w:t>
            </w:r>
          </w:p>
          <w:p w14:paraId="243CCF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（2）厂区平面布置图</w:t>
            </w:r>
          </w:p>
          <w:p w14:paraId="63CAEE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项目车间、办公室等构筑物按照需要进行分隔，大门位于厂区</w:t>
            </w:r>
            <w:r>
              <w:rPr>
                <w:rFonts w:hint="eastAsia" w:cs="Times New Roman"/>
                <w:color w:val="auto"/>
                <w:sz w:val="24"/>
                <w:highlight w:val="none"/>
                <w:lang w:val="en-US" w:eastAsia="zh-CN"/>
              </w:rPr>
              <w:t>北</w:t>
            </w:r>
            <w:r>
              <w:rPr>
                <w:rFonts w:hint="default" w:ascii="Times New Roman" w:hAnsi="Times New Roman" w:eastAsia="宋体" w:cs="Times New Roman"/>
                <w:color w:val="auto"/>
                <w:sz w:val="24"/>
                <w:highlight w:val="none"/>
                <w:lang w:val="en-US" w:eastAsia="zh-CN"/>
              </w:rPr>
              <w:t>侧，厂区</w:t>
            </w:r>
            <w:r>
              <w:rPr>
                <w:rFonts w:hint="eastAsia" w:ascii="Times New Roman" w:hAnsi="Times New Roman" w:eastAsia="宋体" w:cs="Times New Roman"/>
                <w:color w:val="auto"/>
                <w:sz w:val="24"/>
                <w:highlight w:val="none"/>
                <w:lang w:val="en-US" w:eastAsia="zh-CN"/>
              </w:rPr>
              <w:t>自</w:t>
            </w:r>
            <w:r>
              <w:rPr>
                <w:rFonts w:hint="eastAsia" w:cs="Times New Roman"/>
                <w:color w:val="auto"/>
                <w:sz w:val="24"/>
                <w:highlight w:val="none"/>
                <w:lang w:val="en-US" w:eastAsia="zh-CN"/>
              </w:rPr>
              <w:t>北</w:t>
            </w:r>
            <w:r>
              <w:rPr>
                <w:rFonts w:hint="eastAsia" w:ascii="Times New Roman" w:hAnsi="Times New Roman" w:eastAsia="宋体" w:cs="Times New Roman"/>
                <w:color w:val="auto"/>
                <w:sz w:val="24"/>
                <w:highlight w:val="none"/>
                <w:lang w:val="en-US" w:eastAsia="zh-CN"/>
              </w:rPr>
              <w:t>向</w:t>
            </w:r>
            <w:r>
              <w:rPr>
                <w:rFonts w:hint="eastAsia" w:cs="Times New Roman"/>
                <w:color w:val="auto"/>
                <w:sz w:val="24"/>
                <w:highlight w:val="none"/>
                <w:lang w:val="en-US" w:eastAsia="zh-CN"/>
              </w:rPr>
              <w:t>南</w:t>
            </w:r>
            <w:r>
              <w:rPr>
                <w:rFonts w:hint="default" w:ascii="Times New Roman" w:hAnsi="Times New Roman" w:eastAsia="宋体" w:cs="Times New Roman"/>
                <w:color w:val="auto"/>
                <w:sz w:val="24"/>
                <w:highlight w:val="none"/>
                <w:lang w:val="en-US" w:eastAsia="zh-CN"/>
              </w:rPr>
              <w:t>依次为</w:t>
            </w:r>
            <w:r>
              <w:rPr>
                <w:rFonts w:hint="eastAsia" w:cs="Times New Roman"/>
                <w:color w:val="auto"/>
                <w:sz w:val="24"/>
                <w:highlight w:val="none"/>
                <w:lang w:val="en-US" w:eastAsia="zh-CN"/>
              </w:rPr>
              <w:t>综合车间</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抽丝车间</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综合车间一楼设置办公室，一楼、二楼为假发、PP带生产车间。抽丝车间一楼为纤维丝生产车间，二楼、三楼为假睫毛生产车间，厂区</w:t>
            </w:r>
            <w:r>
              <w:rPr>
                <w:rFonts w:hint="default" w:ascii="Times New Roman" w:hAnsi="Times New Roman" w:eastAsia="宋体" w:cs="Times New Roman"/>
                <w:color w:val="auto"/>
                <w:sz w:val="24"/>
                <w:highlight w:val="none"/>
                <w:lang w:val="en-US" w:eastAsia="zh-CN"/>
              </w:rPr>
              <w:t>车间、仓库全部进行水泥硬化地面，项目区平面布置满足生产工艺要求，布置基本合理。</w:t>
            </w:r>
          </w:p>
          <w:p w14:paraId="35E78BE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w:t>
            </w:r>
            <w:r>
              <w:rPr>
                <w:rFonts w:hint="eastAsia" w:cs="Times New Roman"/>
                <w:color w:val="auto"/>
                <w:sz w:val="24"/>
                <w:highlight w:val="none"/>
                <w:lang w:val="en-US" w:eastAsia="zh-CN"/>
              </w:rPr>
              <w:t>厂区</w:t>
            </w:r>
            <w:r>
              <w:rPr>
                <w:rFonts w:hint="default" w:ascii="Times New Roman" w:hAnsi="Times New Roman" w:eastAsia="宋体" w:cs="Times New Roman"/>
                <w:color w:val="auto"/>
                <w:sz w:val="24"/>
                <w:highlight w:val="none"/>
                <w:lang w:val="en-US" w:eastAsia="zh-CN"/>
              </w:rPr>
              <w:t>平面布置见附图</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w:t>
            </w:r>
          </w:p>
          <w:p w14:paraId="122A5C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合理性分析</w:t>
            </w:r>
          </w:p>
          <w:p w14:paraId="693570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①</w:t>
            </w:r>
            <w:r>
              <w:rPr>
                <w:rFonts w:hint="default" w:ascii="Times New Roman" w:hAnsi="Times New Roman" w:eastAsia="宋体" w:cs="Times New Roman"/>
                <w:color w:val="auto"/>
                <w:sz w:val="24"/>
                <w:highlight w:val="none"/>
              </w:rPr>
              <w:t>厂区安排合理，空间布置方便工人与运输车辆的进出。</w:t>
            </w:r>
          </w:p>
          <w:p w14:paraId="1ABE420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②</w:t>
            </w:r>
            <w:r>
              <w:rPr>
                <w:rFonts w:hint="default" w:ascii="Times New Roman" w:hAnsi="Times New Roman" w:eastAsia="宋体" w:cs="Times New Roman"/>
                <w:color w:val="auto"/>
                <w:sz w:val="24"/>
                <w:highlight w:val="none"/>
              </w:rPr>
              <w:t>整个厂区布置有利于组织生产、运输路线和管理的布置短捷。生产区、辅助生产区分区明确，工序进行方便。</w:t>
            </w:r>
          </w:p>
          <w:p w14:paraId="0852D7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③</w:t>
            </w:r>
            <w:r>
              <w:rPr>
                <w:rFonts w:hint="default" w:ascii="Times New Roman" w:hAnsi="Times New Roman" w:eastAsia="宋体" w:cs="Times New Roman"/>
                <w:color w:val="auto"/>
                <w:sz w:val="24"/>
                <w:highlight w:val="none"/>
              </w:rPr>
              <w:t>该项目总平面设计在满足生产、消防和管理要求的前提下，本着集约用地、节约用地精神及提高土地使用效率的原则，各项用地指标符合国家关于集约和有效使用土地的政策要求。</w:t>
            </w:r>
          </w:p>
          <w:p w14:paraId="085572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综上所述，该项目平面布置合理。</w:t>
            </w:r>
          </w:p>
          <w:p w14:paraId="0C52558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8</w:t>
            </w:r>
            <w:r>
              <w:rPr>
                <w:rFonts w:hint="default" w:ascii="Times New Roman" w:hAnsi="Times New Roman" w:eastAsia="黑体" w:cs="Times New Roman"/>
                <w:color w:val="auto"/>
                <w:sz w:val="24"/>
                <w:szCs w:val="24"/>
                <w:highlight w:val="none"/>
                <w:lang w:val="en-US" w:eastAsia="zh-CN"/>
              </w:rPr>
              <w:t>、生产制度及职工定员</w:t>
            </w:r>
          </w:p>
          <w:p w14:paraId="3ABF786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本项目劳动定员</w:t>
            </w:r>
            <w:r>
              <w:rPr>
                <w:rFonts w:hint="eastAsia" w:cs="Times New Roman"/>
                <w:color w:val="auto"/>
                <w:sz w:val="24"/>
                <w:highlight w:val="none"/>
                <w:lang w:val="en-US" w:eastAsia="zh-CN"/>
              </w:rPr>
              <w:t>15人</w:t>
            </w:r>
            <w:r>
              <w:rPr>
                <w:rFonts w:hint="default" w:ascii="Times New Roman" w:hAnsi="Times New Roman" w:cs="Times New Roman"/>
                <w:color w:val="auto"/>
                <w:sz w:val="24"/>
                <w:highlight w:val="none"/>
              </w:rPr>
              <w:t>，全年运营</w:t>
            </w:r>
            <w:r>
              <w:rPr>
                <w:rFonts w:hint="eastAsia" w:cs="Times New Roman"/>
                <w:color w:val="auto"/>
                <w:sz w:val="24"/>
                <w:highlight w:val="none"/>
                <w:lang w:val="en-US" w:eastAsia="zh-CN"/>
              </w:rPr>
              <w:t>300天</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三班倒工作制，年工作7200h</w:t>
            </w:r>
            <w:r>
              <w:rPr>
                <w:rFonts w:hint="default" w:ascii="Times New Roman" w:hAnsi="Times New Roman" w:cs="Times New Roman"/>
                <w:color w:val="auto"/>
                <w:sz w:val="24"/>
                <w:highlight w:val="none"/>
              </w:rPr>
              <w:t>。</w:t>
            </w:r>
          </w:p>
          <w:p w14:paraId="572CAF3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9</w:t>
            </w:r>
            <w:r>
              <w:rPr>
                <w:rFonts w:hint="default" w:ascii="Times New Roman" w:hAnsi="Times New Roman" w:eastAsia="黑体" w:cs="Times New Roman"/>
                <w:color w:val="auto"/>
                <w:sz w:val="24"/>
                <w:szCs w:val="24"/>
                <w:highlight w:val="none"/>
                <w:lang w:val="en-US" w:eastAsia="zh-CN"/>
              </w:rPr>
              <w:t>、环保投资</w:t>
            </w:r>
          </w:p>
          <w:p w14:paraId="35BBDC7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本项目总投资</w:t>
            </w:r>
            <w:r>
              <w:rPr>
                <w:rFonts w:hint="eastAsia" w:cs="Times New Roman"/>
                <w:color w:val="auto"/>
                <w:sz w:val="24"/>
                <w:highlight w:val="none"/>
                <w:lang w:val="en-US" w:eastAsia="zh-CN"/>
              </w:rPr>
              <w:t>10100</w:t>
            </w:r>
            <w:r>
              <w:rPr>
                <w:rFonts w:hint="default" w:ascii="Times New Roman" w:hAnsi="Times New Roman" w:cs="Times New Roman"/>
                <w:color w:val="auto"/>
                <w:sz w:val="24"/>
                <w:highlight w:val="none"/>
              </w:rPr>
              <w:t>万元，</w:t>
            </w:r>
            <w:r>
              <w:rPr>
                <w:rFonts w:hint="eastAsia" w:cs="Times New Roman"/>
                <w:color w:val="auto"/>
                <w:sz w:val="24"/>
                <w:highlight w:val="none"/>
                <w:lang w:val="en-US" w:eastAsia="zh-CN"/>
              </w:rPr>
              <w:t>主要用于购置生产设备等。</w:t>
            </w:r>
            <w:r>
              <w:rPr>
                <w:rFonts w:hint="default" w:ascii="Times New Roman" w:hAnsi="Times New Roman" w:cs="Times New Roman"/>
                <w:color w:val="auto"/>
                <w:sz w:val="24"/>
                <w:highlight w:val="none"/>
              </w:rPr>
              <w:t>运营期</w:t>
            </w:r>
            <w:r>
              <w:rPr>
                <w:rFonts w:hint="eastAsia" w:cs="Times New Roman"/>
                <w:color w:val="auto"/>
                <w:sz w:val="24"/>
                <w:highlight w:val="none"/>
                <w:lang w:val="en-US" w:eastAsia="zh-CN"/>
              </w:rPr>
              <w:t>新增</w:t>
            </w:r>
            <w:r>
              <w:rPr>
                <w:rFonts w:hint="default" w:ascii="Times New Roman" w:hAnsi="Times New Roman" w:cs="Times New Roman"/>
                <w:color w:val="auto"/>
                <w:sz w:val="24"/>
                <w:highlight w:val="none"/>
              </w:rPr>
              <w:t>废气</w:t>
            </w:r>
            <w:r>
              <w:rPr>
                <w:rFonts w:hint="eastAsia" w:cs="Times New Roman"/>
                <w:color w:val="auto"/>
                <w:sz w:val="24"/>
                <w:highlight w:val="none"/>
                <w:lang w:eastAsia="zh-CN"/>
              </w:rPr>
              <w:t>、</w:t>
            </w:r>
            <w:r>
              <w:rPr>
                <w:rFonts w:hint="eastAsia" w:cs="Times New Roman"/>
                <w:color w:val="auto"/>
                <w:sz w:val="24"/>
                <w:highlight w:val="none"/>
                <w:lang w:val="en-US" w:eastAsia="zh-CN"/>
              </w:rPr>
              <w:t>废水、噪声</w:t>
            </w:r>
            <w:r>
              <w:rPr>
                <w:rFonts w:hint="default" w:ascii="Times New Roman" w:hAnsi="Times New Roman" w:cs="Times New Roman"/>
                <w:color w:val="auto"/>
                <w:sz w:val="24"/>
                <w:highlight w:val="none"/>
                <w:lang w:eastAsia="zh-CN"/>
              </w:rPr>
              <w:t>、固体废物</w:t>
            </w:r>
            <w:r>
              <w:rPr>
                <w:rFonts w:hint="eastAsia" w:ascii="Times New Roman" w:hAnsi="Times New Roman" w:cs="Times New Roman"/>
                <w:color w:val="auto"/>
                <w:sz w:val="24"/>
                <w:highlight w:val="none"/>
                <w:lang w:eastAsia="zh-CN"/>
              </w:rPr>
              <w:t>等</w:t>
            </w:r>
            <w:r>
              <w:rPr>
                <w:rFonts w:hint="eastAsia" w:cs="Times New Roman"/>
                <w:color w:val="auto"/>
                <w:sz w:val="24"/>
                <w:highlight w:val="none"/>
                <w:lang w:eastAsia="zh-CN"/>
              </w:rPr>
              <w:t>治理</w:t>
            </w:r>
            <w:r>
              <w:rPr>
                <w:rFonts w:hint="eastAsia" w:cs="Times New Roman"/>
                <w:color w:val="auto"/>
                <w:sz w:val="24"/>
                <w:highlight w:val="none"/>
                <w:lang w:val="en-US" w:eastAsia="zh-CN"/>
              </w:rPr>
              <w:t>设施</w:t>
            </w:r>
            <w:r>
              <w:rPr>
                <w:rFonts w:hint="default" w:ascii="Times New Roman" w:hAnsi="Times New Roman" w:cs="Times New Roman"/>
                <w:color w:val="auto"/>
                <w:sz w:val="24"/>
                <w:highlight w:val="none"/>
              </w:rPr>
              <w:t>。项目环保投资情况见下表：</w:t>
            </w:r>
          </w:p>
          <w:p w14:paraId="09044E1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表2-</w:t>
            </w:r>
            <w:r>
              <w:rPr>
                <w:rFonts w:hint="eastAsia" w:eastAsia="黑体" w:cs="Times New Roman"/>
                <w:color w:val="auto"/>
                <w:sz w:val="24"/>
                <w:szCs w:val="24"/>
                <w:highlight w:val="none"/>
                <w:lang w:val="en-US" w:eastAsia="zh-CN"/>
              </w:rPr>
              <w:t>7</w:t>
            </w:r>
            <w:r>
              <w:rPr>
                <w:rFonts w:hint="eastAsia" w:ascii="Times New Roman" w:hAnsi="Times New Roman"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lang w:val="en-US" w:eastAsia="zh-CN"/>
              </w:rPr>
              <w:t>项目环保投资一览表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063"/>
              <w:gridCol w:w="3421"/>
              <w:gridCol w:w="1556"/>
              <w:gridCol w:w="1556"/>
            </w:tblGrid>
            <w:tr w14:paraId="291F7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1A7BC843">
                  <w:pPr>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642" w:type="pct"/>
                  <w:vAlign w:val="center"/>
                </w:tcPr>
                <w:p w14:paraId="4ECAE9E2">
                  <w:pPr>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项目</w:t>
                  </w:r>
                </w:p>
              </w:tc>
              <w:tc>
                <w:tcPr>
                  <w:tcW w:w="2066" w:type="pct"/>
                  <w:vAlign w:val="center"/>
                </w:tcPr>
                <w:p w14:paraId="04827868">
                  <w:pPr>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环保措施</w:t>
                  </w:r>
                </w:p>
              </w:tc>
              <w:tc>
                <w:tcPr>
                  <w:tcW w:w="940" w:type="pct"/>
                  <w:vAlign w:val="center"/>
                </w:tcPr>
                <w:p w14:paraId="081FC2D6">
                  <w:pPr>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投资（万元）</w:t>
                  </w:r>
                </w:p>
              </w:tc>
              <w:tc>
                <w:tcPr>
                  <w:tcW w:w="940" w:type="pct"/>
                  <w:vAlign w:val="center"/>
                </w:tcPr>
                <w:p w14:paraId="72262F22">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eastAsia="zh-CN"/>
                    </w:rPr>
                    <w:t>备注</w:t>
                  </w:r>
                </w:p>
              </w:tc>
            </w:tr>
            <w:tr w14:paraId="33372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6B503E2D">
                  <w:pPr>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w:t>
                  </w:r>
                </w:p>
              </w:tc>
              <w:tc>
                <w:tcPr>
                  <w:tcW w:w="642" w:type="pct"/>
                  <w:shd w:val="clear" w:color="auto" w:fill="auto"/>
                  <w:vAlign w:val="center"/>
                </w:tcPr>
                <w:p w14:paraId="2B610B00">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eastAsia="zh-CN"/>
                    </w:rPr>
                    <w:t>废气治理</w:t>
                  </w:r>
                </w:p>
              </w:tc>
              <w:tc>
                <w:tcPr>
                  <w:tcW w:w="2066" w:type="pct"/>
                  <w:shd w:val="clear" w:color="auto" w:fill="auto"/>
                  <w:vAlign w:val="center"/>
                </w:tcPr>
                <w:p w14:paraId="6CCA0459">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除尘器、二级活性炭吸附装置</w:t>
                  </w:r>
                </w:p>
              </w:tc>
              <w:tc>
                <w:tcPr>
                  <w:tcW w:w="940" w:type="pct"/>
                  <w:shd w:val="clear" w:color="auto" w:fill="auto"/>
                  <w:vAlign w:val="center"/>
                </w:tcPr>
                <w:p w14:paraId="6CF331DB">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w:t>
                  </w:r>
                </w:p>
              </w:tc>
              <w:tc>
                <w:tcPr>
                  <w:tcW w:w="940" w:type="pct"/>
                  <w:shd w:val="clear" w:color="auto" w:fill="auto"/>
                  <w:vAlign w:val="center"/>
                </w:tcPr>
                <w:p w14:paraId="6F7FD1A2">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新增</w:t>
                  </w:r>
                </w:p>
              </w:tc>
            </w:tr>
            <w:tr w14:paraId="55A6D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602DA1E4">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w:t>
                  </w:r>
                </w:p>
              </w:tc>
              <w:tc>
                <w:tcPr>
                  <w:tcW w:w="642" w:type="pct"/>
                  <w:shd w:val="clear" w:color="auto" w:fill="auto"/>
                  <w:vAlign w:val="center"/>
                </w:tcPr>
                <w:p w14:paraId="1591A2EA">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eastAsia="zh-CN"/>
                    </w:rPr>
                    <w:t>废水治理</w:t>
                  </w:r>
                </w:p>
              </w:tc>
              <w:tc>
                <w:tcPr>
                  <w:tcW w:w="2066" w:type="pct"/>
                  <w:shd w:val="clear" w:color="auto" w:fill="auto"/>
                  <w:vAlign w:val="center"/>
                </w:tcPr>
                <w:p w14:paraId="031F554B">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防渗化粪池</w:t>
                  </w:r>
                  <w:r>
                    <w:rPr>
                      <w:rFonts w:hint="eastAsia" w:cs="Times New Roman"/>
                      <w:b w:val="0"/>
                      <w:bCs w:val="0"/>
                      <w:color w:val="auto"/>
                      <w:sz w:val="21"/>
                      <w:szCs w:val="21"/>
                      <w:highlight w:val="none"/>
                      <w:lang w:eastAsia="zh-CN"/>
                    </w:rPr>
                    <w:t>、</w:t>
                  </w:r>
                  <w:r>
                    <w:rPr>
                      <w:rFonts w:hint="eastAsia" w:cs="Times New Roman"/>
                      <w:b w:val="0"/>
                      <w:bCs w:val="0"/>
                      <w:color w:val="auto"/>
                      <w:sz w:val="21"/>
                      <w:szCs w:val="21"/>
                      <w:highlight w:val="none"/>
                      <w:lang w:val="en-US" w:eastAsia="zh-CN"/>
                    </w:rPr>
                    <w:t>沉淀池</w:t>
                  </w:r>
                </w:p>
              </w:tc>
              <w:tc>
                <w:tcPr>
                  <w:tcW w:w="940" w:type="pct"/>
                  <w:shd w:val="clear" w:color="auto" w:fill="auto"/>
                  <w:vAlign w:val="center"/>
                </w:tcPr>
                <w:p w14:paraId="02721269">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w:t>
                  </w:r>
                </w:p>
              </w:tc>
              <w:tc>
                <w:tcPr>
                  <w:tcW w:w="940" w:type="pct"/>
                  <w:shd w:val="clear" w:color="auto" w:fill="auto"/>
                  <w:vAlign w:val="center"/>
                </w:tcPr>
                <w:p w14:paraId="7CFAD456">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新增</w:t>
                  </w:r>
                </w:p>
              </w:tc>
            </w:tr>
            <w:tr w14:paraId="2B736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5949DC7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w:t>
                  </w:r>
                </w:p>
              </w:tc>
              <w:tc>
                <w:tcPr>
                  <w:tcW w:w="642" w:type="pct"/>
                  <w:shd w:val="clear" w:color="auto" w:fill="auto"/>
                  <w:vAlign w:val="center"/>
                </w:tcPr>
                <w:p w14:paraId="4ED43E73">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eastAsia="zh-CN"/>
                    </w:rPr>
                    <w:t>噪声治理</w:t>
                  </w:r>
                </w:p>
              </w:tc>
              <w:tc>
                <w:tcPr>
                  <w:tcW w:w="2066" w:type="pct"/>
                  <w:shd w:val="clear" w:color="auto" w:fill="auto"/>
                  <w:vAlign w:val="center"/>
                </w:tcPr>
                <w:p w14:paraId="2C5EE207">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隔声、减振设施等</w:t>
                  </w:r>
                </w:p>
              </w:tc>
              <w:tc>
                <w:tcPr>
                  <w:tcW w:w="940" w:type="pct"/>
                  <w:shd w:val="clear" w:color="auto" w:fill="auto"/>
                  <w:vAlign w:val="center"/>
                </w:tcPr>
                <w:p w14:paraId="66CE588A">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2</w:t>
                  </w:r>
                </w:p>
              </w:tc>
              <w:tc>
                <w:tcPr>
                  <w:tcW w:w="940" w:type="pct"/>
                  <w:shd w:val="clear" w:color="auto" w:fill="auto"/>
                  <w:vAlign w:val="center"/>
                </w:tcPr>
                <w:p w14:paraId="192312B0">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新增</w:t>
                  </w:r>
                </w:p>
              </w:tc>
            </w:tr>
            <w:tr w14:paraId="3CB07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5476E8F4">
                  <w:pPr>
                    <w:ind w:left="0" w:leftChars="0" w:right="0" w:righ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4</w:t>
                  </w:r>
                </w:p>
              </w:tc>
              <w:tc>
                <w:tcPr>
                  <w:tcW w:w="642" w:type="pct"/>
                  <w:shd w:val="clear" w:color="auto" w:fill="auto"/>
                  <w:vAlign w:val="center"/>
                </w:tcPr>
                <w:p w14:paraId="0463B3E1">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eastAsia="zh-CN"/>
                    </w:rPr>
                    <w:t>固废治理</w:t>
                  </w:r>
                </w:p>
              </w:tc>
              <w:tc>
                <w:tcPr>
                  <w:tcW w:w="2066" w:type="pct"/>
                  <w:shd w:val="clear" w:color="auto" w:fill="auto"/>
                  <w:vAlign w:val="center"/>
                </w:tcPr>
                <w:p w14:paraId="4A882C5A">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危废间</w:t>
                  </w:r>
                  <w:r>
                    <w:rPr>
                      <w:rFonts w:hint="default" w:ascii="Times New Roman" w:hAnsi="Times New Roman" w:cs="Times New Roman"/>
                      <w:b w:val="0"/>
                      <w:bCs w:val="0"/>
                      <w:color w:val="auto"/>
                      <w:sz w:val="21"/>
                      <w:szCs w:val="21"/>
                      <w:highlight w:val="none"/>
                    </w:rPr>
                    <w:t>等</w:t>
                  </w:r>
                </w:p>
              </w:tc>
              <w:tc>
                <w:tcPr>
                  <w:tcW w:w="940" w:type="pct"/>
                  <w:shd w:val="clear" w:color="auto" w:fill="auto"/>
                  <w:vAlign w:val="center"/>
                </w:tcPr>
                <w:p w14:paraId="6EFFE346">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2</w:t>
                  </w:r>
                </w:p>
              </w:tc>
              <w:tc>
                <w:tcPr>
                  <w:tcW w:w="940" w:type="pct"/>
                  <w:shd w:val="clear" w:color="auto" w:fill="auto"/>
                  <w:vAlign w:val="center"/>
                </w:tcPr>
                <w:p w14:paraId="36629200">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新增</w:t>
                  </w:r>
                </w:p>
              </w:tc>
            </w:tr>
            <w:tr w14:paraId="765BD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19" w:type="pct"/>
                  <w:gridSpan w:val="3"/>
                  <w:vAlign w:val="center"/>
                </w:tcPr>
                <w:p w14:paraId="4F63F86A">
                  <w:pPr>
                    <w:ind w:left="0" w:leftChars="0" w:right="0" w:righ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合计</w:t>
                  </w:r>
                </w:p>
              </w:tc>
              <w:tc>
                <w:tcPr>
                  <w:tcW w:w="940" w:type="pct"/>
                  <w:shd w:val="clear" w:color="auto" w:fill="auto"/>
                  <w:vAlign w:val="center"/>
                </w:tcPr>
                <w:p w14:paraId="03EF9AD9">
                  <w:pPr>
                    <w:ind w:left="0" w:leftChars="0" w:right="0" w:rightChars="0" w:firstLine="0" w:firstLineChars="0"/>
                    <w:jc w:val="center"/>
                    <w:rPr>
                      <w:rFonts w:hint="default"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15</w:t>
                  </w:r>
                </w:p>
              </w:tc>
              <w:tc>
                <w:tcPr>
                  <w:tcW w:w="940" w:type="pct"/>
                  <w:shd w:val="clear" w:color="auto" w:fill="auto"/>
                  <w:vAlign w:val="center"/>
                </w:tcPr>
                <w:p w14:paraId="7C9FA947">
                  <w:pPr>
                    <w:ind w:left="0" w:leftChars="0" w:right="0" w:righ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r>
          </w:tbl>
          <w:p w14:paraId="69524E74">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both"/>
              <w:textAlignment w:val="auto"/>
              <w:rPr>
                <w:rFonts w:hint="eastAsia"/>
                <w:color w:val="auto"/>
                <w:lang w:val="en-US" w:eastAsia="zh-CN"/>
              </w:rPr>
            </w:pPr>
          </w:p>
        </w:tc>
      </w:tr>
      <w:tr w14:paraId="7F49CE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17" w:hRule="atLeast"/>
        </w:trPr>
        <w:tc>
          <w:tcPr>
            <w:tcW w:w="308" w:type="pct"/>
            <w:shd w:val="clear" w:color="auto" w:fill="auto"/>
            <w:vAlign w:val="center"/>
          </w:tcPr>
          <w:p w14:paraId="3E5B6B40">
            <w:pPr>
              <w:pStyle w:val="23"/>
              <w:adjustRightInd w:val="0"/>
              <w:snapToGrid w:val="0"/>
              <w:spacing w:before="0" w:beforeAutospacing="0" w:after="0" w:afterAutospacing="0"/>
              <w:jc w:val="center"/>
              <w:rPr>
                <w:rFonts w:hint="default" w:ascii="Times New Roman" w:hAnsi="Times New Roman" w:eastAsia="宋体" w:cs="Times New Roman"/>
                <w:color w:val="auto"/>
                <w:kern w:val="0"/>
                <w:sz w:val="21"/>
                <w:szCs w:val="21"/>
                <w:highlight w:val="none"/>
                <w:lang w:val="en-US" w:eastAsia="zh-CN" w:bidi="ar-SA"/>
              </w:rPr>
            </w:pPr>
            <w:r>
              <w:rPr>
                <w:rFonts w:hint="default" w:ascii="黑体" w:hAnsi="黑体" w:eastAsia="黑体" w:cs="黑体"/>
                <w:color w:val="auto"/>
                <w:sz w:val="24"/>
                <w:szCs w:val="24"/>
                <w:highlight w:val="none"/>
                <w:lang w:val="en-US" w:eastAsia="zh-CN"/>
              </w:rPr>
              <w:t>工艺流程和产排污环节</w:t>
            </w:r>
          </w:p>
        </w:tc>
        <w:tc>
          <w:tcPr>
            <w:tcW w:w="4691" w:type="pct"/>
            <w:shd w:val="clear" w:color="auto" w:fill="auto"/>
            <w:vAlign w:val="top"/>
          </w:tcPr>
          <w:p w14:paraId="3091D924">
            <w:pPr>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eastAsia" w:ascii="Times New Roman" w:hAnsi="Times New Roman" w:eastAsia="宋体" w:cs="Times New Roman"/>
                <w:b w:val="0"/>
                <w:bCs w:val="0"/>
                <w:color w:val="auto"/>
                <w:sz w:val="24"/>
                <w:highlight w:val="none"/>
                <w:lang w:eastAsia="zh-CN"/>
              </w:rPr>
            </w:pPr>
            <w:r>
              <w:rPr>
                <w:rFonts w:hint="default" w:ascii="Times New Roman" w:hAnsi="Times New Roman" w:eastAsia="宋体" w:cs="Times New Roman"/>
                <w:b w:val="0"/>
                <w:bCs w:val="0"/>
                <w:color w:val="auto"/>
                <w:sz w:val="24"/>
                <w:highlight w:val="none"/>
              </w:rPr>
              <w:t>本工程建设内容对环境影响时段包括工程施工期及运营期两个时段</w:t>
            </w:r>
            <w:r>
              <w:rPr>
                <w:rFonts w:hint="eastAsia" w:ascii="Times New Roman" w:hAnsi="Times New Roman" w:eastAsia="宋体" w:cs="Times New Roman"/>
                <w:b w:val="0"/>
                <w:bCs w:val="0"/>
                <w:color w:val="auto"/>
                <w:sz w:val="24"/>
                <w:highlight w:val="none"/>
                <w:lang w:eastAsia="zh-CN"/>
              </w:rPr>
              <w:t>，分述如下。</w:t>
            </w:r>
          </w:p>
          <w:p w14:paraId="4F76359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一、施工期</w:t>
            </w:r>
          </w:p>
          <w:p w14:paraId="7BDFB4F1">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eastAsia" w:cs="Times New Roman"/>
                <w:color w:val="auto"/>
                <w:sz w:val="24"/>
                <w:szCs w:val="24"/>
                <w:highlight w:val="none"/>
                <w:lang w:eastAsia="zh-CN"/>
              </w:rPr>
              <w:t>本项目租赁已建成</w:t>
            </w:r>
            <w:r>
              <w:rPr>
                <w:rFonts w:hint="eastAsia" w:ascii="Times New Roman" w:hAnsi="Times New Roman" w:eastAsia="宋体" w:cs="Times New Roman"/>
                <w:color w:val="auto"/>
                <w:sz w:val="24"/>
                <w:szCs w:val="24"/>
                <w:highlight w:val="none"/>
                <w:lang w:val="en-US" w:eastAsia="zh-CN"/>
              </w:rPr>
              <w:t>厂房，</w:t>
            </w:r>
            <w:r>
              <w:rPr>
                <w:rFonts w:hint="eastAsia" w:ascii="Times New Roman" w:hAnsi="Times New Roman" w:cs="Times New Roman"/>
                <w:color w:val="auto"/>
                <w:sz w:val="24"/>
                <w:szCs w:val="24"/>
                <w:highlight w:val="none"/>
                <w:lang w:eastAsia="zh-CN"/>
              </w:rPr>
              <w:t>无土建施工</w:t>
            </w:r>
            <w:r>
              <w:rPr>
                <w:rFonts w:hint="eastAsia" w:ascii="Times New Roman" w:hAnsi="Times New Roman" w:eastAsia="宋体" w:cs="Times New Roman"/>
                <w:color w:val="auto"/>
                <w:sz w:val="24"/>
                <w:szCs w:val="24"/>
                <w:highlight w:val="none"/>
                <w:lang w:eastAsia="zh-CN"/>
              </w:rPr>
              <w:t>，施工期主要进行设备安装和调试，</w:t>
            </w:r>
            <w:r>
              <w:rPr>
                <w:rFonts w:hint="eastAsia" w:ascii="Times New Roman" w:hAnsi="Times New Roman" w:eastAsia="宋体" w:cs="Times New Roman"/>
                <w:color w:val="auto"/>
                <w:sz w:val="24"/>
                <w:szCs w:val="24"/>
                <w:highlight w:val="none"/>
              </w:rPr>
              <w:t>本次环评不再进行施工期环境影响分析。</w:t>
            </w:r>
          </w:p>
          <w:p w14:paraId="4DD4FDF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二</w:t>
            </w:r>
            <w:r>
              <w:rPr>
                <w:rFonts w:hint="default" w:ascii="Times New Roman" w:hAnsi="Times New Roman" w:eastAsia="黑体" w:cs="Times New Roman"/>
                <w:color w:val="auto"/>
                <w:sz w:val="24"/>
                <w:szCs w:val="24"/>
                <w:highlight w:val="none"/>
                <w:lang w:val="en-US" w:eastAsia="zh-CN"/>
              </w:rPr>
              <w:t>、</w:t>
            </w:r>
            <w:r>
              <w:rPr>
                <w:rFonts w:hint="eastAsia" w:ascii="Times New Roman" w:hAnsi="Times New Roman" w:eastAsia="黑体" w:cs="Times New Roman"/>
                <w:color w:val="auto"/>
                <w:sz w:val="24"/>
                <w:szCs w:val="24"/>
                <w:highlight w:val="none"/>
                <w:lang w:val="en-US" w:eastAsia="zh-CN"/>
              </w:rPr>
              <w:t>运营</w:t>
            </w:r>
            <w:r>
              <w:rPr>
                <w:rFonts w:hint="default" w:ascii="Times New Roman" w:hAnsi="Times New Roman" w:eastAsia="黑体" w:cs="Times New Roman"/>
                <w:color w:val="auto"/>
                <w:sz w:val="24"/>
                <w:szCs w:val="24"/>
                <w:highlight w:val="none"/>
                <w:lang w:val="en-US" w:eastAsia="zh-CN"/>
              </w:rPr>
              <w:t>期</w:t>
            </w:r>
          </w:p>
          <w:p w14:paraId="69FDF5E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（一）工艺流程</w:t>
            </w:r>
            <w:r>
              <w:rPr>
                <w:rFonts w:hint="eastAsia" w:eastAsia="黑体" w:cs="Times New Roman"/>
                <w:color w:val="auto"/>
                <w:sz w:val="24"/>
                <w:szCs w:val="24"/>
                <w:highlight w:val="none"/>
                <w:lang w:val="en-US" w:eastAsia="zh-CN"/>
              </w:rPr>
              <w:t>图</w:t>
            </w:r>
          </w:p>
          <w:p w14:paraId="6F5EC041">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纤维丝</w:t>
            </w:r>
            <w:r>
              <w:rPr>
                <w:rFonts w:hint="eastAsia" w:ascii="Times New Roman" w:hAnsi="Times New Roman" w:eastAsia="宋体" w:cs="Times New Roman"/>
                <w:color w:val="auto"/>
                <w:sz w:val="24"/>
                <w:highlight w:val="none"/>
                <w:lang w:val="en-US" w:eastAsia="zh-CN"/>
              </w:rPr>
              <w:t>生产工艺流程图</w:t>
            </w:r>
            <w:r>
              <w:rPr>
                <w:rFonts w:hint="default" w:ascii="Times New Roman" w:hAnsi="Times New Roman" w:eastAsia="宋体" w:cs="Times New Roman"/>
                <w:color w:val="auto"/>
                <w:sz w:val="24"/>
                <w:highlight w:val="none"/>
                <w:lang w:val="en-US" w:eastAsia="zh-CN"/>
              </w:rPr>
              <w:t>见图</w:t>
            </w:r>
            <w:r>
              <w:rPr>
                <w:rFonts w:hint="eastAsia" w:ascii="Times New Roman" w:hAnsi="Times New Roman" w:eastAsia="宋体" w:cs="Times New Roman"/>
                <w:color w:val="auto"/>
                <w:sz w:val="24"/>
                <w:highlight w:val="none"/>
                <w:lang w:val="en-US" w:eastAsia="zh-CN"/>
              </w:rPr>
              <w:t>2-2，</w:t>
            </w:r>
            <w:r>
              <w:rPr>
                <w:rFonts w:hint="eastAsia" w:cs="Times New Roman"/>
                <w:color w:val="auto"/>
                <w:sz w:val="24"/>
                <w:highlight w:val="none"/>
                <w:lang w:val="en-US" w:eastAsia="zh-CN"/>
              </w:rPr>
              <w:t>假发生产</w:t>
            </w:r>
            <w:r>
              <w:rPr>
                <w:rFonts w:hint="eastAsia" w:ascii="Times New Roman" w:hAnsi="Times New Roman" w:eastAsia="宋体" w:cs="Times New Roman"/>
                <w:color w:val="auto"/>
                <w:sz w:val="24"/>
                <w:highlight w:val="none"/>
                <w:lang w:val="en-US" w:eastAsia="zh-CN"/>
              </w:rPr>
              <w:t>工艺流程图见图2-3，</w:t>
            </w:r>
            <w:r>
              <w:rPr>
                <w:rFonts w:hint="eastAsia" w:cs="Times New Roman"/>
                <w:color w:val="auto"/>
                <w:sz w:val="24"/>
                <w:highlight w:val="none"/>
                <w:lang w:val="en-US" w:eastAsia="zh-CN"/>
              </w:rPr>
              <w:t>假睫毛生产</w:t>
            </w:r>
            <w:r>
              <w:rPr>
                <w:rFonts w:hint="eastAsia" w:ascii="Times New Roman" w:hAnsi="Times New Roman" w:eastAsia="宋体" w:cs="Times New Roman"/>
                <w:color w:val="auto"/>
                <w:sz w:val="24"/>
                <w:highlight w:val="none"/>
                <w:lang w:val="en-US" w:eastAsia="zh-CN"/>
              </w:rPr>
              <w:t>工艺流程图见图2-4</w:t>
            </w:r>
            <w:r>
              <w:rPr>
                <w:rFonts w:hint="eastAsia" w:cs="Times New Roman"/>
                <w:color w:val="auto"/>
                <w:sz w:val="24"/>
                <w:highlight w:val="none"/>
                <w:lang w:val="en-US" w:eastAsia="zh-CN"/>
              </w:rPr>
              <w:t>，PP带生产工艺流程图见图2-5.</w:t>
            </w:r>
          </w:p>
          <w:p w14:paraId="29790A5E">
            <w:pPr>
              <w:adjustRightInd w:val="0"/>
              <w:snapToGrid w:val="0"/>
              <w:rPr>
                <w:rFonts w:hint="eastAsia" w:ascii="Times New Roman" w:hAnsi="Times New Roman"/>
                <w:color w:val="auto"/>
                <w:lang w:eastAsia="zh-CN"/>
              </w:rPr>
            </w:pPr>
            <w:r>
              <w:rPr>
                <w:rFonts w:hint="eastAsia" w:ascii="Times New Roman" w:hAnsi="Times New Roman"/>
                <w:color w:val="auto"/>
                <w:lang w:eastAsia="zh-CN"/>
              </w:rPr>
              <w:object>
                <v:shape id="_x0000_i1026" o:spt="75" type="#_x0000_t75" style="height:171.35pt;width:427.7pt;" o:ole="t" filled="f" o:preferrelative="t" stroked="f" coordsize="21600,21600">
                  <v:path/>
                  <v:fill on="f" focussize="0,0"/>
                  <v:stroke on="f"/>
                  <v:imagedata r:id="rId9" o:title=""/>
                  <o:lock v:ext="edit" aspectratio="f"/>
                  <w10:wrap type="none"/>
                  <w10:anchorlock/>
                </v:shape>
                <o:OLEObject Type="Embed" ProgID="Visio.Drawing.15" ShapeID="_x0000_i1026" DrawAspect="Content" ObjectID="_1468075726" r:id="rId8">
                  <o:LockedField>false</o:LockedField>
                </o:OLEObject>
              </w:object>
            </w:r>
          </w:p>
          <w:p w14:paraId="0B018C1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color w:val="auto"/>
                <w:lang w:eastAsia="zh-CN"/>
              </w:rPr>
            </w:pPr>
            <w:r>
              <w:rPr>
                <w:rFonts w:hint="default" w:ascii="Times New Roman" w:hAnsi="Times New Roman" w:eastAsia="黑体" w:cs="Times New Roman"/>
                <w:color w:val="auto"/>
                <w:sz w:val="24"/>
                <w:szCs w:val="24"/>
                <w:highlight w:val="none"/>
                <w:lang w:val="en-US" w:eastAsia="zh-CN"/>
              </w:rPr>
              <w:t>图2-</w:t>
            </w:r>
            <w:r>
              <w:rPr>
                <w:rFonts w:hint="eastAsia" w:eastAsia="黑体" w:cs="Times New Roman"/>
                <w:color w:val="auto"/>
                <w:sz w:val="24"/>
                <w:szCs w:val="24"/>
                <w:highlight w:val="none"/>
                <w:lang w:val="en-US" w:eastAsia="zh-CN"/>
              </w:rPr>
              <w:t>2</w:t>
            </w:r>
            <w:r>
              <w:rPr>
                <w:rFonts w:hint="eastAsia" w:ascii="Times New Roman" w:hAnsi="Times New Roman" w:eastAsia="黑体" w:cs="Times New Roman"/>
                <w:color w:val="auto"/>
                <w:sz w:val="24"/>
                <w:szCs w:val="24"/>
                <w:highlight w:val="none"/>
                <w:lang w:val="en-US" w:eastAsia="zh-CN"/>
              </w:rPr>
              <w:t xml:space="preserve"> 纤维丝</w:t>
            </w:r>
            <w:r>
              <w:rPr>
                <w:rFonts w:hint="default" w:ascii="Times New Roman" w:hAnsi="Times New Roman" w:eastAsia="黑体" w:cs="Times New Roman"/>
                <w:color w:val="auto"/>
                <w:sz w:val="24"/>
                <w:szCs w:val="24"/>
                <w:highlight w:val="none"/>
                <w:lang w:val="en-US" w:eastAsia="zh-CN"/>
              </w:rPr>
              <w:t>生产工艺流程及产污环节图</w:t>
            </w:r>
            <w:r>
              <w:rPr>
                <w:rFonts w:hint="eastAsia" w:ascii="Times New Roman" w:hAnsi="Times New Roman"/>
                <w:color w:val="auto"/>
                <w:lang w:eastAsia="zh-CN"/>
              </w:rPr>
              <w:object>
                <v:shape id="_x0000_i1027" o:spt="75" type="#_x0000_t75" style="height:101.25pt;width:438.45pt;" o:ole="t" filled="f" o:preferrelative="t" stroked="f" coordsize="21600,21600">
                  <v:path/>
                  <v:fill on="f" focussize="0,0"/>
                  <v:stroke on="f"/>
                  <v:imagedata r:id="rId11" o:title=""/>
                  <o:lock v:ext="edit" aspectratio="f"/>
                  <w10:wrap type="none"/>
                  <w10:anchorlock/>
                </v:shape>
                <o:OLEObject Type="Embed" ProgID="Visio.Drawing.15" ShapeID="_x0000_i1027" DrawAspect="Content" ObjectID="_1468075727" r:id="rId10">
                  <o:LockedField>false</o:LockedField>
                </o:OLEObject>
              </w:object>
            </w:r>
          </w:p>
          <w:p w14:paraId="7C315E5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图2-</w:t>
            </w:r>
            <w:r>
              <w:rPr>
                <w:rFonts w:hint="eastAsia" w:eastAsia="黑体" w:cs="Times New Roman"/>
                <w:color w:val="auto"/>
                <w:sz w:val="24"/>
                <w:szCs w:val="24"/>
                <w:highlight w:val="none"/>
                <w:lang w:val="en-US" w:eastAsia="zh-CN"/>
              </w:rPr>
              <w:t>3</w:t>
            </w:r>
            <w:r>
              <w:rPr>
                <w:rFonts w:hint="eastAsia" w:ascii="Times New Roman" w:hAnsi="Times New Roman" w:eastAsia="黑体" w:cs="Times New Roman"/>
                <w:color w:val="auto"/>
                <w:sz w:val="24"/>
                <w:szCs w:val="24"/>
                <w:highlight w:val="none"/>
                <w:lang w:val="en-US" w:eastAsia="zh-CN"/>
              </w:rPr>
              <w:t xml:space="preserve"> </w:t>
            </w:r>
            <w:r>
              <w:rPr>
                <w:rFonts w:hint="eastAsia" w:eastAsia="黑体" w:cs="Times New Roman"/>
                <w:color w:val="auto"/>
                <w:sz w:val="24"/>
                <w:szCs w:val="24"/>
                <w:highlight w:val="none"/>
                <w:lang w:val="en-US" w:eastAsia="zh-CN"/>
              </w:rPr>
              <w:t>假发辫子</w:t>
            </w:r>
            <w:r>
              <w:rPr>
                <w:rFonts w:hint="default" w:ascii="Times New Roman" w:hAnsi="Times New Roman" w:eastAsia="黑体" w:cs="Times New Roman"/>
                <w:color w:val="auto"/>
                <w:sz w:val="24"/>
                <w:szCs w:val="24"/>
                <w:highlight w:val="none"/>
                <w:lang w:val="en-US" w:eastAsia="zh-CN"/>
              </w:rPr>
              <w:t>工艺流程及产污环节图</w:t>
            </w:r>
            <w:r>
              <w:rPr>
                <w:rFonts w:hint="eastAsia" w:ascii="Times New Roman" w:hAnsi="Times New Roman"/>
                <w:color w:val="auto"/>
                <w:lang w:eastAsia="zh-CN"/>
              </w:rPr>
              <w:object>
                <v:shape id="_x0000_i1028" o:spt="75" type="#_x0000_t75" style="height:69.45pt;width:435.95pt;" o:ole="t" filled="f" o:preferrelative="t" stroked="f" coordsize="21600,21600">
                  <v:path/>
                  <v:fill on="f" focussize="0,0"/>
                  <v:stroke on="f"/>
                  <v:imagedata r:id="rId13" o:title=""/>
                  <o:lock v:ext="edit" aspectratio="f"/>
                  <w10:wrap type="none"/>
                  <w10:anchorlock/>
                </v:shape>
                <o:OLEObject Type="Embed" ProgID="Visio.Drawing.15" ShapeID="_x0000_i1028" DrawAspect="Content" ObjectID="_1468075728" r:id="rId12">
                  <o:LockedField>false</o:LockedField>
                </o:OLEObject>
              </w:object>
            </w:r>
            <w:r>
              <w:rPr>
                <w:rFonts w:hint="eastAsia" w:ascii="Times New Roman" w:hAnsi="Times New Roman" w:eastAsia="宋体" w:cs="宋体"/>
                <w:b/>
                <w:color w:val="auto"/>
                <w:kern w:val="2"/>
                <w:sz w:val="18"/>
                <w:szCs w:val="18"/>
                <w:lang w:val="en-US" w:eastAsia="zh-CN" w:bidi="ar-SA"/>
              </w:rPr>
              <w:object>
                <v:shape id="_x0000_i1029" o:spt="75" type="#_x0000_t75" style="height:0pt;width:0.05pt;" o:ole="t" filled="f" o:preferrelative="t" stroked="f" coordsize="21600,21600">
                  <v:path/>
                  <v:fill on="f" focussize="0,0"/>
                  <v:stroke on="f"/>
                  <v:imagedata r:id="rId15" o:title=""/>
                  <o:lock v:ext="edit" aspectratio="f"/>
                  <w10:wrap type="none"/>
                  <w10:anchorlock/>
                </v:shape>
                <o:OLEObject Type="Embed" ProgID="Visio.Drawing.15" ShapeID="_x0000_i1029" DrawAspect="Content" ObjectID="_1468075729" r:id="rId14">
                  <o:LockedField>false</o:LockedField>
                </o:OLEObject>
              </w:object>
            </w:r>
            <w:r>
              <w:rPr>
                <w:rFonts w:hint="default" w:ascii="Times New Roman" w:hAnsi="Times New Roman" w:eastAsia="黑体" w:cs="Times New Roman"/>
                <w:color w:val="auto"/>
                <w:sz w:val="24"/>
                <w:szCs w:val="24"/>
                <w:highlight w:val="none"/>
                <w:lang w:val="en-US" w:eastAsia="zh-CN"/>
              </w:rPr>
              <w:t>图2-</w:t>
            </w:r>
            <w:r>
              <w:rPr>
                <w:rFonts w:hint="eastAsia" w:eastAsia="黑体" w:cs="Times New Roman"/>
                <w:color w:val="auto"/>
                <w:sz w:val="24"/>
                <w:szCs w:val="24"/>
                <w:highlight w:val="none"/>
                <w:lang w:val="en-US" w:eastAsia="zh-CN"/>
              </w:rPr>
              <w:t>4</w:t>
            </w:r>
            <w:r>
              <w:rPr>
                <w:rFonts w:hint="eastAsia" w:ascii="Times New Roman" w:hAnsi="Times New Roman" w:eastAsia="黑体" w:cs="Times New Roman"/>
                <w:color w:val="auto"/>
                <w:sz w:val="24"/>
                <w:szCs w:val="24"/>
                <w:highlight w:val="none"/>
                <w:lang w:val="en-US" w:eastAsia="zh-CN"/>
              </w:rPr>
              <w:t xml:space="preserve"> </w:t>
            </w:r>
            <w:r>
              <w:rPr>
                <w:rFonts w:hint="eastAsia" w:eastAsia="黑体" w:cs="Times New Roman"/>
                <w:color w:val="auto"/>
                <w:sz w:val="24"/>
                <w:szCs w:val="24"/>
                <w:highlight w:val="none"/>
                <w:lang w:val="en-US" w:eastAsia="zh-CN"/>
              </w:rPr>
              <w:t>假睫毛丝</w:t>
            </w:r>
            <w:r>
              <w:rPr>
                <w:rFonts w:hint="default" w:ascii="Times New Roman" w:hAnsi="Times New Roman" w:eastAsia="黑体" w:cs="Times New Roman"/>
                <w:color w:val="auto"/>
                <w:sz w:val="24"/>
                <w:szCs w:val="24"/>
                <w:highlight w:val="none"/>
                <w:lang w:val="en-US" w:eastAsia="zh-CN"/>
              </w:rPr>
              <w:t>生产工艺流程及产污环节图</w:t>
            </w:r>
          </w:p>
          <w:p w14:paraId="10CB8D0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color w:val="auto"/>
                <w:lang w:eastAsia="zh-CN"/>
              </w:rPr>
              <w:object>
                <v:shape id="_x0000_i1030" o:spt="75" type="#_x0000_t75" style="height:88pt;width:357.65pt;" o:ole="t" filled="f" o:preferrelative="t" stroked="f" coordsize="21600,21600">
                  <v:path/>
                  <v:fill on="f" focussize="0,0"/>
                  <v:stroke on="f"/>
                  <v:imagedata r:id="rId17" o:title=""/>
                  <o:lock v:ext="edit" aspectratio="f"/>
                  <w10:wrap type="none"/>
                  <w10:anchorlock/>
                </v:shape>
                <o:OLEObject Type="Embed" ProgID="Visio.Drawing.15" ShapeID="_x0000_i1030" DrawAspect="Content" ObjectID="_1468075730" r:id="rId16">
                  <o:LockedField>false</o:LockedField>
                </o:OLEObject>
              </w:object>
            </w:r>
          </w:p>
          <w:p w14:paraId="75938A6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宋体" w:cs="宋体"/>
                <w:b/>
                <w:color w:val="auto"/>
                <w:kern w:val="2"/>
                <w:sz w:val="18"/>
                <w:szCs w:val="18"/>
                <w:lang w:val="en-US" w:eastAsia="zh-CN" w:bidi="ar-SA"/>
              </w:rPr>
              <w:object>
                <v:shape id="_x0000_i1031" o:spt="75" type="#_x0000_t75" style="height:0pt;width:0.05pt;" o:ole="t" filled="f" o:preferrelative="t" stroked="f" coordsize="21600,21600">
                  <v:path/>
                  <v:fill on="f" focussize="0,0"/>
                  <v:stroke on="f"/>
                  <v:imagedata r:id="rId15" o:title=""/>
                  <o:lock v:ext="edit" aspectratio="f"/>
                  <w10:wrap type="none"/>
                  <w10:anchorlock/>
                </v:shape>
                <o:OLEObject Type="Embed" ProgID="Visio.Drawing.15" ShapeID="_x0000_i1031" DrawAspect="Content" ObjectID="_1468075731" r:id="rId18">
                  <o:LockedField>false</o:LockedField>
                </o:OLEObject>
              </w:object>
            </w:r>
            <w:r>
              <w:rPr>
                <w:rFonts w:hint="default" w:ascii="Times New Roman" w:hAnsi="Times New Roman" w:eastAsia="黑体" w:cs="Times New Roman"/>
                <w:color w:val="auto"/>
                <w:sz w:val="24"/>
                <w:szCs w:val="24"/>
                <w:highlight w:val="none"/>
                <w:lang w:val="en-US" w:eastAsia="zh-CN"/>
              </w:rPr>
              <w:t>图2-</w:t>
            </w:r>
            <w:r>
              <w:rPr>
                <w:rFonts w:hint="eastAsia" w:eastAsia="黑体" w:cs="Times New Roman"/>
                <w:color w:val="auto"/>
                <w:sz w:val="24"/>
                <w:szCs w:val="24"/>
                <w:highlight w:val="none"/>
                <w:lang w:val="en-US" w:eastAsia="zh-CN"/>
              </w:rPr>
              <w:t>5</w:t>
            </w:r>
            <w:r>
              <w:rPr>
                <w:rFonts w:hint="eastAsia" w:ascii="Times New Roman" w:hAnsi="Times New Roman" w:eastAsia="黑体" w:cs="Times New Roman"/>
                <w:color w:val="auto"/>
                <w:sz w:val="24"/>
                <w:szCs w:val="24"/>
                <w:highlight w:val="none"/>
                <w:lang w:val="en-US" w:eastAsia="zh-CN"/>
              </w:rPr>
              <w:t xml:space="preserve"> </w:t>
            </w:r>
            <w:r>
              <w:rPr>
                <w:rFonts w:hint="eastAsia" w:eastAsia="黑体" w:cs="Times New Roman"/>
                <w:color w:val="auto"/>
                <w:sz w:val="24"/>
                <w:szCs w:val="24"/>
                <w:highlight w:val="none"/>
                <w:lang w:val="en-US" w:eastAsia="zh-CN"/>
              </w:rPr>
              <w:t>PP带</w:t>
            </w:r>
            <w:r>
              <w:rPr>
                <w:rFonts w:hint="default" w:ascii="Times New Roman" w:hAnsi="Times New Roman" w:eastAsia="黑体" w:cs="Times New Roman"/>
                <w:color w:val="auto"/>
                <w:sz w:val="24"/>
                <w:szCs w:val="24"/>
                <w:highlight w:val="none"/>
                <w:lang w:val="en-US" w:eastAsia="zh-CN"/>
              </w:rPr>
              <w:t>生产工艺流程及产污环节图</w:t>
            </w:r>
          </w:p>
          <w:p w14:paraId="1397DF1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w:t>
            </w:r>
            <w:r>
              <w:rPr>
                <w:rFonts w:hint="eastAsia" w:ascii="Times New Roman" w:hAnsi="Times New Roman" w:eastAsia="黑体" w:cs="Times New Roman"/>
                <w:color w:val="auto"/>
                <w:sz w:val="24"/>
                <w:szCs w:val="24"/>
                <w:highlight w:val="none"/>
                <w:lang w:val="en-US" w:eastAsia="zh-CN"/>
              </w:rPr>
              <w:t>二</w:t>
            </w:r>
            <w:r>
              <w:rPr>
                <w:rFonts w:hint="default" w:ascii="Times New Roman" w:hAnsi="Times New Roman" w:eastAsia="黑体" w:cs="Times New Roman"/>
                <w:color w:val="auto"/>
                <w:sz w:val="24"/>
                <w:szCs w:val="24"/>
                <w:highlight w:val="none"/>
                <w:lang w:val="en-US" w:eastAsia="zh-CN"/>
              </w:rPr>
              <w:t>）工艺流程</w:t>
            </w:r>
            <w:r>
              <w:rPr>
                <w:rFonts w:hint="eastAsia" w:ascii="Times New Roman" w:hAnsi="Times New Roman" w:eastAsia="黑体" w:cs="Times New Roman"/>
                <w:color w:val="auto"/>
                <w:sz w:val="24"/>
                <w:szCs w:val="24"/>
                <w:highlight w:val="none"/>
                <w:lang w:val="en-US" w:eastAsia="zh-CN"/>
              </w:rPr>
              <w:t>简述</w:t>
            </w:r>
          </w:p>
          <w:p w14:paraId="4BB801D2">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纤维丝生产</w:t>
            </w:r>
            <w:r>
              <w:rPr>
                <w:rFonts w:hint="eastAsia" w:ascii="Times New Roman" w:hAnsi="Times New Roman" w:eastAsia="宋体" w:cs="Times New Roman"/>
                <w:color w:val="auto"/>
                <w:sz w:val="24"/>
                <w:highlight w:val="none"/>
                <w:lang w:val="en-US" w:eastAsia="zh-CN"/>
              </w:rPr>
              <w:t>工艺流程简述</w:t>
            </w:r>
          </w:p>
          <w:p w14:paraId="3173127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（1）原料输送</w:t>
            </w:r>
          </w:p>
          <w:p w14:paraId="3A1F2C9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将</w:t>
            </w:r>
            <w:r>
              <w:rPr>
                <w:rFonts w:hint="eastAsia" w:cs="Times New Roman"/>
                <w:color w:val="auto"/>
                <w:sz w:val="24"/>
                <w:highlight w:val="none"/>
                <w:lang w:val="en-US" w:eastAsia="zh-CN"/>
              </w:rPr>
              <w:t>聚丙烯、色母料放入上料输送机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输送至纺丝机中</w:t>
            </w:r>
            <w:r>
              <w:rPr>
                <w:rFonts w:hint="eastAsia" w:ascii="Times New Roman" w:hAnsi="Times New Roman" w:eastAsia="宋体" w:cs="Times New Roman"/>
                <w:color w:val="auto"/>
                <w:sz w:val="24"/>
                <w:highlight w:val="none"/>
                <w:lang w:val="en-US" w:eastAsia="zh-CN"/>
              </w:rPr>
              <w:t>。</w:t>
            </w:r>
          </w:p>
          <w:p w14:paraId="157C9C8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（2）纺丝、冷却</w:t>
            </w:r>
          </w:p>
          <w:p w14:paraId="3E2D5256">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采用电加热（加热温度约200℃）的方式，原辅材料进入螺杆挤出机，在挤出机中逐步熔融，熔体进入纺丝箱体，在纺丝箱体内，熔体通过管道分配，以相等的通过时间和压力输送到每一个纺丝部位，使各部位的熔体品质一致。每个纺丝位配置高精度纺丝计量泵，熔体再经过各纺位计量泵进入纺丝组件中，将熔体以高压连续、准确地供给纺丝组件，纺丝泵由电机同步进行传动。纺丝组件中装有过滤网及过滤砂等过滤材料，滤去熔体中的杂质，熔体钻出喷丝板细孔，获得特定截面形状的单根丝束。</w:t>
            </w:r>
          </w:p>
          <w:p w14:paraId="415E7A3D">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熔体由喷丝板喷出后，使用温度较低的冷却风以热交换的方式来带走熔体的热量，通过侧吹风装置经空气冷却固化，使丝束得到充分冷却，丝条出喷丝板后在很短的时间内由熔体细流变成塑状的单丝，其结构发生变化。这种变化受侧吹上空气流的速度均匀性影响很大，风温、风速及吹风距离的控制，以及大风速下的稳定性，都是影响纤维质量的直接因素。因此要求侧吹风装置吹出的风具有稳定性、均匀性且可调性能好。本项目采用横吹形式，侧吹风冷却的风速均匀，能够提高成纤质量，同时能够控制风带温度。侧吹风一般保证温度在20℃左右，风速约0.3~0.5m/s。</w:t>
            </w:r>
          </w:p>
          <w:p w14:paraId="1CEA7228">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纺丝组件在使用一段时间后表面会有残留的PP聚合物，定期更换，换下的纺丝组件使用真空清洗炉清洗。</w:t>
            </w:r>
          </w:p>
          <w:p w14:paraId="09402EB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）集束上油</w:t>
            </w:r>
          </w:p>
          <w:p w14:paraId="11EC71C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将整条线纺位的丝条敛集成束、丝束收集成形、提供牵引力与张力，确保丝条的规整有序排列。被</w:t>
            </w:r>
            <w:r>
              <w:rPr>
                <w:rFonts w:hint="eastAsia" w:ascii="Times New Roman" w:hAnsi="Times New Roman" w:eastAsia="宋体" w:cs="Times New Roman"/>
                <w:color w:val="auto"/>
                <w:sz w:val="24"/>
                <w:highlight w:val="none"/>
                <w:lang w:val="en-US" w:eastAsia="zh-CN"/>
              </w:rPr>
              <w:t>侧</w:t>
            </w:r>
            <w:r>
              <w:rPr>
                <w:rFonts w:hint="default" w:ascii="Times New Roman" w:hAnsi="Times New Roman" w:eastAsia="宋体" w:cs="Times New Roman"/>
                <w:color w:val="auto"/>
                <w:sz w:val="24"/>
                <w:highlight w:val="none"/>
                <w:lang w:val="en-US" w:eastAsia="zh-CN"/>
              </w:rPr>
              <w:t>吹风冷却固化后的丝束非常干燥，须经纺丝油加湿给油后，同时增加纤维的抱合力，提高纤维的高静电性能，减少纤维与设备、纤维与纤维之间的摩擦力，提高纤维的后加工性能。丝束上油对纺丝生产的稳定性和原丝的可纺性具有重要意义，上油均匀，丝束集束性好，毛丝和盛丝桶底丝量少，可提高短纤维原丝的品质和均匀性。根据企业提供资料，需将纺丝油</w:t>
            </w:r>
            <w:r>
              <w:rPr>
                <w:rFonts w:hint="eastAsia" w:ascii="Times New Roman" w:hAnsi="Times New Roman" w:eastAsia="宋体" w:cs="Times New Roman"/>
                <w:color w:val="auto"/>
                <w:sz w:val="24"/>
                <w:highlight w:val="none"/>
                <w:lang w:val="en-US" w:eastAsia="zh-CN"/>
              </w:rPr>
              <w:t>与水按照1：</w:t>
            </w:r>
            <w:r>
              <w:rPr>
                <w:rFonts w:hint="eastAsia" w:cs="Times New Roman"/>
                <w:color w:val="auto"/>
                <w:sz w:val="24"/>
                <w:highlight w:val="none"/>
                <w:lang w:val="en-US" w:eastAsia="zh-CN"/>
              </w:rPr>
              <w:t>15</w:t>
            </w:r>
            <w:r>
              <w:rPr>
                <w:rFonts w:hint="default" w:ascii="Times New Roman" w:hAnsi="Times New Roman" w:eastAsia="宋体" w:cs="Times New Roman"/>
                <w:color w:val="auto"/>
                <w:sz w:val="24"/>
                <w:highlight w:val="none"/>
                <w:lang w:val="en-US" w:eastAsia="zh-CN"/>
              </w:rPr>
              <w:t>调配成纺丝油剂溶液。</w:t>
            </w:r>
          </w:p>
          <w:p w14:paraId="20EDAC8D">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（4）牵伸、卷</w:t>
            </w:r>
            <w:r>
              <w:rPr>
                <w:rFonts w:hint="eastAsia" w:ascii="Times New Roman" w:hAnsi="Times New Roman" w:eastAsia="宋体" w:cs="Times New Roman"/>
                <w:color w:val="auto"/>
                <w:sz w:val="24"/>
                <w:highlight w:val="none"/>
                <w:lang w:val="en-US" w:eastAsia="zh-CN"/>
              </w:rPr>
              <w:t>绕成形</w:t>
            </w:r>
          </w:p>
          <w:p w14:paraId="30A7290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采用牵伸卷绕设备，共6对牵伸辊，通过牵伸辊牵引，使丝束在外力作用下变细、变长。各纺位丝束经过卷绕机架</w:t>
            </w:r>
            <w:r>
              <w:rPr>
                <w:rFonts w:hint="eastAsia" w:cs="Times New Roman"/>
                <w:color w:val="auto"/>
                <w:sz w:val="24"/>
                <w:highlight w:val="none"/>
                <w:lang w:val="en-US" w:eastAsia="zh-CN"/>
              </w:rPr>
              <w:t>卷绕成形，形成成品纤维丝。</w:t>
            </w:r>
          </w:p>
          <w:p w14:paraId="4CDF8EE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5</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sz w:val="24"/>
                <w:highlight w:val="none"/>
                <w:lang w:val="en-US" w:eastAsia="zh-CN"/>
              </w:rPr>
              <w:t>分级、包装</w:t>
            </w:r>
          </w:p>
          <w:p w14:paraId="143B7F1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采用人工分拣，按光泽度、纤度、色差进行分级，使用包装材料进行包装，包装后入库待售。</w:t>
            </w:r>
          </w:p>
          <w:p w14:paraId="74207E7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w:t>
            </w:r>
            <w:r>
              <w:rPr>
                <w:rFonts w:hint="eastAsia" w:cs="Times New Roman"/>
                <w:color w:val="auto"/>
                <w:sz w:val="24"/>
                <w:highlight w:val="none"/>
                <w:lang w:val="en-US" w:eastAsia="zh-CN"/>
              </w:rPr>
              <w:t>假发辫子生产</w:t>
            </w:r>
            <w:r>
              <w:rPr>
                <w:rFonts w:hint="eastAsia" w:ascii="Times New Roman" w:hAnsi="Times New Roman" w:eastAsia="宋体" w:cs="Times New Roman"/>
                <w:color w:val="auto"/>
                <w:sz w:val="24"/>
                <w:highlight w:val="none"/>
                <w:lang w:val="en-US" w:eastAsia="zh-CN"/>
              </w:rPr>
              <w:t>工艺流程简述</w:t>
            </w:r>
          </w:p>
          <w:p w14:paraId="373B810D">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绕管</w:t>
            </w:r>
          </w:p>
          <w:p w14:paraId="04C8912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使用自动绕线机</w:t>
            </w:r>
            <w:r>
              <w:rPr>
                <w:rFonts w:hint="eastAsia" w:ascii="Times New Roman" w:hAnsi="Times New Roman" w:eastAsia="宋体" w:cs="Times New Roman"/>
                <w:color w:val="auto"/>
                <w:sz w:val="24"/>
                <w:highlight w:val="none"/>
                <w:lang w:val="en-US" w:eastAsia="zh-CN"/>
              </w:rPr>
              <w:t>将PP纤维丝</w:t>
            </w:r>
            <w:r>
              <w:rPr>
                <w:rFonts w:ascii="Segoe UI" w:hAnsi="Segoe UI" w:eastAsia="Segoe UI" w:cs="Segoe UI"/>
                <w:i w:val="0"/>
                <w:iCs w:val="0"/>
                <w:caps w:val="0"/>
                <w:color w:val="auto"/>
                <w:spacing w:val="0"/>
                <w:sz w:val="24"/>
                <w:szCs w:val="24"/>
              </w:rPr>
              <w:t>均匀缠绕至筒管上，形成规则排列的纤维</w:t>
            </w:r>
            <w:r>
              <w:rPr>
                <w:rFonts w:hint="eastAsia" w:ascii="Segoe UI" w:hAnsi="Segoe UI" w:eastAsia="宋体" w:cs="Segoe UI"/>
                <w:i w:val="0"/>
                <w:iCs w:val="0"/>
                <w:caps w:val="0"/>
                <w:color w:val="auto"/>
                <w:spacing w:val="0"/>
                <w:sz w:val="24"/>
                <w:szCs w:val="24"/>
                <w:lang w:val="en-US" w:eastAsia="zh-CN"/>
              </w:rPr>
              <w:t>丝</w:t>
            </w:r>
            <w:r>
              <w:rPr>
                <w:rFonts w:ascii="Segoe UI" w:hAnsi="Segoe UI" w:eastAsia="Segoe UI" w:cs="Segoe UI"/>
                <w:i w:val="0"/>
                <w:iCs w:val="0"/>
                <w:caps w:val="0"/>
                <w:color w:val="auto"/>
                <w:spacing w:val="0"/>
                <w:sz w:val="24"/>
                <w:szCs w:val="24"/>
              </w:rPr>
              <w:t>卷，便于后续编织。</w:t>
            </w:r>
          </w:p>
          <w:p w14:paraId="4FDDDAF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编织</w:t>
            </w:r>
          </w:p>
          <w:p w14:paraId="7DBF6FBE">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eastAsia="宋体" w:cs="Times New Roman"/>
                <w:color w:val="auto"/>
                <w:sz w:val="24"/>
                <w:highlight w:val="none"/>
                <w:lang w:val="en-US" w:eastAsia="zh-CN"/>
              </w:rPr>
            </w:pPr>
            <w:r>
              <w:rPr>
                <w:rFonts w:ascii="Segoe UI" w:hAnsi="Segoe UI" w:eastAsia="Segoe UI" w:cs="Segoe UI"/>
                <w:i w:val="0"/>
                <w:iCs w:val="0"/>
                <w:caps w:val="0"/>
                <w:color w:val="auto"/>
                <w:spacing w:val="0"/>
                <w:sz w:val="24"/>
                <w:szCs w:val="24"/>
              </w:rPr>
              <w:t>使用高速编</w:t>
            </w:r>
            <w:r>
              <w:rPr>
                <w:rFonts w:hint="eastAsia" w:ascii="Segoe UI" w:hAnsi="Segoe UI" w:eastAsia="宋体" w:cs="Segoe UI"/>
                <w:i w:val="0"/>
                <w:iCs w:val="0"/>
                <w:caps w:val="0"/>
                <w:color w:val="auto"/>
                <w:spacing w:val="0"/>
                <w:sz w:val="24"/>
                <w:szCs w:val="24"/>
                <w:lang w:val="en-US" w:eastAsia="zh-CN"/>
              </w:rPr>
              <w:t>辫子</w:t>
            </w:r>
            <w:r>
              <w:rPr>
                <w:rFonts w:ascii="Segoe UI" w:hAnsi="Segoe UI" w:eastAsia="Segoe UI" w:cs="Segoe UI"/>
                <w:i w:val="0"/>
                <w:iCs w:val="0"/>
                <w:caps w:val="0"/>
                <w:color w:val="auto"/>
                <w:spacing w:val="0"/>
                <w:sz w:val="24"/>
                <w:szCs w:val="24"/>
              </w:rPr>
              <w:t>机将多</w:t>
            </w:r>
            <w:r>
              <w:rPr>
                <w:rFonts w:hint="eastAsia" w:ascii="Times New Roman" w:hAnsi="Times New Roman" w:eastAsia="宋体" w:cs="Times New Roman"/>
                <w:color w:val="auto"/>
                <w:sz w:val="24"/>
                <w:highlight w:val="none"/>
                <w:lang w:val="en-US" w:eastAsia="zh-CN"/>
              </w:rPr>
              <w:t>股PP纤</w:t>
            </w:r>
            <w:r>
              <w:rPr>
                <w:rFonts w:ascii="Segoe UI" w:hAnsi="Segoe UI" w:eastAsia="Segoe UI" w:cs="Segoe UI"/>
                <w:i w:val="0"/>
                <w:iCs w:val="0"/>
                <w:caps w:val="0"/>
                <w:color w:val="auto"/>
                <w:spacing w:val="0"/>
                <w:sz w:val="24"/>
                <w:szCs w:val="24"/>
              </w:rPr>
              <w:t>维丝通过齿轮传动带动纤维交叉编织</w:t>
            </w:r>
            <w:r>
              <w:rPr>
                <w:rFonts w:hint="eastAsia" w:ascii="Segoe UI" w:hAnsi="Segoe UI" w:eastAsia="宋体" w:cs="Segoe UI"/>
                <w:i w:val="0"/>
                <w:iCs w:val="0"/>
                <w:caps w:val="0"/>
                <w:color w:val="auto"/>
                <w:spacing w:val="0"/>
                <w:sz w:val="24"/>
                <w:szCs w:val="24"/>
                <w:lang w:val="en-US" w:eastAsia="zh-CN"/>
              </w:rPr>
              <w:t>为</w:t>
            </w:r>
            <w:r>
              <w:rPr>
                <w:rFonts w:ascii="Segoe UI" w:hAnsi="Segoe UI" w:eastAsia="Segoe UI" w:cs="Segoe UI"/>
                <w:i w:val="0"/>
                <w:iCs w:val="0"/>
                <w:caps w:val="0"/>
                <w:color w:val="auto"/>
                <w:spacing w:val="0"/>
                <w:sz w:val="24"/>
                <w:szCs w:val="24"/>
              </w:rPr>
              <w:t>三股发辫</w:t>
            </w:r>
            <w:r>
              <w:rPr>
                <w:rFonts w:hint="eastAsia" w:ascii="Segoe UI" w:hAnsi="Segoe UI" w:eastAsia="宋体" w:cs="Segoe UI"/>
                <w:i w:val="0"/>
                <w:iCs w:val="0"/>
                <w:caps w:val="0"/>
                <w:color w:val="auto"/>
                <w:spacing w:val="0"/>
                <w:sz w:val="24"/>
                <w:szCs w:val="24"/>
                <w:lang w:eastAsia="zh-CN"/>
              </w:rPr>
              <w:t>。</w:t>
            </w:r>
          </w:p>
          <w:p w14:paraId="68F65CDE">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压花</w:t>
            </w:r>
          </w:p>
          <w:p w14:paraId="103327D5">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textAlignment w:val="auto"/>
              <w:rPr>
                <w:rFonts w:hint="eastAsia" w:ascii="Segoe UI" w:hAnsi="Segoe UI" w:eastAsia="宋体" w:cs="Segoe UI"/>
                <w:i w:val="0"/>
                <w:iCs w:val="0"/>
                <w:caps w:val="0"/>
                <w:color w:val="auto"/>
                <w:spacing w:val="0"/>
                <w:sz w:val="24"/>
                <w:szCs w:val="24"/>
                <w:lang w:val="en-US" w:eastAsia="zh-CN"/>
              </w:rPr>
            </w:pPr>
            <w:r>
              <w:rPr>
                <w:rFonts w:hint="eastAsia" w:ascii="Segoe UI" w:hAnsi="Segoe UI" w:eastAsia="宋体" w:cs="Segoe UI"/>
                <w:i w:val="0"/>
                <w:iCs w:val="0"/>
                <w:caps w:val="0"/>
                <w:color w:val="auto"/>
                <w:spacing w:val="0"/>
                <w:sz w:val="24"/>
                <w:szCs w:val="24"/>
                <w:lang w:val="en-US" w:eastAsia="zh-CN"/>
              </w:rPr>
              <w:t>通过压花机</w:t>
            </w:r>
            <w:r>
              <w:rPr>
                <w:rFonts w:ascii="Segoe UI" w:hAnsi="Segoe UI" w:eastAsia="Segoe UI" w:cs="Segoe UI"/>
                <w:i w:val="0"/>
                <w:iCs w:val="0"/>
                <w:caps w:val="0"/>
                <w:color w:val="auto"/>
                <w:spacing w:val="0"/>
                <w:sz w:val="24"/>
                <w:szCs w:val="24"/>
              </w:rPr>
              <w:t>对编织完成的发辫</w:t>
            </w:r>
            <w:r>
              <w:rPr>
                <w:rFonts w:hint="eastAsia" w:ascii="Segoe UI" w:hAnsi="Segoe UI" w:eastAsia="宋体" w:cs="Segoe UI"/>
                <w:i w:val="0"/>
                <w:iCs w:val="0"/>
                <w:caps w:val="0"/>
                <w:color w:val="auto"/>
                <w:spacing w:val="0"/>
                <w:sz w:val="24"/>
                <w:szCs w:val="24"/>
                <w:lang w:val="en-US" w:eastAsia="zh-CN"/>
              </w:rPr>
              <w:t>进行热压处理</w:t>
            </w:r>
            <w:r>
              <w:rPr>
                <w:rFonts w:hint="eastAsia" w:ascii="Segoe UI" w:hAnsi="Segoe UI" w:cs="Segoe UI"/>
                <w:i w:val="0"/>
                <w:iCs w:val="0"/>
                <w:caps w:val="0"/>
                <w:color w:val="auto"/>
                <w:spacing w:val="0"/>
                <w:sz w:val="24"/>
                <w:szCs w:val="24"/>
                <w:lang w:val="en-US" w:eastAsia="zh-CN"/>
              </w:rPr>
              <w:t>（</w:t>
            </w:r>
            <w:r>
              <w:rPr>
                <w:rFonts w:hint="eastAsia" w:ascii="Times New Roman" w:hAnsi="Times New Roman" w:eastAsia="宋体" w:cs="Times New Roman"/>
                <w:color w:val="auto"/>
                <w:sz w:val="24"/>
                <w:highlight w:val="none"/>
                <w:lang w:val="en-US" w:eastAsia="zh-CN"/>
              </w:rPr>
              <w:t>约200℃）</w:t>
            </w:r>
            <w:r>
              <w:rPr>
                <w:rFonts w:hint="eastAsia" w:ascii="Segoe UI" w:hAnsi="Segoe UI" w:eastAsia="宋体" w:cs="Segoe UI"/>
                <w:i w:val="0"/>
                <w:iCs w:val="0"/>
                <w:caps w:val="0"/>
                <w:color w:val="auto"/>
                <w:spacing w:val="0"/>
                <w:sz w:val="24"/>
                <w:szCs w:val="24"/>
                <w:lang w:val="en-US" w:eastAsia="zh-CN"/>
              </w:rPr>
              <w:t>，</w:t>
            </w:r>
            <w:r>
              <w:rPr>
                <w:rFonts w:hint="eastAsia" w:ascii="Segoe UI" w:hAnsi="Segoe UI" w:cs="Segoe UI"/>
                <w:i w:val="0"/>
                <w:iCs w:val="0"/>
                <w:caps w:val="0"/>
                <w:color w:val="auto"/>
                <w:spacing w:val="0"/>
                <w:sz w:val="24"/>
                <w:szCs w:val="24"/>
                <w:lang w:val="en-US" w:eastAsia="zh-CN"/>
              </w:rPr>
              <w:t>压花机采用电加热方式，</w:t>
            </w:r>
            <w:r>
              <w:rPr>
                <w:rFonts w:hint="eastAsia" w:ascii="Segoe UI" w:hAnsi="Segoe UI" w:eastAsia="宋体" w:cs="Segoe UI"/>
                <w:i w:val="0"/>
                <w:iCs w:val="0"/>
                <w:caps w:val="0"/>
                <w:color w:val="auto"/>
                <w:spacing w:val="0"/>
                <w:sz w:val="24"/>
                <w:szCs w:val="24"/>
                <w:lang w:val="en-US" w:eastAsia="zh-CN"/>
              </w:rPr>
              <w:t>通过模具压制出波浪形卷曲的头发纹理。</w:t>
            </w:r>
          </w:p>
          <w:p w14:paraId="223AD9B6">
            <w:pPr>
              <w:pStyle w:val="26"/>
              <w:keepNext w:val="0"/>
              <w:keepLines w:val="0"/>
              <w:pageBreakBefore w:val="0"/>
              <w:kinsoku/>
              <w:wordWrap/>
              <w:overflowPunct/>
              <w:topLinePunct w:val="0"/>
              <w:autoSpaceDE/>
              <w:autoSpaceDN/>
              <w:bidi w:val="0"/>
              <w:adjustRightInd w:val="0"/>
              <w:snapToGrid w:val="0"/>
              <w:spacing w:before="0" w:after="0" w:line="360" w:lineRule="auto"/>
              <w:ind w:leftChars="0" w:right="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（4）裁断</w:t>
            </w:r>
          </w:p>
          <w:p w14:paraId="36E3F246">
            <w:pPr>
              <w:keepNext w:val="0"/>
              <w:keepLines w:val="0"/>
              <w:pageBreakBefore w:val="0"/>
              <w:widowControl w:val="0"/>
              <w:kinsoku/>
              <w:wordWrap/>
              <w:overflowPunct/>
              <w:topLinePunct w:val="0"/>
              <w:autoSpaceDE/>
              <w:autoSpaceDN/>
              <w:bidi w:val="0"/>
              <w:adjustRightInd w:val="0"/>
              <w:snapToGrid w:val="0"/>
              <w:spacing w:line="360" w:lineRule="auto"/>
              <w:ind w:leftChars="0" w:right="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压花后的假发辫子按照客户需求通过剪裁机裁成一定长度，裁断工序会产生少量的发头和发尾。</w:t>
            </w:r>
          </w:p>
          <w:p w14:paraId="0426330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（5）包装入库</w:t>
            </w:r>
          </w:p>
          <w:p w14:paraId="1324945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eastAsia="宋体" w:cs="Times New Roman"/>
                <w:color w:val="auto"/>
                <w:sz w:val="24"/>
                <w:highlight w:val="none"/>
                <w:lang w:val="en-US" w:eastAsia="zh-CN"/>
              </w:rPr>
            </w:pPr>
            <w:r>
              <w:rPr>
                <w:rFonts w:ascii="Segoe UI" w:hAnsi="Segoe UI" w:eastAsia="Segoe UI" w:cs="Segoe UI"/>
                <w:i w:val="0"/>
                <w:iCs w:val="0"/>
                <w:caps w:val="0"/>
                <w:color w:val="auto"/>
                <w:spacing w:val="0"/>
                <w:sz w:val="24"/>
                <w:szCs w:val="24"/>
              </w:rPr>
              <w:t>将成品假发辫按数量装入防潮包装袋，存入仓库</w:t>
            </w:r>
            <w:r>
              <w:rPr>
                <w:rFonts w:hint="eastAsia" w:ascii="Segoe UI" w:hAnsi="Segoe UI" w:eastAsia="宋体" w:cs="Segoe UI"/>
                <w:i w:val="0"/>
                <w:iCs w:val="0"/>
                <w:caps w:val="0"/>
                <w:color w:val="auto"/>
                <w:spacing w:val="0"/>
                <w:sz w:val="24"/>
                <w:szCs w:val="24"/>
                <w:lang w:val="en-US" w:eastAsia="zh-CN"/>
              </w:rPr>
              <w:t>待售。</w:t>
            </w:r>
          </w:p>
          <w:p w14:paraId="107C337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3、假睫毛丝生产</w:t>
            </w:r>
            <w:r>
              <w:rPr>
                <w:rFonts w:hint="eastAsia" w:ascii="Times New Roman" w:hAnsi="Times New Roman" w:eastAsia="宋体" w:cs="Times New Roman"/>
                <w:color w:val="auto"/>
                <w:sz w:val="24"/>
                <w:highlight w:val="none"/>
                <w:lang w:val="en-US" w:eastAsia="zh-CN"/>
              </w:rPr>
              <w:t>工艺流程简述</w:t>
            </w:r>
          </w:p>
          <w:p w14:paraId="38C13278">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切丝</w:t>
            </w:r>
          </w:p>
          <w:p w14:paraId="0578C9F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将外购的PEPP纤维丝放入断毛机中，切割成一定长度。</w:t>
            </w:r>
          </w:p>
          <w:p w14:paraId="338268AB">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磨尖</w:t>
            </w:r>
          </w:p>
          <w:p w14:paraId="51A2022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使用磨尖机将纤维尖端打磨成锥形，模拟天然睫毛的形态。</w:t>
            </w:r>
          </w:p>
          <w:p w14:paraId="2DF20098">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洗丝</w:t>
            </w:r>
          </w:p>
          <w:p w14:paraId="55200D5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将磨尖后的纤维丝放入水洗槽常温下用自来水进行浸洗，项目设置4个水洗槽，水池加水量约为80%。每一批纤维丝采用二级清洗的方式，一级水洗槽每天排放更换10次，二级水洗槽循环使用，二级水洗槽水循环进入一级水洗槽，进行逆流清洗。</w:t>
            </w:r>
          </w:p>
          <w:p w14:paraId="3C8F5C1D">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揉丝</w:t>
            </w:r>
          </w:p>
          <w:p w14:paraId="279D767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ascii="Segoe UI" w:hAnsi="Segoe UI" w:eastAsia="Segoe UI" w:cs="Segoe UI"/>
                <w:i w:val="0"/>
                <w:iCs w:val="0"/>
                <w:caps w:val="0"/>
                <w:color w:val="auto"/>
                <w:spacing w:val="0"/>
                <w:sz w:val="24"/>
                <w:szCs w:val="24"/>
              </w:rPr>
            </w:pPr>
            <w:r>
              <w:rPr>
                <w:rFonts w:ascii="Segoe UI" w:hAnsi="Segoe UI" w:eastAsia="Segoe UI" w:cs="Segoe UI"/>
                <w:i w:val="0"/>
                <w:iCs w:val="0"/>
                <w:caps w:val="0"/>
                <w:color w:val="auto"/>
                <w:spacing w:val="0"/>
                <w:sz w:val="24"/>
                <w:szCs w:val="24"/>
              </w:rPr>
              <w:t>通过机械揉搓使纤维丝柔软化，模拟自然睫毛触感。</w:t>
            </w:r>
          </w:p>
          <w:p w14:paraId="6B934923">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甩干</w:t>
            </w:r>
          </w:p>
          <w:p w14:paraId="14675FE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ascii="Segoe UI" w:hAnsi="Segoe UI" w:eastAsia="Segoe UI" w:cs="Segoe UI"/>
                <w:i w:val="0"/>
                <w:iCs w:val="0"/>
                <w:caps w:val="0"/>
                <w:color w:val="auto"/>
                <w:spacing w:val="0"/>
                <w:sz w:val="24"/>
                <w:szCs w:val="24"/>
              </w:rPr>
            </w:pPr>
            <w:r>
              <w:rPr>
                <w:rFonts w:hint="eastAsia" w:ascii="Segoe UI" w:hAnsi="Segoe UI" w:cs="Segoe UI"/>
                <w:i w:val="0"/>
                <w:iCs w:val="0"/>
                <w:caps w:val="0"/>
                <w:color w:val="auto"/>
                <w:spacing w:val="0"/>
                <w:sz w:val="24"/>
                <w:szCs w:val="24"/>
                <w:lang w:val="en-US" w:eastAsia="zh-CN"/>
              </w:rPr>
              <w:t>清洗后的纤维丝采用</w:t>
            </w:r>
            <w:r>
              <w:rPr>
                <w:rFonts w:hint="eastAsia" w:ascii="Segoe UI" w:hAnsi="Segoe UI" w:eastAsia="宋体" w:cs="Segoe UI"/>
                <w:i w:val="0"/>
                <w:iCs w:val="0"/>
                <w:caps w:val="0"/>
                <w:color w:val="auto"/>
                <w:spacing w:val="0"/>
                <w:sz w:val="24"/>
                <w:szCs w:val="24"/>
                <w:lang w:val="en-US" w:eastAsia="zh-CN"/>
              </w:rPr>
              <w:t>离心机</w:t>
            </w:r>
            <w:r>
              <w:rPr>
                <w:rFonts w:ascii="Segoe UI" w:hAnsi="Segoe UI" w:eastAsia="Segoe UI" w:cs="Segoe UI"/>
                <w:i w:val="0"/>
                <w:iCs w:val="0"/>
                <w:caps w:val="0"/>
                <w:color w:val="auto"/>
                <w:spacing w:val="0"/>
                <w:sz w:val="24"/>
                <w:szCs w:val="24"/>
              </w:rPr>
              <w:t>离心</w:t>
            </w:r>
            <w:r>
              <w:rPr>
                <w:rFonts w:hint="eastAsia" w:ascii="Segoe UI" w:hAnsi="Segoe UI" w:eastAsia="宋体" w:cs="Segoe UI"/>
                <w:i w:val="0"/>
                <w:iCs w:val="0"/>
                <w:caps w:val="0"/>
                <w:color w:val="auto"/>
                <w:spacing w:val="0"/>
                <w:sz w:val="24"/>
                <w:szCs w:val="24"/>
                <w:lang w:val="en-US" w:eastAsia="zh-CN"/>
              </w:rPr>
              <w:t>脱水</w:t>
            </w:r>
            <w:r>
              <w:rPr>
                <w:rFonts w:ascii="Segoe UI" w:hAnsi="Segoe UI" w:eastAsia="Segoe UI" w:cs="Segoe UI"/>
                <w:i w:val="0"/>
                <w:iCs w:val="0"/>
                <w:caps w:val="0"/>
                <w:color w:val="auto"/>
                <w:spacing w:val="0"/>
                <w:sz w:val="24"/>
                <w:szCs w:val="24"/>
              </w:rPr>
              <w:t>。</w:t>
            </w:r>
          </w:p>
          <w:p w14:paraId="04F85001">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烘干定型</w:t>
            </w:r>
          </w:p>
          <w:p w14:paraId="0D8C1B0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ascii="Segoe UI" w:hAnsi="Segoe UI" w:eastAsia="Segoe UI" w:cs="Segoe UI"/>
                <w:i w:val="0"/>
                <w:iCs w:val="0"/>
                <w:caps w:val="0"/>
                <w:color w:val="auto"/>
                <w:spacing w:val="0"/>
                <w:sz w:val="24"/>
                <w:szCs w:val="24"/>
              </w:rPr>
            </w:pPr>
            <w:r>
              <w:rPr>
                <w:rFonts w:hint="eastAsia" w:ascii="Segoe UI" w:hAnsi="Segoe UI" w:eastAsia="宋体" w:cs="Segoe UI"/>
                <w:i w:val="0"/>
                <w:iCs w:val="0"/>
                <w:caps w:val="0"/>
                <w:color w:val="auto"/>
                <w:spacing w:val="0"/>
                <w:sz w:val="24"/>
                <w:szCs w:val="24"/>
                <w:lang w:val="en-US" w:eastAsia="zh-CN"/>
              </w:rPr>
              <w:t>经离心机</w:t>
            </w:r>
            <w:r>
              <w:rPr>
                <w:rFonts w:ascii="Segoe UI" w:hAnsi="Segoe UI" w:eastAsia="Segoe UI" w:cs="Segoe UI"/>
                <w:i w:val="0"/>
                <w:iCs w:val="0"/>
                <w:caps w:val="0"/>
                <w:color w:val="auto"/>
                <w:spacing w:val="0"/>
                <w:sz w:val="24"/>
                <w:szCs w:val="24"/>
              </w:rPr>
              <w:t>离心甩干后，</w:t>
            </w:r>
            <w:r>
              <w:rPr>
                <w:rFonts w:hint="eastAsia" w:ascii="Segoe UI" w:hAnsi="Segoe UI" w:eastAsia="宋体" w:cs="Segoe UI"/>
                <w:i w:val="0"/>
                <w:iCs w:val="0"/>
                <w:caps w:val="0"/>
                <w:color w:val="auto"/>
                <w:spacing w:val="0"/>
                <w:sz w:val="24"/>
                <w:szCs w:val="24"/>
                <w:lang w:val="en-US" w:eastAsia="zh-CN"/>
              </w:rPr>
              <w:t>进入</w:t>
            </w:r>
            <w:r>
              <w:rPr>
                <w:rFonts w:hint="eastAsia" w:ascii="Segoe UI" w:hAnsi="Segoe UI" w:cs="Segoe UI"/>
                <w:i w:val="0"/>
                <w:iCs w:val="0"/>
                <w:caps w:val="0"/>
                <w:color w:val="auto"/>
                <w:spacing w:val="0"/>
                <w:sz w:val="24"/>
                <w:szCs w:val="24"/>
                <w:lang w:val="en-US" w:eastAsia="zh-CN"/>
              </w:rPr>
              <w:t>热风循环烘干箱</w:t>
            </w:r>
            <w:r>
              <w:rPr>
                <w:rFonts w:hint="eastAsia" w:cs="Times New Roman"/>
                <w:color w:val="auto"/>
                <w:sz w:val="24"/>
                <w:highlight w:val="none"/>
                <w:lang w:val="en-US" w:eastAsia="zh-CN"/>
              </w:rPr>
              <w:t>对睫毛</w:t>
            </w:r>
            <w:r>
              <w:rPr>
                <w:rFonts w:ascii="Segoe UI" w:hAnsi="Segoe UI" w:eastAsia="Segoe UI" w:cs="Segoe UI"/>
                <w:i w:val="0"/>
                <w:iCs w:val="0"/>
                <w:caps w:val="0"/>
                <w:color w:val="auto"/>
                <w:spacing w:val="0"/>
                <w:sz w:val="24"/>
                <w:szCs w:val="24"/>
              </w:rPr>
              <w:t>丝进行</w:t>
            </w:r>
            <w:r>
              <w:rPr>
                <w:rFonts w:hint="eastAsia" w:ascii="Segoe UI" w:hAnsi="Segoe UI" w:eastAsia="宋体" w:cs="Segoe UI"/>
                <w:i w:val="0"/>
                <w:iCs w:val="0"/>
                <w:caps w:val="0"/>
                <w:color w:val="auto"/>
                <w:spacing w:val="0"/>
                <w:sz w:val="24"/>
                <w:szCs w:val="24"/>
                <w:lang w:val="en-US" w:eastAsia="zh-CN"/>
              </w:rPr>
              <w:t>烘干</w:t>
            </w:r>
            <w:r>
              <w:rPr>
                <w:rFonts w:ascii="Segoe UI" w:hAnsi="Segoe UI" w:eastAsia="Segoe UI" w:cs="Segoe UI"/>
                <w:i w:val="0"/>
                <w:iCs w:val="0"/>
                <w:caps w:val="0"/>
                <w:color w:val="auto"/>
                <w:spacing w:val="0"/>
                <w:sz w:val="24"/>
                <w:szCs w:val="24"/>
              </w:rPr>
              <w:t>定型</w:t>
            </w:r>
            <w:r>
              <w:rPr>
                <w:rFonts w:hint="eastAsia" w:ascii="Segoe UI" w:hAnsi="Segoe UI" w:eastAsia="宋体" w:cs="Segoe UI"/>
                <w:i w:val="0"/>
                <w:iCs w:val="0"/>
                <w:caps w:val="0"/>
                <w:color w:val="auto"/>
                <w:spacing w:val="0"/>
                <w:sz w:val="24"/>
                <w:szCs w:val="24"/>
                <w:lang w:eastAsia="zh-CN"/>
              </w:rPr>
              <w:t>（</w:t>
            </w:r>
            <w:r>
              <w:rPr>
                <w:rFonts w:hint="eastAsia" w:cs="Times New Roman"/>
                <w:color w:val="auto"/>
                <w:sz w:val="24"/>
                <w:highlight w:val="none"/>
                <w:lang w:val="en-US" w:eastAsia="zh-CN"/>
              </w:rPr>
              <w:t>约180℃</w:t>
            </w:r>
            <w:r>
              <w:rPr>
                <w:rFonts w:hint="eastAsia" w:ascii="Segoe UI" w:hAnsi="Segoe UI" w:eastAsia="宋体" w:cs="Segoe UI"/>
                <w:i w:val="0"/>
                <w:iCs w:val="0"/>
                <w:caps w:val="0"/>
                <w:color w:val="auto"/>
                <w:spacing w:val="0"/>
                <w:sz w:val="24"/>
                <w:szCs w:val="24"/>
                <w:lang w:eastAsia="zh-CN"/>
              </w:rPr>
              <w:t>），</w:t>
            </w:r>
            <w:r>
              <w:rPr>
                <w:rFonts w:hint="eastAsia" w:ascii="Segoe UI" w:hAnsi="Segoe UI" w:eastAsia="宋体" w:cs="Segoe UI"/>
                <w:i w:val="0"/>
                <w:iCs w:val="0"/>
                <w:caps w:val="0"/>
                <w:color w:val="auto"/>
                <w:spacing w:val="0"/>
                <w:sz w:val="24"/>
                <w:szCs w:val="24"/>
                <w:lang w:val="en-US" w:eastAsia="zh-CN"/>
              </w:rPr>
              <w:t>热风循环烘干箱采用电加热</w:t>
            </w:r>
            <w:r>
              <w:rPr>
                <w:rFonts w:ascii="Segoe UI" w:hAnsi="Segoe UI" w:eastAsia="Segoe UI" w:cs="Segoe UI"/>
                <w:i w:val="0"/>
                <w:iCs w:val="0"/>
                <w:caps w:val="0"/>
                <w:color w:val="auto"/>
                <w:spacing w:val="0"/>
                <w:sz w:val="24"/>
                <w:szCs w:val="24"/>
              </w:rPr>
              <w:t>。</w:t>
            </w:r>
          </w:p>
          <w:p w14:paraId="0A402476">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包装入库</w:t>
            </w:r>
          </w:p>
          <w:p w14:paraId="2748B7D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ascii="Segoe UI" w:hAnsi="Segoe UI" w:eastAsia="Segoe UI" w:cs="Segoe UI"/>
                <w:i w:val="0"/>
                <w:iCs w:val="0"/>
                <w:caps w:val="0"/>
                <w:color w:val="auto"/>
                <w:spacing w:val="0"/>
                <w:sz w:val="24"/>
                <w:szCs w:val="24"/>
              </w:rPr>
            </w:pPr>
            <w:r>
              <w:rPr>
                <w:rFonts w:hint="eastAsia" w:ascii="Segoe UI" w:hAnsi="Segoe UI" w:eastAsia="宋体" w:cs="Segoe UI"/>
                <w:i w:val="0"/>
                <w:iCs w:val="0"/>
                <w:caps w:val="0"/>
                <w:color w:val="auto"/>
                <w:spacing w:val="0"/>
                <w:sz w:val="24"/>
                <w:szCs w:val="24"/>
                <w:lang w:val="en-US" w:eastAsia="zh-CN"/>
              </w:rPr>
              <w:t>采用人工包装，</w:t>
            </w:r>
            <w:r>
              <w:rPr>
                <w:rFonts w:ascii="Segoe UI" w:hAnsi="Segoe UI" w:eastAsia="Segoe UI" w:cs="Segoe UI"/>
                <w:i w:val="0"/>
                <w:iCs w:val="0"/>
                <w:caps w:val="0"/>
                <w:color w:val="auto"/>
                <w:spacing w:val="0"/>
                <w:sz w:val="24"/>
                <w:szCs w:val="24"/>
              </w:rPr>
              <w:t>将睫毛丝分装为成品后入库</w:t>
            </w:r>
            <w:r>
              <w:rPr>
                <w:rFonts w:hint="eastAsia" w:ascii="Segoe UI" w:hAnsi="Segoe UI" w:eastAsia="宋体" w:cs="Segoe UI"/>
                <w:i w:val="0"/>
                <w:iCs w:val="0"/>
                <w:caps w:val="0"/>
                <w:color w:val="auto"/>
                <w:spacing w:val="0"/>
                <w:sz w:val="24"/>
                <w:szCs w:val="24"/>
                <w:lang w:val="en-US" w:eastAsia="zh-CN"/>
              </w:rPr>
              <w:t>待售</w:t>
            </w:r>
            <w:r>
              <w:rPr>
                <w:rFonts w:ascii="Segoe UI" w:hAnsi="Segoe UI" w:eastAsia="Segoe UI" w:cs="Segoe UI"/>
                <w:i w:val="0"/>
                <w:iCs w:val="0"/>
                <w:caps w:val="0"/>
                <w:color w:val="auto"/>
                <w:spacing w:val="0"/>
                <w:sz w:val="24"/>
                <w:szCs w:val="24"/>
              </w:rPr>
              <w:t>。</w:t>
            </w:r>
          </w:p>
          <w:p w14:paraId="77309D2E">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4、PP带生产工艺流程简述</w:t>
            </w:r>
          </w:p>
          <w:p w14:paraId="754D374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整经</w:t>
            </w:r>
          </w:p>
          <w:p w14:paraId="1A95233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整经时纤维丝从筒子上退解后，将多条丝线缠绕在一个线盘上。</w:t>
            </w:r>
          </w:p>
          <w:p w14:paraId="53BF964D">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织造</w:t>
            </w:r>
          </w:p>
          <w:p w14:paraId="33FC66A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整经后的纤维丝穿入无梭织带机的弧形引纬器，在织机另一侧装有一舌针，勾住经纬成网，形成纬平针结构的组织。</w:t>
            </w:r>
          </w:p>
          <w:p w14:paraId="6A75475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整理、包装入库</w:t>
            </w:r>
          </w:p>
          <w:p w14:paraId="2B66E814">
            <w:pPr>
              <w:pStyle w:val="2"/>
              <w:keepNext w:val="0"/>
              <w:keepLines w:val="0"/>
              <w:pageBreakBefore w:val="0"/>
              <w:widowControl w:val="0"/>
              <w:kinsoku/>
              <w:wordWrap/>
              <w:overflowPunct/>
              <w:topLinePunct w:val="0"/>
              <w:autoSpaceDE/>
              <w:autoSpaceDN/>
              <w:bidi w:val="0"/>
              <w:spacing w:after="0" w:line="360" w:lineRule="auto"/>
              <w:ind w:left="0" w:leftChars="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将织造好的PP带</w:t>
            </w:r>
            <w:r>
              <w:rPr>
                <w:rFonts w:hint="eastAsia" w:ascii="Times New Roman" w:hAnsi="Times New Roman" w:cs="Times New Roman"/>
                <w:color w:val="auto"/>
                <w:kern w:val="2"/>
                <w:sz w:val="24"/>
                <w:szCs w:val="24"/>
                <w:highlight w:val="none"/>
                <w:lang w:val="en-US" w:eastAsia="zh-CN" w:bidi="ar-SA"/>
              </w:rPr>
              <w:t>整理后</w:t>
            </w:r>
            <w:r>
              <w:rPr>
                <w:rFonts w:hint="eastAsia" w:cs="Times New Roman"/>
                <w:color w:val="auto"/>
                <w:sz w:val="24"/>
                <w:highlight w:val="none"/>
                <w:lang w:val="en-US" w:eastAsia="zh-CN"/>
              </w:rPr>
              <w:t>包装为成品入库待售。</w:t>
            </w:r>
          </w:p>
          <w:p w14:paraId="4AE5152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5、组件清洗</w:t>
            </w:r>
            <w:r>
              <w:rPr>
                <w:rFonts w:hint="eastAsia" w:ascii="Times New Roman" w:hAnsi="Times New Roman" w:eastAsia="宋体" w:cs="Times New Roman"/>
                <w:color w:val="auto"/>
                <w:sz w:val="24"/>
                <w:highlight w:val="none"/>
                <w:lang w:val="en-US" w:eastAsia="zh-CN"/>
              </w:rPr>
              <w:t>工艺流程简述</w:t>
            </w:r>
          </w:p>
          <w:p w14:paraId="42FD9E39">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本项目组件清洗主要为螺杆挤压环节、纺丝环节产生的纺丝组件需进行真空清洗。</w:t>
            </w:r>
          </w:p>
          <w:p w14:paraId="0DC6735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纺丝组件由压力板、分配板、滤网、金属砂、喷丝板、组件内胆和组件外壳等组成。纺丝组件在使用一段时间后，表面和喷丝孔附近会积聚一定量的高分子聚合物，从而影响喷丝质量，堵塞喷丝孔，因此在使用一段时间后需要更换，更换后纺丝组件和计量泵上有少量聚合熔体和杂质，使用电加热真空清洗炉进行清洗。</w:t>
            </w:r>
          </w:p>
          <w:p w14:paraId="0FEE0611">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生产纤维丝的原料为聚丙烯和色母料，因此纺丝组件残留的少量聚合熔体为聚丙烯和色母料，</w:t>
            </w:r>
            <w:r>
              <w:rPr>
                <w:rFonts w:hint="eastAsia" w:ascii="Times New Roman" w:hAnsi="Times New Roman" w:eastAsia="宋体" w:cs="Times New Roman"/>
                <w:color w:val="auto"/>
                <w:kern w:val="2"/>
                <w:sz w:val="24"/>
                <w:szCs w:val="24"/>
                <w:highlight w:val="none"/>
                <w:lang w:val="en-US" w:eastAsia="zh-CN" w:bidi="ar-SA"/>
              </w:rPr>
              <w:t>关于本项目</w:t>
            </w:r>
            <w:r>
              <w:rPr>
                <w:rFonts w:hint="eastAsia" w:ascii="Times New Roman" w:hAnsi="Times New Roman" w:cs="Times New Roman"/>
                <w:color w:val="auto"/>
                <w:kern w:val="2"/>
                <w:sz w:val="24"/>
                <w:szCs w:val="24"/>
                <w:highlight w:val="none"/>
                <w:lang w:val="en-US" w:eastAsia="zh-CN" w:bidi="ar-SA"/>
              </w:rPr>
              <w:t>纺丝组件真空清洗</w:t>
            </w:r>
            <w:r>
              <w:rPr>
                <w:rFonts w:hint="eastAsia" w:ascii="Times New Roman" w:hAnsi="Times New Roman" w:eastAsia="宋体" w:cs="Times New Roman"/>
                <w:color w:val="auto"/>
                <w:kern w:val="2"/>
                <w:sz w:val="24"/>
                <w:szCs w:val="24"/>
                <w:highlight w:val="none"/>
                <w:lang w:val="en-US" w:eastAsia="zh-CN" w:bidi="ar-SA"/>
              </w:rPr>
              <w:t>过程是否涉及二噁英等污染物产生，本评价经查阅资料得到，二噁英的产生主要来自于含氯、溴物质的焚烧、燃烧过程，本项目PP料中不含氯、溴元素，因此本评价认为本项目塑料裂解过程中无二噁英产生。本项目塑料裂解过程产生的废气主要为烷烃类可燃气体（以VOCs计）。</w:t>
            </w:r>
          </w:p>
          <w:p w14:paraId="075808DD">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w:t>
            </w:r>
            <w:r>
              <w:rPr>
                <w:rFonts w:hint="eastAsia" w:ascii="Times New Roman" w:hAnsi="Times New Roman" w:cs="Times New Roman"/>
                <w:color w:val="auto"/>
                <w:kern w:val="2"/>
                <w:sz w:val="24"/>
                <w:szCs w:val="24"/>
                <w:highlight w:val="none"/>
                <w:lang w:val="en-US" w:eastAsia="zh-CN" w:bidi="ar-SA"/>
              </w:rPr>
              <w:t>真空清洗炉利用真空环境，分阶段对温度进行控制。第一阶段逐步加热到300</w:t>
            </w:r>
            <w:r>
              <w:rPr>
                <w:rFonts w:hint="eastAsia" w:ascii="Times New Roman" w:hAnsi="Times New Roman" w:eastAsia="宋体" w:cs="Times New Roman"/>
                <w:color w:val="auto"/>
                <w:kern w:val="2"/>
                <w:sz w:val="24"/>
                <w:szCs w:val="24"/>
                <w:highlight w:val="none"/>
                <w:lang w:val="en-US" w:eastAsia="zh-CN" w:bidi="ar-SA"/>
              </w:rPr>
              <w:t>℃，使</w:t>
            </w:r>
            <w:r>
              <w:rPr>
                <w:rFonts w:hint="eastAsia" w:ascii="Times New Roman" w:hAnsi="Times New Roman" w:cs="Times New Roman"/>
                <w:color w:val="auto"/>
                <w:kern w:val="2"/>
                <w:sz w:val="24"/>
                <w:szCs w:val="24"/>
                <w:highlight w:val="none"/>
                <w:lang w:val="en-US" w:eastAsia="zh-CN" w:bidi="ar-SA"/>
              </w:rPr>
              <w:t>纺丝组件</w:t>
            </w:r>
            <w:r>
              <w:rPr>
                <w:rFonts w:hint="eastAsia" w:ascii="Times New Roman" w:hAnsi="Times New Roman" w:eastAsia="宋体" w:cs="Times New Roman"/>
                <w:color w:val="auto"/>
                <w:kern w:val="2"/>
                <w:sz w:val="24"/>
                <w:szCs w:val="24"/>
                <w:highlight w:val="none"/>
                <w:lang w:val="en-US" w:eastAsia="zh-CN" w:bidi="ar-SA"/>
              </w:rPr>
              <w:t>表面的</w:t>
            </w:r>
            <w:r>
              <w:rPr>
                <w:rFonts w:hint="eastAsia" w:ascii="Times New Roman" w:hAnsi="Times New Roman" w:cs="Times New Roman"/>
                <w:color w:val="auto"/>
                <w:kern w:val="2"/>
                <w:sz w:val="24"/>
                <w:szCs w:val="24"/>
                <w:highlight w:val="none"/>
                <w:lang w:val="en-US" w:eastAsia="zh-CN" w:bidi="ar-SA"/>
              </w:rPr>
              <w:t>聚合物逐渐融化</w:t>
            </w:r>
            <w:r>
              <w:rPr>
                <w:rFonts w:hint="eastAsia" w:ascii="Times New Roman" w:hAnsi="Times New Roman" w:eastAsia="宋体" w:cs="Times New Roman"/>
                <w:color w:val="auto"/>
                <w:kern w:val="2"/>
                <w:sz w:val="24"/>
                <w:szCs w:val="24"/>
                <w:highlight w:val="none"/>
                <w:lang w:val="en-US" w:eastAsia="zh-CN" w:bidi="ar-SA"/>
              </w:rPr>
              <w:t>，控制系统始终保证</w:t>
            </w:r>
            <w:r>
              <w:rPr>
                <w:rFonts w:hint="eastAsia" w:ascii="Times New Roman" w:hAnsi="Times New Roman" w:cs="Times New Roman"/>
                <w:color w:val="auto"/>
                <w:kern w:val="2"/>
                <w:sz w:val="24"/>
                <w:szCs w:val="24"/>
                <w:highlight w:val="none"/>
                <w:lang w:val="en-US" w:eastAsia="zh-CN" w:bidi="ar-SA"/>
              </w:rPr>
              <w:t>熔融</w:t>
            </w:r>
            <w:r>
              <w:rPr>
                <w:rFonts w:hint="eastAsia" w:ascii="Times New Roman" w:hAnsi="Times New Roman" w:eastAsia="宋体" w:cs="Times New Roman"/>
                <w:color w:val="auto"/>
                <w:kern w:val="2"/>
                <w:sz w:val="24"/>
                <w:szCs w:val="24"/>
                <w:highlight w:val="none"/>
                <w:lang w:val="en-US" w:eastAsia="zh-CN" w:bidi="ar-SA"/>
              </w:rPr>
              <w:t>速度</w:t>
            </w:r>
            <w:r>
              <w:rPr>
                <w:rFonts w:hint="eastAsia" w:ascii="Times New Roman" w:hAnsi="Times New Roman" w:cs="Times New Roman"/>
                <w:color w:val="auto"/>
                <w:kern w:val="2"/>
                <w:sz w:val="24"/>
                <w:szCs w:val="24"/>
                <w:highlight w:val="none"/>
                <w:lang w:val="en-US" w:eastAsia="zh-CN" w:bidi="ar-SA"/>
              </w:rPr>
              <w:t>。第二阶段提高温度到450℃</w:t>
            </w:r>
            <w:r>
              <w:rPr>
                <w:rFonts w:hint="eastAsia" w:ascii="Times New Roman" w:hAnsi="Times New Roman" w:eastAsia="宋体" w:cs="Times New Roman"/>
                <w:color w:val="auto"/>
                <w:kern w:val="2"/>
                <w:sz w:val="24"/>
                <w:szCs w:val="24"/>
                <w:highlight w:val="none"/>
                <w:lang w:val="en-US" w:eastAsia="zh-CN" w:bidi="ar-SA"/>
              </w:rPr>
              <w:t>，同时打开真空泵，通入少量新鲜空气，使剩余的聚合物充分氧化，</w:t>
            </w:r>
            <w:r>
              <w:rPr>
                <w:rFonts w:hint="eastAsia" w:ascii="Times New Roman" w:hAnsi="Times New Roman" w:cs="Times New Roman"/>
                <w:color w:val="auto"/>
                <w:kern w:val="2"/>
                <w:sz w:val="24"/>
                <w:szCs w:val="24"/>
                <w:highlight w:val="none"/>
                <w:lang w:val="en-US" w:eastAsia="zh-CN" w:bidi="ar-SA"/>
              </w:rPr>
              <w:t>产生少量炭化废渣</w:t>
            </w:r>
            <w:r>
              <w:rPr>
                <w:rFonts w:hint="eastAsia" w:ascii="Times New Roman" w:hAnsi="Times New Roman" w:eastAsia="宋体" w:cs="Times New Roman"/>
                <w:color w:val="auto"/>
                <w:kern w:val="2"/>
                <w:sz w:val="24"/>
                <w:szCs w:val="24"/>
                <w:highlight w:val="none"/>
                <w:lang w:val="en-US" w:eastAsia="zh-CN" w:bidi="ar-SA"/>
              </w:rPr>
              <w:t>，收集后交由有资质的单位处置。</w:t>
            </w:r>
            <w:r>
              <w:rPr>
                <w:rFonts w:hint="eastAsia" w:ascii="Times New Roman" w:hAnsi="Times New Roman" w:cs="Times New Roman"/>
                <w:color w:val="auto"/>
                <w:kern w:val="2"/>
                <w:sz w:val="24"/>
                <w:szCs w:val="24"/>
                <w:highlight w:val="none"/>
                <w:lang w:val="en-US" w:eastAsia="zh-CN" w:bidi="ar-SA"/>
              </w:rPr>
              <w:t>纺丝组件</w:t>
            </w:r>
            <w:r>
              <w:rPr>
                <w:rFonts w:hint="eastAsia" w:cs="Times New Roman"/>
                <w:b w:val="0"/>
                <w:bCs w:val="0"/>
                <w:color w:val="auto"/>
                <w:sz w:val="24"/>
                <w:szCs w:val="24"/>
                <w:highlight w:val="none"/>
                <w:lang w:val="en-US" w:eastAsia="zh-CN"/>
              </w:rPr>
              <w:t>表面会附着少量废渣，使用超声波清洗机进行清洗，</w:t>
            </w:r>
            <w:r>
              <w:rPr>
                <w:rFonts w:hint="eastAsia" w:ascii="Times New Roman" w:hAnsi="Times New Roman" w:cs="宋体"/>
                <w:b w:val="0"/>
                <w:bCs w:val="0"/>
                <w:color w:val="auto"/>
                <w:sz w:val="24"/>
                <w:szCs w:val="24"/>
                <w:highlight w:val="none"/>
                <w:lang w:val="en-US" w:eastAsia="zh-CN"/>
              </w:rPr>
              <w:t>产生的废水主要污染物为SS、COD，经沉淀池沉淀处理后循环使用，不外排。沉淀池污泥定期清理，交由有资质的单位处置。</w:t>
            </w:r>
            <w:r>
              <w:rPr>
                <w:rFonts w:hint="eastAsia" w:ascii="Times New Roman" w:hAnsi="Times New Roman" w:cs="宋体"/>
                <w:color w:val="auto"/>
                <w:sz w:val="24"/>
                <w:highlight w:val="none"/>
                <w:lang w:val="en-US" w:eastAsia="zh-CN"/>
              </w:rPr>
              <w:t>本项目纺丝组件清洗废气进入二级活性炭吸附装置处理后由15米排气筒（DA001）排放。</w:t>
            </w:r>
          </w:p>
          <w:p w14:paraId="0AD6320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宋体"/>
                <w:b/>
                <w:color w:val="auto"/>
                <w:kern w:val="2"/>
                <w:sz w:val="18"/>
                <w:szCs w:val="18"/>
                <w:lang w:val="en-US" w:eastAsia="zh-CN" w:bidi="ar-SA"/>
              </w:rPr>
            </w:pPr>
            <w:r>
              <w:rPr>
                <w:rFonts w:hint="eastAsia" w:ascii="Times New Roman" w:hAnsi="Times New Roman"/>
                <w:color w:val="auto"/>
                <w:lang w:eastAsia="zh-CN"/>
              </w:rPr>
              <w:object>
                <v:shape id="_x0000_i1032" o:spt="75" type="#_x0000_t75" style="height:220.6pt;width:306.55pt;" o:ole="t" filled="f" o:preferrelative="t" stroked="f" coordsize="21600,21600">
                  <v:path/>
                  <v:fill on="f" focussize="0,0"/>
                  <v:stroke on="f"/>
                  <v:imagedata r:id="rId20" o:title=""/>
                  <o:lock v:ext="edit" aspectratio="f"/>
                  <w10:wrap type="none"/>
                  <w10:anchorlock/>
                </v:shape>
                <o:OLEObject Type="Embed" ProgID="Visio.Drawing.15" ShapeID="_x0000_i1032" DrawAspect="Content" ObjectID="_1468075732" r:id="rId19">
                  <o:LockedField>false</o:LockedField>
                </o:OLEObject>
              </w:object>
            </w:r>
            <w:r>
              <w:rPr>
                <w:rFonts w:hint="eastAsia" w:ascii="Times New Roman" w:hAnsi="Times New Roman" w:eastAsia="宋体" w:cs="宋体"/>
                <w:b/>
                <w:color w:val="auto"/>
                <w:kern w:val="2"/>
                <w:sz w:val="18"/>
                <w:szCs w:val="18"/>
                <w:lang w:val="en-US" w:eastAsia="zh-CN" w:bidi="ar-SA"/>
              </w:rPr>
              <w:object>
                <v:shape id="_x0000_i1033" o:spt="75" type="#_x0000_t75" style="height:0pt;width:0.05pt;" o:ole="t" filled="f" o:preferrelative="t" stroked="f" coordsize="21600,21600">
                  <v:path/>
                  <v:fill on="f" focussize="0,0"/>
                  <v:stroke on="f"/>
                  <v:imagedata r:id="rId15" o:title=""/>
                  <o:lock v:ext="edit" aspectratio="f"/>
                  <w10:wrap type="none"/>
                  <w10:anchorlock/>
                </v:shape>
                <o:OLEObject Type="Embed" ProgID="Visio.Drawing.15" ShapeID="_x0000_i1033" DrawAspect="Content" ObjectID="_1468075733" r:id="rId21">
                  <o:LockedField>false</o:LockedField>
                </o:OLEObject>
              </w:object>
            </w:r>
          </w:p>
          <w:p w14:paraId="45C3BC6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图2-</w:t>
            </w:r>
            <w:r>
              <w:rPr>
                <w:rFonts w:hint="eastAsia" w:eastAsia="黑体" w:cs="Times New Roman"/>
                <w:color w:val="auto"/>
                <w:sz w:val="24"/>
                <w:szCs w:val="24"/>
                <w:highlight w:val="none"/>
                <w:lang w:val="en-US" w:eastAsia="zh-CN"/>
              </w:rPr>
              <w:t>4</w:t>
            </w:r>
            <w:r>
              <w:rPr>
                <w:rFonts w:hint="eastAsia" w:ascii="Times New Roman" w:hAnsi="Times New Roman" w:eastAsia="黑体" w:cs="Times New Roman"/>
                <w:color w:val="auto"/>
                <w:sz w:val="24"/>
                <w:szCs w:val="24"/>
                <w:highlight w:val="none"/>
                <w:lang w:val="en-US" w:eastAsia="zh-CN"/>
              </w:rPr>
              <w:t xml:space="preserve"> </w:t>
            </w:r>
            <w:r>
              <w:rPr>
                <w:rFonts w:hint="eastAsia" w:eastAsia="黑体" w:cs="Times New Roman"/>
                <w:color w:val="auto"/>
                <w:sz w:val="24"/>
                <w:szCs w:val="24"/>
                <w:highlight w:val="none"/>
                <w:lang w:val="en-US" w:eastAsia="zh-CN"/>
              </w:rPr>
              <w:t>纺丝组件清洗</w:t>
            </w:r>
            <w:r>
              <w:rPr>
                <w:rFonts w:hint="default" w:ascii="Times New Roman" w:hAnsi="Times New Roman" w:eastAsia="黑体" w:cs="Times New Roman"/>
                <w:color w:val="auto"/>
                <w:sz w:val="24"/>
                <w:szCs w:val="24"/>
                <w:highlight w:val="none"/>
                <w:lang w:val="en-US" w:eastAsia="zh-CN"/>
              </w:rPr>
              <w:t>工艺流程及产污环节图</w:t>
            </w:r>
          </w:p>
          <w:p w14:paraId="5FDA099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w:t>
            </w:r>
            <w:r>
              <w:rPr>
                <w:rFonts w:hint="eastAsia" w:ascii="Times New Roman" w:hAnsi="Times New Roman" w:eastAsia="黑体" w:cs="Times New Roman"/>
                <w:color w:val="auto"/>
                <w:sz w:val="24"/>
                <w:szCs w:val="24"/>
                <w:highlight w:val="none"/>
                <w:lang w:val="en-US" w:eastAsia="zh-CN"/>
              </w:rPr>
              <w:t>三</w:t>
            </w:r>
            <w:r>
              <w:rPr>
                <w:rFonts w:hint="default" w:ascii="Times New Roman" w:hAnsi="Times New Roman" w:eastAsia="黑体" w:cs="Times New Roman"/>
                <w:color w:val="auto"/>
                <w:sz w:val="24"/>
                <w:szCs w:val="24"/>
                <w:highlight w:val="none"/>
                <w:lang w:val="en-US" w:eastAsia="zh-CN"/>
              </w:rPr>
              <w:t>）</w:t>
            </w:r>
            <w:r>
              <w:rPr>
                <w:rFonts w:hint="eastAsia" w:ascii="Times New Roman" w:hAnsi="Times New Roman" w:eastAsia="黑体" w:cs="Times New Roman"/>
                <w:color w:val="auto"/>
                <w:sz w:val="24"/>
                <w:szCs w:val="24"/>
                <w:highlight w:val="none"/>
                <w:lang w:val="en-US" w:eastAsia="zh-CN"/>
              </w:rPr>
              <w:t>生产过程中产污环节及处理方式</w:t>
            </w:r>
          </w:p>
          <w:p w14:paraId="3DDC1D5D">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1、废气</w:t>
            </w:r>
          </w:p>
          <w:p w14:paraId="268C6BFA">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纤维丝生产过程中产生的废气主要为纺丝和冷却废气G1、油剂废气G2、牵伸废气G3；假发生产过程中产生的废气主要为压花废气G4；假睫毛生产过程中产生的废气主要为磨尖废气G5、烘干定型废气G6；纺丝组件真空清洗废气G7；未被收集的</w:t>
            </w:r>
            <w:r>
              <w:rPr>
                <w:rFonts w:hint="eastAsia" w:ascii="Times New Roman" w:hAnsi="Times New Roman" w:eastAsia="宋体" w:cs="Times New Roman"/>
                <w:color w:val="auto"/>
                <w:sz w:val="24"/>
                <w:highlight w:val="none"/>
                <w:lang w:val="en-US" w:eastAsia="zh-CN"/>
              </w:rPr>
              <w:t>废气G</w:t>
            </w:r>
            <w:r>
              <w:rPr>
                <w:rFonts w:hint="eastAsia" w:cs="Times New Roman"/>
                <w:color w:val="auto"/>
                <w:sz w:val="24"/>
                <w:highlight w:val="none"/>
                <w:lang w:val="en-US" w:eastAsia="zh-CN"/>
              </w:rPr>
              <w:t>8。</w:t>
            </w:r>
          </w:p>
          <w:p w14:paraId="53D813C8">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2、废水</w:t>
            </w:r>
          </w:p>
          <w:p w14:paraId="7755137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本项目废水主要为</w:t>
            </w:r>
            <w:r>
              <w:rPr>
                <w:rFonts w:hint="eastAsia" w:cs="Times New Roman"/>
                <w:color w:val="auto"/>
                <w:sz w:val="24"/>
                <w:highlight w:val="none"/>
                <w:lang w:val="en-US" w:eastAsia="zh-CN"/>
              </w:rPr>
              <w:t>洗丝废水</w:t>
            </w:r>
            <w:r>
              <w:rPr>
                <w:rFonts w:hint="eastAsia" w:ascii="Times New Roman" w:hAnsi="Times New Roman" w:eastAsia="宋体" w:cs="Times New Roman"/>
                <w:color w:val="auto"/>
                <w:sz w:val="24"/>
                <w:highlight w:val="none"/>
                <w:lang w:val="en-US" w:eastAsia="zh-CN"/>
              </w:rPr>
              <w:t>W1</w:t>
            </w:r>
            <w:r>
              <w:rPr>
                <w:rFonts w:hint="eastAsia" w:cs="Times New Roman"/>
                <w:color w:val="auto"/>
                <w:sz w:val="24"/>
                <w:highlight w:val="none"/>
                <w:lang w:val="en-US" w:eastAsia="zh-CN"/>
              </w:rPr>
              <w:t>、纺丝组件清洗废水W2、甩干废水W3、</w:t>
            </w:r>
            <w:r>
              <w:rPr>
                <w:rFonts w:hint="eastAsia" w:ascii="Times New Roman" w:hAnsi="Times New Roman" w:eastAsia="宋体" w:cs="Times New Roman"/>
                <w:color w:val="auto"/>
                <w:sz w:val="24"/>
                <w:highlight w:val="none"/>
                <w:lang w:val="en-US" w:eastAsia="zh-CN"/>
              </w:rPr>
              <w:t>生活污水</w:t>
            </w:r>
            <w:r>
              <w:rPr>
                <w:rFonts w:hint="eastAsia" w:cs="Times New Roman"/>
                <w:color w:val="auto"/>
                <w:sz w:val="24"/>
                <w:highlight w:val="none"/>
                <w:lang w:val="en-US" w:eastAsia="zh-CN"/>
              </w:rPr>
              <w:t>W4。</w:t>
            </w:r>
          </w:p>
          <w:p w14:paraId="4E50A34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3、噪声</w:t>
            </w:r>
          </w:p>
          <w:p w14:paraId="3CE636F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本项目噪声源主要为</w:t>
            </w:r>
            <w:r>
              <w:rPr>
                <w:rFonts w:hint="eastAsia" w:cs="Times New Roman"/>
                <w:color w:val="auto"/>
                <w:sz w:val="24"/>
                <w:highlight w:val="none"/>
                <w:lang w:val="en-US" w:eastAsia="zh-CN"/>
              </w:rPr>
              <w:t>螺杆挤出机</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牵伸卷绕设备</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螺杆机</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辫子织机、压花机、剪裁机、烘干机、磨尖机等</w:t>
            </w:r>
            <w:r>
              <w:rPr>
                <w:rFonts w:hint="eastAsia" w:ascii="Times New Roman" w:hAnsi="Times New Roman" w:eastAsia="宋体" w:cs="Times New Roman"/>
                <w:color w:val="auto"/>
                <w:sz w:val="24"/>
                <w:highlight w:val="none"/>
                <w:lang w:val="en-US" w:eastAsia="zh-CN"/>
              </w:rPr>
              <w:t>产生的噪声N。</w:t>
            </w:r>
          </w:p>
          <w:p w14:paraId="4160CCEF">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4、固废</w:t>
            </w:r>
          </w:p>
          <w:p w14:paraId="7EE2FAD7">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本项目产生的固体废物主要是</w:t>
            </w:r>
            <w:r>
              <w:rPr>
                <w:rFonts w:hint="eastAsia" w:cs="Times New Roman"/>
                <w:color w:val="auto"/>
                <w:sz w:val="24"/>
                <w:highlight w:val="none"/>
                <w:lang w:val="en-US" w:eastAsia="zh-CN"/>
              </w:rPr>
              <w:t>废包装物</w:t>
            </w:r>
            <w:r>
              <w:rPr>
                <w:rFonts w:hint="eastAsia" w:ascii="Times New Roman" w:hAnsi="Times New Roman" w:eastAsia="宋体" w:cs="Times New Roman"/>
                <w:color w:val="auto"/>
                <w:sz w:val="24"/>
                <w:highlight w:val="none"/>
                <w:lang w:val="en-US" w:eastAsia="zh-CN"/>
              </w:rPr>
              <w:t>S1</w:t>
            </w:r>
            <w:r>
              <w:rPr>
                <w:rFonts w:hint="eastAsia" w:cs="Times New Roman"/>
                <w:color w:val="auto"/>
                <w:sz w:val="24"/>
                <w:highlight w:val="none"/>
                <w:lang w:val="en-US" w:eastAsia="zh-CN"/>
              </w:rPr>
              <w:t>；除尘器收集粉尘S2；纺丝组件清洗废渣S3；废油剂容器S4；剪裁、牵伸工序产生的碎发丝S5；废机油S6；废机油桶S7；废活性炭S8；沉淀池污泥S9；</w:t>
            </w:r>
            <w:r>
              <w:rPr>
                <w:rFonts w:hint="default" w:ascii="Times New Roman" w:hAnsi="Times New Roman" w:eastAsia="宋体" w:cs="Times New Roman"/>
                <w:color w:val="auto"/>
                <w:sz w:val="24"/>
                <w:highlight w:val="none"/>
                <w:lang w:val="en-US" w:eastAsia="zh-CN"/>
              </w:rPr>
              <w:t>生活垃圾</w:t>
            </w:r>
            <w:r>
              <w:rPr>
                <w:rFonts w:hint="eastAsia" w:ascii="Times New Roman" w:hAnsi="Times New Roman" w:eastAsia="宋体" w:cs="Times New Roman"/>
                <w:color w:val="auto"/>
                <w:sz w:val="24"/>
                <w:highlight w:val="none"/>
                <w:lang w:val="en-US" w:eastAsia="zh-CN"/>
              </w:rPr>
              <w:t>S</w:t>
            </w:r>
            <w:r>
              <w:rPr>
                <w:rFonts w:hint="eastAsia"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w:t>
            </w:r>
          </w:p>
          <w:p w14:paraId="0FAEE6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en-US" w:eastAsia="zh-CN" w:bidi="ar-SA"/>
              </w:rPr>
            </w:pPr>
          </w:p>
          <w:p w14:paraId="657A5A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en-US" w:eastAsia="zh-CN" w:bidi="ar-SA"/>
              </w:rPr>
            </w:pPr>
          </w:p>
          <w:p w14:paraId="3318E3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en-US" w:eastAsia="zh-CN" w:bidi="ar-SA"/>
              </w:rPr>
            </w:pPr>
          </w:p>
          <w:p w14:paraId="2360C9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宋体"/>
                <w:b/>
                <w:color w:val="auto"/>
                <w:szCs w:val="21"/>
              </w:rPr>
            </w:pPr>
            <w:r>
              <w:rPr>
                <w:rFonts w:hint="eastAsia" w:ascii="Times New Roman" w:hAnsi="Times New Roman" w:eastAsia="黑体" w:cs="Times New Roman"/>
                <w:b w:val="0"/>
                <w:bCs w:val="0"/>
                <w:color w:val="auto"/>
                <w:kern w:val="0"/>
                <w:sz w:val="24"/>
                <w:szCs w:val="24"/>
                <w:lang w:val="en-US" w:eastAsia="zh-CN" w:bidi="ar-SA"/>
              </w:rPr>
              <w:t>表2-</w:t>
            </w:r>
            <w:r>
              <w:rPr>
                <w:rFonts w:hint="eastAsia" w:eastAsia="黑体" w:cs="Times New Roman"/>
                <w:b w:val="0"/>
                <w:bCs w:val="0"/>
                <w:color w:val="auto"/>
                <w:kern w:val="0"/>
                <w:sz w:val="24"/>
                <w:szCs w:val="24"/>
                <w:lang w:val="en-US" w:eastAsia="zh-CN" w:bidi="ar-SA"/>
              </w:rPr>
              <w:t>8</w:t>
            </w:r>
            <w:r>
              <w:rPr>
                <w:rFonts w:hint="eastAsia" w:ascii="Times New Roman" w:hAnsi="Times New Roman" w:eastAsia="黑体" w:cs="Times New Roman"/>
                <w:b w:val="0"/>
                <w:bCs w:val="0"/>
                <w:color w:val="auto"/>
                <w:kern w:val="0"/>
                <w:sz w:val="24"/>
                <w:szCs w:val="24"/>
                <w:lang w:val="en-US" w:eastAsia="zh-CN" w:bidi="ar-SA"/>
              </w:rPr>
              <w:t xml:space="preserve">  主要产污环节及处理方式一览表</w:t>
            </w:r>
          </w:p>
          <w:tbl>
            <w:tblPr>
              <w:tblStyle w:val="28"/>
              <w:tblW w:w="4957"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775"/>
              <w:gridCol w:w="1573"/>
              <w:gridCol w:w="1217"/>
              <w:gridCol w:w="1392"/>
              <w:gridCol w:w="2545"/>
            </w:tblGrid>
            <w:tr w14:paraId="57BEF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tcBorders>
                    <w:tl2br w:val="nil"/>
                    <w:tr2bl w:val="nil"/>
                  </w:tcBorders>
                  <w:noWrap w:val="0"/>
                  <w:vAlign w:val="center"/>
                </w:tcPr>
                <w:p w14:paraId="092A6F29">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类别</w:t>
                  </w:r>
                </w:p>
              </w:tc>
              <w:tc>
                <w:tcPr>
                  <w:tcW w:w="472" w:type="pct"/>
                  <w:tcBorders>
                    <w:tl2br w:val="nil"/>
                    <w:tr2bl w:val="nil"/>
                  </w:tcBorders>
                  <w:noWrap w:val="0"/>
                  <w:vAlign w:val="center"/>
                </w:tcPr>
                <w:p w14:paraId="2335FBC9">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编号</w:t>
                  </w:r>
                </w:p>
              </w:tc>
              <w:tc>
                <w:tcPr>
                  <w:tcW w:w="958" w:type="pct"/>
                  <w:tcBorders>
                    <w:tl2br w:val="nil"/>
                    <w:tr2bl w:val="nil"/>
                  </w:tcBorders>
                  <w:noWrap w:val="0"/>
                  <w:vAlign w:val="center"/>
                </w:tcPr>
                <w:p w14:paraId="04F4A5CD">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污染物名称</w:t>
                  </w:r>
                </w:p>
              </w:tc>
              <w:tc>
                <w:tcPr>
                  <w:tcW w:w="741" w:type="pct"/>
                  <w:tcBorders>
                    <w:tl2br w:val="nil"/>
                    <w:tr2bl w:val="nil"/>
                  </w:tcBorders>
                  <w:noWrap w:val="0"/>
                  <w:vAlign w:val="center"/>
                </w:tcPr>
                <w:p w14:paraId="7673C2F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产污环节</w:t>
                  </w:r>
                </w:p>
              </w:tc>
              <w:tc>
                <w:tcPr>
                  <w:tcW w:w="848" w:type="pct"/>
                  <w:tcBorders>
                    <w:tl2br w:val="nil"/>
                    <w:tr2bl w:val="nil"/>
                  </w:tcBorders>
                  <w:noWrap w:val="0"/>
                  <w:vAlign w:val="center"/>
                </w:tcPr>
                <w:p w14:paraId="7081E4E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主要污染物</w:t>
                  </w:r>
                </w:p>
              </w:tc>
              <w:tc>
                <w:tcPr>
                  <w:tcW w:w="1550" w:type="pct"/>
                  <w:tcBorders>
                    <w:tl2br w:val="nil"/>
                    <w:tr2bl w:val="nil"/>
                  </w:tcBorders>
                  <w:noWrap w:val="0"/>
                  <w:vAlign w:val="center"/>
                </w:tcPr>
                <w:p w14:paraId="4321616E">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治理措施</w:t>
                  </w:r>
                </w:p>
              </w:tc>
            </w:tr>
            <w:tr w14:paraId="3FF32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restart"/>
                  <w:tcBorders>
                    <w:tl2br w:val="nil"/>
                    <w:tr2bl w:val="nil"/>
                  </w:tcBorders>
                  <w:noWrap w:val="0"/>
                  <w:vAlign w:val="center"/>
                </w:tcPr>
                <w:p w14:paraId="1ADA2B1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废气</w:t>
                  </w:r>
                </w:p>
              </w:tc>
              <w:tc>
                <w:tcPr>
                  <w:tcW w:w="472" w:type="pct"/>
                  <w:tcBorders>
                    <w:tl2br w:val="nil"/>
                    <w:tr2bl w:val="nil"/>
                  </w:tcBorders>
                  <w:noWrap w:val="0"/>
                  <w:vAlign w:val="center"/>
                </w:tcPr>
                <w:p w14:paraId="5569AAE6">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G1</w:t>
                  </w:r>
                </w:p>
              </w:tc>
              <w:tc>
                <w:tcPr>
                  <w:tcW w:w="958" w:type="pct"/>
                  <w:tcBorders>
                    <w:tl2br w:val="nil"/>
                    <w:tr2bl w:val="nil"/>
                  </w:tcBorders>
                  <w:noWrap w:val="0"/>
                  <w:vAlign w:val="center"/>
                </w:tcPr>
                <w:p w14:paraId="6258CFC9">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w:t>
                  </w:r>
                  <w:r>
                    <w:rPr>
                      <w:rFonts w:hint="eastAsia" w:cs="Times New Roman"/>
                      <w:b w:val="0"/>
                      <w:bCs w:val="0"/>
                      <w:color w:val="auto"/>
                      <w:sz w:val="21"/>
                      <w:szCs w:val="21"/>
                      <w:highlight w:val="none"/>
                      <w:lang w:val="en-US" w:eastAsia="zh-CN"/>
                    </w:rPr>
                    <w:t>和冷却</w:t>
                  </w:r>
                  <w:r>
                    <w:rPr>
                      <w:rFonts w:hint="eastAsia" w:ascii="Times New Roman" w:hAnsi="Times New Roman" w:eastAsia="宋体" w:cs="Times New Roman"/>
                      <w:b w:val="0"/>
                      <w:bCs w:val="0"/>
                      <w:color w:val="auto"/>
                      <w:sz w:val="21"/>
                      <w:szCs w:val="21"/>
                      <w:highlight w:val="none"/>
                      <w:lang w:val="en-US" w:eastAsia="zh-CN"/>
                    </w:rPr>
                    <w:t>废气</w:t>
                  </w:r>
                </w:p>
              </w:tc>
              <w:tc>
                <w:tcPr>
                  <w:tcW w:w="741" w:type="pct"/>
                  <w:tcBorders>
                    <w:tl2br w:val="nil"/>
                    <w:tr2bl w:val="nil"/>
                  </w:tcBorders>
                  <w:noWrap w:val="0"/>
                  <w:vAlign w:val="center"/>
                </w:tcPr>
                <w:p w14:paraId="660DD98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纺丝、冷却</w:t>
                  </w:r>
                </w:p>
              </w:tc>
              <w:tc>
                <w:tcPr>
                  <w:tcW w:w="848" w:type="pct"/>
                  <w:tcBorders>
                    <w:tl2br w:val="nil"/>
                    <w:tr2bl w:val="nil"/>
                  </w:tcBorders>
                  <w:noWrap w:val="0"/>
                  <w:vAlign w:val="center"/>
                </w:tcPr>
                <w:p w14:paraId="288C725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2901C1D6">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集气罩收集+</w:t>
                  </w:r>
                  <w:r>
                    <w:rPr>
                      <w:rFonts w:hint="eastAsia"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7D329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3039665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4B2B451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G2</w:t>
                  </w:r>
                </w:p>
              </w:tc>
              <w:tc>
                <w:tcPr>
                  <w:tcW w:w="958" w:type="pct"/>
                  <w:tcBorders>
                    <w:tl2br w:val="nil"/>
                    <w:tr2bl w:val="nil"/>
                  </w:tcBorders>
                  <w:noWrap w:val="0"/>
                  <w:vAlign w:val="center"/>
                </w:tcPr>
                <w:p w14:paraId="25649E1C">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油剂废气</w:t>
                  </w:r>
                </w:p>
              </w:tc>
              <w:tc>
                <w:tcPr>
                  <w:tcW w:w="741" w:type="pct"/>
                  <w:tcBorders>
                    <w:tl2br w:val="nil"/>
                    <w:tr2bl w:val="nil"/>
                  </w:tcBorders>
                  <w:noWrap w:val="0"/>
                  <w:vAlign w:val="center"/>
                </w:tcPr>
                <w:p w14:paraId="3421D70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集束上油</w:t>
                  </w:r>
                </w:p>
              </w:tc>
              <w:tc>
                <w:tcPr>
                  <w:tcW w:w="848" w:type="pct"/>
                  <w:tcBorders>
                    <w:tl2br w:val="nil"/>
                    <w:tr2bl w:val="nil"/>
                  </w:tcBorders>
                  <w:noWrap w:val="0"/>
                  <w:vAlign w:val="center"/>
                </w:tcPr>
                <w:p w14:paraId="33733327">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79B11309">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集气罩收集+</w:t>
                  </w:r>
                  <w:r>
                    <w:rPr>
                      <w:rFonts w:hint="eastAsia"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2C0A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2B33893D">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529FA1D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G3</w:t>
                  </w:r>
                </w:p>
              </w:tc>
              <w:tc>
                <w:tcPr>
                  <w:tcW w:w="958" w:type="pct"/>
                  <w:tcBorders>
                    <w:tl2br w:val="nil"/>
                    <w:tr2bl w:val="nil"/>
                  </w:tcBorders>
                  <w:noWrap w:val="0"/>
                  <w:vAlign w:val="center"/>
                </w:tcPr>
                <w:p w14:paraId="0332AFF9">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牵伸废气</w:t>
                  </w:r>
                </w:p>
              </w:tc>
              <w:tc>
                <w:tcPr>
                  <w:tcW w:w="741" w:type="pct"/>
                  <w:tcBorders>
                    <w:tl2br w:val="nil"/>
                    <w:tr2bl w:val="nil"/>
                  </w:tcBorders>
                  <w:noWrap w:val="0"/>
                  <w:vAlign w:val="center"/>
                </w:tcPr>
                <w:p w14:paraId="55C23E60">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牵伸</w:t>
                  </w:r>
                </w:p>
              </w:tc>
              <w:tc>
                <w:tcPr>
                  <w:tcW w:w="848" w:type="pct"/>
                  <w:tcBorders>
                    <w:tl2br w:val="nil"/>
                    <w:tr2bl w:val="nil"/>
                  </w:tcBorders>
                  <w:noWrap w:val="0"/>
                  <w:vAlign w:val="center"/>
                </w:tcPr>
                <w:p w14:paraId="71205C7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29397826">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集气罩收集+</w:t>
                  </w:r>
                  <w:r>
                    <w:rPr>
                      <w:rFonts w:hint="eastAsia"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5CDB1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1ADAD36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2EAECDDF">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G4</w:t>
                  </w:r>
                </w:p>
              </w:tc>
              <w:tc>
                <w:tcPr>
                  <w:tcW w:w="958" w:type="pct"/>
                  <w:tcBorders>
                    <w:tl2br w:val="nil"/>
                    <w:tr2bl w:val="nil"/>
                  </w:tcBorders>
                  <w:noWrap w:val="0"/>
                  <w:vAlign w:val="center"/>
                </w:tcPr>
                <w:p w14:paraId="6FBAD264">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压花废气</w:t>
                  </w:r>
                </w:p>
              </w:tc>
              <w:tc>
                <w:tcPr>
                  <w:tcW w:w="741" w:type="pct"/>
                  <w:tcBorders>
                    <w:tl2br w:val="nil"/>
                    <w:tr2bl w:val="nil"/>
                  </w:tcBorders>
                  <w:noWrap w:val="0"/>
                  <w:vAlign w:val="center"/>
                </w:tcPr>
                <w:p w14:paraId="61F1F0C4">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压花定型</w:t>
                  </w:r>
                </w:p>
              </w:tc>
              <w:tc>
                <w:tcPr>
                  <w:tcW w:w="848" w:type="pct"/>
                  <w:tcBorders>
                    <w:tl2br w:val="nil"/>
                    <w:tr2bl w:val="nil"/>
                  </w:tcBorders>
                  <w:noWrap w:val="0"/>
                  <w:vAlign w:val="center"/>
                </w:tcPr>
                <w:p w14:paraId="075D497E">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023102BF">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集气罩收集+</w:t>
                  </w:r>
                  <w:r>
                    <w:rPr>
                      <w:rFonts w:hint="eastAsia"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7DB66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0E4CD24C">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302383BD">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G5</w:t>
                  </w:r>
                </w:p>
              </w:tc>
              <w:tc>
                <w:tcPr>
                  <w:tcW w:w="958" w:type="pct"/>
                  <w:tcBorders>
                    <w:tl2br w:val="nil"/>
                    <w:tr2bl w:val="nil"/>
                  </w:tcBorders>
                  <w:noWrap w:val="0"/>
                  <w:vAlign w:val="center"/>
                </w:tcPr>
                <w:p w14:paraId="4EB7BAAF">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磨尖废气</w:t>
                  </w:r>
                </w:p>
              </w:tc>
              <w:tc>
                <w:tcPr>
                  <w:tcW w:w="741" w:type="pct"/>
                  <w:tcBorders>
                    <w:tl2br w:val="nil"/>
                    <w:tr2bl w:val="nil"/>
                  </w:tcBorders>
                  <w:noWrap w:val="0"/>
                  <w:vAlign w:val="center"/>
                </w:tcPr>
                <w:p w14:paraId="498050B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磨尖</w:t>
                  </w:r>
                </w:p>
              </w:tc>
              <w:tc>
                <w:tcPr>
                  <w:tcW w:w="848" w:type="pct"/>
                  <w:tcBorders>
                    <w:tl2br w:val="nil"/>
                    <w:tr2bl w:val="nil"/>
                  </w:tcBorders>
                  <w:noWrap w:val="0"/>
                  <w:vAlign w:val="center"/>
                </w:tcPr>
                <w:p w14:paraId="30A68E86">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颗粒物</w:t>
                  </w:r>
                </w:p>
              </w:tc>
              <w:tc>
                <w:tcPr>
                  <w:tcW w:w="1550" w:type="pct"/>
                  <w:tcBorders>
                    <w:tl2br w:val="nil"/>
                    <w:tr2bl w:val="nil"/>
                  </w:tcBorders>
                  <w:noWrap w:val="0"/>
                  <w:vAlign w:val="center"/>
                </w:tcPr>
                <w:p w14:paraId="1C8C9CFA">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密闭管道</w:t>
                  </w:r>
                  <w:r>
                    <w:rPr>
                      <w:rFonts w:hint="eastAsia"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布袋除尘器</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4502A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78FB9D2C">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1EE59ABE">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G6</w:t>
                  </w:r>
                </w:p>
              </w:tc>
              <w:tc>
                <w:tcPr>
                  <w:tcW w:w="958" w:type="pct"/>
                  <w:tcBorders>
                    <w:tl2br w:val="nil"/>
                    <w:tr2bl w:val="nil"/>
                  </w:tcBorders>
                  <w:noWrap w:val="0"/>
                  <w:vAlign w:val="center"/>
                </w:tcPr>
                <w:p w14:paraId="539BC4F9">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烘干定型废气</w:t>
                  </w:r>
                </w:p>
              </w:tc>
              <w:tc>
                <w:tcPr>
                  <w:tcW w:w="741" w:type="pct"/>
                  <w:tcBorders>
                    <w:tl2br w:val="nil"/>
                    <w:tr2bl w:val="nil"/>
                  </w:tcBorders>
                  <w:noWrap w:val="0"/>
                  <w:vAlign w:val="center"/>
                </w:tcPr>
                <w:p w14:paraId="7F15E344">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烘干</w:t>
                  </w:r>
                </w:p>
              </w:tc>
              <w:tc>
                <w:tcPr>
                  <w:tcW w:w="848" w:type="pct"/>
                  <w:tcBorders>
                    <w:tl2br w:val="nil"/>
                    <w:tr2bl w:val="nil"/>
                  </w:tcBorders>
                  <w:noWrap w:val="0"/>
                  <w:vAlign w:val="center"/>
                </w:tcPr>
                <w:p w14:paraId="3BC66372">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541E20C1">
                  <w:pPr>
                    <w:ind w:left="0" w:leftChars="0" w:right="0" w:rightChars="0" w:firstLine="0" w:firstLineChars="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集气罩收集+</w:t>
                  </w:r>
                  <w:r>
                    <w:rPr>
                      <w:rFonts w:hint="eastAsia"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07876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0FE02776">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226AF25A">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G</w:t>
                  </w:r>
                  <w:r>
                    <w:rPr>
                      <w:rFonts w:hint="eastAsia" w:cs="Times New Roman"/>
                      <w:b w:val="0"/>
                      <w:bCs w:val="0"/>
                      <w:color w:val="auto"/>
                      <w:sz w:val="21"/>
                      <w:szCs w:val="21"/>
                      <w:highlight w:val="none"/>
                      <w:lang w:val="en-US" w:eastAsia="zh-CN"/>
                    </w:rPr>
                    <w:t>7</w:t>
                  </w:r>
                </w:p>
              </w:tc>
              <w:tc>
                <w:tcPr>
                  <w:tcW w:w="958" w:type="pct"/>
                  <w:tcBorders>
                    <w:tl2br w:val="nil"/>
                    <w:tr2bl w:val="nil"/>
                  </w:tcBorders>
                  <w:noWrap w:val="0"/>
                  <w:vAlign w:val="center"/>
                </w:tcPr>
                <w:p w14:paraId="55DA87AF">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纺丝组件真空清洗废气</w:t>
                  </w:r>
                </w:p>
              </w:tc>
              <w:tc>
                <w:tcPr>
                  <w:tcW w:w="741" w:type="pct"/>
                  <w:tcBorders>
                    <w:tl2br w:val="nil"/>
                    <w:tr2bl w:val="nil"/>
                  </w:tcBorders>
                  <w:noWrap w:val="0"/>
                  <w:vAlign w:val="center"/>
                </w:tcPr>
                <w:p w14:paraId="6F61F8F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纺丝组件真空清洗</w:t>
                  </w:r>
                </w:p>
              </w:tc>
              <w:tc>
                <w:tcPr>
                  <w:tcW w:w="848" w:type="pct"/>
                  <w:tcBorders>
                    <w:tl2br w:val="nil"/>
                    <w:tr2bl w:val="nil"/>
                  </w:tcBorders>
                  <w:noWrap w:val="0"/>
                  <w:vAlign w:val="center"/>
                </w:tcPr>
                <w:p w14:paraId="1F3C601D">
                  <w:pPr>
                    <w:ind w:left="0" w:leftChars="0" w:right="0" w:rightChars="0"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45236F15">
                  <w:pPr>
                    <w:ind w:left="0" w:leftChars="0" w:right="0" w:rightChars="0" w:firstLine="0" w:firstLineChars="0"/>
                    <w:jc w:val="center"/>
                    <w:rPr>
                      <w:rFonts w:hint="eastAsia"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集气罩收集+</w:t>
                  </w:r>
                  <w:r>
                    <w:rPr>
                      <w:rFonts w:hint="eastAsia"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15米高排气筒</w:t>
                  </w:r>
                </w:p>
              </w:tc>
            </w:tr>
            <w:tr w14:paraId="75BBE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22D211EA">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shd w:val="clear" w:color="auto" w:fill="auto"/>
                  <w:noWrap w:val="0"/>
                  <w:vAlign w:val="center"/>
                </w:tcPr>
                <w:p w14:paraId="4E31FAE8">
                  <w:pPr>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G8</w:t>
                  </w:r>
                </w:p>
              </w:tc>
              <w:tc>
                <w:tcPr>
                  <w:tcW w:w="958" w:type="pct"/>
                  <w:tcBorders>
                    <w:tl2br w:val="nil"/>
                    <w:tr2bl w:val="nil"/>
                  </w:tcBorders>
                  <w:shd w:val="clear" w:color="auto" w:fill="auto"/>
                  <w:noWrap w:val="0"/>
                  <w:vAlign w:val="center"/>
                </w:tcPr>
                <w:p w14:paraId="16695A68">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未被收集的废气</w:t>
                  </w:r>
                </w:p>
              </w:tc>
              <w:tc>
                <w:tcPr>
                  <w:tcW w:w="741" w:type="pct"/>
                  <w:tcBorders>
                    <w:tl2br w:val="nil"/>
                    <w:tr2bl w:val="nil"/>
                  </w:tcBorders>
                  <w:shd w:val="clear" w:color="auto" w:fill="auto"/>
                  <w:noWrap w:val="0"/>
                  <w:vAlign w:val="center"/>
                </w:tcPr>
                <w:p w14:paraId="157C5CDA">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生产过程中</w:t>
                  </w:r>
                </w:p>
              </w:tc>
              <w:tc>
                <w:tcPr>
                  <w:tcW w:w="848" w:type="pct"/>
                  <w:tcBorders>
                    <w:tl2br w:val="nil"/>
                    <w:tr2bl w:val="nil"/>
                  </w:tcBorders>
                  <w:shd w:val="clear" w:color="auto" w:fill="auto"/>
                  <w:noWrap w:val="0"/>
                  <w:vAlign w:val="center"/>
                </w:tcPr>
                <w:p w14:paraId="043571EA">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VOCs、</w:t>
                  </w:r>
                  <w:r>
                    <w:rPr>
                      <w:rFonts w:hint="eastAsia" w:ascii="Times New Roman" w:hAnsi="Times New Roman" w:eastAsia="宋体" w:cs="Times New Roman"/>
                      <w:b w:val="0"/>
                      <w:bCs w:val="0"/>
                      <w:color w:val="auto"/>
                      <w:sz w:val="21"/>
                      <w:szCs w:val="21"/>
                      <w:highlight w:val="none"/>
                      <w:lang w:val="en-US" w:eastAsia="zh-CN"/>
                    </w:rPr>
                    <w:t>颗粒物</w:t>
                  </w:r>
                </w:p>
              </w:tc>
              <w:tc>
                <w:tcPr>
                  <w:tcW w:w="1550" w:type="pct"/>
                  <w:tcBorders>
                    <w:tl2br w:val="nil"/>
                    <w:tr2bl w:val="nil"/>
                  </w:tcBorders>
                  <w:shd w:val="clear" w:color="auto" w:fill="auto"/>
                  <w:noWrap w:val="0"/>
                  <w:vAlign w:val="center"/>
                </w:tcPr>
                <w:p w14:paraId="15D4B4BB">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无组织排放</w:t>
                  </w:r>
                </w:p>
              </w:tc>
            </w:tr>
            <w:tr w14:paraId="4CE4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restart"/>
                  <w:tcBorders>
                    <w:tl2br w:val="nil"/>
                    <w:tr2bl w:val="nil"/>
                  </w:tcBorders>
                  <w:noWrap w:val="0"/>
                  <w:vAlign w:val="center"/>
                </w:tcPr>
                <w:p w14:paraId="63C4D492">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固体废物</w:t>
                  </w:r>
                </w:p>
              </w:tc>
              <w:tc>
                <w:tcPr>
                  <w:tcW w:w="472" w:type="pct"/>
                  <w:tcBorders>
                    <w:tl2br w:val="nil"/>
                    <w:tr2bl w:val="nil"/>
                  </w:tcBorders>
                  <w:noWrap w:val="0"/>
                  <w:vAlign w:val="center"/>
                </w:tcPr>
                <w:p w14:paraId="2665458E">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S1</w:t>
                  </w:r>
                </w:p>
              </w:tc>
              <w:tc>
                <w:tcPr>
                  <w:tcW w:w="958" w:type="pct"/>
                  <w:tcBorders>
                    <w:tl2br w:val="nil"/>
                    <w:tr2bl w:val="nil"/>
                  </w:tcBorders>
                  <w:noWrap w:val="0"/>
                  <w:vAlign w:val="center"/>
                </w:tcPr>
                <w:p w14:paraId="62AB526E">
                  <w:pPr>
                    <w:ind w:left="0" w:leftChars="0" w:right="0" w:righ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废包装物</w:t>
                  </w:r>
                </w:p>
              </w:tc>
              <w:tc>
                <w:tcPr>
                  <w:tcW w:w="741" w:type="pct"/>
                  <w:tcBorders>
                    <w:tl2br w:val="nil"/>
                    <w:tr2bl w:val="nil"/>
                  </w:tcBorders>
                  <w:noWrap w:val="0"/>
                  <w:vAlign w:val="center"/>
                </w:tcPr>
                <w:p w14:paraId="19451289">
                  <w:pPr>
                    <w:ind w:left="0" w:leftChars="0" w:right="0" w:rightChars="0" w:firstLine="0" w:firstLineChars="0"/>
                    <w:jc w:val="center"/>
                    <w:rPr>
                      <w:rFonts w:hint="default"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rPr>
                    <w:t>原料</w:t>
                  </w:r>
                  <w:r>
                    <w:rPr>
                      <w:rFonts w:hint="default" w:ascii="Times New Roman" w:hAnsi="Times New Roman" w:eastAsia="宋体" w:cs="Times New Roman"/>
                      <w:b w:val="0"/>
                      <w:bCs w:val="0"/>
                      <w:color w:val="auto"/>
                      <w:sz w:val="21"/>
                      <w:szCs w:val="21"/>
                      <w:highlight w:val="none"/>
                    </w:rPr>
                    <w:t>使用</w:t>
                  </w:r>
                  <w:r>
                    <w:rPr>
                      <w:rFonts w:hint="eastAsia" w:ascii="Times New Roman" w:hAnsi="Times New Roman" w:eastAsia="宋体" w:cs="Times New Roman"/>
                      <w:b w:val="0"/>
                      <w:bCs w:val="0"/>
                      <w:color w:val="auto"/>
                      <w:sz w:val="21"/>
                      <w:szCs w:val="21"/>
                      <w:highlight w:val="none"/>
                    </w:rPr>
                    <w:t>过程</w:t>
                  </w:r>
                </w:p>
              </w:tc>
              <w:tc>
                <w:tcPr>
                  <w:tcW w:w="848" w:type="pct"/>
                  <w:tcBorders>
                    <w:tl2br w:val="nil"/>
                    <w:tr2bl w:val="nil"/>
                  </w:tcBorders>
                  <w:noWrap w:val="0"/>
                  <w:vAlign w:val="center"/>
                </w:tcPr>
                <w:p w14:paraId="0894DA03">
                  <w:pPr>
                    <w:ind w:left="0" w:leftChars="0" w:right="0" w:rightChars="0" w:firstLine="0" w:firstLineChars="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c>
                <w:tcPr>
                  <w:tcW w:w="1550" w:type="pct"/>
                  <w:tcBorders>
                    <w:tl2br w:val="nil"/>
                    <w:tr2bl w:val="nil"/>
                  </w:tcBorders>
                  <w:noWrap w:val="0"/>
                  <w:vAlign w:val="center"/>
                </w:tcPr>
                <w:p w14:paraId="73FDF181">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eastAsia="zh-CN"/>
                    </w:rPr>
                    <w:t>统一收集后外售处置</w:t>
                  </w:r>
                </w:p>
              </w:tc>
            </w:tr>
            <w:tr w14:paraId="7DA6E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2B6E083B">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p>
              </w:tc>
              <w:tc>
                <w:tcPr>
                  <w:tcW w:w="472" w:type="pct"/>
                  <w:tcBorders>
                    <w:tl2br w:val="nil"/>
                    <w:tr2bl w:val="nil"/>
                  </w:tcBorders>
                  <w:noWrap w:val="0"/>
                  <w:vAlign w:val="center"/>
                </w:tcPr>
                <w:p w14:paraId="459D216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S2</w:t>
                  </w:r>
                </w:p>
              </w:tc>
              <w:tc>
                <w:tcPr>
                  <w:tcW w:w="958" w:type="pct"/>
                  <w:tcBorders>
                    <w:tl2br w:val="nil"/>
                    <w:tr2bl w:val="nil"/>
                  </w:tcBorders>
                  <w:noWrap w:val="0"/>
                  <w:vAlign w:val="center"/>
                </w:tcPr>
                <w:p w14:paraId="6491D409">
                  <w:pPr>
                    <w:ind w:left="0" w:leftChars="0" w:right="0" w:rightChars="0"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除尘器收集粉尘</w:t>
                  </w:r>
                </w:p>
              </w:tc>
              <w:tc>
                <w:tcPr>
                  <w:tcW w:w="741" w:type="pct"/>
                  <w:tcBorders>
                    <w:tl2br w:val="nil"/>
                    <w:tr2bl w:val="nil"/>
                  </w:tcBorders>
                  <w:noWrap w:val="0"/>
                  <w:vAlign w:val="center"/>
                </w:tcPr>
                <w:p w14:paraId="674BD3F9">
                  <w:pPr>
                    <w:ind w:left="0" w:leftChars="0" w:right="0" w:rightChars="0" w:firstLine="0" w:firstLineChars="0"/>
                    <w:jc w:val="center"/>
                    <w:rPr>
                      <w:rFonts w:hint="eastAsia" w:cs="Times New Roman"/>
                      <w:b w:val="0"/>
                      <w:bCs w:val="0"/>
                      <w:color w:val="auto"/>
                      <w:sz w:val="21"/>
                      <w:szCs w:val="21"/>
                      <w:highlight w:val="none"/>
                      <w:lang w:val="en-US" w:eastAsia="zh-CN"/>
                    </w:rPr>
                  </w:pPr>
                  <w:r>
                    <w:rPr>
                      <w:rFonts w:hint="default" w:cs="Times New Roman"/>
                      <w:b w:val="0"/>
                      <w:bCs w:val="0"/>
                      <w:color w:val="auto"/>
                      <w:sz w:val="21"/>
                      <w:szCs w:val="21"/>
                      <w:highlight w:val="none"/>
                      <w:lang w:val="en-US" w:eastAsia="zh-CN"/>
                    </w:rPr>
                    <w:t>布袋除尘器</w:t>
                  </w:r>
                </w:p>
              </w:tc>
              <w:tc>
                <w:tcPr>
                  <w:tcW w:w="848" w:type="pct"/>
                  <w:tcBorders>
                    <w:tl2br w:val="nil"/>
                    <w:tr2bl w:val="nil"/>
                  </w:tcBorders>
                  <w:noWrap w:val="0"/>
                  <w:vAlign w:val="center"/>
                </w:tcPr>
                <w:p w14:paraId="5E399E0E">
                  <w:pPr>
                    <w:ind w:left="0" w:leftChars="0" w:right="0" w:rightChars="0" w:firstLine="0" w:firstLineChars="0"/>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颗粒物</w:t>
                  </w:r>
                </w:p>
              </w:tc>
              <w:tc>
                <w:tcPr>
                  <w:tcW w:w="1550" w:type="pct"/>
                  <w:tcBorders>
                    <w:tl2br w:val="nil"/>
                    <w:tr2bl w:val="nil"/>
                  </w:tcBorders>
                  <w:noWrap w:val="0"/>
                  <w:vAlign w:val="center"/>
                </w:tcPr>
                <w:p w14:paraId="73AFF325">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eastAsia="zh-CN"/>
                    </w:rPr>
                    <w:t>统一收集后外售处置</w:t>
                  </w:r>
                </w:p>
              </w:tc>
            </w:tr>
            <w:tr w14:paraId="604FC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196AB5D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2EDA38C1">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S3</w:t>
                  </w:r>
                </w:p>
              </w:tc>
              <w:tc>
                <w:tcPr>
                  <w:tcW w:w="958" w:type="pct"/>
                  <w:tcBorders>
                    <w:tl2br w:val="nil"/>
                    <w:tr2bl w:val="nil"/>
                  </w:tcBorders>
                  <w:noWrap w:val="0"/>
                  <w:vAlign w:val="center"/>
                </w:tcPr>
                <w:p w14:paraId="6068F62C">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纺丝组件</w:t>
                  </w:r>
                  <w:r>
                    <w:rPr>
                      <w:rFonts w:hint="eastAsia" w:cs="Times New Roman"/>
                      <w:b w:val="0"/>
                      <w:bCs w:val="0"/>
                      <w:color w:val="auto"/>
                      <w:sz w:val="21"/>
                      <w:szCs w:val="21"/>
                      <w:highlight w:val="none"/>
                      <w:lang w:val="en-US" w:eastAsia="zh-CN"/>
                    </w:rPr>
                    <w:t>清洗废渣</w:t>
                  </w:r>
                </w:p>
              </w:tc>
              <w:tc>
                <w:tcPr>
                  <w:tcW w:w="741" w:type="pct"/>
                  <w:tcBorders>
                    <w:tl2br w:val="nil"/>
                    <w:tr2bl w:val="nil"/>
                  </w:tcBorders>
                  <w:noWrap w:val="0"/>
                  <w:vAlign w:val="center"/>
                </w:tcPr>
                <w:p w14:paraId="1169781E">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纺丝组件清洗</w:t>
                  </w:r>
                </w:p>
              </w:tc>
              <w:tc>
                <w:tcPr>
                  <w:tcW w:w="848" w:type="pct"/>
                  <w:tcBorders>
                    <w:tl2br w:val="nil"/>
                    <w:tr2bl w:val="nil"/>
                  </w:tcBorders>
                  <w:noWrap w:val="0"/>
                  <w:vAlign w:val="center"/>
                </w:tcPr>
                <w:p w14:paraId="030FDDAC">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VOCs</w:t>
                  </w:r>
                </w:p>
              </w:tc>
              <w:tc>
                <w:tcPr>
                  <w:tcW w:w="1550" w:type="pct"/>
                  <w:tcBorders>
                    <w:tl2br w:val="nil"/>
                    <w:tr2bl w:val="nil"/>
                  </w:tcBorders>
                  <w:noWrap w:val="0"/>
                  <w:vAlign w:val="center"/>
                </w:tcPr>
                <w:p w14:paraId="32810E4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暂存在危废间，交由有资质的单位处置</w:t>
                  </w:r>
                </w:p>
              </w:tc>
            </w:tr>
            <w:tr w14:paraId="046E8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6B3286D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033DFAB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4</w:t>
                  </w:r>
                </w:p>
              </w:tc>
              <w:tc>
                <w:tcPr>
                  <w:tcW w:w="958" w:type="pct"/>
                  <w:tcBorders>
                    <w:tl2br w:val="nil"/>
                    <w:tr2bl w:val="nil"/>
                  </w:tcBorders>
                  <w:noWrap w:val="0"/>
                  <w:vAlign w:val="center"/>
                </w:tcPr>
                <w:p w14:paraId="556336E2">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废油剂容器</w:t>
                  </w:r>
                </w:p>
              </w:tc>
              <w:tc>
                <w:tcPr>
                  <w:tcW w:w="741" w:type="pct"/>
                  <w:tcBorders>
                    <w:tl2br w:val="nil"/>
                    <w:tr2bl w:val="nil"/>
                  </w:tcBorders>
                  <w:noWrap w:val="0"/>
                  <w:vAlign w:val="center"/>
                </w:tcPr>
                <w:p w14:paraId="65AD7A7F">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集束上油工序</w:t>
                  </w:r>
                </w:p>
              </w:tc>
              <w:tc>
                <w:tcPr>
                  <w:tcW w:w="848" w:type="pct"/>
                  <w:tcBorders>
                    <w:tl2br w:val="nil"/>
                    <w:tr2bl w:val="nil"/>
                  </w:tcBorders>
                  <w:noWrap w:val="0"/>
                  <w:vAlign w:val="center"/>
                </w:tcPr>
                <w:p w14:paraId="1FC2590E">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油剂</w:t>
                  </w:r>
                </w:p>
              </w:tc>
              <w:tc>
                <w:tcPr>
                  <w:tcW w:w="1550" w:type="pct"/>
                  <w:tcBorders>
                    <w:tl2br w:val="nil"/>
                    <w:tr2bl w:val="nil"/>
                  </w:tcBorders>
                  <w:noWrap w:val="0"/>
                  <w:vAlign w:val="center"/>
                </w:tcPr>
                <w:p w14:paraId="4803B477">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暂存在危废间，交由有资质的单位处置</w:t>
                  </w:r>
                </w:p>
              </w:tc>
            </w:tr>
            <w:tr w14:paraId="4B510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5A159342">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025B310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5</w:t>
                  </w:r>
                </w:p>
              </w:tc>
              <w:tc>
                <w:tcPr>
                  <w:tcW w:w="958" w:type="pct"/>
                  <w:tcBorders>
                    <w:tl2br w:val="nil"/>
                    <w:tr2bl w:val="nil"/>
                  </w:tcBorders>
                  <w:noWrap w:val="0"/>
                  <w:vAlign w:val="center"/>
                </w:tcPr>
                <w:p w14:paraId="281FDCB8">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碎发丝</w:t>
                  </w:r>
                </w:p>
              </w:tc>
              <w:tc>
                <w:tcPr>
                  <w:tcW w:w="741" w:type="pct"/>
                  <w:tcBorders>
                    <w:tl2br w:val="nil"/>
                    <w:tr2bl w:val="nil"/>
                  </w:tcBorders>
                  <w:noWrap w:val="0"/>
                  <w:vAlign w:val="center"/>
                </w:tcPr>
                <w:p w14:paraId="633FBE5B">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剪裁、牵伸工序</w:t>
                  </w:r>
                </w:p>
              </w:tc>
              <w:tc>
                <w:tcPr>
                  <w:tcW w:w="848" w:type="pct"/>
                  <w:tcBorders>
                    <w:tl2br w:val="nil"/>
                    <w:tr2bl w:val="nil"/>
                  </w:tcBorders>
                  <w:noWrap w:val="0"/>
                  <w:vAlign w:val="center"/>
                </w:tcPr>
                <w:p w14:paraId="5B308585">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t>
                  </w:r>
                </w:p>
              </w:tc>
              <w:tc>
                <w:tcPr>
                  <w:tcW w:w="1550" w:type="pct"/>
                  <w:tcBorders>
                    <w:tl2br w:val="nil"/>
                    <w:tr2bl w:val="nil"/>
                  </w:tcBorders>
                  <w:noWrap w:val="0"/>
                  <w:vAlign w:val="center"/>
                </w:tcPr>
                <w:p w14:paraId="3A2657AE">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eastAsia="zh-CN"/>
                    </w:rPr>
                    <w:t>统一收集后外售处置</w:t>
                  </w:r>
                </w:p>
              </w:tc>
            </w:tr>
            <w:tr w14:paraId="13DAE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681273CE">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4BDC55D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6</w:t>
                  </w:r>
                </w:p>
              </w:tc>
              <w:tc>
                <w:tcPr>
                  <w:tcW w:w="958" w:type="pct"/>
                  <w:tcBorders>
                    <w:tl2br w:val="nil"/>
                    <w:tr2bl w:val="nil"/>
                  </w:tcBorders>
                  <w:noWrap w:val="0"/>
                  <w:vAlign w:val="center"/>
                </w:tcPr>
                <w:p w14:paraId="05322C12">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废机油</w:t>
                  </w:r>
                </w:p>
              </w:tc>
              <w:tc>
                <w:tcPr>
                  <w:tcW w:w="741" w:type="pct"/>
                  <w:tcBorders>
                    <w:tl2br w:val="nil"/>
                    <w:tr2bl w:val="nil"/>
                  </w:tcBorders>
                  <w:noWrap w:val="0"/>
                  <w:vAlign w:val="center"/>
                </w:tcPr>
                <w:p w14:paraId="74B7C99A">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设备检修及维护</w:t>
                  </w:r>
                </w:p>
              </w:tc>
              <w:tc>
                <w:tcPr>
                  <w:tcW w:w="848" w:type="pct"/>
                  <w:tcBorders>
                    <w:tl2br w:val="nil"/>
                    <w:tr2bl w:val="nil"/>
                  </w:tcBorders>
                  <w:noWrap w:val="0"/>
                  <w:vAlign w:val="center"/>
                </w:tcPr>
                <w:p w14:paraId="5A288037">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废矿物油</w:t>
                  </w:r>
                </w:p>
              </w:tc>
              <w:tc>
                <w:tcPr>
                  <w:tcW w:w="1550" w:type="pct"/>
                  <w:vMerge w:val="restart"/>
                  <w:tcBorders>
                    <w:tl2br w:val="nil"/>
                    <w:tr2bl w:val="nil"/>
                  </w:tcBorders>
                  <w:noWrap w:val="0"/>
                  <w:vAlign w:val="center"/>
                </w:tcPr>
                <w:p w14:paraId="67D3AD58">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暂存在危废间，交由有资质的单位处置</w:t>
                  </w:r>
                </w:p>
              </w:tc>
            </w:tr>
            <w:tr w14:paraId="22E82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7ACBBAA4">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37EB9000">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7</w:t>
                  </w:r>
                </w:p>
              </w:tc>
              <w:tc>
                <w:tcPr>
                  <w:tcW w:w="958" w:type="pct"/>
                  <w:tcBorders>
                    <w:tl2br w:val="nil"/>
                    <w:tr2bl w:val="nil"/>
                  </w:tcBorders>
                  <w:noWrap w:val="0"/>
                  <w:vAlign w:val="center"/>
                </w:tcPr>
                <w:p w14:paraId="50A6699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废机油桶</w:t>
                  </w:r>
                </w:p>
              </w:tc>
              <w:tc>
                <w:tcPr>
                  <w:tcW w:w="741" w:type="pct"/>
                  <w:tcBorders>
                    <w:tl2br w:val="nil"/>
                    <w:tr2bl w:val="nil"/>
                  </w:tcBorders>
                  <w:noWrap w:val="0"/>
                  <w:vAlign w:val="center"/>
                </w:tcPr>
                <w:p w14:paraId="48713ABF">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设备检修及维护</w:t>
                  </w:r>
                </w:p>
              </w:tc>
              <w:tc>
                <w:tcPr>
                  <w:tcW w:w="848" w:type="pct"/>
                  <w:tcBorders>
                    <w:tl2br w:val="nil"/>
                    <w:tr2bl w:val="nil"/>
                  </w:tcBorders>
                  <w:noWrap w:val="0"/>
                  <w:vAlign w:val="center"/>
                </w:tcPr>
                <w:p w14:paraId="54F4BB29">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废矿物油</w:t>
                  </w:r>
                </w:p>
              </w:tc>
              <w:tc>
                <w:tcPr>
                  <w:tcW w:w="1550" w:type="pct"/>
                  <w:vMerge w:val="continue"/>
                  <w:tcBorders>
                    <w:tl2br w:val="nil"/>
                    <w:tr2bl w:val="nil"/>
                  </w:tcBorders>
                  <w:noWrap w:val="0"/>
                  <w:vAlign w:val="center"/>
                </w:tcPr>
                <w:p w14:paraId="21103C8A">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r>
            <w:tr w14:paraId="2507E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7AB705DB">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111310BF">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8</w:t>
                  </w:r>
                </w:p>
              </w:tc>
              <w:tc>
                <w:tcPr>
                  <w:tcW w:w="958" w:type="pct"/>
                  <w:tcBorders>
                    <w:tl2br w:val="nil"/>
                    <w:tr2bl w:val="nil"/>
                  </w:tcBorders>
                  <w:noWrap w:val="0"/>
                  <w:vAlign w:val="center"/>
                </w:tcPr>
                <w:p w14:paraId="35502327">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废活性炭</w:t>
                  </w:r>
                </w:p>
              </w:tc>
              <w:tc>
                <w:tcPr>
                  <w:tcW w:w="741" w:type="pct"/>
                  <w:tcBorders>
                    <w:tl2br w:val="nil"/>
                    <w:tr2bl w:val="nil"/>
                  </w:tcBorders>
                  <w:noWrap w:val="0"/>
                  <w:vAlign w:val="center"/>
                </w:tcPr>
                <w:p w14:paraId="6D29AD74">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废气治理</w:t>
                  </w:r>
                </w:p>
              </w:tc>
              <w:tc>
                <w:tcPr>
                  <w:tcW w:w="848" w:type="pct"/>
                  <w:tcBorders>
                    <w:tl2br w:val="nil"/>
                    <w:tr2bl w:val="nil"/>
                  </w:tcBorders>
                  <w:noWrap w:val="0"/>
                  <w:vAlign w:val="center"/>
                </w:tcPr>
                <w:p w14:paraId="26631ED1">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VOCs</w:t>
                  </w:r>
                </w:p>
              </w:tc>
              <w:tc>
                <w:tcPr>
                  <w:tcW w:w="1550" w:type="pct"/>
                  <w:vMerge w:val="continue"/>
                  <w:tcBorders>
                    <w:tl2br w:val="nil"/>
                    <w:tr2bl w:val="nil"/>
                  </w:tcBorders>
                  <w:noWrap w:val="0"/>
                  <w:vAlign w:val="center"/>
                </w:tcPr>
                <w:p w14:paraId="1C344CA6">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r>
            <w:tr w14:paraId="479DB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080B7D80">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076862EB">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9</w:t>
                  </w:r>
                </w:p>
              </w:tc>
              <w:tc>
                <w:tcPr>
                  <w:tcW w:w="958" w:type="pct"/>
                  <w:tcBorders>
                    <w:tl2br w:val="nil"/>
                    <w:tr2bl w:val="nil"/>
                  </w:tcBorders>
                  <w:noWrap w:val="0"/>
                  <w:vAlign w:val="center"/>
                </w:tcPr>
                <w:p w14:paraId="49956C80">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沉淀池污泥</w:t>
                  </w:r>
                </w:p>
              </w:tc>
              <w:tc>
                <w:tcPr>
                  <w:tcW w:w="741" w:type="pct"/>
                  <w:tcBorders>
                    <w:tl2br w:val="nil"/>
                    <w:tr2bl w:val="nil"/>
                  </w:tcBorders>
                  <w:noWrap w:val="0"/>
                  <w:vAlign w:val="center"/>
                </w:tcPr>
                <w:p w14:paraId="4799E7E2">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废水治理</w:t>
                  </w:r>
                </w:p>
              </w:tc>
              <w:tc>
                <w:tcPr>
                  <w:tcW w:w="848" w:type="pct"/>
                  <w:tcBorders>
                    <w:tl2br w:val="nil"/>
                    <w:tr2bl w:val="nil"/>
                  </w:tcBorders>
                  <w:noWrap w:val="0"/>
                  <w:vAlign w:val="center"/>
                </w:tcPr>
                <w:p w14:paraId="0F8BB931">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w:t>
                  </w:r>
                </w:p>
              </w:tc>
              <w:tc>
                <w:tcPr>
                  <w:tcW w:w="1550" w:type="pct"/>
                  <w:vMerge w:val="continue"/>
                  <w:tcBorders>
                    <w:tl2br w:val="nil"/>
                    <w:tr2bl w:val="nil"/>
                  </w:tcBorders>
                  <w:noWrap w:val="0"/>
                  <w:vAlign w:val="center"/>
                </w:tcPr>
                <w:p w14:paraId="14AAAAB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r>
            <w:tr w14:paraId="0BE46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2A978E39">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4DBE8CFC">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w:t>
                  </w:r>
                  <w:r>
                    <w:rPr>
                      <w:rFonts w:hint="eastAsia" w:cs="Times New Roman"/>
                      <w:b w:val="0"/>
                      <w:bCs w:val="0"/>
                      <w:color w:val="auto"/>
                      <w:sz w:val="21"/>
                      <w:szCs w:val="21"/>
                      <w:highlight w:val="none"/>
                      <w:lang w:val="en-US" w:eastAsia="zh-CN"/>
                    </w:rPr>
                    <w:t>10</w:t>
                  </w:r>
                </w:p>
              </w:tc>
              <w:tc>
                <w:tcPr>
                  <w:tcW w:w="958" w:type="pct"/>
                  <w:tcBorders>
                    <w:tl2br w:val="nil"/>
                    <w:tr2bl w:val="nil"/>
                  </w:tcBorders>
                  <w:noWrap w:val="0"/>
                  <w:vAlign w:val="center"/>
                </w:tcPr>
                <w:p w14:paraId="33C54B5D">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生活垃圾</w:t>
                  </w:r>
                </w:p>
              </w:tc>
              <w:tc>
                <w:tcPr>
                  <w:tcW w:w="741" w:type="pct"/>
                  <w:tcBorders>
                    <w:tl2br w:val="nil"/>
                    <w:tr2bl w:val="nil"/>
                  </w:tcBorders>
                  <w:noWrap w:val="0"/>
                  <w:vAlign w:val="center"/>
                </w:tcPr>
                <w:p w14:paraId="12EED06B">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办公、生活</w:t>
                  </w:r>
                </w:p>
              </w:tc>
              <w:tc>
                <w:tcPr>
                  <w:tcW w:w="848" w:type="pct"/>
                  <w:tcBorders>
                    <w:tl2br w:val="nil"/>
                    <w:tr2bl w:val="nil"/>
                  </w:tcBorders>
                  <w:noWrap w:val="0"/>
                  <w:vAlign w:val="center"/>
                </w:tcPr>
                <w:p w14:paraId="60AEC72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生活垃圾</w:t>
                  </w:r>
                </w:p>
              </w:tc>
              <w:tc>
                <w:tcPr>
                  <w:tcW w:w="1550" w:type="pct"/>
                  <w:tcBorders>
                    <w:tl2br w:val="nil"/>
                    <w:tr2bl w:val="nil"/>
                  </w:tcBorders>
                  <w:noWrap w:val="0"/>
                  <w:vAlign w:val="center"/>
                </w:tcPr>
                <w:p w14:paraId="2C7F129E">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暂存厂区垃圾桶，由环卫部门统一清运</w:t>
                  </w:r>
                </w:p>
              </w:tc>
            </w:tr>
            <w:tr w14:paraId="79D08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restart"/>
                  <w:tcBorders>
                    <w:tl2br w:val="nil"/>
                    <w:tr2bl w:val="nil"/>
                  </w:tcBorders>
                  <w:noWrap w:val="0"/>
                  <w:vAlign w:val="center"/>
                </w:tcPr>
                <w:p w14:paraId="3533A569">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废水</w:t>
                  </w:r>
                </w:p>
              </w:tc>
              <w:tc>
                <w:tcPr>
                  <w:tcW w:w="472" w:type="pct"/>
                  <w:tcBorders>
                    <w:tl2br w:val="nil"/>
                    <w:tr2bl w:val="nil"/>
                  </w:tcBorders>
                  <w:noWrap w:val="0"/>
                  <w:vAlign w:val="center"/>
                </w:tcPr>
                <w:p w14:paraId="6A06D255">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W1</w:t>
                  </w:r>
                </w:p>
              </w:tc>
              <w:tc>
                <w:tcPr>
                  <w:tcW w:w="958" w:type="pct"/>
                  <w:tcBorders>
                    <w:tl2br w:val="nil"/>
                    <w:tr2bl w:val="nil"/>
                  </w:tcBorders>
                  <w:noWrap w:val="0"/>
                  <w:vAlign w:val="center"/>
                </w:tcPr>
                <w:p w14:paraId="790CAD41">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洗丝废水</w:t>
                  </w:r>
                </w:p>
              </w:tc>
              <w:tc>
                <w:tcPr>
                  <w:tcW w:w="741" w:type="pct"/>
                  <w:tcBorders>
                    <w:tl2br w:val="nil"/>
                    <w:tr2bl w:val="nil"/>
                  </w:tcBorders>
                  <w:noWrap w:val="0"/>
                  <w:vAlign w:val="center"/>
                </w:tcPr>
                <w:p w14:paraId="2E4DE97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洗丝工序</w:t>
                  </w:r>
                </w:p>
              </w:tc>
              <w:tc>
                <w:tcPr>
                  <w:tcW w:w="848" w:type="pct"/>
                  <w:tcBorders>
                    <w:tl2br w:val="nil"/>
                    <w:tr2bl w:val="nil"/>
                  </w:tcBorders>
                  <w:noWrap w:val="0"/>
                  <w:vAlign w:val="center"/>
                </w:tcPr>
                <w:p w14:paraId="6AFFDB88">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SS</w:t>
                  </w:r>
                </w:p>
              </w:tc>
              <w:tc>
                <w:tcPr>
                  <w:tcW w:w="1550" w:type="pct"/>
                  <w:tcBorders>
                    <w:tl2br w:val="nil"/>
                    <w:tr2bl w:val="nil"/>
                  </w:tcBorders>
                  <w:noWrap w:val="0"/>
                  <w:vAlign w:val="center"/>
                </w:tcPr>
                <w:p w14:paraId="7EAF19C4">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循环使用</w:t>
                  </w:r>
                </w:p>
              </w:tc>
            </w:tr>
            <w:tr w14:paraId="76006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4D558133">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032F2812">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W2</w:t>
                  </w:r>
                </w:p>
              </w:tc>
              <w:tc>
                <w:tcPr>
                  <w:tcW w:w="958" w:type="pct"/>
                  <w:tcBorders>
                    <w:tl2br w:val="nil"/>
                    <w:tr2bl w:val="nil"/>
                  </w:tcBorders>
                  <w:noWrap w:val="0"/>
                  <w:vAlign w:val="center"/>
                </w:tcPr>
                <w:p w14:paraId="2F653203">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纺丝组件清洗废水</w:t>
                  </w:r>
                </w:p>
              </w:tc>
              <w:tc>
                <w:tcPr>
                  <w:tcW w:w="741" w:type="pct"/>
                  <w:tcBorders>
                    <w:tl2br w:val="nil"/>
                    <w:tr2bl w:val="nil"/>
                  </w:tcBorders>
                  <w:noWrap w:val="0"/>
                  <w:vAlign w:val="center"/>
                </w:tcPr>
                <w:p w14:paraId="06606929">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纺丝组件清洗</w:t>
                  </w:r>
                </w:p>
              </w:tc>
              <w:tc>
                <w:tcPr>
                  <w:tcW w:w="848" w:type="pct"/>
                  <w:tcBorders>
                    <w:tl2br w:val="nil"/>
                    <w:tr2bl w:val="nil"/>
                  </w:tcBorders>
                  <w:noWrap w:val="0"/>
                  <w:vAlign w:val="center"/>
                </w:tcPr>
                <w:p w14:paraId="317BD18A">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SS</w:t>
                  </w:r>
                </w:p>
              </w:tc>
              <w:tc>
                <w:tcPr>
                  <w:tcW w:w="1550" w:type="pct"/>
                  <w:tcBorders>
                    <w:tl2br w:val="nil"/>
                    <w:tr2bl w:val="nil"/>
                  </w:tcBorders>
                  <w:noWrap w:val="0"/>
                  <w:vAlign w:val="center"/>
                </w:tcPr>
                <w:p w14:paraId="5CABB6E9">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循环使用</w:t>
                  </w:r>
                </w:p>
              </w:tc>
            </w:tr>
            <w:tr w14:paraId="4D5FA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41DC3644">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333B046D">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W3</w:t>
                  </w:r>
                </w:p>
              </w:tc>
              <w:tc>
                <w:tcPr>
                  <w:tcW w:w="958" w:type="pct"/>
                  <w:tcBorders>
                    <w:tl2br w:val="nil"/>
                    <w:tr2bl w:val="nil"/>
                  </w:tcBorders>
                  <w:noWrap w:val="0"/>
                  <w:vAlign w:val="center"/>
                </w:tcPr>
                <w:p w14:paraId="4BD09CD5">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甩干废水</w:t>
                  </w:r>
                </w:p>
              </w:tc>
              <w:tc>
                <w:tcPr>
                  <w:tcW w:w="741" w:type="pct"/>
                  <w:tcBorders>
                    <w:tl2br w:val="nil"/>
                    <w:tr2bl w:val="nil"/>
                  </w:tcBorders>
                  <w:noWrap w:val="0"/>
                  <w:vAlign w:val="center"/>
                </w:tcPr>
                <w:p w14:paraId="61FF2DBE">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甩干</w:t>
                  </w:r>
                </w:p>
              </w:tc>
              <w:tc>
                <w:tcPr>
                  <w:tcW w:w="848" w:type="pct"/>
                  <w:tcBorders>
                    <w:tl2br w:val="nil"/>
                    <w:tr2bl w:val="nil"/>
                  </w:tcBorders>
                  <w:shd w:val="clear" w:color="auto" w:fill="auto"/>
                  <w:noWrap w:val="0"/>
                  <w:vAlign w:val="center"/>
                </w:tcPr>
                <w:p w14:paraId="0D846665">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SS</w:t>
                  </w:r>
                </w:p>
              </w:tc>
              <w:tc>
                <w:tcPr>
                  <w:tcW w:w="1550" w:type="pct"/>
                  <w:tcBorders>
                    <w:tl2br w:val="nil"/>
                    <w:tr2bl w:val="nil"/>
                  </w:tcBorders>
                  <w:shd w:val="clear" w:color="auto" w:fill="auto"/>
                  <w:noWrap w:val="0"/>
                  <w:vAlign w:val="center"/>
                </w:tcPr>
                <w:p w14:paraId="76B1499F">
                  <w:pPr>
                    <w:ind w:left="0" w:leftChars="0" w:right="0" w:righ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循环使用</w:t>
                  </w:r>
                </w:p>
              </w:tc>
            </w:tr>
            <w:tr w14:paraId="6DF4C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vMerge w:val="continue"/>
                  <w:tcBorders>
                    <w:tl2br w:val="nil"/>
                    <w:tr2bl w:val="nil"/>
                  </w:tcBorders>
                  <w:noWrap w:val="0"/>
                  <w:vAlign w:val="center"/>
                </w:tcPr>
                <w:p w14:paraId="36AA3FD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p>
              </w:tc>
              <w:tc>
                <w:tcPr>
                  <w:tcW w:w="472" w:type="pct"/>
                  <w:tcBorders>
                    <w:tl2br w:val="nil"/>
                    <w:tr2bl w:val="nil"/>
                  </w:tcBorders>
                  <w:noWrap w:val="0"/>
                  <w:vAlign w:val="center"/>
                </w:tcPr>
                <w:p w14:paraId="608DE0B9">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W</w:t>
                  </w:r>
                  <w:r>
                    <w:rPr>
                      <w:rFonts w:hint="eastAsia" w:cs="Times New Roman"/>
                      <w:b w:val="0"/>
                      <w:bCs w:val="0"/>
                      <w:color w:val="auto"/>
                      <w:sz w:val="21"/>
                      <w:szCs w:val="21"/>
                      <w:highlight w:val="none"/>
                      <w:lang w:val="en-US" w:eastAsia="zh-CN"/>
                    </w:rPr>
                    <w:t>4</w:t>
                  </w:r>
                </w:p>
              </w:tc>
              <w:tc>
                <w:tcPr>
                  <w:tcW w:w="958" w:type="pct"/>
                  <w:tcBorders>
                    <w:tl2br w:val="nil"/>
                    <w:tr2bl w:val="nil"/>
                  </w:tcBorders>
                  <w:noWrap w:val="0"/>
                  <w:vAlign w:val="center"/>
                </w:tcPr>
                <w:p w14:paraId="288672F8">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生活污水</w:t>
                  </w:r>
                </w:p>
              </w:tc>
              <w:tc>
                <w:tcPr>
                  <w:tcW w:w="741" w:type="pct"/>
                  <w:tcBorders>
                    <w:tl2br w:val="nil"/>
                    <w:tr2bl w:val="nil"/>
                  </w:tcBorders>
                  <w:noWrap w:val="0"/>
                  <w:vAlign w:val="center"/>
                </w:tcPr>
                <w:p w14:paraId="1B4D0C40">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职工生活</w:t>
                  </w:r>
                </w:p>
              </w:tc>
              <w:tc>
                <w:tcPr>
                  <w:tcW w:w="848" w:type="pct"/>
                  <w:tcBorders>
                    <w:tl2br w:val="nil"/>
                    <w:tr2bl w:val="nil"/>
                  </w:tcBorders>
                  <w:noWrap w:val="0"/>
                  <w:vAlign w:val="center"/>
                </w:tcPr>
                <w:p w14:paraId="2B2DA605">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COD、</w:t>
                  </w:r>
                  <w:r>
                    <w:rPr>
                      <w:rFonts w:hint="default" w:ascii="Times New Roman" w:hAnsi="Times New Roman" w:eastAsia="宋体" w:cs="Times New Roman"/>
                      <w:b w:val="0"/>
                      <w:bCs w:val="0"/>
                      <w:color w:val="auto"/>
                      <w:sz w:val="21"/>
                      <w:szCs w:val="21"/>
                      <w:highlight w:val="none"/>
                      <w:lang w:val="en-US" w:eastAsia="zh-CN"/>
                    </w:rPr>
                    <w:t>BOD</w:t>
                  </w:r>
                  <w:r>
                    <w:rPr>
                      <w:rFonts w:hint="default" w:ascii="Times New Roman" w:hAnsi="Times New Roman" w:eastAsia="宋体" w:cs="Times New Roman"/>
                      <w:b w:val="0"/>
                      <w:bCs w:val="0"/>
                      <w:color w:val="auto"/>
                      <w:sz w:val="21"/>
                      <w:szCs w:val="21"/>
                      <w:highlight w:val="none"/>
                      <w:vertAlign w:val="subscript"/>
                      <w:lang w:val="en-US" w:eastAsia="zh-CN"/>
                    </w:rPr>
                    <w:t>5</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NH</w:t>
                  </w:r>
                  <w:r>
                    <w:rPr>
                      <w:rFonts w:hint="default" w:ascii="Times New Roman" w:hAnsi="Times New Roman" w:eastAsia="宋体" w:cs="Times New Roman"/>
                      <w:b w:val="0"/>
                      <w:bCs w:val="0"/>
                      <w:color w:val="auto"/>
                      <w:sz w:val="21"/>
                      <w:szCs w:val="21"/>
                      <w:highlight w:val="none"/>
                      <w:vertAlign w:val="subscript"/>
                      <w:lang w:val="en-US" w:eastAsia="zh-CN"/>
                    </w:rPr>
                    <w:t>3</w:t>
                  </w:r>
                  <w:r>
                    <w:rPr>
                      <w:rFonts w:hint="default" w:ascii="Times New Roman" w:hAnsi="Times New Roman" w:eastAsia="宋体" w:cs="Times New Roman"/>
                      <w:b w:val="0"/>
                      <w:bCs w:val="0"/>
                      <w:color w:val="auto"/>
                      <w:sz w:val="21"/>
                      <w:szCs w:val="21"/>
                      <w:highlight w:val="none"/>
                      <w:lang w:val="en-US" w:eastAsia="zh-CN"/>
                    </w:rPr>
                    <w:t>-N</w:t>
                  </w:r>
                  <w:r>
                    <w:rPr>
                      <w:rFonts w:hint="eastAsia" w:ascii="Times New Roman" w:hAnsi="Times New Roman" w:eastAsia="宋体" w:cs="Times New Roman"/>
                      <w:b w:val="0"/>
                      <w:bCs w:val="0"/>
                      <w:color w:val="auto"/>
                      <w:sz w:val="21"/>
                      <w:szCs w:val="21"/>
                      <w:highlight w:val="none"/>
                      <w:lang w:val="en-US" w:eastAsia="zh-CN"/>
                    </w:rPr>
                    <w:t>、SS</w:t>
                  </w:r>
                </w:p>
              </w:tc>
              <w:tc>
                <w:tcPr>
                  <w:tcW w:w="1550" w:type="pct"/>
                  <w:tcBorders>
                    <w:tl2br w:val="nil"/>
                    <w:tr2bl w:val="nil"/>
                  </w:tcBorders>
                  <w:noWrap w:val="0"/>
                  <w:vAlign w:val="center"/>
                </w:tcPr>
                <w:p w14:paraId="19710505">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经化粪池收集处理后由环卫部门定期清运</w:t>
                  </w:r>
                </w:p>
              </w:tc>
            </w:tr>
            <w:tr w14:paraId="1E109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9" w:type="pct"/>
                  <w:tcBorders>
                    <w:tl2br w:val="nil"/>
                    <w:tr2bl w:val="nil"/>
                  </w:tcBorders>
                  <w:noWrap w:val="0"/>
                  <w:vAlign w:val="center"/>
                </w:tcPr>
                <w:p w14:paraId="06756D5D">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噪声</w:t>
                  </w:r>
                </w:p>
              </w:tc>
              <w:tc>
                <w:tcPr>
                  <w:tcW w:w="472" w:type="pct"/>
                  <w:tcBorders>
                    <w:tl2br w:val="nil"/>
                    <w:tr2bl w:val="nil"/>
                  </w:tcBorders>
                  <w:noWrap w:val="0"/>
                  <w:vAlign w:val="center"/>
                </w:tcPr>
                <w:p w14:paraId="39F61B20">
                  <w:pPr>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N</w:t>
                  </w:r>
                </w:p>
              </w:tc>
              <w:tc>
                <w:tcPr>
                  <w:tcW w:w="1699" w:type="pct"/>
                  <w:gridSpan w:val="2"/>
                  <w:tcBorders>
                    <w:tl2br w:val="nil"/>
                    <w:tr2bl w:val="nil"/>
                  </w:tcBorders>
                  <w:noWrap w:val="0"/>
                  <w:vAlign w:val="center"/>
                </w:tcPr>
                <w:p w14:paraId="45A98AB2">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主要是设备运行产生的设备噪声</w:t>
                  </w:r>
                </w:p>
              </w:tc>
              <w:tc>
                <w:tcPr>
                  <w:tcW w:w="848" w:type="pct"/>
                  <w:tcBorders>
                    <w:tl2br w:val="nil"/>
                    <w:tr2bl w:val="nil"/>
                  </w:tcBorders>
                  <w:noWrap w:val="0"/>
                  <w:vAlign w:val="center"/>
                </w:tcPr>
                <w:p w14:paraId="036E3136">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等效连续A声级(dB)</w:t>
                  </w:r>
                </w:p>
              </w:tc>
              <w:tc>
                <w:tcPr>
                  <w:tcW w:w="1550" w:type="pct"/>
                  <w:tcBorders>
                    <w:tl2br w:val="nil"/>
                    <w:tr2bl w:val="nil"/>
                  </w:tcBorders>
                  <w:noWrap w:val="0"/>
                  <w:vAlign w:val="center"/>
                </w:tcPr>
                <w:p w14:paraId="6FAD192E">
                  <w:pPr>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车间隔声、基础减振</w:t>
                  </w:r>
                </w:p>
              </w:tc>
            </w:tr>
          </w:tbl>
          <w:p w14:paraId="1AFC0E8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color w:val="auto"/>
                <w:kern w:val="2"/>
                <w:sz w:val="24"/>
                <w:szCs w:val="24"/>
                <w:highlight w:val="none"/>
                <w:lang w:val="en-US" w:eastAsia="zh-CN" w:bidi="ar-SA"/>
              </w:rPr>
            </w:pPr>
          </w:p>
        </w:tc>
      </w:tr>
      <w:tr w14:paraId="1F4CD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66" w:hRule="atLeast"/>
        </w:trPr>
        <w:tc>
          <w:tcPr>
            <w:tcW w:w="308" w:type="pct"/>
            <w:vAlign w:val="center"/>
          </w:tcPr>
          <w:p w14:paraId="2E56AC89">
            <w:pPr>
              <w:pStyle w:val="23"/>
              <w:adjustRightInd w:val="0"/>
              <w:snapToGrid w:val="0"/>
              <w:spacing w:before="0" w:beforeAutospacing="0" w:after="0" w:afterAutospacing="0"/>
              <w:jc w:val="center"/>
              <w:rPr>
                <w:rFonts w:hint="default" w:ascii="Times New Roman" w:hAnsi="Times New Roman" w:cs="Times New Roman"/>
                <w:bCs/>
                <w:color w:val="auto"/>
                <w:sz w:val="24"/>
                <w:szCs w:val="24"/>
                <w:highlight w:val="none"/>
              </w:rPr>
            </w:pPr>
            <w:r>
              <w:rPr>
                <w:rFonts w:hint="default" w:ascii="黑体" w:hAnsi="黑体" w:eastAsia="黑体" w:cs="黑体"/>
                <w:color w:val="auto"/>
                <w:sz w:val="24"/>
                <w:szCs w:val="24"/>
                <w:highlight w:val="none"/>
                <w:lang w:val="en-US" w:eastAsia="zh-CN"/>
              </w:rPr>
              <w:t>与项目有关的原有环境污染问题</w:t>
            </w:r>
          </w:p>
        </w:tc>
        <w:tc>
          <w:tcPr>
            <w:tcW w:w="4691" w:type="pct"/>
            <w:vAlign w:val="top"/>
          </w:tcPr>
          <w:p w14:paraId="4C099646">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eastAsia="宋体"/>
                <w:color w:val="auto"/>
                <w:highlight w:val="none"/>
                <w:lang w:eastAsia="zh-CN"/>
              </w:rPr>
            </w:pPr>
            <w:r>
              <w:rPr>
                <w:rFonts w:hint="default" w:ascii="Times New Roman" w:hAnsi="Times New Roman" w:eastAsia="宋体" w:cs="Times New Roman"/>
                <w:color w:val="auto"/>
                <w:sz w:val="24"/>
                <w:highlight w:val="none"/>
                <w:lang w:val="en-US" w:eastAsia="zh-CN"/>
              </w:rPr>
              <w:t>本项目为</w:t>
            </w:r>
            <w:r>
              <w:rPr>
                <w:rFonts w:hint="eastAsia" w:cs="Times New Roman"/>
                <w:color w:val="auto"/>
                <w:sz w:val="24"/>
                <w:highlight w:val="none"/>
                <w:lang w:val="en-US" w:eastAsia="zh-CN"/>
              </w:rPr>
              <w:t>新建</w:t>
            </w:r>
            <w:r>
              <w:rPr>
                <w:rFonts w:hint="default" w:ascii="Times New Roman" w:hAnsi="Times New Roman" w:eastAsia="宋体" w:cs="Times New Roman"/>
                <w:color w:val="auto"/>
                <w:sz w:val="24"/>
                <w:highlight w:val="none"/>
                <w:lang w:val="en-US" w:eastAsia="zh-CN"/>
              </w:rPr>
              <w:t>项目，</w:t>
            </w:r>
            <w:r>
              <w:rPr>
                <w:rFonts w:hint="eastAsia" w:ascii="Times New Roman" w:hAnsi="Times New Roman" w:cs="Times New Roman"/>
                <w:color w:val="auto"/>
                <w:sz w:val="24"/>
                <w:highlight w:val="none"/>
                <w:lang w:val="en-US" w:eastAsia="zh-CN"/>
              </w:rPr>
              <w:t>租赁现有已建成的闲置厂房，不存在与本项目有关的原有污染情况及主要环境问题。</w:t>
            </w:r>
          </w:p>
        </w:tc>
      </w:tr>
    </w:tbl>
    <w:p w14:paraId="4B50EE46">
      <w:pPr>
        <w:bidi w:val="0"/>
        <w:rPr>
          <w:rFonts w:hint="default"/>
        </w:rPr>
      </w:pPr>
    </w:p>
    <w:p w14:paraId="4177ADB4">
      <w:pPr>
        <w:pStyle w:val="23"/>
        <w:keepNext w:val="0"/>
        <w:keepLines w:val="0"/>
        <w:pageBreakBefore w:val="0"/>
        <w:widowControl/>
        <w:kinsoku/>
        <w:wordWrap/>
        <w:overflowPunct/>
        <w:topLinePunct w:val="0"/>
        <w:autoSpaceDE/>
        <w:autoSpaceDN/>
        <w:bidi w:val="0"/>
        <w:adjustRightInd/>
        <w:snapToGrid w:val="0"/>
        <w:spacing w:before="0" w:beforeAutospacing="0" w:after="0" w:afterAutospacing="0" w:line="240" w:lineRule="auto"/>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三、区域环境质量现状、环境保护目标及评价标准</w:t>
      </w:r>
    </w:p>
    <w:tbl>
      <w:tblPr>
        <w:tblStyle w:val="2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2"/>
        <w:gridCol w:w="8567"/>
      </w:tblGrid>
      <w:tr w14:paraId="163CD3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31" w:hRule="atLeast"/>
          <w:jc w:val="center"/>
        </w:trPr>
        <w:tc>
          <w:tcPr>
            <w:tcW w:w="331" w:type="pct"/>
            <w:vAlign w:val="center"/>
          </w:tcPr>
          <w:p w14:paraId="64717AC5">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区域</w:t>
            </w:r>
          </w:p>
          <w:p w14:paraId="0725A4CC">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环境</w:t>
            </w:r>
          </w:p>
          <w:p w14:paraId="6B96CEB6">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质量</w:t>
            </w:r>
          </w:p>
          <w:p w14:paraId="6A522B9B">
            <w:pPr>
              <w:adjustRightInd w:val="0"/>
              <w:snapToGrid w:val="0"/>
              <w:jc w:val="center"/>
              <w:rPr>
                <w:rFonts w:hint="default" w:ascii="Times New Roman" w:hAnsi="Times New Roman" w:cs="Times New Roman"/>
                <w:color w:val="auto"/>
                <w:kern w:val="0"/>
                <w:szCs w:val="21"/>
                <w:highlight w:val="none"/>
              </w:rPr>
            </w:pPr>
            <w:r>
              <w:rPr>
                <w:rFonts w:hint="default" w:ascii="黑体" w:hAnsi="黑体" w:eastAsia="黑体" w:cs="黑体"/>
                <w:color w:val="auto"/>
                <w:kern w:val="0"/>
                <w:sz w:val="24"/>
                <w:szCs w:val="24"/>
                <w:highlight w:val="none"/>
              </w:rPr>
              <w:t>现状</w:t>
            </w:r>
          </w:p>
        </w:tc>
        <w:tc>
          <w:tcPr>
            <w:tcW w:w="4668" w:type="pct"/>
            <w:vAlign w:val="center"/>
          </w:tcPr>
          <w:p w14:paraId="00BE0DD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黑体" w:hAnsi="黑体" w:eastAsia="黑体" w:cs="黑体"/>
                <w:color w:val="auto"/>
                <w:sz w:val="24"/>
                <w:szCs w:val="24"/>
                <w:highlight w:val="none"/>
                <w:lang w:val="en-US" w:eastAsia="zh-CN"/>
              </w:rPr>
            </w:pPr>
            <w:r>
              <w:rPr>
                <w:rFonts w:hint="default" w:ascii="黑体" w:hAnsi="黑体" w:eastAsia="黑体" w:cs="黑体"/>
                <w:color w:val="auto"/>
                <w:sz w:val="24"/>
                <w:szCs w:val="24"/>
                <w:highlight w:val="none"/>
                <w:lang w:val="en-US" w:eastAsia="zh-CN"/>
              </w:rPr>
              <w:t>1、环境空气质量</w:t>
            </w:r>
          </w:p>
          <w:p w14:paraId="0C4301F1">
            <w:pPr>
              <w:pStyle w:val="93"/>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（1）基本污染物环境质量现状调查与评价</w:t>
            </w:r>
          </w:p>
          <w:p w14:paraId="0E373A96">
            <w:pPr>
              <w:pStyle w:val="93"/>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ascii="Times New Roman" w:hAnsi="Times New Roman" w:eastAsia="宋体"/>
                <w:color w:val="auto"/>
                <w:sz w:val="24"/>
                <w:highlight w:val="none"/>
              </w:rPr>
            </w:pPr>
            <w:r>
              <w:rPr>
                <w:rFonts w:hint="eastAsia" w:ascii="Times New Roman" w:hAnsi="Times New Roman" w:eastAsia="宋体" w:cs="Times New Roman"/>
                <w:color w:val="auto"/>
                <w:sz w:val="24"/>
                <w:lang w:eastAsia="zh-CN"/>
              </w:rPr>
              <w:t>根据淄博市</w:t>
            </w:r>
            <w:r>
              <w:rPr>
                <w:rFonts w:hint="eastAsia" w:ascii="Times New Roman" w:hAnsi="Times New Roman" w:eastAsia="宋体" w:cs="Times New Roman"/>
                <w:color w:val="auto"/>
                <w:sz w:val="24"/>
                <w:lang w:val="en-US" w:eastAsia="zh-CN"/>
              </w:rPr>
              <w:t>生态环境局沂源分局</w:t>
            </w:r>
            <w:r>
              <w:rPr>
                <w:rFonts w:hint="eastAsia" w:ascii="Times New Roman" w:hAnsi="Times New Roman" w:eastAsia="宋体" w:cs="Times New Roman"/>
                <w:color w:val="auto"/>
                <w:sz w:val="24"/>
                <w:lang w:eastAsia="zh-CN"/>
              </w:rPr>
              <w:t>《202</w:t>
            </w:r>
            <w:r>
              <w:rPr>
                <w:rFonts w:hint="eastAsia" w:cs="Times New Roman"/>
                <w:color w:val="auto"/>
                <w:sz w:val="24"/>
                <w:lang w:val="en-US" w:eastAsia="zh-CN"/>
              </w:rPr>
              <w:t>4</w:t>
            </w:r>
            <w:r>
              <w:rPr>
                <w:rFonts w:hint="eastAsia" w:ascii="Times New Roman" w:hAnsi="Times New Roman" w:eastAsia="宋体" w:cs="Times New Roman"/>
                <w:color w:val="auto"/>
                <w:sz w:val="24"/>
                <w:lang w:eastAsia="zh-CN"/>
              </w:rPr>
              <w:t>年</w:t>
            </w:r>
            <w:r>
              <w:rPr>
                <w:rFonts w:hint="eastAsia" w:cs="Times New Roman"/>
                <w:color w:val="auto"/>
                <w:sz w:val="24"/>
                <w:lang w:val="en-US" w:eastAsia="zh-CN"/>
              </w:rPr>
              <w:t>1-</w:t>
            </w:r>
            <w:r>
              <w:rPr>
                <w:rFonts w:hint="eastAsia" w:ascii="Times New Roman" w:hAnsi="Times New Roman" w:eastAsia="宋体" w:cs="Times New Roman"/>
                <w:color w:val="auto"/>
                <w:sz w:val="24"/>
                <w:lang w:eastAsia="zh-CN"/>
              </w:rPr>
              <w:t>12月份及全年环境空气质量情况通报》，202</w:t>
            </w:r>
            <w:r>
              <w:rPr>
                <w:rFonts w:hint="eastAsia" w:cs="Times New Roman"/>
                <w:color w:val="auto"/>
                <w:sz w:val="24"/>
                <w:lang w:val="en-US" w:eastAsia="zh-CN"/>
              </w:rPr>
              <w:t>4</w:t>
            </w:r>
            <w:r>
              <w:rPr>
                <w:rFonts w:hint="eastAsia" w:ascii="Times New Roman" w:hAnsi="Times New Roman" w:eastAsia="宋体" w:cs="Times New Roman"/>
                <w:color w:val="auto"/>
                <w:sz w:val="24"/>
                <w:lang w:eastAsia="zh-CN"/>
              </w:rPr>
              <w:t>年</w:t>
            </w:r>
            <w:r>
              <w:rPr>
                <w:rFonts w:hint="eastAsia" w:cs="Times New Roman"/>
                <w:color w:val="auto"/>
                <w:sz w:val="24"/>
                <w:lang w:val="en-US" w:eastAsia="zh-CN"/>
              </w:rPr>
              <w:t>沂源县</w:t>
            </w:r>
            <w:r>
              <w:rPr>
                <w:rFonts w:hint="eastAsia" w:ascii="Times New Roman" w:hAnsi="Times New Roman" w:eastAsia="宋体" w:cs="Times New Roman"/>
                <w:color w:val="auto"/>
                <w:sz w:val="24"/>
                <w:lang w:eastAsia="zh-CN"/>
              </w:rPr>
              <w:t>基本</w:t>
            </w:r>
            <w:r>
              <w:rPr>
                <w:rFonts w:hint="eastAsia" w:ascii="Times New Roman" w:hAnsi="Times New Roman" w:eastAsia="宋体"/>
                <w:color w:val="auto"/>
                <w:sz w:val="24"/>
                <w:highlight w:val="none"/>
              </w:rPr>
              <w:t>污染物SO</w:t>
            </w:r>
            <w:r>
              <w:rPr>
                <w:rFonts w:hint="eastAsia" w:ascii="Times New Roman" w:hAnsi="Times New Roman" w:eastAsia="宋体"/>
                <w:color w:val="auto"/>
                <w:sz w:val="24"/>
                <w:highlight w:val="none"/>
                <w:vertAlign w:val="subscript"/>
              </w:rPr>
              <w:t>2</w:t>
            </w:r>
            <w:r>
              <w:rPr>
                <w:rFonts w:hint="eastAsia" w:ascii="Times New Roman" w:hAnsi="Times New Roman" w:eastAsia="宋体"/>
                <w:color w:val="auto"/>
                <w:sz w:val="24"/>
                <w:highlight w:val="none"/>
              </w:rPr>
              <w:t>、NO</w:t>
            </w:r>
            <w:r>
              <w:rPr>
                <w:rFonts w:hint="eastAsia" w:ascii="Times New Roman" w:hAnsi="Times New Roman" w:eastAsia="宋体"/>
                <w:color w:val="auto"/>
                <w:sz w:val="24"/>
                <w:highlight w:val="none"/>
                <w:vertAlign w:val="subscript"/>
              </w:rPr>
              <w:t>2</w:t>
            </w:r>
            <w:r>
              <w:rPr>
                <w:rFonts w:hint="eastAsia" w:ascii="Times New Roman" w:hAnsi="Times New Roman" w:eastAsia="宋体"/>
                <w:color w:val="auto"/>
                <w:sz w:val="24"/>
                <w:highlight w:val="none"/>
              </w:rPr>
              <w:t>、PM</w:t>
            </w:r>
            <w:r>
              <w:rPr>
                <w:rFonts w:hint="eastAsia" w:ascii="Times New Roman" w:hAnsi="Times New Roman" w:eastAsia="宋体"/>
                <w:color w:val="auto"/>
                <w:sz w:val="24"/>
                <w:highlight w:val="none"/>
                <w:vertAlign w:val="subscript"/>
              </w:rPr>
              <w:t>10</w:t>
            </w:r>
            <w:r>
              <w:rPr>
                <w:rFonts w:hint="eastAsia" w:ascii="Times New Roman" w:hAnsi="Times New Roman" w:eastAsia="宋体"/>
                <w:color w:val="auto"/>
                <w:sz w:val="24"/>
                <w:highlight w:val="none"/>
              </w:rPr>
              <w:t>、PM</w:t>
            </w:r>
            <w:r>
              <w:rPr>
                <w:rFonts w:hint="eastAsia" w:ascii="Times New Roman" w:hAnsi="Times New Roman" w:eastAsia="宋体"/>
                <w:color w:val="auto"/>
                <w:sz w:val="24"/>
                <w:highlight w:val="none"/>
                <w:vertAlign w:val="subscript"/>
              </w:rPr>
              <w:t>2.5</w:t>
            </w:r>
            <w:r>
              <w:rPr>
                <w:rFonts w:hint="eastAsia"/>
                <w:color w:val="auto"/>
                <w:sz w:val="24"/>
                <w:highlight w:val="none"/>
                <w:lang w:eastAsia="zh-CN"/>
              </w:rPr>
              <w:t>、</w:t>
            </w:r>
            <w:r>
              <w:rPr>
                <w:rFonts w:hint="default" w:ascii="Times New Roman" w:hAnsi="Times New Roman" w:eastAsia="宋体" w:cs="Times New Roman"/>
                <w:color w:val="auto"/>
                <w:sz w:val="24"/>
                <w:highlight w:val="none"/>
                <w:lang w:val="en-US" w:eastAsia="zh-CN"/>
              </w:rPr>
              <w:t>O</w:t>
            </w:r>
            <w:r>
              <w:rPr>
                <w:rFonts w:hint="default" w:ascii="Times New Roman" w:hAnsi="Times New Roman" w:eastAsia="宋体" w:cs="Times New Roman"/>
                <w:color w:val="auto"/>
                <w:sz w:val="24"/>
                <w:highlight w:val="none"/>
                <w:vertAlign w:val="subscript"/>
                <w:lang w:val="en-US" w:eastAsia="zh-CN"/>
              </w:rPr>
              <w:t>3</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CO</w:t>
            </w:r>
            <w:r>
              <w:rPr>
                <w:rFonts w:hint="eastAsia" w:ascii="Times New Roman" w:hAnsi="Times New Roman" w:eastAsia="宋体" w:cs="Times New Roman"/>
                <w:color w:val="auto"/>
                <w:sz w:val="24"/>
                <w:highlight w:val="none"/>
              </w:rPr>
              <w:t>年均</w:t>
            </w:r>
            <w:r>
              <w:rPr>
                <w:rFonts w:hint="eastAsia" w:ascii="Times New Roman" w:hAnsi="Times New Roman" w:eastAsia="宋体"/>
                <w:color w:val="auto"/>
                <w:sz w:val="24"/>
                <w:highlight w:val="none"/>
              </w:rPr>
              <w:t>浓度如下：</w:t>
            </w:r>
          </w:p>
          <w:p w14:paraId="782A56D6">
            <w:pPr>
              <w:pStyle w:val="9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黑体" w:cs="Times New Roman"/>
                <w:b w:val="0"/>
                <w:bCs w:val="0"/>
                <w:color w:val="auto"/>
                <w:kern w:val="0"/>
                <w:sz w:val="24"/>
                <w:szCs w:val="24"/>
                <w:lang w:val="en-US" w:eastAsia="zh-CN" w:bidi="ar-SA"/>
              </w:rPr>
            </w:pPr>
            <w:r>
              <w:rPr>
                <w:rFonts w:hint="default" w:ascii="Times New Roman" w:hAnsi="Times New Roman" w:eastAsia="黑体" w:cs="Times New Roman"/>
                <w:b w:val="0"/>
                <w:bCs w:val="0"/>
                <w:color w:val="auto"/>
                <w:kern w:val="0"/>
                <w:sz w:val="24"/>
                <w:szCs w:val="24"/>
                <w:lang w:val="en-US" w:eastAsia="zh-CN" w:bidi="ar-SA"/>
              </w:rPr>
              <w:t xml:space="preserve">表3-1 </w:t>
            </w:r>
            <w:r>
              <w:rPr>
                <w:rFonts w:hint="eastAsia" w:ascii="Times New Roman" w:hAnsi="Times New Roman" w:cs="Times New Roman"/>
                <w:b w:val="0"/>
                <w:bCs w:val="0"/>
                <w:color w:val="auto"/>
                <w:kern w:val="0"/>
                <w:sz w:val="24"/>
                <w:szCs w:val="24"/>
                <w:lang w:val="en-US" w:eastAsia="zh-CN" w:bidi="ar-SA"/>
              </w:rPr>
              <w:t>沂源县</w:t>
            </w:r>
            <w:r>
              <w:rPr>
                <w:rFonts w:hint="default" w:ascii="Times New Roman" w:hAnsi="Times New Roman" w:eastAsia="黑体" w:cs="Times New Roman"/>
                <w:b w:val="0"/>
                <w:bCs w:val="0"/>
                <w:color w:val="auto"/>
                <w:kern w:val="0"/>
                <w:sz w:val="24"/>
                <w:szCs w:val="24"/>
                <w:lang w:val="en-US" w:eastAsia="zh-CN" w:bidi="ar-SA"/>
              </w:rPr>
              <w:t>基本</w:t>
            </w:r>
            <w:r>
              <w:rPr>
                <w:rFonts w:hint="default" w:ascii="Times New Roman" w:hAnsi="Times New Roman" w:eastAsia="黑体" w:cs="Times New Roman"/>
                <w:b w:val="0"/>
                <w:bCs w:val="0"/>
                <w:color w:val="auto"/>
                <w:kern w:val="0"/>
                <w:sz w:val="24"/>
                <w:szCs w:val="24"/>
                <w:highlight w:val="none"/>
                <w:lang w:val="en-US" w:eastAsia="zh-CN" w:bidi="ar-SA"/>
              </w:rPr>
              <w:t>污染物</w:t>
            </w:r>
            <w:r>
              <w:rPr>
                <w:rFonts w:hint="default" w:ascii="Times New Roman" w:hAnsi="Times New Roman" w:eastAsia="黑体" w:cs="Times New Roman"/>
                <w:b w:val="0"/>
                <w:bCs w:val="0"/>
                <w:color w:val="auto"/>
                <w:kern w:val="0"/>
                <w:sz w:val="24"/>
                <w:szCs w:val="24"/>
                <w:lang w:val="en-US" w:eastAsia="zh-CN" w:bidi="ar-SA"/>
              </w:rPr>
              <w:t>监测数据及评价结果一览表</w:t>
            </w:r>
          </w:p>
          <w:tbl>
            <w:tblPr>
              <w:tblStyle w:val="2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919"/>
              <w:gridCol w:w="2208"/>
              <w:gridCol w:w="1169"/>
              <w:gridCol w:w="1064"/>
              <w:gridCol w:w="1004"/>
              <w:gridCol w:w="1108"/>
            </w:tblGrid>
            <w:tr w14:paraId="5B61A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7" w:type="pct"/>
                  <w:noWrap w:val="0"/>
                  <w:vAlign w:val="center"/>
                </w:tcPr>
                <w:p w14:paraId="59C6A7E4">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污染物</w:t>
                  </w:r>
                </w:p>
              </w:tc>
              <w:tc>
                <w:tcPr>
                  <w:tcW w:w="551" w:type="pct"/>
                  <w:noWrap w:val="0"/>
                  <w:vAlign w:val="center"/>
                </w:tcPr>
                <w:p w14:paraId="239A32C4">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单位</w:t>
                  </w:r>
                </w:p>
              </w:tc>
              <w:tc>
                <w:tcPr>
                  <w:tcW w:w="1324" w:type="pct"/>
                  <w:noWrap w:val="0"/>
                  <w:vAlign w:val="center"/>
                </w:tcPr>
                <w:p w14:paraId="19779391">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年评价指标</w:t>
                  </w:r>
                </w:p>
              </w:tc>
              <w:tc>
                <w:tcPr>
                  <w:tcW w:w="701" w:type="pct"/>
                  <w:noWrap w:val="0"/>
                  <w:vAlign w:val="center"/>
                </w:tcPr>
                <w:p w14:paraId="54E20CC4">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现状浓度</w:t>
                  </w:r>
                </w:p>
              </w:tc>
              <w:tc>
                <w:tcPr>
                  <w:tcW w:w="638" w:type="pct"/>
                  <w:noWrap w:val="0"/>
                  <w:vAlign w:val="center"/>
                </w:tcPr>
                <w:p w14:paraId="2B88D8E2">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评价标准</w:t>
                  </w:r>
                </w:p>
              </w:tc>
              <w:tc>
                <w:tcPr>
                  <w:tcW w:w="602" w:type="pct"/>
                  <w:noWrap w:val="0"/>
                  <w:vAlign w:val="center"/>
                </w:tcPr>
                <w:p w14:paraId="5D0B1458">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占标率</w:t>
                  </w:r>
                </w:p>
              </w:tc>
              <w:tc>
                <w:tcPr>
                  <w:tcW w:w="664" w:type="pct"/>
                  <w:noWrap w:val="0"/>
                  <w:vAlign w:val="center"/>
                </w:tcPr>
                <w:p w14:paraId="7CAE42B5">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达标情况</w:t>
                  </w:r>
                </w:p>
              </w:tc>
            </w:tr>
            <w:tr w14:paraId="2D56D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517" w:type="pct"/>
                  <w:noWrap w:val="0"/>
                  <w:vAlign w:val="center"/>
                </w:tcPr>
                <w:p w14:paraId="7F4D1039">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lang w:eastAsia="zh-CN"/>
                    </w:rPr>
                    <w:t>SO</w:t>
                  </w:r>
                  <w:r>
                    <w:rPr>
                      <w:rFonts w:hint="default" w:ascii="Times New Roman" w:hAnsi="Times New Roman" w:eastAsia="宋体" w:cs="Times New Roman"/>
                      <w:color w:val="auto"/>
                      <w:sz w:val="21"/>
                      <w:szCs w:val="21"/>
                      <w:vertAlign w:val="subscript"/>
                      <w:lang w:eastAsia="zh-CN"/>
                    </w:rPr>
                    <w:t>2</w:t>
                  </w:r>
                </w:p>
              </w:tc>
              <w:tc>
                <w:tcPr>
                  <w:tcW w:w="551" w:type="pct"/>
                  <w:noWrap w:val="0"/>
                  <w:vAlign w:val="center"/>
                </w:tcPr>
                <w:p w14:paraId="31613B90">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μg/m</w:t>
                  </w:r>
                  <w:r>
                    <w:rPr>
                      <w:rFonts w:hint="default" w:ascii="Times New Roman" w:hAnsi="Times New Roman" w:eastAsia="宋体" w:cs="Times New Roman"/>
                      <w:color w:val="auto"/>
                      <w:sz w:val="21"/>
                      <w:szCs w:val="21"/>
                      <w:vertAlign w:val="superscript"/>
                    </w:rPr>
                    <w:t>3</w:t>
                  </w:r>
                </w:p>
              </w:tc>
              <w:tc>
                <w:tcPr>
                  <w:tcW w:w="1324" w:type="pct"/>
                  <w:noWrap w:val="0"/>
                  <w:vAlign w:val="center"/>
                </w:tcPr>
                <w:p w14:paraId="1C8B2611">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年平均质量浓度</w:t>
                  </w:r>
                </w:p>
              </w:tc>
              <w:tc>
                <w:tcPr>
                  <w:tcW w:w="701" w:type="pct"/>
                  <w:noWrap w:val="0"/>
                  <w:vAlign w:val="center"/>
                </w:tcPr>
                <w:p w14:paraId="0B01AC52">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9</w:t>
                  </w:r>
                </w:p>
              </w:tc>
              <w:tc>
                <w:tcPr>
                  <w:tcW w:w="638" w:type="pct"/>
                  <w:noWrap w:val="0"/>
                  <w:vAlign w:val="center"/>
                </w:tcPr>
                <w:p w14:paraId="0D5A2289">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w:t>
                  </w:r>
                </w:p>
              </w:tc>
              <w:tc>
                <w:tcPr>
                  <w:tcW w:w="602" w:type="pct"/>
                  <w:noWrap w:val="0"/>
                  <w:vAlign w:val="center"/>
                </w:tcPr>
                <w:p w14:paraId="2BE2DC71">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15</w:t>
                  </w:r>
                  <w:r>
                    <w:rPr>
                      <w:rFonts w:hint="eastAsia" w:ascii="Times New Roman" w:hAnsi="Times New Roman" w:eastAsia="宋体" w:cs="Times New Roman"/>
                      <w:color w:val="auto"/>
                      <w:sz w:val="21"/>
                      <w:szCs w:val="21"/>
                      <w:vertAlign w:val="baseline"/>
                      <w:lang w:val="en-US" w:eastAsia="zh-CN"/>
                    </w:rPr>
                    <w:t>%</w:t>
                  </w:r>
                </w:p>
              </w:tc>
              <w:tc>
                <w:tcPr>
                  <w:tcW w:w="664" w:type="pct"/>
                  <w:noWrap w:val="0"/>
                  <w:vAlign w:val="center"/>
                </w:tcPr>
                <w:p w14:paraId="3BEACDFE">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2292E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7" w:type="pct"/>
                  <w:noWrap w:val="0"/>
                  <w:vAlign w:val="center"/>
                </w:tcPr>
                <w:p w14:paraId="709155A3">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lang w:eastAsia="zh-CN"/>
                    </w:rPr>
                    <w:t>NO</w:t>
                  </w:r>
                  <w:r>
                    <w:rPr>
                      <w:rFonts w:hint="default" w:ascii="Times New Roman" w:hAnsi="Times New Roman" w:eastAsia="宋体" w:cs="Times New Roman"/>
                      <w:color w:val="auto"/>
                      <w:sz w:val="21"/>
                      <w:szCs w:val="21"/>
                      <w:vertAlign w:val="subscript"/>
                      <w:lang w:eastAsia="zh-CN"/>
                    </w:rPr>
                    <w:t>2</w:t>
                  </w:r>
                </w:p>
              </w:tc>
              <w:tc>
                <w:tcPr>
                  <w:tcW w:w="551" w:type="pct"/>
                  <w:noWrap w:val="0"/>
                  <w:vAlign w:val="center"/>
                </w:tcPr>
                <w:p w14:paraId="6E92511B">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μg/m</w:t>
                  </w:r>
                  <w:r>
                    <w:rPr>
                      <w:rFonts w:hint="default" w:ascii="Times New Roman" w:hAnsi="Times New Roman" w:eastAsia="宋体" w:cs="Times New Roman"/>
                      <w:color w:val="auto"/>
                      <w:sz w:val="21"/>
                      <w:szCs w:val="21"/>
                      <w:vertAlign w:val="superscript"/>
                    </w:rPr>
                    <w:t>3</w:t>
                  </w:r>
                </w:p>
              </w:tc>
              <w:tc>
                <w:tcPr>
                  <w:tcW w:w="1324" w:type="pct"/>
                  <w:noWrap w:val="0"/>
                  <w:vAlign w:val="center"/>
                </w:tcPr>
                <w:p w14:paraId="582963FF">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年平均质量浓度</w:t>
                  </w:r>
                </w:p>
              </w:tc>
              <w:tc>
                <w:tcPr>
                  <w:tcW w:w="701" w:type="pct"/>
                  <w:noWrap w:val="0"/>
                  <w:vAlign w:val="center"/>
                </w:tcPr>
                <w:p w14:paraId="685C82FC">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24</w:t>
                  </w:r>
                </w:p>
              </w:tc>
              <w:tc>
                <w:tcPr>
                  <w:tcW w:w="638" w:type="pct"/>
                  <w:noWrap w:val="0"/>
                  <w:vAlign w:val="center"/>
                </w:tcPr>
                <w:p w14:paraId="66AA1C17">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w:t>
                  </w:r>
                </w:p>
              </w:tc>
              <w:tc>
                <w:tcPr>
                  <w:tcW w:w="602" w:type="pct"/>
                  <w:noWrap w:val="0"/>
                  <w:vAlign w:val="center"/>
                </w:tcPr>
                <w:p w14:paraId="445AA82F">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60</w:t>
                  </w:r>
                  <w:r>
                    <w:rPr>
                      <w:rFonts w:hint="eastAsia" w:ascii="Times New Roman" w:hAnsi="Times New Roman" w:eastAsia="宋体" w:cs="Times New Roman"/>
                      <w:color w:val="auto"/>
                      <w:sz w:val="21"/>
                      <w:szCs w:val="21"/>
                      <w:vertAlign w:val="baseline"/>
                      <w:lang w:val="en-US" w:eastAsia="zh-CN"/>
                    </w:rPr>
                    <w:t>%</w:t>
                  </w:r>
                </w:p>
              </w:tc>
              <w:tc>
                <w:tcPr>
                  <w:tcW w:w="664" w:type="pct"/>
                  <w:noWrap w:val="0"/>
                  <w:vAlign w:val="center"/>
                </w:tcPr>
                <w:p w14:paraId="5342533E">
                  <w:pPr>
                    <w:snapToGrid w:val="0"/>
                    <w:spacing w:line="240" w:lineRule="auto"/>
                    <w:jc w:val="center"/>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达标</w:t>
                  </w:r>
                </w:p>
              </w:tc>
            </w:tr>
            <w:tr w14:paraId="2679C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7" w:type="pct"/>
                  <w:noWrap w:val="0"/>
                  <w:vAlign w:val="center"/>
                </w:tcPr>
                <w:p w14:paraId="4A871BF5">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lang w:eastAsia="zh-CN"/>
                    </w:rPr>
                    <w:t>PM</w:t>
                  </w:r>
                  <w:r>
                    <w:rPr>
                      <w:rFonts w:hint="default" w:ascii="Times New Roman" w:hAnsi="Times New Roman" w:eastAsia="宋体" w:cs="Times New Roman"/>
                      <w:color w:val="auto"/>
                      <w:sz w:val="21"/>
                      <w:szCs w:val="21"/>
                      <w:vertAlign w:val="subscript"/>
                      <w:lang w:eastAsia="zh-CN"/>
                    </w:rPr>
                    <w:t>10</w:t>
                  </w:r>
                </w:p>
              </w:tc>
              <w:tc>
                <w:tcPr>
                  <w:tcW w:w="551" w:type="pct"/>
                  <w:noWrap w:val="0"/>
                  <w:vAlign w:val="center"/>
                </w:tcPr>
                <w:p w14:paraId="45830AB8">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μg/m</w:t>
                  </w:r>
                  <w:r>
                    <w:rPr>
                      <w:rFonts w:hint="default" w:ascii="Times New Roman" w:hAnsi="Times New Roman" w:eastAsia="宋体" w:cs="Times New Roman"/>
                      <w:color w:val="auto"/>
                      <w:sz w:val="21"/>
                      <w:szCs w:val="21"/>
                      <w:vertAlign w:val="superscript"/>
                    </w:rPr>
                    <w:t>3</w:t>
                  </w:r>
                </w:p>
              </w:tc>
              <w:tc>
                <w:tcPr>
                  <w:tcW w:w="1324" w:type="pct"/>
                  <w:noWrap w:val="0"/>
                  <w:vAlign w:val="center"/>
                </w:tcPr>
                <w:p w14:paraId="1773A1D9">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年平均质量浓度</w:t>
                  </w:r>
                </w:p>
              </w:tc>
              <w:tc>
                <w:tcPr>
                  <w:tcW w:w="701" w:type="pct"/>
                  <w:noWrap w:val="0"/>
                  <w:vAlign w:val="center"/>
                </w:tcPr>
                <w:p w14:paraId="3D8FDC5A">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59</w:t>
                  </w:r>
                </w:p>
              </w:tc>
              <w:tc>
                <w:tcPr>
                  <w:tcW w:w="638" w:type="pct"/>
                  <w:noWrap w:val="0"/>
                  <w:vAlign w:val="center"/>
                </w:tcPr>
                <w:p w14:paraId="2FE09979">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70</w:t>
                  </w:r>
                </w:p>
              </w:tc>
              <w:tc>
                <w:tcPr>
                  <w:tcW w:w="602" w:type="pct"/>
                  <w:noWrap w:val="0"/>
                  <w:vAlign w:val="center"/>
                </w:tcPr>
                <w:p w14:paraId="6D36E513">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84.29</w:t>
                  </w:r>
                  <w:r>
                    <w:rPr>
                      <w:rFonts w:hint="eastAsia" w:ascii="Times New Roman" w:hAnsi="Times New Roman" w:eastAsia="宋体" w:cs="Times New Roman"/>
                      <w:color w:val="auto"/>
                      <w:sz w:val="21"/>
                      <w:szCs w:val="21"/>
                      <w:vertAlign w:val="baseline"/>
                      <w:lang w:val="en-US" w:eastAsia="zh-CN"/>
                    </w:rPr>
                    <w:t>%</w:t>
                  </w:r>
                </w:p>
              </w:tc>
              <w:tc>
                <w:tcPr>
                  <w:tcW w:w="664" w:type="pct"/>
                  <w:noWrap w:val="0"/>
                  <w:vAlign w:val="center"/>
                </w:tcPr>
                <w:p w14:paraId="32F92BCF">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72BFE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7" w:type="pct"/>
                  <w:noWrap w:val="0"/>
                  <w:vAlign w:val="center"/>
                </w:tcPr>
                <w:p w14:paraId="15C1198B">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lang w:eastAsia="zh-CN"/>
                    </w:rPr>
                    <w:t>PM</w:t>
                  </w:r>
                  <w:r>
                    <w:rPr>
                      <w:rFonts w:hint="default" w:ascii="Times New Roman" w:hAnsi="Times New Roman" w:eastAsia="宋体" w:cs="Times New Roman"/>
                      <w:color w:val="auto"/>
                      <w:sz w:val="21"/>
                      <w:szCs w:val="21"/>
                      <w:vertAlign w:val="subscript"/>
                      <w:lang w:eastAsia="zh-CN"/>
                    </w:rPr>
                    <w:t>2.5</w:t>
                  </w:r>
                </w:p>
              </w:tc>
              <w:tc>
                <w:tcPr>
                  <w:tcW w:w="551" w:type="pct"/>
                  <w:noWrap w:val="0"/>
                  <w:vAlign w:val="center"/>
                </w:tcPr>
                <w:p w14:paraId="1FA5CD60">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μg/m</w:t>
                  </w:r>
                  <w:r>
                    <w:rPr>
                      <w:rFonts w:hint="default" w:ascii="Times New Roman" w:hAnsi="Times New Roman" w:eastAsia="宋体" w:cs="Times New Roman"/>
                      <w:color w:val="auto"/>
                      <w:sz w:val="21"/>
                      <w:szCs w:val="21"/>
                      <w:vertAlign w:val="superscript"/>
                    </w:rPr>
                    <w:t>3</w:t>
                  </w:r>
                </w:p>
              </w:tc>
              <w:tc>
                <w:tcPr>
                  <w:tcW w:w="1324" w:type="pct"/>
                  <w:noWrap w:val="0"/>
                  <w:vAlign w:val="center"/>
                </w:tcPr>
                <w:p w14:paraId="31567C4B">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年平均质量浓度</w:t>
                  </w:r>
                </w:p>
              </w:tc>
              <w:tc>
                <w:tcPr>
                  <w:tcW w:w="701" w:type="pct"/>
                  <w:noWrap w:val="0"/>
                  <w:vAlign w:val="center"/>
                </w:tcPr>
                <w:p w14:paraId="4FEBE75A">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37</w:t>
                  </w:r>
                </w:p>
              </w:tc>
              <w:tc>
                <w:tcPr>
                  <w:tcW w:w="638" w:type="pct"/>
                  <w:noWrap w:val="0"/>
                  <w:vAlign w:val="center"/>
                </w:tcPr>
                <w:p w14:paraId="17F80CB9">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w:t>
                  </w:r>
                </w:p>
              </w:tc>
              <w:tc>
                <w:tcPr>
                  <w:tcW w:w="602" w:type="pct"/>
                  <w:noWrap w:val="0"/>
                  <w:vAlign w:val="center"/>
                </w:tcPr>
                <w:p w14:paraId="1414674C">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105.71</w:t>
                  </w:r>
                  <w:r>
                    <w:rPr>
                      <w:rFonts w:hint="eastAsia" w:ascii="Times New Roman" w:hAnsi="Times New Roman" w:eastAsia="宋体" w:cs="Times New Roman"/>
                      <w:color w:val="auto"/>
                      <w:sz w:val="21"/>
                      <w:szCs w:val="21"/>
                      <w:vertAlign w:val="baseline"/>
                      <w:lang w:val="en-US" w:eastAsia="zh-CN"/>
                    </w:rPr>
                    <w:t>%</w:t>
                  </w:r>
                </w:p>
              </w:tc>
              <w:tc>
                <w:tcPr>
                  <w:tcW w:w="664" w:type="pct"/>
                  <w:noWrap w:val="0"/>
                  <w:vAlign w:val="center"/>
                </w:tcPr>
                <w:p w14:paraId="69B28D5D">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不</w:t>
                  </w:r>
                  <w:r>
                    <w:rPr>
                      <w:rFonts w:hint="default" w:ascii="Times New Roman" w:hAnsi="Times New Roman" w:eastAsia="宋体" w:cs="Times New Roman"/>
                      <w:color w:val="auto"/>
                      <w:sz w:val="21"/>
                      <w:szCs w:val="21"/>
                      <w:vertAlign w:val="baseline"/>
                      <w:lang w:val="en-US" w:eastAsia="zh-CN"/>
                    </w:rPr>
                    <w:t>达标</w:t>
                  </w:r>
                </w:p>
              </w:tc>
            </w:tr>
            <w:tr w14:paraId="0D3EA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7" w:type="pct"/>
                  <w:noWrap w:val="0"/>
                  <w:vAlign w:val="center"/>
                </w:tcPr>
                <w:p w14:paraId="5937117E">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CO</w:t>
                  </w:r>
                </w:p>
              </w:tc>
              <w:tc>
                <w:tcPr>
                  <w:tcW w:w="551" w:type="pct"/>
                  <w:noWrap w:val="0"/>
                  <w:vAlign w:val="center"/>
                </w:tcPr>
                <w:p w14:paraId="6571D81A">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m</w:t>
                  </w:r>
                  <w:r>
                    <w:rPr>
                      <w:rFonts w:hint="default" w:ascii="Times New Roman" w:hAnsi="Times New Roman" w:eastAsia="宋体" w:cs="Times New Roman"/>
                      <w:color w:val="auto"/>
                      <w:sz w:val="21"/>
                      <w:szCs w:val="21"/>
                      <w:vertAlign w:val="baseline"/>
                    </w:rPr>
                    <w:t>g/m</w:t>
                  </w:r>
                  <w:r>
                    <w:rPr>
                      <w:rFonts w:hint="default" w:ascii="Times New Roman" w:hAnsi="Times New Roman" w:eastAsia="宋体" w:cs="Times New Roman"/>
                      <w:color w:val="auto"/>
                      <w:sz w:val="21"/>
                      <w:szCs w:val="21"/>
                      <w:vertAlign w:val="superscript"/>
                    </w:rPr>
                    <w:t>3</w:t>
                  </w:r>
                </w:p>
              </w:tc>
              <w:tc>
                <w:tcPr>
                  <w:tcW w:w="1324" w:type="pct"/>
                  <w:noWrap w:val="0"/>
                  <w:vAlign w:val="center"/>
                </w:tcPr>
                <w:p w14:paraId="147945F8">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年平均质量浓度</w:t>
                  </w:r>
                </w:p>
              </w:tc>
              <w:tc>
                <w:tcPr>
                  <w:tcW w:w="701" w:type="pct"/>
                  <w:noWrap w:val="0"/>
                  <w:vAlign w:val="center"/>
                </w:tcPr>
                <w:p w14:paraId="0E707481">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r>
                    <w:rPr>
                      <w:rFonts w:hint="eastAsia" w:cs="Times New Roman"/>
                      <w:color w:val="auto"/>
                      <w:sz w:val="21"/>
                      <w:szCs w:val="21"/>
                      <w:vertAlign w:val="baseline"/>
                      <w:lang w:val="en-US" w:eastAsia="zh-CN"/>
                    </w:rPr>
                    <w:t>2</w:t>
                  </w:r>
                </w:p>
              </w:tc>
              <w:tc>
                <w:tcPr>
                  <w:tcW w:w="638" w:type="pct"/>
                  <w:noWrap w:val="0"/>
                  <w:vAlign w:val="center"/>
                </w:tcPr>
                <w:p w14:paraId="6BB95CA5">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w:t>
                  </w:r>
                </w:p>
              </w:tc>
              <w:tc>
                <w:tcPr>
                  <w:tcW w:w="602" w:type="pct"/>
                  <w:noWrap w:val="0"/>
                  <w:vAlign w:val="center"/>
                </w:tcPr>
                <w:p w14:paraId="0C2BBD05">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30</w:t>
                  </w:r>
                  <w:r>
                    <w:rPr>
                      <w:rFonts w:hint="eastAsia" w:ascii="Times New Roman" w:hAnsi="Times New Roman" w:eastAsia="宋体" w:cs="Times New Roman"/>
                      <w:color w:val="auto"/>
                      <w:sz w:val="21"/>
                      <w:szCs w:val="21"/>
                      <w:vertAlign w:val="baseline"/>
                      <w:lang w:val="en-US" w:eastAsia="zh-CN"/>
                    </w:rPr>
                    <w:t>%</w:t>
                  </w:r>
                </w:p>
              </w:tc>
              <w:tc>
                <w:tcPr>
                  <w:tcW w:w="664" w:type="pct"/>
                  <w:noWrap w:val="0"/>
                  <w:vAlign w:val="center"/>
                </w:tcPr>
                <w:p w14:paraId="7302F83F">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14:paraId="6E723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7" w:type="pct"/>
                  <w:noWrap w:val="0"/>
                  <w:vAlign w:val="center"/>
                </w:tcPr>
                <w:p w14:paraId="45E37C5A">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O</w:t>
                  </w:r>
                  <w:r>
                    <w:rPr>
                      <w:rFonts w:hint="default" w:ascii="Times New Roman" w:hAnsi="Times New Roman" w:eastAsia="宋体" w:cs="Times New Roman"/>
                      <w:color w:val="auto"/>
                      <w:sz w:val="21"/>
                      <w:szCs w:val="21"/>
                      <w:vertAlign w:val="subscript"/>
                    </w:rPr>
                    <w:t>3</w:t>
                  </w:r>
                </w:p>
              </w:tc>
              <w:tc>
                <w:tcPr>
                  <w:tcW w:w="551" w:type="pct"/>
                  <w:noWrap w:val="0"/>
                  <w:vAlign w:val="center"/>
                </w:tcPr>
                <w:p w14:paraId="7298B28E">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μg/m</w:t>
                  </w:r>
                  <w:r>
                    <w:rPr>
                      <w:rFonts w:hint="default" w:ascii="Times New Roman" w:hAnsi="Times New Roman" w:eastAsia="宋体" w:cs="Times New Roman"/>
                      <w:color w:val="auto"/>
                      <w:sz w:val="21"/>
                      <w:szCs w:val="21"/>
                      <w:vertAlign w:val="superscript"/>
                    </w:rPr>
                    <w:t>3</w:t>
                  </w:r>
                </w:p>
              </w:tc>
              <w:tc>
                <w:tcPr>
                  <w:tcW w:w="1324" w:type="pct"/>
                  <w:noWrap w:val="0"/>
                  <w:vAlign w:val="center"/>
                </w:tcPr>
                <w:p w14:paraId="391AB4E1">
                  <w:pPr>
                    <w:snapToGrid w:val="0"/>
                    <w:spacing w:line="240" w:lineRule="auto"/>
                    <w:jc w:val="center"/>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90%保证率日最大8h滑动平均浓度</w:t>
                  </w:r>
                </w:p>
              </w:tc>
              <w:tc>
                <w:tcPr>
                  <w:tcW w:w="701" w:type="pct"/>
                  <w:noWrap w:val="0"/>
                  <w:vAlign w:val="center"/>
                </w:tcPr>
                <w:p w14:paraId="0CF0FCFE">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171</w:t>
                  </w:r>
                </w:p>
              </w:tc>
              <w:tc>
                <w:tcPr>
                  <w:tcW w:w="638" w:type="pct"/>
                  <w:noWrap w:val="0"/>
                  <w:vAlign w:val="center"/>
                </w:tcPr>
                <w:p w14:paraId="72FBF9EB">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160</w:t>
                  </w:r>
                </w:p>
              </w:tc>
              <w:tc>
                <w:tcPr>
                  <w:tcW w:w="602" w:type="pct"/>
                  <w:noWrap w:val="0"/>
                  <w:vAlign w:val="center"/>
                </w:tcPr>
                <w:p w14:paraId="796E688C">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106.88</w:t>
                  </w:r>
                  <w:r>
                    <w:rPr>
                      <w:rFonts w:hint="eastAsia" w:ascii="Times New Roman" w:hAnsi="Times New Roman" w:eastAsia="宋体" w:cs="Times New Roman"/>
                      <w:color w:val="auto"/>
                      <w:sz w:val="21"/>
                      <w:szCs w:val="21"/>
                      <w:vertAlign w:val="baseline"/>
                      <w:lang w:val="en-US" w:eastAsia="zh-CN"/>
                    </w:rPr>
                    <w:t>%</w:t>
                  </w:r>
                </w:p>
              </w:tc>
              <w:tc>
                <w:tcPr>
                  <w:tcW w:w="664" w:type="pct"/>
                  <w:noWrap w:val="0"/>
                  <w:vAlign w:val="center"/>
                </w:tcPr>
                <w:p w14:paraId="070B537D">
                  <w:pPr>
                    <w:snapToGrid w:val="0"/>
                    <w:spacing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不</w:t>
                  </w:r>
                  <w:r>
                    <w:rPr>
                      <w:rFonts w:hint="default" w:ascii="Times New Roman" w:hAnsi="Times New Roman" w:eastAsia="宋体" w:cs="Times New Roman"/>
                      <w:color w:val="auto"/>
                      <w:sz w:val="21"/>
                      <w:szCs w:val="21"/>
                      <w:vertAlign w:val="baseline"/>
                      <w:lang w:val="en-US" w:eastAsia="zh-CN"/>
                    </w:rPr>
                    <w:t>达标</w:t>
                  </w:r>
                </w:p>
              </w:tc>
            </w:tr>
          </w:tbl>
          <w:p w14:paraId="43BF582A">
            <w:pPr>
              <w:snapToGrid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由上表可见，</w:t>
            </w:r>
            <w:r>
              <w:rPr>
                <w:rFonts w:hint="eastAsia" w:cs="Times New Roman"/>
                <w:color w:val="auto"/>
                <w:sz w:val="24"/>
                <w:lang w:val="en-US" w:eastAsia="zh-CN"/>
              </w:rPr>
              <w:t>2024</w:t>
            </w:r>
            <w:r>
              <w:rPr>
                <w:rFonts w:hint="default" w:ascii="Times New Roman" w:hAnsi="Times New Roman" w:eastAsia="宋体" w:cs="Times New Roman"/>
                <w:color w:val="auto"/>
                <w:sz w:val="24"/>
                <w:lang w:eastAsia="zh-CN"/>
              </w:rPr>
              <w:t>年</w:t>
            </w:r>
            <w:r>
              <w:rPr>
                <w:rFonts w:hint="eastAsia" w:cs="Times New Roman"/>
                <w:color w:val="auto"/>
                <w:sz w:val="24"/>
                <w:lang w:val="en-US" w:eastAsia="zh-CN"/>
              </w:rPr>
              <w:t>沂源县</w:t>
            </w:r>
            <w:r>
              <w:rPr>
                <w:rFonts w:hint="default" w:ascii="Times New Roman" w:hAnsi="Times New Roman" w:eastAsia="宋体" w:cs="Times New Roman"/>
                <w:color w:val="auto"/>
                <w:sz w:val="24"/>
                <w:lang w:eastAsia="zh-CN"/>
              </w:rPr>
              <w:t>环境空气中SO</w:t>
            </w:r>
            <w:r>
              <w:rPr>
                <w:rFonts w:hint="default" w:ascii="Times New Roman" w:hAnsi="Times New Roman" w:eastAsia="宋体" w:cs="Times New Roman"/>
                <w:color w:val="auto"/>
                <w:sz w:val="24"/>
                <w:vertAlign w:val="subscript"/>
                <w:lang w:eastAsia="zh-CN"/>
              </w:rPr>
              <w:t>2</w:t>
            </w:r>
            <w:r>
              <w:rPr>
                <w:rFonts w:hint="default" w:ascii="Times New Roman" w:hAnsi="Times New Roman" w:eastAsia="宋体" w:cs="Times New Roman"/>
                <w:color w:val="auto"/>
                <w:sz w:val="24"/>
                <w:lang w:eastAsia="zh-CN"/>
              </w:rPr>
              <w:t>、NO</w:t>
            </w:r>
            <w:r>
              <w:rPr>
                <w:rFonts w:hint="default" w:ascii="Times New Roman" w:hAnsi="Times New Roman" w:eastAsia="宋体" w:cs="Times New Roman"/>
                <w:color w:val="auto"/>
                <w:sz w:val="24"/>
                <w:vertAlign w:val="subscript"/>
                <w:lang w:eastAsia="zh-CN"/>
              </w:rPr>
              <w:t>2</w:t>
            </w:r>
            <w:r>
              <w:rPr>
                <w:rFonts w:hint="default" w:ascii="Times New Roman" w:hAnsi="Times New Roman" w:eastAsia="宋体" w:cs="Times New Roman"/>
                <w:color w:val="auto"/>
                <w:sz w:val="24"/>
                <w:lang w:eastAsia="zh-CN"/>
              </w:rPr>
              <w:t>、CO、PM</w:t>
            </w:r>
            <w:r>
              <w:rPr>
                <w:rFonts w:hint="default" w:ascii="Times New Roman" w:hAnsi="Times New Roman" w:eastAsia="宋体" w:cs="Times New Roman"/>
                <w:color w:val="auto"/>
                <w:sz w:val="24"/>
                <w:vertAlign w:val="subscript"/>
                <w:lang w:eastAsia="zh-CN"/>
              </w:rPr>
              <w:t>10</w:t>
            </w:r>
            <w:r>
              <w:rPr>
                <w:rFonts w:hint="default" w:ascii="Times New Roman" w:hAnsi="Times New Roman" w:eastAsia="宋体" w:cs="Times New Roman"/>
                <w:color w:val="auto"/>
                <w:sz w:val="24"/>
                <w:lang w:eastAsia="zh-CN"/>
              </w:rPr>
              <w:t>年均浓度能够满足《环境空气质量标准》（GB3095-2012）</w:t>
            </w:r>
            <w:r>
              <w:rPr>
                <w:rFonts w:hint="eastAsia" w:ascii="Times New Roman" w:hAnsi="Times New Roman" w:eastAsia="宋体" w:cs="Times New Roman"/>
                <w:color w:val="auto"/>
                <w:sz w:val="24"/>
                <w:lang w:val="en-US" w:eastAsia="zh-CN"/>
              </w:rPr>
              <w:t>及其修改单</w:t>
            </w:r>
            <w:r>
              <w:rPr>
                <w:rFonts w:hint="default" w:ascii="Times New Roman" w:hAnsi="Times New Roman" w:eastAsia="宋体" w:cs="Times New Roman"/>
                <w:color w:val="auto"/>
                <w:sz w:val="24"/>
                <w:lang w:eastAsia="zh-CN"/>
              </w:rPr>
              <w:t>二级标准，PM</w:t>
            </w:r>
            <w:r>
              <w:rPr>
                <w:rFonts w:hint="default" w:ascii="Times New Roman" w:hAnsi="Times New Roman" w:eastAsia="宋体" w:cs="Times New Roman"/>
                <w:color w:val="auto"/>
                <w:sz w:val="24"/>
                <w:vertAlign w:val="subscript"/>
                <w:lang w:eastAsia="zh-CN"/>
              </w:rPr>
              <w:t>2.5</w:t>
            </w:r>
            <w:r>
              <w:rPr>
                <w:rFonts w:hint="default" w:ascii="Times New Roman" w:hAnsi="Times New Roman" w:eastAsia="宋体" w:cs="Times New Roman"/>
                <w:color w:val="auto"/>
                <w:sz w:val="24"/>
                <w:lang w:eastAsia="zh-CN"/>
              </w:rPr>
              <w:t>年均浓度及O</w:t>
            </w:r>
            <w:r>
              <w:rPr>
                <w:rFonts w:hint="default" w:ascii="Times New Roman" w:hAnsi="Times New Roman" w:eastAsia="宋体" w:cs="Times New Roman"/>
                <w:color w:val="auto"/>
                <w:sz w:val="24"/>
                <w:vertAlign w:val="subscript"/>
                <w:lang w:eastAsia="zh-CN"/>
              </w:rPr>
              <w:t>3</w:t>
            </w:r>
            <w:r>
              <w:rPr>
                <w:rFonts w:hint="default" w:ascii="Times New Roman" w:hAnsi="Times New Roman" w:eastAsia="宋体" w:cs="Times New Roman"/>
                <w:color w:val="auto"/>
                <w:sz w:val="24"/>
                <w:lang w:eastAsia="zh-CN"/>
              </w:rPr>
              <w:t>90%保证率日最大8h滑动平均浓度不达标，项目所在区属于不达标区。</w:t>
            </w:r>
            <w:r>
              <w:rPr>
                <w:rFonts w:hint="eastAsia" w:cs="Times New Roman"/>
                <w:color w:val="auto"/>
                <w:sz w:val="24"/>
                <w:lang w:val="en-US" w:eastAsia="zh-CN"/>
              </w:rPr>
              <w:t>大气环境质量现状不达标</w:t>
            </w:r>
            <w:r>
              <w:rPr>
                <w:rFonts w:hint="default" w:ascii="Times New Roman" w:hAnsi="Times New Roman" w:eastAsia="宋体" w:cs="Times New Roman"/>
                <w:color w:val="auto"/>
                <w:sz w:val="24"/>
                <w:lang w:eastAsia="zh-CN"/>
              </w:rPr>
              <w:t>与工业排放、汽车尾气、气候等多方面有关系。</w:t>
            </w:r>
          </w:p>
          <w:p w14:paraId="425F97FA">
            <w:pPr>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eastAsia" w:ascii="Times New Roman" w:hAnsi="Times New Roman" w:eastAsia="宋体"/>
                <w:color w:val="auto"/>
                <w:sz w:val="24"/>
                <w:highlight w:val="none"/>
              </w:rPr>
              <w:t>（</w:t>
            </w:r>
            <w:r>
              <w:rPr>
                <w:rFonts w:hint="eastAsia"/>
                <w:color w:val="auto"/>
                <w:sz w:val="24"/>
                <w:highlight w:val="none"/>
                <w:lang w:val="en-US" w:eastAsia="zh-CN"/>
              </w:rPr>
              <w:t>2</w:t>
            </w:r>
            <w:r>
              <w:rPr>
                <w:rFonts w:hint="eastAsia" w:ascii="Times New Roman" w:hAnsi="Times New Roman" w:eastAsia="宋体"/>
                <w:color w:val="auto"/>
                <w:sz w:val="24"/>
                <w:highlight w:val="none"/>
              </w:rPr>
              <w:t>）</w:t>
            </w:r>
            <w:r>
              <w:rPr>
                <w:rFonts w:hint="default" w:ascii="Times New Roman" w:hAnsi="Times New Roman" w:cs="Times New Roman"/>
                <w:color w:val="auto"/>
                <w:sz w:val="24"/>
                <w:szCs w:val="24"/>
                <w:highlight w:val="none"/>
                <w:lang w:eastAsia="zh-CN"/>
              </w:rPr>
              <w:t>区域环境空气质量提升措施</w:t>
            </w:r>
          </w:p>
          <w:p w14:paraId="31F03F6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根据《淄博市“十四五”生态环境保护规划》要求，实施六大减排，改善环境空气质量。以持续降低</w:t>
            </w:r>
            <w:r>
              <w:rPr>
                <w:rFonts w:hint="default" w:ascii="Times New Roman" w:hAnsi="Times New Roman" w:cs="Times New Roman"/>
                <w:color w:val="auto"/>
                <w:sz w:val="24"/>
                <w:szCs w:val="24"/>
                <w:highlight w:val="none"/>
                <w:lang w:val="en-US" w:eastAsia="zh-CN"/>
              </w:rPr>
              <w:t>PM</w:t>
            </w:r>
            <w:r>
              <w:rPr>
                <w:rFonts w:hint="default" w:ascii="Times New Roman" w:hAnsi="Times New Roman" w:cs="Times New Roman"/>
                <w:color w:val="auto"/>
                <w:sz w:val="24"/>
                <w:szCs w:val="24"/>
                <w:highlight w:val="none"/>
                <w:vertAlign w:val="subscript"/>
                <w:lang w:val="en-US" w:eastAsia="zh-CN"/>
              </w:rPr>
              <w:t>2.5</w:t>
            </w:r>
            <w:r>
              <w:rPr>
                <w:rFonts w:hint="default" w:ascii="Times New Roman" w:hAnsi="Times New Roman" w:cs="Times New Roman"/>
                <w:color w:val="auto"/>
                <w:sz w:val="24"/>
                <w:szCs w:val="24"/>
                <w:highlight w:val="none"/>
                <w:lang w:val="en-US" w:eastAsia="zh-CN"/>
              </w:rPr>
              <w:t>浓度，不断提高空气质量优良天数比例，逐步消除重污染天气为目标任务，实施产业结构升级、清洁能源替代、运输结构优化、扬尘精细管控、VOC</w:t>
            </w:r>
            <w:r>
              <w:rPr>
                <w:rFonts w:hint="eastAsia" w:cs="Times New Roman"/>
                <w:color w:val="auto"/>
                <w:sz w:val="24"/>
                <w:szCs w:val="24"/>
                <w:highlight w:val="none"/>
                <w:lang w:val="en-US" w:eastAsia="zh-CN"/>
              </w:rPr>
              <w:t>s</w:t>
            </w:r>
            <w:r>
              <w:rPr>
                <w:rFonts w:hint="default" w:ascii="Times New Roman" w:hAnsi="Times New Roman" w:cs="Times New Roman"/>
                <w:color w:val="auto"/>
                <w:sz w:val="24"/>
                <w:szCs w:val="24"/>
                <w:highlight w:val="none"/>
                <w:lang w:val="en-US" w:eastAsia="zh-CN"/>
              </w:rPr>
              <w:t>深度治理、氮氧化物深度治理“六大减排工程”，全面推进重点行业、重点领域的全流程污染治理，逐步破解大气复合污染问题，甩掉环境空气质量排名倒数的帽子。</w:t>
            </w:r>
          </w:p>
          <w:p w14:paraId="32F59FF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2、声</w:t>
            </w:r>
            <w:r>
              <w:rPr>
                <w:rFonts w:hint="default" w:ascii="黑体" w:hAnsi="黑体" w:eastAsia="黑体" w:cs="黑体"/>
                <w:color w:val="auto"/>
                <w:sz w:val="24"/>
                <w:szCs w:val="24"/>
                <w:highlight w:val="none"/>
                <w:lang w:val="en-US" w:eastAsia="zh-CN"/>
              </w:rPr>
              <w:t>环境</w:t>
            </w:r>
            <w:r>
              <w:rPr>
                <w:rFonts w:hint="default" w:ascii="Times New Roman" w:hAnsi="Times New Roman" w:eastAsia="黑体" w:cs="Times New Roman"/>
                <w:color w:val="auto"/>
                <w:sz w:val="24"/>
                <w:szCs w:val="24"/>
                <w:highlight w:val="none"/>
              </w:rPr>
              <w:t>质量</w:t>
            </w:r>
          </w:p>
          <w:p w14:paraId="70E3036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本项目厂界外50m范围内</w:t>
            </w:r>
            <w:r>
              <w:rPr>
                <w:rFonts w:hint="eastAsia" w:cs="Times New Roman"/>
                <w:color w:val="auto"/>
                <w:sz w:val="24"/>
                <w:szCs w:val="24"/>
                <w:highlight w:val="none"/>
                <w:lang w:val="en-US" w:eastAsia="zh-CN"/>
              </w:rPr>
              <w:t>有</w:t>
            </w:r>
            <w:r>
              <w:rPr>
                <w:rFonts w:hint="eastAsia" w:ascii="Times New Roman" w:hAnsi="Times New Roman" w:eastAsia="宋体" w:cs="Times New Roman"/>
                <w:color w:val="auto"/>
                <w:sz w:val="24"/>
                <w:szCs w:val="24"/>
                <w:highlight w:val="none"/>
                <w:lang w:val="en-US" w:eastAsia="zh-CN"/>
              </w:rPr>
              <w:t>环境敏感目标</w:t>
            </w:r>
            <w:r>
              <w:rPr>
                <w:rFonts w:hint="eastAsia" w:cs="Times New Roman"/>
                <w:color w:val="auto"/>
                <w:sz w:val="24"/>
                <w:szCs w:val="24"/>
                <w:highlight w:val="none"/>
                <w:lang w:val="en-US" w:eastAsia="zh-CN"/>
              </w:rPr>
              <w:t>前瓜峪</w:t>
            </w:r>
            <w:r>
              <w:rPr>
                <w:rFonts w:hint="eastAsia" w:ascii="Times New Roman" w:hAnsi="Times New Roman" w:eastAsia="宋体" w:cs="Times New Roman"/>
                <w:color w:val="auto"/>
                <w:sz w:val="24"/>
                <w:szCs w:val="24"/>
                <w:highlight w:val="none"/>
                <w:lang w:val="en-US" w:eastAsia="zh-CN"/>
              </w:rPr>
              <w:t>村，根据</w:t>
            </w:r>
            <w:r>
              <w:rPr>
                <w:rFonts w:hint="default" w:ascii="Times New Roman" w:hAnsi="Times New Roman" w:eastAsia="宋体" w:cs="Times New Roman"/>
                <w:color w:val="auto"/>
                <w:sz w:val="24"/>
                <w:szCs w:val="24"/>
                <w:highlight w:val="none"/>
                <w:lang w:val="en-US" w:eastAsia="zh-CN"/>
              </w:rPr>
              <w:t>山东尚石</w:t>
            </w:r>
            <w:r>
              <w:rPr>
                <w:rFonts w:hint="eastAsia" w:ascii="Times New Roman" w:hAnsi="Times New Roman" w:eastAsia="宋体" w:cs="Times New Roman"/>
                <w:color w:val="auto"/>
                <w:sz w:val="24"/>
                <w:szCs w:val="24"/>
                <w:highlight w:val="none"/>
                <w:lang w:val="en-US" w:eastAsia="zh-CN"/>
              </w:rPr>
              <w:t>民通</w:t>
            </w:r>
            <w:r>
              <w:rPr>
                <w:rFonts w:hint="default" w:ascii="Times New Roman" w:hAnsi="Times New Roman" w:eastAsia="宋体" w:cs="Times New Roman"/>
                <w:color w:val="auto"/>
                <w:sz w:val="24"/>
                <w:szCs w:val="24"/>
                <w:highlight w:val="none"/>
                <w:lang w:val="en-US" w:eastAsia="zh-CN"/>
              </w:rPr>
              <w:t>环境检测有限公司</w:t>
            </w:r>
            <w:r>
              <w:rPr>
                <w:rFonts w:hint="eastAsia" w:ascii="Times New Roman" w:hAnsi="Times New Roman" w:eastAsia="宋体" w:cs="Times New Roman"/>
                <w:color w:val="auto"/>
                <w:sz w:val="24"/>
                <w:szCs w:val="24"/>
                <w:highlight w:val="none"/>
                <w:lang w:val="en-US" w:eastAsia="zh-CN"/>
              </w:rPr>
              <w:t>2025年6月27日出具的编号为尚石检字（2025）第06311号的检测报告可知，</w:t>
            </w:r>
            <w:r>
              <w:rPr>
                <w:rFonts w:hint="eastAsia" w:cs="Times New Roman"/>
                <w:color w:val="auto"/>
                <w:sz w:val="24"/>
                <w:szCs w:val="24"/>
                <w:highlight w:val="none"/>
                <w:lang w:val="en-US" w:eastAsia="zh-CN"/>
              </w:rPr>
              <w:t>满足</w:t>
            </w:r>
            <w:r>
              <w:rPr>
                <w:rFonts w:hint="eastAsia" w:ascii="Times New Roman" w:hAnsi="Times New Roman" w:eastAsia="宋体" w:cs="Times New Roman"/>
                <w:color w:val="auto"/>
                <w:sz w:val="24"/>
                <w:szCs w:val="24"/>
                <w:highlight w:val="none"/>
                <w:lang w:val="en-US" w:eastAsia="zh-CN"/>
              </w:rPr>
              <w:t>区域声环境</w:t>
            </w:r>
            <w:r>
              <w:rPr>
                <w:rFonts w:hint="eastAsia" w:cs="Times New Roman"/>
                <w:color w:val="auto"/>
                <w:sz w:val="24"/>
                <w:szCs w:val="24"/>
                <w:highlight w:val="none"/>
                <w:lang w:val="en-US" w:eastAsia="zh-CN"/>
              </w:rPr>
              <w:t>符合</w:t>
            </w:r>
            <w:r>
              <w:rPr>
                <w:rFonts w:hint="eastAsia" w:ascii="Times New Roman" w:hAnsi="Times New Roman" w:eastAsia="宋体" w:cs="Times New Roman"/>
                <w:color w:val="auto"/>
                <w:sz w:val="24"/>
                <w:szCs w:val="24"/>
                <w:highlight w:val="none"/>
                <w:lang w:val="en-US" w:eastAsia="zh-CN"/>
              </w:rPr>
              <w:t>《声环境质量标准》（GB3096-2008）中</w:t>
            </w:r>
            <w:r>
              <w:rPr>
                <w:rFonts w:hint="eastAsia"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类声环境功能区标准要求</w:t>
            </w:r>
            <w:r>
              <w:rPr>
                <w:rFonts w:hint="default" w:ascii="Times New Roman" w:hAnsi="Times New Roman" w:eastAsia="宋体" w:cs="Times New Roman"/>
                <w:color w:val="auto"/>
                <w:sz w:val="24"/>
                <w:szCs w:val="24"/>
                <w:highlight w:val="none"/>
                <w:lang w:val="en-US" w:eastAsia="zh-CN"/>
              </w:rPr>
              <w:t>。</w:t>
            </w:r>
          </w:p>
          <w:p w14:paraId="680098A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color w:val="auto"/>
                <w:sz w:val="24"/>
                <w:highlight w:val="none"/>
                <w:lang w:eastAsia="zh-CN"/>
              </w:rPr>
            </w:pPr>
            <w:r>
              <w:rPr>
                <w:rFonts w:hint="default" w:ascii="Times New Roman" w:hAnsi="Times New Roman" w:eastAsia="黑体" w:cs="Times New Roman"/>
                <w:color w:val="auto"/>
                <w:sz w:val="24"/>
                <w:szCs w:val="24"/>
                <w:highlight w:val="none"/>
              </w:rPr>
              <w:t>3、地表水环境质量</w:t>
            </w:r>
          </w:p>
          <w:p w14:paraId="3F120C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该项目区域河流</w:t>
            </w:r>
            <w:r>
              <w:rPr>
                <w:rFonts w:hint="eastAsia" w:cs="Times New Roman"/>
                <w:color w:val="auto"/>
                <w:sz w:val="24"/>
                <w:szCs w:val="24"/>
                <w:highlight w:val="none"/>
                <w:lang w:val="en-US" w:eastAsia="zh-CN"/>
              </w:rPr>
              <w:t>为沂河</w:t>
            </w:r>
            <w:r>
              <w:rPr>
                <w:rFonts w:hint="default" w:ascii="Times New Roman" w:hAnsi="Times New Roman" w:eastAsia="宋体" w:cs="Times New Roman"/>
                <w:color w:val="auto"/>
                <w:sz w:val="24"/>
                <w:szCs w:val="24"/>
                <w:highlight w:val="none"/>
                <w:lang w:val="en-US" w:eastAsia="zh-CN"/>
              </w:rPr>
              <w:t>，根据淄博市生态环境局发布的《20</w:t>
            </w:r>
            <w:r>
              <w:rPr>
                <w:rFonts w:hint="eastAsia"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lang w:val="en-US" w:eastAsia="zh-CN"/>
              </w:rPr>
              <w:t>年1—</w:t>
            </w:r>
            <w:r>
              <w:rPr>
                <w:rFonts w:hint="eastAsia"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月全市地表水环境质量状况》，</w:t>
            </w:r>
            <w:r>
              <w:rPr>
                <w:rFonts w:hint="eastAsia" w:cs="Times New Roman"/>
                <w:color w:val="auto"/>
                <w:sz w:val="24"/>
                <w:szCs w:val="24"/>
                <w:highlight w:val="none"/>
                <w:lang w:val="en-US" w:eastAsia="zh-CN"/>
              </w:rPr>
              <w:t>沂源县国控断面韩旺大桥</w:t>
            </w:r>
            <w:r>
              <w:rPr>
                <w:rFonts w:hint="default" w:ascii="Times New Roman" w:hAnsi="Times New Roman" w:eastAsia="宋体" w:cs="Times New Roman"/>
                <w:color w:val="auto"/>
                <w:sz w:val="24"/>
                <w:szCs w:val="24"/>
                <w:highlight w:val="none"/>
                <w:lang w:val="en-US" w:eastAsia="zh-CN"/>
              </w:rPr>
              <w:t>水质满足《地表水环境质量标准》(GB3838-2002</w:t>
            </w:r>
            <w:r>
              <w:rPr>
                <w:rFonts w:hint="eastAsia" w:ascii="Times New Roman" w:hAnsi="Times New Roman" w:eastAsia="宋体" w:cs="Times New Roman"/>
                <w:color w:val="auto"/>
                <w:sz w:val="24"/>
                <w:szCs w:val="24"/>
                <w:highlight w:val="none"/>
                <w:lang w:val="en-US" w:eastAsia="zh-CN"/>
              </w:rPr>
              <w:t>）Ⅳ</w:t>
            </w:r>
            <w:r>
              <w:rPr>
                <w:rFonts w:hint="default" w:ascii="Times New Roman" w:hAnsi="Times New Roman" w:eastAsia="宋体" w:cs="Times New Roman"/>
                <w:color w:val="auto"/>
                <w:sz w:val="24"/>
                <w:szCs w:val="24"/>
                <w:highlight w:val="none"/>
                <w:lang w:val="en-US" w:eastAsia="zh-CN"/>
              </w:rPr>
              <w:t>类水质要求。</w:t>
            </w:r>
          </w:p>
          <w:p w14:paraId="197D80E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eastAsia="zh-CN"/>
              </w:rPr>
            </w:pPr>
            <w:r>
              <w:rPr>
                <w:rFonts w:hint="default" w:ascii="Times New Roman" w:hAnsi="Times New Roman" w:eastAsia="黑体" w:cs="Times New Roman"/>
                <w:color w:val="auto"/>
                <w:sz w:val="24"/>
                <w:szCs w:val="24"/>
                <w:highlight w:val="none"/>
              </w:rPr>
              <w:t>4、生态</w:t>
            </w:r>
            <w:r>
              <w:rPr>
                <w:rFonts w:hint="default" w:ascii="Times New Roman" w:hAnsi="Times New Roman" w:eastAsia="黑体" w:cs="Times New Roman"/>
                <w:color w:val="auto"/>
                <w:sz w:val="24"/>
                <w:szCs w:val="24"/>
                <w:highlight w:val="none"/>
                <w:lang w:eastAsia="zh-CN"/>
              </w:rPr>
              <w:t>环境</w:t>
            </w:r>
          </w:p>
          <w:p w14:paraId="7B4ED36E">
            <w:pPr>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本项目</w:t>
            </w:r>
            <w:r>
              <w:rPr>
                <w:rFonts w:hint="eastAsia" w:ascii="Times New Roman" w:hAnsi="Times New Roman" w:cs="Times New Roman"/>
                <w:color w:val="auto"/>
                <w:sz w:val="24"/>
                <w:szCs w:val="24"/>
                <w:highlight w:val="none"/>
                <w:lang w:eastAsia="zh-CN"/>
              </w:rPr>
              <w:t>位于</w:t>
            </w:r>
            <w:r>
              <w:rPr>
                <w:rFonts w:hint="eastAsia" w:ascii="Times New Roman" w:hAnsi="Times New Roman" w:eastAsia="宋体" w:cs="Times New Roman"/>
                <w:color w:val="auto"/>
                <w:sz w:val="24"/>
                <w:lang w:val="en-US" w:eastAsia="zh-CN"/>
              </w:rPr>
              <w:t>山东省淄博市沂源县张家坡镇政通路88号</w:t>
            </w:r>
            <w:r>
              <w:rPr>
                <w:rFonts w:hint="default" w:ascii="Times New Roman" w:hAnsi="Times New Roman" w:cs="Times New Roman"/>
                <w:color w:val="auto"/>
                <w:sz w:val="24"/>
                <w:szCs w:val="24"/>
                <w:highlight w:val="none"/>
                <w:lang w:eastAsia="zh-CN"/>
              </w:rPr>
              <w:t>，</w:t>
            </w:r>
            <w:r>
              <w:rPr>
                <w:rFonts w:hint="eastAsia" w:cs="Times New Roman"/>
                <w:color w:val="auto"/>
                <w:sz w:val="24"/>
                <w:szCs w:val="24"/>
                <w:highlight w:val="none"/>
                <w:lang w:val="en-US" w:eastAsia="zh-CN"/>
              </w:rPr>
              <w:t>租赁已建成</w:t>
            </w:r>
            <w:r>
              <w:rPr>
                <w:rFonts w:hint="default" w:ascii="Times New Roman" w:hAnsi="Times New Roman" w:cs="Times New Roman"/>
                <w:color w:val="auto"/>
                <w:sz w:val="24"/>
                <w:szCs w:val="24"/>
                <w:highlight w:val="none"/>
                <w:lang w:eastAsia="zh-CN"/>
              </w:rPr>
              <w:t>厂房，</w:t>
            </w:r>
            <w:r>
              <w:rPr>
                <w:rFonts w:hint="eastAsia" w:ascii="Times New Roman" w:hAnsi="Times New Roman" w:cs="Times New Roman"/>
                <w:color w:val="auto"/>
                <w:sz w:val="24"/>
                <w:szCs w:val="24"/>
                <w:highlight w:val="none"/>
                <w:lang w:eastAsia="zh-CN"/>
              </w:rPr>
              <w:t>不新增占地，且用地范围内无生态环境保护目标，</w:t>
            </w:r>
            <w:r>
              <w:rPr>
                <w:rFonts w:hint="default" w:ascii="Times New Roman" w:hAnsi="Times New Roman" w:cs="Times New Roman"/>
                <w:color w:val="auto"/>
                <w:sz w:val="24"/>
                <w:szCs w:val="24"/>
                <w:highlight w:val="none"/>
                <w:lang w:eastAsia="zh-CN"/>
              </w:rPr>
              <w:t>本项目对</w:t>
            </w:r>
            <w:r>
              <w:rPr>
                <w:rFonts w:hint="eastAsia" w:ascii="Times New Roman" w:hAnsi="Times New Roman" w:cs="Times New Roman"/>
                <w:color w:val="auto"/>
                <w:sz w:val="24"/>
                <w:szCs w:val="24"/>
                <w:highlight w:val="none"/>
                <w:lang w:eastAsia="zh-CN"/>
              </w:rPr>
              <w:t>周围</w:t>
            </w:r>
            <w:r>
              <w:rPr>
                <w:rFonts w:hint="default" w:ascii="Times New Roman" w:hAnsi="Times New Roman" w:cs="Times New Roman"/>
                <w:color w:val="auto"/>
                <w:sz w:val="24"/>
                <w:szCs w:val="24"/>
                <w:highlight w:val="none"/>
                <w:lang w:eastAsia="zh-CN"/>
              </w:rPr>
              <w:t>生态环境影响较小，不会</w:t>
            </w:r>
            <w:r>
              <w:rPr>
                <w:rFonts w:hint="eastAsia" w:ascii="Times New Roman" w:hAnsi="Times New Roman" w:cs="Times New Roman"/>
                <w:color w:val="auto"/>
                <w:sz w:val="24"/>
                <w:szCs w:val="24"/>
                <w:highlight w:val="none"/>
                <w:lang w:eastAsia="zh-CN"/>
              </w:rPr>
              <w:t>破坏</w:t>
            </w:r>
            <w:r>
              <w:rPr>
                <w:rFonts w:hint="default" w:ascii="Times New Roman" w:hAnsi="Times New Roman" w:cs="Times New Roman"/>
                <w:color w:val="auto"/>
                <w:sz w:val="24"/>
                <w:szCs w:val="24"/>
                <w:highlight w:val="none"/>
                <w:lang w:eastAsia="zh-CN"/>
              </w:rPr>
              <w:t>原有生态平衡</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本项目不需要对区域生态环境质量进行评价。</w:t>
            </w:r>
          </w:p>
          <w:p w14:paraId="16BAE14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5、电磁辐射</w:t>
            </w:r>
          </w:p>
          <w:p w14:paraId="2727661C">
            <w:pPr>
              <w:snapToGrid w:val="0"/>
              <w:spacing w:line="360" w:lineRule="auto"/>
              <w:ind w:firstLine="480" w:firstLineChars="200"/>
              <w:rPr>
                <w:rFonts w:hint="eastAsia" w:ascii="Times New Roman" w:hAnsi="Times New Roman" w:eastAsia="宋体" w:cs="Times New Roman"/>
                <w:b w:val="0"/>
                <w:bCs/>
                <w:color w:val="auto"/>
                <w:kern w:val="0"/>
                <w:sz w:val="24"/>
                <w:szCs w:val="24"/>
                <w:highlight w:val="none"/>
                <w:lang w:val="en-US" w:eastAsia="zh-CN" w:bidi="ar-SA"/>
              </w:rPr>
            </w:pPr>
            <w:r>
              <w:rPr>
                <w:rFonts w:hint="eastAsia" w:ascii="Times New Roman" w:hAnsi="Times New Roman" w:cs="Times New Roman"/>
                <w:color w:val="auto"/>
                <w:sz w:val="24"/>
                <w:szCs w:val="24"/>
                <w:highlight w:val="none"/>
                <w:lang w:val="en-US" w:eastAsia="zh-CN"/>
              </w:rPr>
              <w:t>本项目不属于广播电台、差转</w:t>
            </w:r>
            <w:r>
              <w:rPr>
                <w:rFonts w:hint="eastAsia" w:ascii="Times New Roman" w:hAnsi="Times New Roman" w:eastAsia="宋体" w:cs="Times New Roman"/>
                <w:b w:val="0"/>
                <w:bCs/>
                <w:color w:val="auto"/>
                <w:kern w:val="0"/>
                <w:sz w:val="24"/>
                <w:szCs w:val="24"/>
                <w:highlight w:val="none"/>
                <w:lang w:val="en-US" w:eastAsia="zh-CN" w:bidi="ar-SA"/>
              </w:rPr>
              <w:t>台、电视塔台、卫星地球上行站、雷达等电磁辐射类项目，本评价不再开展电磁环境影响分析。</w:t>
            </w:r>
          </w:p>
          <w:p w14:paraId="496975B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6、地下水、土壤环境</w:t>
            </w:r>
          </w:p>
          <w:p w14:paraId="42D33A3C">
            <w:pPr>
              <w:keepNext w:val="0"/>
              <w:keepLines w:val="0"/>
              <w:pageBreakBefore w:val="0"/>
              <w:widowControl w:val="0"/>
              <w:kinsoku/>
              <w:wordWrap/>
              <w:overflowPunct/>
              <w:topLinePunct w:val="0"/>
              <w:bidi w:val="0"/>
              <w:adjustRightInd w:val="0"/>
              <w:snapToGrid w:val="0"/>
              <w:spacing w:line="360" w:lineRule="auto"/>
              <w:ind w:firstLine="420"/>
              <w:jc w:val="left"/>
              <w:textAlignment w:val="auto"/>
              <w:rPr>
                <w:rFonts w:hint="eastAsia" w:ascii="宋体" w:hAnsi="宋体" w:cs="宋体"/>
                <w:color w:val="auto"/>
                <w:sz w:val="24"/>
                <w:lang w:eastAsia="zh-CN"/>
              </w:rPr>
            </w:pPr>
            <w:r>
              <w:rPr>
                <w:rFonts w:hint="eastAsia" w:ascii="宋体" w:hAnsi="宋体" w:eastAsia="宋体" w:cs="宋体"/>
                <w:color w:val="auto"/>
                <w:sz w:val="24"/>
              </w:rPr>
              <w:t>项目不取用地下水，厂区内按照要求进行源头控制、分区</w:t>
            </w:r>
            <w:r>
              <w:rPr>
                <w:rFonts w:hint="eastAsia" w:ascii="宋体" w:hAnsi="宋体" w:eastAsia="宋体" w:cs="宋体"/>
                <w:b w:val="0"/>
                <w:bCs/>
                <w:color w:val="auto"/>
                <w:spacing w:val="0"/>
                <w:sz w:val="24"/>
                <w:szCs w:val="24"/>
              </w:rPr>
              <w:t>防渗</w:t>
            </w:r>
            <w:r>
              <w:rPr>
                <w:rFonts w:hint="eastAsia" w:ascii="宋体" w:hAnsi="宋体" w:eastAsia="宋体" w:cs="宋体"/>
                <w:color w:val="auto"/>
                <w:sz w:val="24"/>
              </w:rPr>
              <w:t>、过程控制等措施，基本切断对土壤、地下水环境污染途径，正常生产情况下，不会对地下水、土壤环境造成不利影响，原则上不开展环境质量现状调查</w:t>
            </w:r>
            <w:r>
              <w:rPr>
                <w:rFonts w:hint="eastAsia" w:ascii="宋体" w:hAnsi="宋体" w:cs="宋体"/>
                <w:color w:val="auto"/>
                <w:sz w:val="24"/>
                <w:lang w:eastAsia="zh-CN"/>
              </w:rPr>
              <w:t>。</w:t>
            </w:r>
          </w:p>
          <w:p w14:paraId="77ABFFD7">
            <w:pPr>
              <w:keepNext w:val="0"/>
              <w:keepLines w:val="0"/>
              <w:pageBreakBefore w:val="0"/>
              <w:widowControl w:val="0"/>
              <w:kinsoku/>
              <w:wordWrap/>
              <w:overflowPunct/>
              <w:topLinePunct w:val="0"/>
              <w:bidi w:val="0"/>
              <w:adjustRightInd w:val="0"/>
              <w:snapToGrid w:val="0"/>
              <w:spacing w:line="360" w:lineRule="auto"/>
              <w:jc w:val="left"/>
              <w:textAlignment w:val="auto"/>
              <w:rPr>
                <w:rFonts w:hint="eastAsia" w:ascii="Times New Roman" w:hAnsi="Times New Roman" w:eastAsia="宋体" w:cs="Times New Roman"/>
                <w:color w:val="auto"/>
                <w:sz w:val="24"/>
                <w:highlight w:val="none"/>
                <w:lang w:eastAsia="zh-CN"/>
              </w:rPr>
            </w:pPr>
          </w:p>
        </w:tc>
      </w:tr>
      <w:tr w14:paraId="2C2208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51" w:hRule="atLeast"/>
          <w:jc w:val="center"/>
        </w:trPr>
        <w:tc>
          <w:tcPr>
            <w:tcW w:w="331" w:type="pct"/>
            <w:vAlign w:val="center"/>
          </w:tcPr>
          <w:p w14:paraId="596ADD8D">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环境</w:t>
            </w:r>
          </w:p>
          <w:p w14:paraId="1929CFEF">
            <w:pPr>
              <w:adjustRightInd w:val="0"/>
              <w:snapToGrid w:val="0"/>
              <w:jc w:val="center"/>
              <w:rPr>
                <w:rFonts w:hint="default" w:ascii="黑体" w:hAnsi="黑体" w:eastAsia="黑体" w:cs="黑体"/>
                <w:color w:val="auto"/>
                <w:kern w:val="0"/>
                <w:sz w:val="24"/>
                <w:szCs w:val="24"/>
                <w:highlight w:val="none"/>
              </w:rPr>
            </w:pPr>
            <w:r>
              <w:rPr>
                <w:rFonts w:hint="default" w:ascii="黑体" w:hAnsi="黑体" w:eastAsia="黑体" w:cs="黑体"/>
                <w:color w:val="auto"/>
                <w:kern w:val="0"/>
                <w:sz w:val="24"/>
                <w:szCs w:val="24"/>
                <w:highlight w:val="none"/>
              </w:rPr>
              <w:t>保护</w:t>
            </w:r>
          </w:p>
          <w:p w14:paraId="583AA9E2">
            <w:pPr>
              <w:adjustRightInd w:val="0"/>
              <w:snapToGrid w:val="0"/>
              <w:jc w:val="center"/>
              <w:rPr>
                <w:rFonts w:hint="default" w:ascii="Times New Roman" w:hAnsi="Times New Roman" w:cs="Times New Roman"/>
                <w:color w:val="auto"/>
                <w:kern w:val="0"/>
                <w:szCs w:val="21"/>
                <w:highlight w:val="none"/>
              </w:rPr>
            </w:pPr>
            <w:r>
              <w:rPr>
                <w:rFonts w:hint="default" w:ascii="黑体" w:hAnsi="黑体" w:eastAsia="黑体" w:cs="黑体"/>
                <w:color w:val="auto"/>
                <w:kern w:val="0"/>
                <w:sz w:val="24"/>
                <w:szCs w:val="24"/>
                <w:highlight w:val="none"/>
              </w:rPr>
              <w:t>目标</w:t>
            </w:r>
          </w:p>
        </w:tc>
        <w:tc>
          <w:tcPr>
            <w:tcW w:w="4668" w:type="pct"/>
            <w:vAlign w:val="center"/>
          </w:tcPr>
          <w:p w14:paraId="52D10C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1、环境空气保护目标：</w:t>
            </w:r>
            <w:r>
              <w:rPr>
                <w:rFonts w:hint="eastAsia" w:cs="Times New Roman"/>
                <w:color w:val="auto"/>
                <w:sz w:val="24"/>
                <w:szCs w:val="24"/>
                <w:highlight w:val="none"/>
                <w:lang w:val="en-US" w:eastAsia="zh-CN"/>
              </w:rPr>
              <w:t>前瓜峪村、西瓜峪村</w:t>
            </w:r>
            <w:r>
              <w:rPr>
                <w:rFonts w:hint="eastAsia" w:ascii="Times New Roman" w:hAnsi="Times New Roman" w:cs="Times New Roman"/>
                <w:color w:val="auto"/>
                <w:sz w:val="24"/>
                <w:szCs w:val="24"/>
                <w:highlight w:val="none"/>
                <w:lang w:val="en-US" w:eastAsia="zh-CN"/>
              </w:rPr>
              <w:t>；</w:t>
            </w:r>
          </w:p>
          <w:p w14:paraId="3D6D39A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2、声环境保护目标：项目厂界外50米范围内无声环境保护目标；</w:t>
            </w:r>
          </w:p>
          <w:p w14:paraId="7AD375A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3、地下水环境保护目标：厂界外500米范围内无地下水集中式饮用水水源和热水、矿泉水、温泉等特殊地下水资源；</w:t>
            </w:r>
          </w:p>
          <w:p w14:paraId="523F8C1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4、生态环境保护目标：</w:t>
            </w:r>
            <w:r>
              <w:rPr>
                <w:color w:val="auto"/>
                <w:sz w:val="24"/>
              </w:rPr>
              <w:t>本项目在</w:t>
            </w:r>
            <w:r>
              <w:rPr>
                <w:rFonts w:hint="eastAsia"/>
                <w:color w:val="auto"/>
                <w:sz w:val="24"/>
                <w:lang w:val="en-US" w:eastAsia="zh-CN"/>
              </w:rPr>
              <w:t>现有</w:t>
            </w:r>
            <w:r>
              <w:rPr>
                <w:color w:val="auto"/>
                <w:sz w:val="24"/>
              </w:rPr>
              <w:t>厂区内建设，不新增用地，故不涉及生态环境保护目标</w:t>
            </w:r>
            <w:r>
              <w:rPr>
                <w:rFonts w:hint="eastAsia" w:ascii="Times New Roman" w:hAnsi="Times New Roman" w:eastAsia="宋体" w:cs="Times New Roman"/>
                <w:color w:val="auto"/>
                <w:sz w:val="24"/>
                <w:szCs w:val="24"/>
                <w:highlight w:val="none"/>
                <w:lang w:val="en-US" w:eastAsia="zh-CN"/>
              </w:rPr>
              <w:t>。</w:t>
            </w:r>
          </w:p>
          <w:p w14:paraId="1E1F560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en-US" w:eastAsia="zh-CN" w:bidi="ar-SA"/>
              </w:rPr>
            </w:pPr>
            <w:r>
              <w:rPr>
                <w:rFonts w:hint="default" w:ascii="Times New Roman" w:hAnsi="Times New Roman" w:eastAsia="黑体" w:cs="Times New Roman"/>
                <w:b w:val="0"/>
                <w:bCs w:val="0"/>
                <w:color w:val="auto"/>
                <w:kern w:val="0"/>
                <w:sz w:val="24"/>
                <w:szCs w:val="24"/>
                <w:lang w:val="en-US" w:eastAsia="zh-CN" w:bidi="ar-SA"/>
              </w:rPr>
              <w:t>表3-</w:t>
            </w:r>
            <w:r>
              <w:rPr>
                <w:rFonts w:hint="eastAsia" w:ascii="Times New Roman" w:hAnsi="Times New Roman" w:cs="Times New Roman"/>
                <w:b w:val="0"/>
                <w:bCs w:val="0"/>
                <w:color w:val="auto"/>
                <w:kern w:val="0"/>
                <w:sz w:val="24"/>
                <w:szCs w:val="24"/>
                <w:lang w:val="en-US" w:eastAsia="zh-CN" w:bidi="ar-SA"/>
              </w:rPr>
              <w:t>2</w:t>
            </w:r>
            <w:r>
              <w:rPr>
                <w:rFonts w:hint="eastAsia" w:ascii="Times New Roman" w:hAnsi="Times New Roman" w:eastAsia="黑体" w:cs="Times New Roman"/>
                <w:b w:val="0"/>
                <w:bCs w:val="0"/>
                <w:color w:val="auto"/>
                <w:kern w:val="0"/>
                <w:sz w:val="24"/>
                <w:szCs w:val="24"/>
                <w:lang w:val="en-US" w:eastAsia="zh-CN" w:bidi="ar-SA"/>
              </w:rPr>
              <w:t xml:space="preserve"> </w:t>
            </w:r>
            <w:r>
              <w:rPr>
                <w:rFonts w:hint="default" w:ascii="Times New Roman" w:hAnsi="Times New Roman" w:eastAsia="黑体" w:cs="Times New Roman"/>
                <w:b w:val="0"/>
                <w:bCs w:val="0"/>
                <w:color w:val="auto"/>
                <w:kern w:val="0"/>
                <w:sz w:val="24"/>
                <w:szCs w:val="24"/>
                <w:highlight w:val="none"/>
                <w:lang w:val="en-US" w:eastAsia="zh-CN"/>
              </w:rPr>
              <w:t>主要</w:t>
            </w:r>
            <w:r>
              <w:rPr>
                <w:rFonts w:hint="default" w:ascii="Times New Roman" w:hAnsi="Times New Roman" w:eastAsia="黑体" w:cs="Times New Roman"/>
                <w:b w:val="0"/>
                <w:bCs w:val="0"/>
                <w:color w:val="auto"/>
                <w:kern w:val="0"/>
                <w:sz w:val="24"/>
                <w:szCs w:val="24"/>
                <w:lang w:val="en-US" w:eastAsia="zh-CN" w:bidi="ar-SA"/>
              </w:rPr>
              <w:t>环境保护目标</w:t>
            </w:r>
          </w:p>
          <w:tbl>
            <w:tblPr>
              <w:tblStyle w:val="27"/>
              <w:tblW w:w="4981"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17"/>
              <w:gridCol w:w="1697"/>
              <w:gridCol w:w="1251"/>
              <w:gridCol w:w="2005"/>
              <w:gridCol w:w="912"/>
              <w:gridCol w:w="1222"/>
            </w:tblGrid>
            <w:tr w14:paraId="6FE8E9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tcBorders>
                    <w:tl2br w:val="nil"/>
                    <w:tr2bl w:val="nil"/>
                  </w:tcBorders>
                  <w:noWrap w:val="0"/>
                  <w:vAlign w:val="center"/>
                </w:tcPr>
                <w:p w14:paraId="0DBD0CE9">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名称</w:t>
                  </w:r>
                </w:p>
              </w:tc>
              <w:tc>
                <w:tcPr>
                  <w:tcW w:w="1022" w:type="pct"/>
                  <w:tcBorders>
                    <w:tl2br w:val="nil"/>
                    <w:tr2bl w:val="nil"/>
                  </w:tcBorders>
                  <w:noWrap w:val="0"/>
                  <w:vAlign w:val="center"/>
                </w:tcPr>
                <w:p w14:paraId="71A4BDCA">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保护对象</w:t>
                  </w:r>
                </w:p>
              </w:tc>
              <w:tc>
                <w:tcPr>
                  <w:tcW w:w="753" w:type="pct"/>
                  <w:tcBorders>
                    <w:tl2br w:val="nil"/>
                    <w:tr2bl w:val="nil"/>
                  </w:tcBorders>
                  <w:noWrap w:val="0"/>
                  <w:vAlign w:val="center"/>
                </w:tcPr>
                <w:p w14:paraId="590BF47E">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保护内容</w:t>
                  </w:r>
                </w:p>
              </w:tc>
              <w:tc>
                <w:tcPr>
                  <w:tcW w:w="1206" w:type="pct"/>
                  <w:tcBorders>
                    <w:tl2br w:val="nil"/>
                    <w:tr2bl w:val="nil"/>
                  </w:tcBorders>
                  <w:noWrap w:val="0"/>
                  <w:vAlign w:val="center"/>
                </w:tcPr>
                <w:p w14:paraId="58083338">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14:paraId="6E58FB9F">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功能区</w:t>
                  </w:r>
                </w:p>
              </w:tc>
              <w:tc>
                <w:tcPr>
                  <w:tcW w:w="549" w:type="pct"/>
                  <w:tcBorders>
                    <w:tl2br w:val="nil"/>
                    <w:tr2bl w:val="nil"/>
                  </w:tcBorders>
                  <w:noWrap w:val="0"/>
                  <w:vAlign w:val="center"/>
                </w:tcPr>
                <w:p w14:paraId="34431F7D">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w:t>
                  </w:r>
                </w:p>
                <w:p w14:paraId="7D7F6D15">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址方位</w:t>
                  </w:r>
                </w:p>
              </w:tc>
              <w:tc>
                <w:tcPr>
                  <w:tcW w:w="733" w:type="pct"/>
                  <w:tcBorders>
                    <w:tl2br w:val="nil"/>
                    <w:tr2bl w:val="nil"/>
                  </w:tcBorders>
                  <w:noWrap w:val="0"/>
                  <w:vAlign w:val="center"/>
                </w:tcPr>
                <w:p w14:paraId="7CF1F92B">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w:t>
                  </w:r>
                </w:p>
                <w:p w14:paraId="50A23E5A">
                  <w:pPr>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界距离/m</w:t>
                  </w:r>
                </w:p>
              </w:tc>
            </w:tr>
            <w:tr w14:paraId="77EF81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vMerge w:val="restart"/>
                  <w:tcBorders>
                    <w:tl2br w:val="nil"/>
                    <w:tr2bl w:val="nil"/>
                  </w:tcBorders>
                  <w:noWrap w:val="0"/>
                  <w:vAlign w:val="center"/>
                </w:tcPr>
                <w:p w14:paraId="25AABE79">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022" w:type="pct"/>
                  <w:tcBorders>
                    <w:tl2br w:val="nil"/>
                    <w:tr2bl w:val="nil"/>
                  </w:tcBorders>
                  <w:noWrap w:val="0"/>
                  <w:vAlign w:val="center"/>
                </w:tcPr>
                <w:p w14:paraId="04BBAD98">
                  <w:pPr>
                    <w:pStyle w:val="96"/>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前瓜峪村</w:t>
                  </w:r>
                </w:p>
              </w:tc>
              <w:tc>
                <w:tcPr>
                  <w:tcW w:w="753" w:type="pct"/>
                  <w:tcBorders>
                    <w:tl2br w:val="nil"/>
                    <w:tr2bl w:val="nil"/>
                  </w:tcBorders>
                  <w:noWrap w:val="0"/>
                  <w:vAlign w:val="center"/>
                </w:tcPr>
                <w:p w14:paraId="5A6685E1">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居民</w:t>
                  </w:r>
                </w:p>
              </w:tc>
              <w:tc>
                <w:tcPr>
                  <w:tcW w:w="1206" w:type="pct"/>
                  <w:tcBorders>
                    <w:tl2br w:val="nil"/>
                    <w:tr2bl w:val="nil"/>
                  </w:tcBorders>
                  <w:noWrap w:val="0"/>
                  <w:vAlign w:val="center"/>
                </w:tcPr>
                <w:p w14:paraId="2308F43C">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w:t>
                  </w:r>
                </w:p>
              </w:tc>
              <w:tc>
                <w:tcPr>
                  <w:tcW w:w="549" w:type="pct"/>
                  <w:tcBorders>
                    <w:tl2br w:val="nil"/>
                    <w:tr2bl w:val="nil"/>
                  </w:tcBorders>
                  <w:noWrap w:val="0"/>
                  <w:vAlign w:val="center"/>
                </w:tcPr>
                <w:p w14:paraId="1B871EB2">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w:t>
                  </w:r>
                </w:p>
              </w:tc>
              <w:tc>
                <w:tcPr>
                  <w:tcW w:w="733" w:type="pct"/>
                  <w:tcBorders>
                    <w:tl2br w:val="nil"/>
                    <w:tr2bl w:val="nil"/>
                  </w:tcBorders>
                  <w:noWrap w:val="0"/>
                  <w:vAlign w:val="center"/>
                </w:tcPr>
                <w:p w14:paraId="05F022E3">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42</w:t>
                  </w:r>
                </w:p>
              </w:tc>
            </w:tr>
            <w:tr w14:paraId="2B5B102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vMerge w:val="continue"/>
                  <w:tcBorders>
                    <w:tl2br w:val="nil"/>
                    <w:tr2bl w:val="nil"/>
                  </w:tcBorders>
                  <w:noWrap w:val="0"/>
                  <w:vAlign w:val="center"/>
                </w:tcPr>
                <w:p w14:paraId="74E5BCEA">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022" w:type="pct"/>
                  <w:tcBorders>
                    <w:tl2br w:val="nil"/>
                    <w:tr2bl w:val="nil"/>
                  </w:tcBorders>
                  <w:noWrap w:val="0"/>
                  <w:vAlign w:val="center"/>
                </w:tcPr>
                <w:p w14:paraId="35D72B15">
                  <w:pPr>
                    <w:pStyle w:val="96"/>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西瓜峪村</w:t>
                  </w:r>
                </w:p>
              </w:tc>
              <w:tc>
                <w:tcPr>
                  <w:tcW w:w="753" w:type="pct"/>
                  <w:tcBorders>
                    <w:tl2br w:val="nil"/>
                    <w:tr2bl w:val="nil"/>
                  </w:tcBorders>
                  <w:noWrap w:val="0"/>
                  <w:vAlign w:val="center"/>
                </w:tcPr>
                <w:p w14:paraId="1DF89BFA">
                  <w:pPr>
                    <w:adjustRightInd w:val="0"/>
                    <w:snapToGrid w:val="0"/>
                    <w:spacing w:line="240"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居民</w:t>
                  </w:r>
                </w:p>
              </w:tc>
              <w:tc>
                <w:tcPr>
                  <w:tcW w:w="1206" w:type="pct"/>
                  <w:tcBorders>
                    <w:tl2br w:val="nil"/>
                    <w:tr2bl w:val="nil"/>
                  </w:tcBorders>
                  <w:noWrap w:val="0"/>
                  <w:vAlign w:val="center"/>
                </w:tcPr>
                <w:p w14:paraId="1EEF4B20">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w:t>
                  </w:r>
                </w:p>
              </w:tc>
              <w:tc>
                <w:tcPr>
                  <w:tcW w:w="549" w:type="pct"/>
                  <w:tcBorders>
                    <w:tl2br w:val="nil"/>
                    <w:tr2bl w:val="nil"/>
                  </w:tcBorders>
                  <w:noWrap w:val="0"/>
                  <w:vAlign w:val="center"/>
                </w:tcPr>
                <w:p w14:paraId="25B846A6">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NW</w:t>
                  </w:r>
                </w:p>
              </w:tc>
              <w:tc>
                <w:tcPr>
                  <w:tcW w:w="733" w:type="pct"/>
                  <w:tcBorders>
                    <w:tl2br w:val="nil"/>
                    <w:tr2bl w:val="nil"/>
                  </w:tcBorders>
                  <w:noWrap w:val="0"/>
                  <w:vAlign w:val="center"/>
                </w:tcPr>
                <w:p w14:paraId="6C5EBFEF">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215</w:t>
                  </w:r>
                </w:p>
              </w:tc>
            </w:tr>
            <w:tr w14:paraId="5667A3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tcBorders>
                    <w:tl2br w:val="nil"/>
                    <w:tr2bl w:val="nil"/>
                  </w:tcBorders>
                  <w:noWrap w:val="0"/>
                  <w:vAlign w:val="center"/>
                </w:tcPr>
                <w:p w14:paraId="6FD85394">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022" w:type="pct"/>
                  <w:tcBorders>
                    <w:tl2br w:val="nil"/>
                    <w:tr2bl w:val="nil"/>
                  </w:tcBorders>
                  <w:noWrap w:val="0"/>
                  <w:vAlign w:val="center"/>
                </w:tcPr>
                <w:p w14:paraId="38B56318">
                  <w:pPr>
                    <w:pStyle w:val="96"/>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前瓜峪村</w:t>
                  </w:r>
                </w:p>
              </w:tc>
              <w:tc>
                <w:tcPr>
                  <w:tcW w:w="753" w:type="pct"/>
                  <w:tcBorders>
                    <w:tl2br w:val="nil"/>
                    <w:tr2bl w:val="nil"/>
                  </w:tcBorders>
                  <w:noWrap w:val="0"/>
                  <w:vAlign w:val="center"/>
                </w:tcPr>
                <w:p w14:paraId="212E0DB5">
                  <w:pPr>
                    <w:pStyle w:val="96"/>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居民</w:t>
                  </w:r>
                </w:p>
              </w:tc>
              <w:tc>
                <w:tcPr>
                  <w:tcW w:w="1206" w:type="pct"/>
                  <w:tcBorders>
                    <w:tl2br w:val="nil"/>
                    <w:tr2bl w:val="nil"/>
                  </w:tcBorders>
                  <w:noWrap w:val="0"/>
                  <w:vAlign w:val="center"/>
                </w:tcPr>
                <w:p w14:paraId="440AF802">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（GB3096-2008）中的</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c>
                <w:tcPr>
                  <w:tcW w:w="549" w:type="pct"/>
                  <w:tcBorders>
                    <w:tl2br w:val="nil"/>
                    <w:tr2bl w:val="nil"/>
                  </w:tcBorders>
                  <w:noWrap w:val="0"/>
                  <w:vAlign w:val="center"/>
                </w:tcPr>
                <w:p w14:paraId="796CC38C">
                  <w:pPr>
                    <w:pStyle w:val="96"/>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w:t>
                  </w:r>
                </w:p>
              </w:tc>
              <w:tc>
                <w:tcPr>
                  <w:tcW w:w="733" w:type="pct"/>
                  <w:tcBorders>
                    <w:tl2br w:val="nil"/>
                    <w:tr2bl w:val="nil"/>
                  </w:tcBorders>
                  <w:noWrap w:val="0"/>
                  <w:vAlign w:val="center"/>
                </w:tcPr>
                <w:p w14:paraId="1DF7C367">
                  <w:pPr>
                    <w:pStyle w:val="96"/>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42</w:t>
                  </w:r>
                </w:p>
              </w:tc>
            </w:tr>
            <w:tr w14:paraId="76DD89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tcBorders>
                    <w:tl2br w:val="nil"/>
                    <w:tr2bl w:val="nil"/>
                  </w:tcBorders>
                  <w:noWrap w:val="0"/>
                  <w:vAlign w:val="center"/>
                </w:tcPr>
                <w:p w14:paraId="2C7F1ABC">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地表水</w:t>
                  </w:r>
                </w:p>
              </w:tc>
              <w:tc>
                <w:tcPr>
                  <w:tcW w:w="1022" w:type="pct"/>
                  <w:tcBorders>
                    <w:tl2br w:val="nil"/>
                    <w:tr2bl w:val="nil"/>
                  </w:tcBorders>
                  <w:noWrap w:val="0"/>
                  <w:vAlign w:val="center"/>
                </w:tcPr>
                <w:p w14:paraId="15F24CAB">
                  <w:pPr>
                    <w:pStyle w:val="96"/>
                    <w:adjustRightInd w:val="0"/>
                    <w:snapToGrid w:val="0"/>
                    <w:spacing w:line="240" w:lineRule="auto"/>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沂河</w:t>
                  </w:r>
                </w:p>
              </w:tc>
              <w:tc>
                <w:tcPr>
                  <w:tcW w:w="1960" w:type="pct"/>
                  <w:gridSpan w:val="2"/>
                  <w:tcBorders>
                    <w:tl2br w:val="nil"/>
                    <w:tr2bl w:val="nil"/>
                  </w:tcBorders>
                  <w:noWrap w:val="0"/>
                  <w:vAlign w:val="center"/>
                </w:tcPr>
                <w:p w14:paraId="3082E153">
                  <w:pPr>
                    <w:pStyle w:val="96"/>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《地表水环境质量标准》（GB3838-2002）</w:t>
                  </w:r>
                  <w:r>
                    <w:rPr>
                      <w:rFonts w:hint="eastAsia" w:ascii="宋体" w:hAnsi="宋体" w:eastAsia="宋体" w:cs="宋体"/>
                      <w:color w:val="auto"/>
                      <w:sz w:val="21"/>
                      <w:szCs w:val="21"/>
                      <w:highlight w:val="none"/>
                      <w:lang w:val="en-US" w:eastAsia="zh-CN"/>
                    </w:rPr>
                    <w:t>Ⅳ</w:t>
                  </w:r>
                  <w:r>
                    <w:rPr>
                      <w:rFonts w:hint="eastAsia" w:ascii="Times New Roman" w:hAnsi="Times New Roman" w:eastAsia="宋体" w:cs="Times New Roman"/>
                      <w:color w:val="auto"/>
                      <w:sz w:val="21"/>
                      <w:szCs w:val="21"/>
                      <w:highlight w:val="none"/>
                      <w:lang w:val="en-US" w:eastAsia="zh-CN"/>
                    </w:rPr>
                    <w:t>类</w:t>
                  </w:r>
                  <w:r>
                    <w:rPr>
                      <w:rFonts w:hint="default" w:ascii="Times New Roman" w:hAnsi="Times New Roman" w:eastAsia="宋体" w:cs="Times New Roman"/>
                      <w:color w:val="auto"/>
                      <w:sz w:val="21"/>
                      <w:szCs w:val="21"/>
                      <w:highlight w:val="none"/>
                      <w:lang w:val="en-US" w:eastAsia="zh-CN"/>
                    </w:rPr>
                    <w:t>标准</w:t>
                  </w:r>
                </w:p>
              </w:tc>
              <w:tc>
                <w:tcPr>
                  <w:tcW w:w="549" w:type="pct"/>
                  <w:tcBorders>
                    <w:tl2br w:val="nil"/>
                    <w:tr2bl w:val="nil"/>
                  </w:tcBorders>
                  <w:noWrap w:val="0"/>
                  <w:vAlign w:val="center"/>
                </w:tcPr>
                <w:p w14:paraId="1CFD1D64">
                  <w:pPr>
                    <w:pStyle w:val="96"/>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SW</w:t>
                  </w:r>
                </w:p>
              </w:tc>
              <w:tc>
                <w:tcPr>
                  <w:tcW w:w="733" w:type="pct"/>
                  <w:tcBorders>
                    <w:tl2br w:val="nil"/>
                    <w:tr2bl w:val="nil"/>
                  </w:tcBorders>
                  <w:noWrap w:val="0"/>
                  <w:vAlign w:val="center"/>
                </w:tcPr>
                <w:p w14:paraId="06965185">
                  <w:pPr>
                    <w:pStyle w:val="96"/>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7300</w:t>
                  </w:r>
                </w:p>
              </w:tc>
            </w:tr>
            <w:tr w14:paraId="136BEA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tcBorders>
                    <w:tl2br w:val="nil"/>
                    <w:tr2bl w:val="nil"/>
                  </w:tcBorders>
                  <w:noWrap w:val="0"/>
                  <w:vAlign w:val="center"/>
                </w:tcPr>
                <w:p w14:paraId="7C1E7ED1">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w:t>
                  </w:r>
                </w:p>
              </w:tc>
              <w:tc>
                <w:tcPr>
                  <w:tcW w:w="4266" w:type="pct"/>
                  <w:gridSpan w:val="5"/>
                  <w:tcBorders>
                    <w:tl2br w:val="nil"/>
                    <w:tr2bl w:val="nil"/>
                  </w:tcBorders>
                  <w:noWrap w:val="0"/>
                  <w:vAlign w:val="center"/>
                </w:tcPr>
                <w:p w14:paraId="39B62C19">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厂界周边500m范围内无地下水集中式饮用水水源和热水、矿泉水、温泉等特殊地下水资源。</w:t>
                  </w:r>
                </w:p>
              </w:tc>
            </w:tr>
            <w:tr w14:paraId="4A17D66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33" w:type="pct"/>
                  <w:tcBorders>
                    <w:tl2br w:val="nil"/>
                    <w:tr2bl w:val="nil"/>
                  </w:tcBorders>
                  <w:noWrap w:val="0"/>
                  <w:vAlign w:val="center"/>
                </w:tcPr>
                <w:p w14:paraId="76B86858">
                  <w:pPr>
                    <w:pStyle w:val="96"/>
                    <w:adjustRightInd w:val="0"/>
                    <w:snapToGrid w:val="0"/>
                    <w:spacing w:line="240" w:lineRule="auto"/>
                    <w:jc w:val="center"/>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w:t>
                  </w:r>
                </w:p>
              </w:tc>
              <w:tc>
                <w:tcPr>
                  <w:tcW w:w="4266" w:type="pct"/>
                  <w:gridSpan w:val="5"/>
                  <w:tcBorders>
                    <w:tl2br w:val="nil"/>
                    <w:tr2bl w:val="nil"/>
                  </w:tcBorders>
                  <w:noWrap w:val="0"/>
                  <w:vAlign w:val="center"/>
                </w:tcPr>
                <w:p w14:paraId="00790682">
                  <w:pPr>
                    <w:pStyle w:val="96"/>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eastAsia"/>
                      <w:color w:val="auto"/>
                      <w:szCs w:val="21"/>
                    </w:rPr>
                    <w:t>本项目</w:t>
                  </w:r>
                  <w:r>
                    <w:rPr>
                      <w:rFonts w:hint="eastAsia" w:ascii="Times New Roman" w:hAnsi="Times New Roman" w:eastAsia="宋体" w:cs="Times New Roman"/>
                      <w:color w:val="auto"/>
                      <w:szCs w:val="21"/>
                      <w:lang w:eastAsia="zh-CN"/>
                    </w:rPr>
                    <w:t>位</w:t>
                  </w:r>
                  <w:r>
                    <w:rPr>
                      <w:rFonts w:hint="eastAsia" w:cs="Times New Roman"/>
                      <w:color w:val="auto"/>
                      <w:sz w:val="21"/>
                      <w:szCs w:val="21"/>
                      <w:highlight w:val="none"/>
                      <w:lang w:val="en-US" w:eastAsia="zh-CN"/>
                    </w:rPr>
                    <w:t>于山东省淄博市沂源县张家坡镇政通路88号，租赁现有厂房进行生产</w:t>
                  </w:r>
                  <w:r>
                    <w:rPr>
                      <w:rFonts w:hint="eastAsia"/>
                      <w:color w:val="auto"/>
                      <w:szCs w:val="21"/>
                      <w:lang w:eastAsia="zh-CN"/>
                    </w:rPr>
                    <w:t>，不涉及自然生态环境区域。</w:t>
                  </w:r>
                </w:p>
              </w:tc>
            </w:tr>
          </w:tbl>
          <w:p w14:paraId="0D77D431">
            <w:pPr>
              <w:widowControl/>
              <w:jc w:val="both"/>
              <w:rPr>
                <w:rFonts w:hint="eastAsia" w:ascii="Times New Roman" w:hAnsi="Times New Roman" w:eastAsia="宋体" w:cs="Times New Roman"/>
                <w:color w:val="auto"/>
                <w:kern w:val="0"/>
                <w:sz w:val="24"/>
                <w:highlight w:val="none"/>
                <w:lang w:eastAsia="zh-CN"/>
              </w:rPr>
            </w:pPr>
          </w:p>
        </w:tc>
      </w:tr>
      <w:tr w14:paraId="0B8CDF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41" w:hRule="atLeast"/>
          <w:jc w:val="center"/>
        </w:trPr>
        <w:tc>
          <w:tcPr>
            <w:tcW w:w="331" w:type="pct"/>
            <w:tcMar>
              <w:left w:w="28" w:type="dxa"/>
              <w:right w:w="28" w:type="dxa"/>
            </w:tcMar>
            <w:vAlign w:val="center"/>
          </w:tcPr>
          <w:p w14:paraId="203208AC">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污</w:t>
            </w:r>
          </w:p>
          <w:p w14:paraId="71F75CB0">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染</w:t>
            </w:r>
          </w:p>
          <w:p w14:paraId="38DBDD23">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物</w:t>
            </w:r>
          </w:p>
          <w:p w14:paraId="2B9F3F28">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排</w:t>
            </w:r>
          </w:p>
          <w:p w14:paraId="72F14B99">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放</w:t>
            </w:r>
          </w:p>
          <w:p w14:paraId="4A90C874">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控</w:t>
            </w:r>
          </w:p>
          <w:p w14:paraId="524A0242">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制</w:t>
            </w:r>
          </w:p>
          <w:p w14:paraId="075070F5">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标</w:t>
            </w:r>
          </w:p>
          <w:p w14:paraId="7B3C0296">
            <w:pPr>
              <w:adjustRightInd w:val="0"/>
              <w:snapToGrid w:val="0"/>
              <w:jc w:val="center"/>
              <w:rPr>
                <w:rFonts w:hint="default" w:ascii="Times New Roman" w:hAnsi="Times New Roman" w:cs="Times New Roman"/>
                <w:b w:val="0"/>
                <w:bCs w:val="0"/>
                <w:color w:val="auto"/>
                <w:kern w:val="0"/>
                <w:szCs w:val="21"/>
                <w:highlight w:val="none"/>
              </w:rPr>
            </w:pPr>
            <w:r>
              <w:rPr>
                <w:rFonts w:hint="default" w:ascii="黑体" w:hAnsi="黑体" w:eastAsia="黑体" w:cs="黑体"/>
                <w:b w:val="0"/>
                <w:bCs w:val="0"/>
                <w:color w:val="auto"/>
                <w:kern w:val="0"/>
                <w:sz w:val="24"/>
                <w:szCs w:val="24"/>
                <w:highlight w:val="none"/>
              </w:rPr>
              <w:t>准</w:t>
            </w:r>
          </w:p>
        </w:tc>
        <w:tc>
          <w:tcPr>
            <w:tcW w:w="4668" w:type="pct"/>
            <w:vAlign w:val="center"/>
          </w:tcPr>
          <w:p w14:paraId="27902C6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废气</w:t>
            </w:r>
          </w:p>
          <w:p w14:paraId="40DACE70">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本项目有组织颗粒物执行《区域性大气污染物综合排放标准》（DB37/2376-2019）表1中重点控制区的排放标准浓度限值；无组织颗粒物执行《大气污染物综合排放标准》（DB16297-1996）表2中无组织排放监控浓度限值</w:t>
            </w:r>
            <w:r>
              <w:rPr>
                <w:rFonts w:hint="eastAsia" w:cs="Times New Roman"/>
                <w:color w:val="auto"/>
                <w:sz w:val="24"/>
                <w:lang w:val="en-US" w:eastAsia="zh-CN"/>
              </w:rPr>
              <w:t>；有组织</w:t>
            </w:r>
            <w:r>
              <w:rPr>
                <w:rFonts w:hint="eastAsia" w:ascii="Times New Roman" w:hAnsi="Times New Roman" w:eastAsia="宋体" w:cs="Times New Roman"/>
                <w:color w:val="auto"/>
                <w:sz w:val="24"/>
                <w:lang w:val="en-US" w:eastAsia="zh-CN"/>
              </w:rPr>
              <w:t>VOCs执行</w:t>
            </w:r>
            <w:r>
              <w:rPr>
                <w:rFonts w:hint="eastAsia" w:cs="Times New Roman"/>
                <w:color w:val="auto"/>
                <w:sz w:val="24"/>
                <w:lang w:val="en-US" w:eastAsia="zh-CN"/>
              </w:rPr>
              <w:t>《挥发性有机物排放标准 第6部分：有机化工行业》（DB37/2801.6-2018）</w:t>
            </w:r>
            <w:r>
              <w:rPr>
                <w:rFonts w:hint="eastAsia" w:ascii="Times New Roman" w:hAnsi="Times New Roman" w:eastAsia="宋体" w:cs="Times New Roman"/>
                <w:color w:val="auto"/>
                <w:sz w:val="24"/>
                <w:lang w:val="en-US" w:eastAsia="zh-CN"/>
              </w:rPr>
              <w:t>表1</w:t>
            </w:r>
            <w:r>
              <w:rPr>
                <w:rFonts w:hint="eastAsia" w:cs="Times New Roman"/>
                <w:color w:val="auto"/>
                <w:sz w:val="24"/>
                <w:lang w:val="en-US" w:eastAsia="zh-CN"/>
              </w:rPr>
              <w:t>中</w:t>
            </w:r>
            <w:r>
              <w:rPr>
                <w:rFonts w:hint="default" w:ascii="Times New Roman" w:hAnsi="Times New Roman" w:eastAsia="宋体" w:cs="Times New Roman"/>
                <w:color w:val="auto"/>
                <w:sz w:val="24"/>
                <w:lang w:val="en-US" w:eastAsia="zh-CN"/>
              </w:rPr>
              <w:t>Ⅱ</w:t>
            </w:r>
            <w:r>
              <w:rPr>
                <w:rFonts w:hint="eastAsia" w:cs="Times New Roman"/>
                <w:color w:val="auto"/>
                <w:sz w:val="24"/>
                <w:lang w:val="en-US" w:eastAsia="zh-CN"/>
              </w:rPr>
              <w:t>时段</w:t>
            </w:r>
            <w:r>
              <w:rPr>
                <w:rFonts w:hint="eastAsia" w:ascii="Times New Roman" w:hAnsi="Times New Roman" w:eastAsia="宋体" w:cs="Times New Roman"/>
                <w:color w:val="auto"/>
                <w:sz w:val="24"/>
                <w:lang w:val="en-US" w:eastAsia="zh-CN"/>
              </w:rPr>
              <w:t>排放浓度限值；无组织VOCs执行</w:t>
            </w:r>
            <w:r>
              <w:rPr>
                <w:rFonts w:hint="eastAsia" w:cs="Times New Roman"/>
                <w:color w:val="auto"/>
                <w:sz w:val="24"/>
                <w:lang w:val="en-US" w:eastAsia="zh-CN"/>
              </w:rPr>
              <w:t>《挥发性有机物排放标准 第6部分：有机化工行业》（DB37/2801.6-2018）</w:t>
            </w:r>
            <w:r>
              <w:rPr>
                <w:rFonts w:hint="eastAsia" w:ascii="Times New Roman" w:hAnsi="Times New Roman" w:eastAsia="宋体" w:cs="Times New Roman"/>
                <w:color w:val="auto"/>
                <w:sz w:val="24"/>
                <w:lang w:val="en-US" w:eastAsia="zh-CN"/>
              </w:rPr>
              <w:t>表</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厂界排放浓度限值。</w:t>
            </w:r>
          </w:p>
          <w:p w14:paraId="3E9A45DB">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Times New Roman" w:hAnsi="Times New Roman" w:eastAsia="黑体" w:cs="Times New Roman"/>
                <w:b w:val="0"/>
                <w:bCs w:val="0"/>
                <w:color w:val="auto"/>
                <w:kern w:val="0"/>
                <w:sz w:val="24"/>
                <w:szCs w:val="24"/>
                <w:lang w:val="en-US" w:eastAsia="zh-CN" w:bidi="ar-SA"/>
              </w:rPr>
            </w:pPr>
            <w:r>
              <w:rPr>
                <w:rFonts w:hint="eastAsia" w:ascii="Times New Roman" w:hAnsi="Times New Roman" w:eastAsia="黑体" w:cs="Times New Roman"/>
                <w:b w:val="0"/>
                <w:bCs w:val="0"/>
                <w:color w:val="auto"/>
                <w:kern w:val="0"/>
                <w:sz w:val="24"/>
                <w:szCs w:val="24"/>
                <w:lang w:val="en-US" w:eastAsia="zh-CN" w:bidi="ar-SA"/>
              </w:rPr>
              <w:t>表3-3 大气污染物排放标准</w:t>
            </w:r>
          </w:p>
          <w:tbl>
            <w:tblPr>
              <w:tblStyle w:val="27"/>
              <w:tblW w:w="79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817"/>
              <w:gridCol w:w="850"/>
              <w:gridCol w:w="1643"/>
              <w:gridCol w:w="1440"/>
              <w:gridCol w:w="2551"/>
            </w:tblGrid>
            <w:tr w14:paraId="29D81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restart"/>
                  <w:tcBorders>
                    <w:tl2br w:val="nil"/>
                    <w:tr2bl w:val="nil"/>
                  </w:tcBorders>
                  <w:noWrap w:val="0"/>
                  <w:vAlign w:val="center"/>
                </w:tcPr>
                <w:p w14:paraId="7F9EA6E7">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时期</w:t>
                  </w:r>
                </w:p>
              </w:tc>
              <w:tc>
                <w:tcPr>
                  <w:tcW w:w="1667" w:type="dxa"/>
                  <w:gridSpan w:val="2"/>
                  <w:vMerge w:val="restart"/>
                  <w:tcBorders>
                    <w:tl2br w:val="nil"/>
                    <w:tr2bl w:val="nil"/>
                  </w:tcBorders>
                  <w:noWrap w:val="0"/>
                  <w:vAlign w:val="center"/>
                </w:tcPr>
                <w:p w14:paraId="1D42A96C">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废气名称</w:t>
                  </w:r>
                </w:p>
              </w:tc>
              <w:tc>
                <w:tcPr>
                  <w:tcW w:w="3083" w:type="dxa"/>
                  <w:gridSpan w:val="2"/>
                  <w:tcBorders>
                    <w:tl2br w:val="nil"/>
                    <w:tr2bl w:val="nil"/>
                  </w:tcBorders>
                  <w:noWrap w:val="0"/>
                  <w:vAlign w:val="center"/>
                </w:tcPr>
                <w:p w14:paraId="1A618ED6">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最高允许排放浓度（kg/h）</w:t>
                  </w:r>
                </w:p>
              </w:tc>
              <w:tc>
                <w:tcPr>
                  <w:tcW w:w="2551" w:type="dxa"/>
                  <w:vMerge w:val="restart"/>
                  <w:tcBorders>
                    <w:tl2br w:val="nil"/>
                    <w:tr2bl w:val="nil"/>
                  </w:tcBorders>
                  <w:noWrap w:val="0"/>
                  <w:vAlign w:val="center"/>
                </w:tcPr>
                <w:p w14:paraId="5BCE6191">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标准</w:t>
                  </w:r>
                </w:p>
              </w:tc>
            </w:tr>
            <w:tr w14:paraId="77F85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14:paraId="4533B399">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1667" w:type="dxa"/>
                  <w:gridSpan w:val="2"/>
                  <w:vMerge w:val="continue"/>
                  <w:tcBorders>
                    <w:tl2br w:val="nil"/>
                    <w:tr2bl w:val="nil"/>
                  </w:tcBorders>
                  <w:noWrap w:val="0"/>
                  <w:vAlign w:val="center"/>
                </w:tcPr>
                <w:p w14:paraId="3E73E776">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1643" w:type="dxa"/>
                  <w:tcBorders>
                    <w:tl2br w:val="nil"/>
                    <w:tr2bl w:val="nil"/>
                  </w:tcBorders>
                  <w:noWrap w:val="0"/>
                  <w:vAlign w:val="center"/>
                </w:tcPr>
                <w:p w14:paraId="60A397EB">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最高允许排放速率限值（kg/h）</w:t>
                  </w:r>
                </w:p>
              </w:tc>
              <w:tc>
                <w:tcPr>
                  <w:tcW w:w="1440" w:type="dxa"/>
                  <w:tcBorders>
                    <w:tl2br w:val="nil"/>
                    <w:tr2bl w:val="nil"/>
                  </w:tcBorders>
                  <w:noWrap w:val="0"/>
                  <w:vAlign w:val="center"/>
                </w:tcPr>
                <w:p w14:paraId="7FCD2873">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排放浓度限值（mg/m³）</w:t>
                  </w:r>
                </w:p>
              </w:tc>
              <w:tc>
                <w:tcPr>
                  <w:tcW w:w="2551" w:type="dxa"/>
                  <w:vMerge w:val="continue"/>
                  <w:tcBorders>
                    <w:tl2br w:val="nil"/>
                    <w:tr2bl w:val="nil"/>
                  </w:tcBorders>
                  <w:noWrap w:val="0"/>
                  <w:vAlign w:val="center"/>
                </w:tcPr>
                <w:p w14:paraId="410D4951">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r>
            <w:tr w14:paraId="219DB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91" w:type="dxa"/>
                  <w:vMerge w:val="restart"/>
                  <w:tcBorders>
                    <w:tl2br w:val="nil"/>
                    <w:tr2bl w:val="nil"/>
                  </w:tcBorders>
                  <w:noWrap w:val="0"/>
                  <w:vAlign w:val="center"/>
                </w:tcPr>
                <w:p w14:paraId="615D657A">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运营期</w:t>
                  </w:r>
                </w:p>
              </w:tc>
              <w:tc>
                <w:tcPr>
                  <w:tcW w:w="817" w:type="dxa"/>
                  <w:vMerge w:val="restart"/>
                  <w:tcBorders>
                    <w:tl2br w:val="nil"/>
                    <w:tr2bl w:val="nil"/>
                  </w:tcBorders>
                  <w:noWrap w:val="0"/>
                  <w:vAlign w:val="center"/>
                </w:tcPr>
                <w:p w14:paraId="4741673E">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VOCs</w:t>
                  </w:r>
                </w:p>
              </w:tc>
              <w:tc>
                <w:tcPr>
                  <w:tcW w:w="850" w:type="dxa"/>
                  <w:tcBorders>
                    <w:tl2br w:val="nil"/>
                    <w:tr2bl w:val="nil"/>
                  </w:tcBorders>
                  <w:shd w:val="clear" w:color="auto" w:fill="auto"/>
                  <w:noWrap w:val="0"/>
                  <w:vAlign w:val="center"/>
                </w:tcPr>
                <w:p w14:paraId="6F3280DB">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有组织排放</w:t>
                  </w:r>
                </w:p>
              </w:tc>
              <w:tc>
                <w:tcPr>
                  <w:tcW w:w="1643" w:type="dxa"/>
                  <w:tcBorders>
                    <w:tl2br w:val="nil"/>
                    <w:tr2bl w:val="nil"/>
                  </w:tcBorders>
                  <w:noWrap w:val="0"/>
                  <w:vAlign w:val="center"/>
                </w:tcPr>
                <w:p w14:paraId="3C75E531">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1440" w:type="dxa"/>
                  <w:tcBorders>
                    <w:tl2br w:val="nil"/>
                    <w:tr2bl w:val="nil"/>
                  </w:tcBorders>
                  <w:noWrap w:val="0"/>
                  <w:vAlign w:val="center"/>
                </w:tcPr>
                <w:p w14:paraId="5A32486E">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c>
                <w:tcPr>
                  <w:tcW w:w="2551" w:type="dxa"/>
                  <w:tcBorders>
                    <w:tl2br w:val="nil"/>
                    <w:tr2bl w:val="nil"/>
                  </w:tcBorders>
                  <w:noWrap w:val="0"/>
                  <w:vAlign w:val="center"/>
                </w:tcPr>
                <w:p w14:paraId="7227FB50">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《挥发性有机物排放标准 第6部分：有机化工行业》（DB37/2801.6-2018）表1中</w:t>
                  </w:r>
                  <w:r>
                    <w:rPr>
                      <w:rFonts w:hint="default" w:ascii="Times New Roman" w:hAnsi="Times New Roman" w:cs="Times New Roman"/>
                      <w:color w:val="auto"/>
                      <w:sz w:val="21"/>
                      <w:szCs w:val="21"/>
                      <w:highlight w:val="none"/>
                      <w:lang w:val="en-US" w:eastAsia="zh-CN"/>
                    </w:rPr>
                    <w:t>Ⅱ</w:t>
                  </w:r>
                  <w:r>
                    <w:rPr>
                      <w:rFonts w:hint="eastAsia" w:cs="Times New Roman"/>
                      <w:color w:val="auto"/>
                      <w:sz w:val="21"/>
                      <w:szCs w:val="21"/>
                      <w:highlight w:val="none"/>
                      <w:lang w:val="en-US" w:eastAsia="zh-CN"/>
                    </w:rPr>
                    <w:t>时段排放浓度限值。</w:t>
                  </w:r>
                </w:p>
              </w:tc>
            </w:tr>
            <w:tr w14:paraId="5A625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91" w:type="dxa"/>
                  <w:vMerge w:val="continue"/>
                  <w:tcBorders>
                    <w:tl2br w:val="nil"/>
                    <w:tr2bl w:val="nil"/>
                  </w:tcBorders>
                  <w:noWrap w:val="0"/>
                  <w:vAlign w:val="center"/>
                </w:tcPr>
                <w:p w14:paraId="245A87C7">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817" w:type="dxa"/>
                  <w:vMerge w:val="continue"/>
                  <w:tcBorders>
                    <w:tl2br w:val="nil"/>
                    <w:tr2bl w:val="nil"/>
                  </w:tcBorders>
                  <w:noWrap w:val="0"/>
                  <w:vAlign w:val="center"/>
                </w:tcPr>
                <w:p w14:paraId="1EF6F899">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850" w:type="dxa"/>
                  <w:tcBorders>
                    <w:tl2br w:val="nil"/>
                    <w:tr2bl w:val="nil"/>
                  </w:tcBorders>
                  <w:shd w:val="clear" w:color="auto" w:fill="auto"/>
                  <w:noWrap w:val="0"/>
                  <w:vAlign w:val="center"/>
                </w:tcPr>
                <w:p w14:paraId="783782D0">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无组织排放</w:t>
                  </w:r>
                </w:p>
              </w:tc>
              <w:tc>
                <w:tcPr>
                  <w:tcW w:w="1643" w:type="dxa"/>
                  <w:tcBorders>
                    <w:tl2br w:val="nil"/>
                    <w:tr2bl w:val="nil"/>
                  </w:tcBorders>
                  <w:noWrap w:val="0"/>
                  <w:vAlign w:val="center"/>
                </w:tcPr>
                <w:p w14:paraId="13FB9292">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40" w:type="dxa"/>
                  <w:tcBorders>
                    <w:tl2br w:val="nil"/>
                    <w:tr2bl w:val="nil"/>
                  </w:tcBorders>
                  <w:noWrap w:val="0"/>
                  <w:vAlign w:val="center"/>
                </w:tcPr>
                <w:p w14:paraId="7F2D7B23">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2551" w:type="dxa"/>
                  <w:tcBorders>
                    <w:tl2br w:val="nil"/>
                    <w:tr2bl w:val="nil"/>
                  </w:tcBorders>
                  <w:noWrap w:val="0"/>
                  <w:vAlign w:val="center"/>
                </w:tcPr>
                <w:p w14:paraId="5761DF98">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《挥发性有机物排放标准 第6部分：有机化工行业》（DB37/2801.6-2018）表3厂界排放浓度限值。</w:t>
                  </w:r>
                </w:p>
              </w:tc>
            </w:tr>
            <w:tr w14:paraId="18621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691" w:type="dxa"/>
                  <w:vMerge w:val="continue"/>
                  <w:tcBorders>
                    <w:tl2br w:val="nil"/>
                    <w:tr2bl w:val="nil"/>
                  </w:tcBorders>
                  <w:noWrap w:val="0"/>
                  <w:vAlign w:val="center"/>
                </w:tcPr>
                <w:p w14:paraId="7BFAECB0">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817" w:type="dxa"/>
                  <w:vMerge w:val="restart"/>
                  <w:tcBorders>
                    <w:tl2br w:val="nil"/>
                    <w:tr2bl w:val="nil"/>
                  </w:tcBorders>
                  <w:noWrap w:val="0"/>
                  <w:vAlign w:val="center"/>
                </w:tcPr>
                <w:p w14:paraId="70357397">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850" w:type="dxa"/>
                  <w:tcBorders>
                    <w:tl2br w:val="nil"/>
                    <w:tr2bl w:val="nil"/>
                  </w:tcBorders>
                  <w:noWrap w:val="0"/>
                  <w:vAlign w:val="center"/>
                </w:tcPr>
                <w:p w14:paraId="6379B0B5">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有组织排放</w:t>
                  </w:r>
                </w:p>
              </w:tc>
              <w:tc>
                <w:tcPr>
                  <w:tcW w:w="1643" w:type="dxa"/>
                  <w:tcBorders>
                    <w:tl2br w:val="nil"/>
                    <w:tr2bl w:val="nil"/>
                  </w:tcBorders>
                  <w:noWrap w:val="0"/>
                  <w:vAlign w:val="center"/>
                </w:tcPr>
                <w:p w14:paraId="58C951E9">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1440" w:type="dxa"/>
                  <w:tcBorders>
                    <w:tl2br w:val="nil"/>
                    <w:tr2bl w:val="nil"/>
                  </w:tcBorders>
                  <w:noWrap w:val="0"/>
                  <w:vAlign w:val="center"/>
                </w:tcPr>
                <w:p w14:paraId="6651BF25">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2551" w:type="dxa"/>
                  <w:tcBorders>
                    <w:tl2br w:val="nil"/>
                    <w:tr2bl w:val="nil"/>
                  </w:tcBorders>
                  <w:noWrap w:val="0"/>
                  <w:vAlign w:val="center"/>
                </w:tcPr>
                <w:p w14:paraId="70B38065">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《区域性大气污染物综合排放标准》（DB37/2376-2019）表1中重点控制区的排放标准浓度限值。</w:t>
                  </w:r>
                </w:p>
              </w:tc>
            </w:tr>
            <w:tr w14:paraId="14FC3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top"/>
                </w:tcPr>
                <w:p w14:paraId="0C71C41C">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817" w:type="dxa"/>
                  <w:vMerge w:val="continue"/>
                  <w:tcBorders>
                    <w:tl2br w:val="nil"/>
                    <w:tr2bl w:val="nil"/>
                  </w:tcBorders>
                  <w:noWrap w:val="0"/>
                  <w:vAlign w:val="top"/>
                </w:tcPr>
                <w:p w14:paraId="37AE6623">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p>
              </w:tc>
              <w:tc>
                <w:tcPr>
                  <w:tcW w:w="850" w:type="dxa"/>
                  <w:tcBorders>
                    <w:tl2br w:val="nil"/>
                    <w:tr2bl w:val="nil"/>
                  </w:tcBorders>
                  <w:noWrap w:val="0"/>
                  <w:vAlign w:val="center"/>
                </w:tcPr>
                <w:p w14:paraId="21162DA8">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无组织排放</w:t>
                  </w:r>
                </w:p>
              </w:tc>
              <w:tc>
                <w:tcPr>
                  <w:tcW w:w="1643" w:type="dxa"/>
                  <w:tcBorders>
                    <w:tl2br w:val="nil"/>
                    <w:tr2bl w:val="nil"/>
                  </w:tcBorders>
                  <w:noWrap w:val="0"/>
                  <w:vAlign w:val="center"/>
                </w:tcPr>
                <w:p w14:paraId="09CA720C">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40" w:type="dxa"/>
                  <w:tcBorders>
                    <w:tl2br w:val="nil"/>
                    <w:tr2bl w:val="nil"/>
                  </w:tcBorders>
                  <w:noWrap w:val="0"/>
                  <w:vAlign w:val="center"/>
                </w:tcPr>
                <w:p w14:paraId="28471E1E">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2551" w:type="dxa"/>
                  <w:tcBorders>
                    <w:tl2br w:val="nil"/>
                    <w:tr2bl w:val="nil"/>
                  </w:tcBorders>
                  <w:noWrap w:val="0"/>
                  <w:vAlign w:val="center"/>
                </w:tcPr>
                <w:p w14:paraId="3CBCCEA4">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《大气污染物综合排放标准》（DB16297-1996）表2中无组织排放浓度限值</w:t>
                  </w:r>
                  <w:r>
                    <w:rPr>
                      <w:rFonts w:hint="eastAsia" w:cs="Times New Roman"/>
                      <w:color w:val="auto"/>
                      <w:sz w:val="21"/>
                      <w:szCs w:val="21"/>
                      <w:highlight w:val="none"/>
                      <w:lang w:val="en-US" w:eastAsia="zh-CN"/>
                    </w:rPr>
                    <w:t>。</w:t>
                  </w:r>
                </w:p>
              </w:tc>
            </w:tr>
          </w:tbl>
          <w:p w14:paraId="4621170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w:t>
            </w:r>
            <w:r>
              <w:rPr>
                <w:rFonts w:hint="eastAsia" w:ascii="Times New Roman" w:hAnsi="Times New Roman" w:eastAsia="黑体" w:cs="Times New Roman"/>
                <w:color w:val="auto"/>
                <w:sz w:val="24"/>
                <w:szCs w:val="24"/>
                <w:highlight w:val="none"/>
                <w:lang w:val="en-US" w:eastAsia="zh-CN"/>
              </w:rPr>
              <w:t>废水</w:t>
            </w:r>
          </w:p>
          <w:p w14:paraId="1687D71F">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lang w:eastAsia="zh-CN"/>
              </w:rPr>
            </w:pPr>
            <w:r>
              <w:rPr>
                <w:rFonts w:hint="eastAsia" w:ascii="Times New Roman" w:hAnsi="Times New Roman" w:eastAsia="宋体" w:cs="Times New Roman"/>
                <w:color w:val="auto"/>
                <w:sz w:val="24"/>
                <w:lang w:val="en-US" w:eastAsia="zh-CN"/>
              </w:rPr>
              <w:t>本项目生活污水</w:t>
            </w:r>
            <w:r>
              <w:rPr>
                <w:rFonts w:hint="eastAsia" w:cs="Times New Roman"/>
                <w:color w:val="auto"/>
                <w:sz w:val="24"/>
                <w:lang w:val="en-US" w:eastAsia="zh-CN"/>
              </w:rPr>
              <w:t>经化粪池收集处理后由环卫部门定期清运。生产废水经沉淀池处理后循环使用，不外排，</w:t>
            </w:r>
            <w:r>
              <w:rPr>
                <w:rFonts w:hint="eastAsia"/>
                <w:sz w:val="24"/>
                <w:highlight w:val="none"/>
                <w:lang w:val="en-US" w:eastAsia="zh-CN"/>
              </w:rPr>
              <w:t>厂区废水回用执行《城市污水再生利用 工业用水水质》（GB/T 19923-2024）表1中工艺用水限值要求</w:t>
            </w:r>
            <w:r>
              <w:rPr>
                <w:rFonts w:hint="eastAsia"/>
                <w:lang w:eastAsia="zh-CN"/>
              </w:rPr>
              <w:t>。</w:t>
            </w:r>
          </w:p>
          <w:p w14:paraId="7039DB12">
            <w:pPr>
              <w:autoSpaceDE w:val="0"/>
              <w:autoSpaceDN w:val="0"/>
              <w:adjustRightInd w:val="0"/>
              <w:snapToGrid w:val="0"/>
              <w:spacing w:before="120" w:beforeLines="50"/>
              <w:jc w:val="center"/>
              <w:rPr>
                <w:rFonts w:eastAsia="黑体"/>
                <w:kern w:val="0"/>
                <w:szCs w:val="21"/>
                <w:highlight w:val="none"/>
              </w:rPr>
            </w:pPr>
            <w:r>
              <w:rPr>
                <w:rFonts w:eastAsia="黑体"/>
                <w:kern w:val="0"/>
                <w:sz w:val="24"/>
                <w:highlight w:val="none"/>
              </w:rPr>
              <w:t>表</w:t>
            </w:r>
            <w:r>
              <w:rPr>
                <w:rFonts w:hint="eastAsia" w:eastAsia="黑体"/>
                <w:kern w:val="0"/>
                <w:sz w:val="24"/>
                <w:highlight w:val="none"/>
              </w:rPr>
              <w:t>3-</w:t>
            </w:r>
            <w:r>
              <w:rPr>
                <w:rFonts w:hint="eastAsia" w:eastAsia="黑体"/>
                <w:kern w:val="0"/>
                <w:sz w:val="24"/>
                <w:highlight w:val="none"/>
                <w:lang w:val="en-US" w:eastAsia="zh-CN"/>
              </w:rPr>
              <w:t>4</w:t>
            </w:r>
            <w:r>
              <w:rPr>
                <w:rFonts w:eastAsia="黑体"/>
                <w:kern w:val="0"/>
                <w:sz w:val="24"/>
                <w:highlight w:val="none"/>
              </w:rPr>
              <w:t xml:space="preserve"> </w:t>
            </w:r>
            <w:r>
              <w:rPr>
                <w:rFonts w:hint="eastAsia" w:eastAsia="黑体"/>
                <w:kern w:val="0"/>
                <w:sz w:val="24"/>
                <w:highlight w:val="none"/>
                <w:lang w:val="en-US" w:eastAsia="zh-CN"/>
              </w:rPr>
              <w:t>回用水</w:t>
            </w:r>
            <w:r>
              <w:rPr>
                <w:rFonts w:eastAsia="黑体"/>
                <w:kern w:val="0"/>
                <w:sz w:val="24"/>
                <w:highlight w:val="none"/>
              </w:rPr>
              <w:t>标准限值表</w:t>
            </w:r>
          </w:p>
          <w:tbl>
            <w:tblPr>
              <w:tblStyle w:val="27"/>
              <w:tblW w:w="49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5"/>
              <w:gridCol w:w="2965"/>
              <w:gridCol w:w="3386"/>
            </w:tblGrid>
            <w:tr w14:paraId="62CCF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6" w:type="pct"/>
                  <w:noWrap w:val="0"/>
                  <w:vAlign w:val="center"/>
                </w:tcPr>
                <w:p w14:paraId="34C335E8">
                  <w:pPr>
                    <w:jc w:val="center"/>
                    <w:rPr>
                      <w:szCs w:val="21"/>
                      <w:highlight w:val="none"/>
                    </w:rPr>
                  </w:pPr>
                  <w:r>
                    <w:rPr>
                      <w:szCs w:val="21"/>
                      <w:highlight w:val="none"/>
                    </w:rPr>
                    <w:t>污染物</w:t>
                  </w:r>
                </w:p>
              </w:tc>
              <w:tc>
                <w:tcPr>
                  <w:tcW w:w="1813" w:type="pct"/>
                  <w:noWrap w:val="0"/>
                  <w:vAlign w:val="center"/>
                </w:tcPr>
                <w:p w14:paraId="43DB70BB">
                  <w:pPr>
                    <w:jc w:val="center"/>
                    <w:rPr>
                      <w:rFonts w:hint="default" w:eastAsia="宋体"/>
                      <w:szCs w:val="21"/>
                      <w:highlight w:val="none"/>
                      <w:lang w:val="en-US" w:eastAsia="zh-CN"/>
                    </w:rPr>
                  </w:pPr>
                  <w:r>
                    <w:rPr>
                      <w:rFonts w:hint="eastAsia" w:eastAsia="宋体"/>
                      <w:szCs w:val="21"/>
                      <w:highlight w:val="none"/>
                      <w:lang w:val="en-US" w:eastAsia="zh-CN"/>
                    </w:rPr>
                    <w:t>排放限值</w:t>
                  </w:r>
                </w:p>
              </w:tc>
              <w:tc>
                <w:tcPr>
                  <w:tcW w:w="2070" w:type="pct"/>
                  <w:noWrap w:val="0"/>
                  <w:vAlign w:val="center"/>
                </w:tcPr>
                <w:p w14:paraId="3EA61CDE">
                  <w:pPr>
                    <w:jc w:val="center"/>
                    <w:rPr>
                      <w:rFonts w:hint="eastAsia"/>
                      <w:szCs w:val="21"/>
                      <w:highlight w:val="none"/>
                    </w:rPr>
                  </w:pPr>
                  <w:r>
                    <w:rPr>
                      <w:szCs w:val="21"/>
                      <w:highlight w:val="none"/>
                    </w:rPr>
                    <w:t>执行标准</w:t>
                  </w:r>
                </w:p>
              </w:tc>
            </w:tr>
            <w:tr w14:paraId="38239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6" w:type="pct"/>
                  <w:noWrap w:val="0"/>
                  <w:vAlign w:val="center"/>
                </w:tcPr>
                <w:p w14:paraId="0CB89684">
                  <w:pPr>
                    <w:jc w:val="center"/>
                    <w:rPr>
                      <w:rFonts w:hint="default" w:eastAsia="宋体"/>
                      <w:szCs w:val="21"/>
                      <w:highlight w:val="none"/>
                      <w:lang w:val="en-US" w:eastAsia="zh-CN"/>
                    </w:rPr>
                  </w:pPr>
                  <w:r>
                    <w:rPr>
                      <w:rFonts w:hint="eastAsia"/>
                      <w:szCs w:val="21"/>
                      <w:highlight w:val="none"/>
                      <w:lang w:val="en-US" w:eastAsia="zh-CN"/>
                    </w:rPr>
                    <w:t>pH</w:t>
                  </w:r>
                </w:p>
              </w:tc>
              <w:tc>
                <w:tcPr>
                  <w:tcW w:w="1813" w:type="pct"/>
                  <w:noWrap w:val="0"/>
                  <w:vAlign w:val="center"/>
                </w:tcPr>
                <w:p w14:paraId="2C5B394A">
                  <w:pPr>
                    <w:jc w:val="center"/>
                    <w:rPr>
                      <w:rFonts w:hint="default" w:eastAsia="宋体"/>
                      <w:szCs w:val="21"/>
                      <w:highlight w:val="none"/>
                      <w:lang w:val="en-US" w:eastAsia="zh-CN"/>
                    </w:rPr>
                  </w:pPr>
                  <w:r>
                    <w:rPr>
                      <w:rFonts w:hint="eastAsia" w:eastAsia="宋体"/>
                      <w:szCs w:val="21"/>
                      <w:highlight w:val="none"/>
                      <w:lang w:val="en-US" w:eastAsia="zh-CN"/>
                    </w:rPr>
                    <w:t>6</w:t>
                  </w:r>
                  <w:r>
                    <w:rPr>
                      <w:rFonts w:hint="default" w:ascii="Times New Roman" w:hAnsi="Times New Roman" w:eastAsia="宋体" w:cs="Times New Roman"/>
                      <w:szCs w:val="21"/>
                      <w:highlight w:val="none"/>
                      <w:lang w:val="en-US" w:eastAsia="zh-CN"/>
                    </w:rPr>
                    <w:t>~</w:t>
                  </w:r>
                  <w:r>
                    <w:rPr>
                      <w:rFonts w:hint="eastAsia" w:eastAsia="宋体"/>
                      <w:szCs w:val="21"/>
                      <w:highlight w:val="none"/>
                      <w:lang w:val="en-US" w:eastAsia="zh-CN"/>
                    </w:rPr>
                    <w:t>9</w:t>
                  </w:r>
                </w:p>
              </w:tc>
              <w:tc>
                <w:tcPr>
                  <w:tcW w:w="2070" w:type="pct"/>
                  <w:vMerge w:val="restart"/>
                  <w:noWrap w:val="0"/>
                  <w:vAlign w:val="center"/>
                </w:tcPr>
                <w:p w14:paraId="0EF88ED8">
                  <w:pPr>
                    <w:jc w:val="center"/>
                    <w:rPr>
                      <w:szCs w:val="21"/>
                      <w:highlight w:val="none"/>
                    </w:rPr>
                  </w:pPr>
                  <w:r>
                    <w:rPr>
                      <w:rFonts w:hint="eastAsia"/>
                      <w:szCs w:val="21"/>
                      <w:highlight w:val="none"/>
                      <w:lang w:val="en-US" w:eastAsia="zh-CN"/>
                    </w:rPr>
                    <w:t>《城市污水再生利用 工业用水水质》（GB/T 19923-2024）表1中工艺用水限值要求</w:t>
                  </w:r>
                </w:p>
              </w:tc>
            </w:tr>
            <w:tr w14:paraId="18E3D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6" w:type="pct"/>
                  <w:noWrap w:val="0"/>
                  <w:vAlign w:val="center"/>
                </w:tcPr>
                <w:p w14:paraId="2AB270A2">
                  <w:pPr>
                    <w:jc w:val="center"/>
                    <w:rPr>
                      <w:rFonts w:hint="default" w:eastAsia="宋体"/>
                      <w:szCs w:val="21"/>
                      <w:highlight w:val="none"/>
                      <w:lang w:val="en-US" w:eastAsia="zh-CN"/>
                    </w:rPr>
                  </w:pPr>
                  <w:r>
                    <w:rPr>
                      <w:rFonts w:hint="eastAsia"/>
                      <w:szCs w:val="21"/>
                      <w:highlight w:val="none"/>
                      <w:lang w:val="en-US" w:eastAsia="zh-CN"/>
                    </w:rPr>
                    <w:t>COD（mg/L）</w:t>
                  </w:r>
                </w:p>
              </w:tc>
              <w:tc>
                <w:tcPr>
                  <w:tcW w:w="1813" w:type="pct"/>
                  <w:noWrap w:val="0"/>
                  <w:vAlign w:val="center"/>
                </w:tcPr>
                <w:p w14:paraId="3A0F2B89">
                  <w:pPr>
                    <w:jc w:val="center"/>
                    <w:rPr>
                      <w:rFonts w:hint="default" w:eastAsia="宋体"/>
                      <w:szCs w:val="21"/>
                      <w:highlight w:val="none"/>
                      <w:lang w:val="en-US" w:eastAsia="zh-CN"/>
                    </w:rPr>
                  </w:pPr>
                  <w:r>
                    <w:rPr>
                      <w:rFonts w:hint="eastAsia" w:eastAsia="宋体"/>
                      <w:szCs w:val="21"/>
                      <w:highlight w:val="none"/>
                      <w:lang w:val="en-US" w:eastAsia="zh-CN"/>
                    </w:rPr>
                    <w:t>50</w:t>
                  </w:r>
                </w:p>
              </w:tc>
              <w:tc>
                <w:tcPr>
                  <w:tcW w:w="2070" w:type="pct"/>
                  <w:vMerge w:val="continue"/>
                  <w:noWrap w:val="0"/>
                  <w:vAlign w:val="center"/>
                </w:tcPr>
                <w:p w14:paraId="3D9FDFC7">
                  <w:pPr>
                    <w:jc w:val="center"/>
                    <w:rPr>
                      <w:rFonts w:hint="default" w:eastAsia="宋体"/>
                      <w:szCs w:val="21"/>
                      <w:highlight w:val="none"/>
                      <w:lang w:val="en-US" w:eastAsia="zh-CN"/>
                    </w:rPr>
                  </w:pPr>
                </w:p>
              </w:tc>
            </w:tr>
            <w:tr w14:paraId="20CA8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6" w:type="pct"/>
                  <w:noWrap w:val="0"/>
                  <w:vAlign w:val="center"/>
                </w:tcPr>
                <w:p w14:paraId="6FF2D7D2">
                  <w:pPr>
                    <w:jc w:val="center"/>
                    <w:rPr>
                      <w:szCs w:val="21"/>
                      <w:highlight w:val="none"/>
                    </w:rPr>
                  </w:pPr>
                  <w:r>
                    <w:rPr>
                      <w:rFonts w:hint="eastAsia"/>
                      <w:szCs w:val="21"/>
                      <w:highlight w:val="none"/>
                      <w:lang w:val="en-US" w:eastAsia="zh-CN"/>
                    </w:rPr>
                    <w:t>氨氮（mg/L）</w:t>
                  </w:r>
                </w:p>
              </w:tc>
              <w:tc>
                <w:tcPr>
                  <w:tcW w:w="1813" w:type="pct"/>
                  <w:noWrap w:val="0"/>
                  <w:vAlign w:val="center"/>
                </w:tcPr>
                <w:p w14:paraId="373F3D3A">
                  <w:pPr>
                    <w:jc w:val="center"/>
                    <w:rPr>
                      <w:rFonts w:hint="default" w:eastAsia="宋体"/>
                      <w:szCs w:val="21"/>
                      <w:highlight w:val="none"/>
                      <w:lang w:val="en-US" w:eastAsia="zh-CN"/>
                    </w:rPr>
                  </w:pPr>
                  <w:r>
                    <w:rPr>
                      <w:rFonts w:hint="eastAsia" w:eastAsia="宋体"/>
                      <w:szCs w:val="21"/>
                      <w:highlight w:val="none"/>
                      <w:lang w:val="en-US" w:eastAsia="zh-CN"/>
                    </w:rPr>
                    <w:t>5</w:t>
                  </w:r>
                </w:p>
              </w:tc>
              <w:tc>
                <w:tcPr>
                  <w:tcW w:w="2070" w:type="pct"/>
                  <w:vMerge w:val="continue"/>
                  <w:noWrap w:val="0"/>
                  <w:vAlign w:val="center"/>
                </w:tcPr>
                <w:p w14:paraId="1E34DB06">
                  <w:pPr>
                    <w:jc w:val="center"/>
                    <w:rPr>
                      <w:rFonts w:hint="eastAsia" w:eastAsia="宋体"/>
                      <w:szCs w:val="21"/>
                      <w:highlight w:val="none"/>
                      <w:lang w:eastAsia="zh-CN"/>
                    </w:rPr>
                  </w:pPr>
                </w:p>
              </w:tc>
            </w:tr>
            <w:tr w14:paraId="4BB4A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6" w:type="pct"/>
                  <w:noWrap w:val="0"/>
                  <w:vAlign w:val="center"/>
                </w:tcPr>
                <w:p w14:paraId="2D9283AF">
                  <w:pPr>
                    <w:jc w:val="center"/>
                    <w:rPr>
                      <w:rFonts w:hint="default"/>
                      <w:szCs w:val="21"/>
                      <w:highlight w:val="none"/>
                      <w:lang w:val="en-US" w:eastAsia="zh-CN"/>
                    </w:rPr>
                  </w:pPr>
                  <w:r>
                    <w:rPr>
                      <w:rFonts w:hint="eastAsia"/>
                      <w:szCs w:val="21"/>
                      <w:highlight w:val="none"/>
                      <w:lang w:val="en-US" w:eastAsia="zh-CN"/>
                    </w:rPr>
                    <w:t>BOD</w:t>
                  </w:r>
                  <w:r>
                    <w:rPr>
                      <w:rFonts w:hint="eastAsia"/>
                      <w:szCs w:val="21"/>
                      <w:highlight w:val="none"/>
                      <w:vertAlign w:val="subscript"/>
                      <w:lang w:val="en-US" w:eastAsia="zh-CN"/>
                    </w:rPr>
                    <w:t>5</w:t>
                  </w:r>
                </w:p>
              </w:tc>
              <w:tc>
                <w:tcPr>
                  <w:tcW w:w="1813" w:type="pct"/>
                  <w:noWrap w:val="0"/>
                  <w:vAlign w:val="center"/>
                </w:tcPr>
                <w:p w14:paraId="769658E1">
                  <w:pPr>
                    <w:jc w:val="center"/>
                    <w:rPr>
                      <w:rFonts w:hint="default"/>
                      <w:szCs w:val="21"/>
                      <w:highlight w:val="none"/>
                      <w:lang w:val="en-US" w:eastAsia="zh-CN"/>
                    </w:rPr>
                  </w:pPr>
                  <w:r>
                    <w:rPr>
                      <w:rFonts w:hint="eastAsia"/>
                      <w:szCs w:val="21"/>
                      <w:highlight w:val="none"/>
                      <w:lang w:val="en-US" w:eastAsia="zh-CN"/>
                    </w:rPr>
                    <w:t>10</w:t>
                  </w:r>
                </w:p>
              </w:tc>
              <w:tc>
                <w:tcPr>
                  <w:tcW w:w="2070" w:type="pct"/>
                  <w:vMerge w:val="continue"/>
                  <w:noWrap w:val="0"/>
                  <w:vAlign w:val="center"/>
                </w:tcPr>
                <w:p w14:paraId="58519231">
                  <w:pPr>
                    <w:jc w:val="center"/>
                    <w:rPr>
                      <w:rFonts w:hint="eastAsia"/>
                      <w:szCs w:val="21"/>
                      <w:highlight w:val="none"/>
                      <w:lang w:val="en-US" w:eastAsia="zh-CN"/>
                    </w:rPr>
                  </w:pPr>
                </w:p>
              </w:tc>
            </w:tr>
            <w:tr w14:paraId="4BE51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6" w:type="pct"/>
                  <w:shd w:val="clear" w:color="auto" w:fill="auto"/>
                  <w:noWrap w:val="0"/>
                  <w:vAlign w:val="center"/>
                </w:tcPr>
                <w:p w14:paraId="52EC188C">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总氮（mg/L）</w:t>
                  </w:r>
                </w:p>
              </w:tc>
              <w:tc>
                <w:tcPr>
                  <w:tcW w:w="1813" w:type="pct"/>
                  <w:shd w:val="clear" w:color="auto" w:fill="auto"/>
                  <w:noWrap w:val="0"/>
                  <w:vAlign w:val="center"/>
                </w:tcPr>
                <w:p w14:paraId="19F62266">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15</w:t>
                  </w:r>
                </w:p>
              </w:tc>
              <w:tc>
                <w:tcPr>
                  <w:tcW w:w="2070" w:type="pct"/>
                  <w:vMerge w:val="continue"/>
                  <w:noWrap w:val="0"/>
                  <w:vAlign w:val="center"/>
                </w:tcPr>
                <w:p w14:paraId="67CE997A">
                  <w:pPr>
                    <w:jc w:val="center"/>
                    <w:rPr>
                      <w:rFonts w:hint="eastAsia"/>
                      <w:szCs w:val="21"/>
                      <w:highlight w:val="none"/>
                      <w:lang w:val="en-US" w:eastAsia="zh-CN"/>
                    </w:rPr>
                  </w:pPr>
                </w:p>
              </w:tc>
            </w:tr>
          </w:tbl>
          <w:p w14:paraId="4457B7E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3</w:t>
            </w:r>
            <w:r>
              <w:rPr>
                <w:rFonts w:hint="eastAsia" w:ascii="Times New Roman" w:hAnsi="Times New Roman" w:eastAsia="黑体" w:cs="Times New Roman"/>
                <w:b w:val="0"/>
                <w:bCs w:val="0"/>
                <w:color w:val="auto"/>
                <w:sz w:val="24"/>
                <w:szCs w:val="24"/>
                <w:highlight w:val="none"/>
                <w:lang w:val="en-US" w:eastAsia="zh-CN"/>
              </w:rPr>
              <w:t>、</w:t>
            </w:r>
            <w:r>
              <w:rPr>
                <w:rFonts w:hint="default" w:ascii="Times New Roman" w:hAnsi="Times New Roman" w:eastAsia="黑体" w:cs="Times New Roman"/>
                <w:color w:val="auto"/>
                <w:sz w:val="24"/>
                <w:szCs w:val="24"/>
                <w:highlight w:val="none"/>
                <w:lang w:val="en-US" w:eastAsia="zh-CN"/>
              </w:rPr>
              <w:t>噪声</w:t>
            </w:r>
          </w:p>
          <w:p w14:paraId="5A20C097">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z w:val="24"/>
                <w:szCs w:val="24"/>
                <w:lang w:val="zh-CN" w:eastAsia="zh-CN"/>
              </w:rPr>
            </w:pPr>
            <w:r>
              <w:rPr>
                <w:rFonts w:hint="eastAsia" w:ascii="Times New Roman" w:hAnsi="Times New Roman" w:eastAsia="宋体" w:cs="Times New Roman"/>
                <w:b w:val="0"/>
                <w:bCs w:val="0"/>
                <w:color w:val="auto"/>
                <w:sz w:val="24"/>
                <w:szCs w:val="24"/>
                <w:lang w:val="zh-CN" w:eastAsia="zh-CN"/>
              </w:rPr>
              <w:t>运营</w:t>
            </w:r>
            <w:r>
              <w:rPr>
                <w:rFonts w:hint="eastAsia" w:cs="Times New Roman"/>
                <w:b w:val="0"/>
                <w:bCs w:val="0"/>
                <w:color w:val="auto"/>
                <w:sz w:val="24"/>
                <w:szCs w:val="24"/>
                <w:lang w:val="zh-CN" w:eastAsia="zh-CN"/>
              </w:rPr>
              <w:t>期</w:t>
            </w:r>
            <w:r>
              <w:rPr>
                <w:rFonts w:hint="eastAsia" w:cs="Times New Roman"/>
                <w:b w:val="0"/>
                <w:bCs w:val="0"/>
                <w:color w:val="auto"/>
                <w:sz w:val="24"/>
                <w:szCs w:val="24"/>
                <w:lang w:val="en-US" w:eastAsia="zh-CN"/>
              </w:rPr>
              <w:t>噪声</w:t>
            </w:r>
            <w:r>
              <w:rPr>
                <w:rFonts w:hint="eastAsia" w:ascii="Times New Roman" w:hAnsi="Times New Roman" w:eastAsia="宋体" w:cs="Times New Roman"/>
                <w:b w:val="0"/>
                <w:bCs w:val="0"/>
                <w:color w:val="auto"/>
                <w:sz w:val="24"/>
                <w:szCs w:val="24"/>
                <w:lang w:val="zh-CN" w:eastAsia="zh-CN"/>
              </w:rPr>
              <w:t>执行《工业企业厂界环境噪声排放标准》（GB12348-2008）</w:t>
            </w:r>
            <w:r>
              <w:rPr>
                <w:rFonts w:hint="eastAsia" w:cs="Times New Roman"/>
                <w:b w:val="0"/>
                <w:bCs w:val="0"/>
                <w:color w:val="auto"/>
                <w:sz w:val="24"/>
                <w:szCs w:val="24"/>
                <w:lang w:val="en-US" w:eastAsia="zh-CN"/>
              </w:rPr>
              <w:t>2</w:t>
            </w:r>
            <w:r>
              <w:rPr>
                <w:rFonts w:hint="eastAsia" w:cs="Times New Roman"/>
                <w:b w:val="0"/>
                <w:bCs w:val="0"/>
                <w:color w:val="auto"/>
                <w:sz w:val="24"/>
                <w:szCs w:val="24"/>
                <w:lang w:val="zh-CN" w:eastAsia="zh-CN"/>
              </w:rPr>
              <w:t>类</w:t>
            </w:r>
            <w:r>
              <w:rPr>
                <w:rFonts w:hint="eastAsia" w:ascii="Times New Roman" w:hAnsi="Times New Roman" w:eastAsia="宋体" w:cs="Times New Roman"/>
                <w:b w:val="0"/>
                <w:bCs w:val="0"/>
                <w:color w:val="auto"/>
                <w:sz w:val="24"/>
                <w:szCs w:val="24"/>
                <w:lang w:val="zh-CN" w:eastAsia="zh-CN"/>
              </w:rPr>
              <w:t>标准。</w:t>
            </w:r>
          </w:p>
          <w:p w14:paraId="607DB275">
            <w:pPr>
              <w:pStyle w:val="9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eastAsia="黑体" w:cs="Times New Roman"/>
                <w:b w:val="0"/>
                <w:bCs w:val="0"/>
                <w:color w:val="auto"/>
                <w:kern w:val="0"/>
                <w:sz w:val="24"/>
                <w:szCs w:val="24"/>
                <w:lang w:val="zh-CN" w:eastAsia="zh-CN" w:bidi="ar-SA"/>
              </w:rPr>
            </w:pPr>
            <w:r>
              <w:rPr>
                <w:rFonts w:hint="eastAsia" w:ascii="Times New Roman" w:hAnsi="Times New Roman" w:eastAsia="黑体" w:cs="Times New Roman"/>
                <w:b w:val="0"/>
                <w:bCs w:val="0"/>
                <w:color w:val="auto"/>
                <w:kern w:val="0"/>
                <w:sz w:val="24"/>
                <w:szCs w:val="24"/>
                <w:lang w:val="zh-CN" w:eastAsia="zh-CN" w:bidi="ar-SA"/>
              </w:rPr>
              <w:t>表3-</w:t>
            </w:r>
            <w:r>
              <w:rPr>
                <w:rFonts w:hint="eastAsia" w:ascii="Times New Roman" w:hAnsi="Times New Roman" w:cs="Times New Roman"/>
                <w:b w:val="0"/>
                <w:bCs w:val="0"/>
                <w:color w:val="auto"/>
                <w:kern w:val="0"/>
                <w:sz w:val="24"/>
                <w:szCs w:val="24"/>
                <w:lang w:val="en-US" w:eastAsia="zh-CN" w:bidi="ar-SA"/>
              </w:rPr>
              <w:t xml:space="preserve">5 </w:t>
            </w:r>
            <w:r>
              <w:rPr>
                <w:rFonts w:hint="eastAsia" w:ascii="Times New Roman" w:hAnsi="Times New Roman" w:eastAsia="黑体" w:cs="Times New Roman"/>
                <w:b w:val="0"/>
                <w:bCs w:val="0"/>
                <w:color w:val="auto"/>
                <w:kern w:val="0"/>
                <w:sz w:val="24"/>
                <w:szCs w:val="24"/>
                <w:lang w:val="zh-CN" w:eastAsia="zh-CN" w:bidi="ar-SA"/>
              </w:rPr>
              <w:t>工业企业厂界环境噪声排放标准</w:t>
            </w:r>
          </w:p>
          <w:tbl>
            <w:tblPr>
              <w:tblStyle w:val="27"/>
              <w:tblW w:w="83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2357"/>
              <w:gridCol w:w="1461"/>
              <w:gridCol w:w="1658"/>
              <w:gridCol w:w="1663"/>
            </w:tblGrid>
            <w:tr w14:paraId="0E29A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02" w:type="dxa"/>
                  <w:tcBorders>
                    <w:tl2br w:val="nil"/>
                    <w:tr2bl w:val="nil"/>
                  </w:tcBorders>
                  <w:noWrap w:val="0"/>
                  <w:vAlign w:val="center"/>
                </w:tcPr>
                <w:p w14:paraId="3E312868">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时期</w:t>
                  </w:r>
                </w:p>
              </w:tc>
              <w:tc>
                <w:tcPr>
                  <w:tcW w:w="2357" w:type="dxa"/>
                  <w:tcBorders>
                    <w:tl2br w:val="nil"/>
                    <w:tr2bl w:val="nil"/>
                  </w:tcBorders>
                  <w:noWrap w:val="0"/>
                  <w:vAlign w:val="center"/>
                </w:tcPr>
                <w:p w14:paraId="27A14D47">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eastAsia="zh-CN"/>
                    </w:rPr>
                    <w:t>执行标准</w:t>
                  </w:r>
                </w:p>
              </w:tc>
              <w:tc>
                <w:tcPr>
                  <w:tcW w:w="1461" w:type="dxa"/>
                  <w:tcBorders>
                    <w:tl2br w:val="nil"/>
                    <w:tr2bl w:val="nil"/>
                  </w:tcBorders>
                  <w:noWrap w:val="0"/>
                  <w:vAlign w:val="center"/>
                </w:tcPr>
                <w:p w14:paraId="49B48F80">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等效声级</w:t>
                  </w:r>
                </w:p>
              </w:tc>
              <w:tc>
                <w:tcPr>
                  <w:tcW w:w="1658" w:type="dxa"/>
                  <w:tcBorders>
                    <w:tl2br w:val="nil"/>
                    <w:tr2bl w:val="nil"/>
                  </w:tcBorders>
                  <w:noWrap w:val="0"/>
                  <w:vAlign w:val="center"/>
                </w:tcPr>
                <w:p w14:paraId="30792A44">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昼间</w:t>
                  </w:r>
                </w:p>
              </w:tc>
              <w:tc>
                <w:tcPr>
                  <w:tcW w:w="1663" w:type="dxa"/>
                  <w:tcBorders>
                    <w:tl2br w:val="nil"/>
                    <w:tr2bl w:val="nil"/>
                  </w:tcBorders>
                  <w:noWrap w:val="0"/>
                  <w:vAlign w:val="center"/>
                </w:tcPr>
                <w:p w14:paraId="1B7BEF92">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夜间</w:t>
                  </w:r>
                </w:p>
              </w:tc>
            </w:tr>
            <w:tr w14:paraId="771EA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02" w:type="dxa"/>
                  <w:tcBorders>
                    <w:tl2br w:val="nil"/>
                    <w:tr2bl w:val="nil"/>
                  </w:tcBorders>
                  <w:noWrap w:val="0"/>
                  <w:vAlign w:val="center"/>
                </w:tcPr>
                <w:p w14:paraId="258FEAE3">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eastAsia="zh-CN"/>
                    </w:rPr>
                    <w:t>运营</w:t>
                  </w:r>
                  <w:r>
                    <w:rPr>
                      <w:rFonts w:hint="default" w:ascii="Times New Roman" w:hAnsi="Times New Roman" w:eastAsia="宋体" w:cs="Times New Roman"/>
                      <w:b w:val="0"/>
                      <w:bCs w:val="0"/>
                      <w:color w:val="auto"/>
                      <w:sz w:val="21"/>
                      <w:szCs w:val="21"/>
                      <w:highlight w:val="none"/>
                    </w:rPr>
                    <w:t>期</w:t>
                  </w:r>
                </w:p>
              </w:tc>
              <w:tc>
                <w:tcPr>
                  <w:tcW w:w="2357" w:type="dxa"/>
                  <w:tcBorders>
                    <w:tl2br w:val="nil"/>
                    <w:tr2bl w:val="nil"/>
                  </w:tcBorders>
                  <w:noWrap w:val="0"/>
                  <w:vAlign w:val="center"/>
                </w:tcPr>
                <w:p w14:paraId="16D74A95">
                  <w:pPr>
                    <w:widowControl/>
                    <w:tabs>
                      <w:tab w:val="left" w:pos="5420"/>
                    </w:tabs>
                    <w:adjustRightInd w:val="0"/>
                    <w:snapToGrid w:val="0"/>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rPr>
                    <w:t>《工业</w:t>
                  </w:r>
                  <w:r>
                    <w:rPr>
                      <w:rFonts w:hint="default" w:ascii="Times New Roman" w:hAnsi="Times New Roman" w:eastAsia="宋体" w:cs="Times New Roman"/>
                      <w:b w:val="0"/>
                      <w:bCs w:val="0"/>
                      <w:color w:val="auto"/>
                      <w:sz w:val="21"/>
                      <w:szCs w:val="21"/>
                      <w:highlight w:val="none"/>
                    </w:rPr>
                    <w:t>企业厂界环境噪声排放标准</w:t>
                  </w:r>
                  <w:r>
                    <w:rPr>
                      <w:rFonts w:hint="eastAsia"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rPr>
                    <w:t>GB12348-2008，</w:t>
                  </w:r>
                  <w:r>
                    <w:rPr>
                      <w:rFonts w:hint="eastAsia"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rPr>
                    <w:t>类</w:t>
                  </w:r>
                </w:p>
              </w:tc>
              <w:tc>
                <w:tcPr>
                  <w:tcW w:w="1461" w:type="dxa"/>
                  <w:tcBorders>
                    <w:tl2br w:val="nil"/>
                    <w:tr2bl w:val="nil"/>
                  </w:tcBorders>
                  <w:noWrap w:val="0"/>
                  <w:vAlign w:val="center"/>
                </w:tcPr>
                <w:p w14:paraId="334411D8">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dB（A）</w:t>
                  </w:r>
                </w:p>
              </w:tc>
              <w:tc>
                <w:tcPr>
                  <w:tcW w:w="1658" w:type="dxa"/>
                  <w:tcBorders>
                    <w:tl2br w:val="nil"/>
                    <w:tr2bl w:val="nil"/>
                  </w:tcBorders>
                  <w:noWrap w:val="0"/>
                  <w:vAlign w:val="center"/>
                </w:tcPr>
                <w:p w14:paraId="643590FB">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60</w:t>
                  </w:r>
                </w:p>
              </w:tc>
              <w:tc>
                <w:tcPr>
                  <w:tcW w:w="1663" w:type="dxa"/>
                  <w:tcBorders>
                    <w:tl2br w:val="nil"/>
                    <w:tr2bl w:val="nil"/>
                  </w:tcBorders>
                  <w:noWrap w:val="0"/>
                  <w:vAlign w:val="center"/>
                </w:tcPr>
                <w:p w14:paraId="41D3A3B6">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50</w:t>
                  </w:r>
                </w:p>
              </w:tc>
            </w:tr>
          </w:tbl>
          <w:p w14:paraId="518EE32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4</w:t>
            </w:r>
            <w:r>
              <w:rPr>
                <w:rFonts w:hint="default" w:ascii="Times New Roman" w:hAnsi="Times New Roman" w:eastAsia="黑体" w:cs="Times New Roman"/>
                <w:b w:val="0"/>
                <w:bCs w:val="0"/>
                <w:color w:val="auto"/>
                <w:sz w:val="24"/>
                <w:szCs w:val="24"/>
                <w:highlight w:val="none"/>
                <w:lang w:val="en-US" w:eastAsia="zh-CN"/>
              </w:rPr>
              <w:t>、固体废物</w:t>
            </w:r>
          </w:p>
          <w:p w14:paraId="2AE2E25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rPr>
              <w:t>本项目固体废物为一般工业固体废物、</w:t>
            </w:r>
            <w:r>
              <w:rPr>
                <w:rFonts w:hint="eastAsia" w:ascii="Times New Roman" w:hAnsi="Times New Roman" w:eastAsia="宋体" w:cs="Times New Roman"/>
                <w:color w:val="auto"/>
                <w:sz w:val="24"/>
                <w:highlight w:val="none"/>
                <w:lang w:val="en-US" w:eastAsia="zh-CN"/>
              </w:rPr>
              <w:t>危险废物、</w:t>
            </w:r>
            <w:r>
              <w:rPr>
                <w:rFonts w:hint="eastAsia" w:ascii="Times New Roman" w:hAnsi="Times New Roman" w:eastAsia="宋体" w:cs="Times New Roman"/>
                <w:color w:val="auto"/>
                <w:sz w:val="24"/>
                <w:highlight w:val="none"/>
              </w:rPr>
              <w:t>生活垃圾</w:t>
            </w:r>
            <w:r>
              <w:rPr>
                <w:rFonts w:hint="eastAsia" w:ascii="Times New Roman" w:hAnsi="Times New Roman" w:eastAsia="宋体" w:cs="Times New Roman"/>
                <w:color w:val="auto"/>
                <w:sz w:val="24"/>
                <w:highlight w:val="none"/>
                <w:lang w:eastAsia="zh-CN"/>
              </w:rPr>
              <w:t>。一般固体废物</w:t>
            </w:r>
            <w:r>
              <w:rPr>
                <w:rFonts w:hint="eastAsia" w:ascii="Times New Roman" w:hAnsi="Times New Roman" w:eastAsia="宋体" w:cs="Times New Roman"/>
                <w:color w:val="auto"/>
                <w:sz w:val="24"/>
                <w:highlight w:val="none"/>
                <w:lang w:val="en-US" w:eastAsia="zh-CN"/>
              </w:rPr>
              <w:t>执行</w:t>
            </w:r>
            <w:r>
              <w:rPr>
                <w:rFonts w:hint="eastAsia" w:ascii="Times New Roman" w:hAnsi="Times New Roman" w:eastAsia="宋体" w:cs="Times New Roman"/>
                <w:color w:val="auto"/>
                <w:sz w:val="24"/>
                <w:highlight w:val="none"/>
                <w:lang w:eastAsia="zh-CN"/>
              </w:rPr>
              <w:t>《中华人民共和国固体废物污染环境防治法》相关要求，采取防扬散、防流失、防渗漏或者其他防止污染环境的措施，不得擅自倾倒、堆放、丢失、遗撒；</w:t>
            </w:r>
            <w:r>
              <w:rPr>
                <w:rFonts w:hint="eastAsia" w:ascii="Times New Roman" w:hAnsi="Times New Roman" w:eastAsia="宋体" w:cs="Times New Roman"/>
                <w:color w:val="auto"/>
                <w:sz w:val="24"/>
                <w:highlight w:val="none"/>
                <w:lang w:val="zh-CN"/>
              </w:rPr>
              <w:t>危险废物执行《危险废物贮存污染控制标准》（GB18597-20</w:t>
            </w:r>
            <w:r>
              <w:rPr>
                <w:rFonts w:hint="eastAsia" w:ascii="Times New Roman" w:hAnsi="Times New Roman" w:eastAsia="宋体" w:cs="Times New Roman"/>
                <w:color w:val="auto"/>
                <w:sz w:val="24"/>
                <w:highlight w:val="none"/>
              </w:rPr>
              <w:t>23</w:t>
            </w:r>
            <w:r>
              <w:rPr>
                <w:rFonts w:hint="eastAsia" w:ascii="Times New Roman" w:hAnsi="Times New Roman" w:eastAsia="宋体" w:cs="Times New Roman"/>
                <w:color w:val="auto"/>
                <w:sz w:val="24"/>
                <w:highlight w:val="none"/>
                <w:lang w:val="zh-CN"/>
              </w:rPr>
              <w:t>）要求</w:t>
            </w:r>
            <w:r>
              <w:rPr>
                <w:rFonts w:hint="eastAsia" w:ascii="Times New Roman" w:hAnsi="Times New Roman" w:eastAsia="宋体" w:cs="Times New Roman"/>
                <w:color w:val="auto"/>
                <w:sz w:val="24"/>
                <w:highlight w:val="none"/>
              </w:rPr>
              <w:t>。</w:t>
            </w:r>
          </w:p>
          <w:p w14:paraId="275B53D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highlight w:val="none"/>
                <w:lang w:val="zh-CN" w:eastAsia="zh-CN"/>
              </w:rPr>
            </w:pPr>
          </w:p>
          <w:p w14:paraId="0A18C97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auto"/>
                <w:sz w:val="24"/>
                <w:highlight w:val="none"/>
                <w:lang w:val="en-US" w:eastAsia="zh-CN"/>
              </w:rPr>
            </w:pPr>
          </w:p>
        </w:tc>
      </w:tr>
      <w:tr w14:paraId="41C144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03" w:hRule="atLeast"/>
          <w:jc w:val="center"/>
        </w:trPr>
        <w:tc>
          <w:tcPr>
            <w:tcW w:w="331" w:type="pct"/>
            <w:vAlign w:val="center"/>
          </w:tcPr>
          <w:p w14:paraId="72680AC8">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总量</w:t>
            </w:r>
          </w:p>
          <w:p w14:paraId="6C079DDE">
            <w:pPr>
              <w:adjustRightInd w:val="0"/>
              <w:snapToGrid w:val="0"/>
              <w:jc w:val="center"/>
              <w:rPr>
                <w:rFonts w:hint="default" w:ascii="黑体" w:hAnsi="黑体" w:eastAsia="黑体" w:cs="黑体"/>
                <w:b w:val="0"/>
                <w:bCs w:val="0"/>
                <w:color w:val="auto"/>
                <w:kern w:val="0"/>
                <w:sz w:val="24"/>
                <w:szCs w:val="24"/>
                <w:highlight w:val="none"/>
              </w:rPr>
            </w:pPr>
            <w:r>
              <w:rPr>
                <w:rFonts w:hint="default" w:ascii="黑体" w:hAnsi="黑体" w:eastAsia="黑体" w:cs="黑体"/>
                <w:b w:val="0"/>
                <w:bCs w:val="0"/>
                <w:color w:val="auto"/>
                <w:kern w:val="0"/>
                <w:sz w:val="24"/>
                <w:szCs w:val="24"/>
                <w:highlight w:val="none"/>
              </w:rPr>
              <w:t>控制</w:t>
            </w:r>
          </w:p>
          <w:p w14:paraId="27AD39F0">
            <w:pPr>
              <w:adjustRightInd w:val="0"/>
              <w:snapToGrid w:val="0"/>
              <w:jc w:val="center"/>
              <w:rPr>
                <w:rFonts w:hint="default" w:ascii="Times New Roman" w:hAnsi="Times New Roman" w:cs="Times New Roman"/>
                <w:color w:val="auto"/>
                <w:kern w:val="0"/>
                <w:szCs w:val="21"/>
                <w:highlight w:val="none"/>
              </w:rPr>
            </w:pPr>
            <w:r>
              <w:rPr>
                <w:rFonts w:hint="default" w:ascii="黑体" w:hAnsi="黑体" w:eastAsia="黑体" w:cs="黑体"/>
                <w:b w:val="0"/>
                <w:bCs w:val="0"/>
                <w:color w:val="auto"/>
                <w:kern w:val="0"/>
                <w:sz w:val="24"/>
                <w:szCs w:val="24"/>
                <w:highlight w:val="none"/>
              </w:rPr>
              <w:t>指标</w:t>
            </w:r>
          </w:p>
        </w:tc>
        <w:tc>
          <w:tcPr>
            <w:tcW w:w="4668" w:type="pct"/>
            <w:vAlign w:val="center"/>
          </w:tcPr>
          <w:p w14:paraId="1FDC1EC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color w:val="auto"/>
                <w:sz w:val="24"/>
                <w:highlight w:val="none"/>
              </w:rPr>
            </w:pPr>
            <w:r>
              <w:rPr>
                <w:rFonts w:hint="eastAsia" w:ascii="黑体" w:hAnsi="黑体" w:eastAsia="黑体" w:cs="黑体"/>
                <w:color w:val="auto"/>
                <w:sz w:val="24"/>
                <w:highlight w:val="none"/>
              </w:rPr>
              <w:t>1、总量控制对象</w:t>
            </w:r>
          </w:p>
          <w:p w14:paraId="2C91178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color w:val="auto"/>
                <w:sz w:val="24"/>
                <w:highlight w:val="none"/>
              </w:rPr>
            </w:pPr>
            <w:r>
              <w:rPr>
                <w:color w:val="auto"/>
                <w:sz w:val="24"/>
                <w:highlight w:val="none"/>
              </w:rPr>
              <w:t>根据《建设项目主要污染物排放总量指标审核及管理暂行办法》（鲁环发[2019]132号）、《山东省2013－2020年大气污染防治规划》</w:t>
            </w:r>
            <w:r>
              <w:rPr>
                <w:rFonts w:hint="eastAsia"/>
                <w:color w:val="auto"/>
                <w:sz w:val="24"/>
                <w:highlight w:val="none"/>
              </w:rPr>
              <w:t>、</w:t>
            </w:r>
            <w:r>
              <w:rPr>
                <w:color w:val="auto"/>
                <w:sz w:val="24"/>
                <w:highlight w:val="none"/>
              </w:rPr>
              <w:t>《关于印发&lt;淄博市建设项目主要大气污染物排放总量替代指标核算及管理办法&gt;的通知》（淄环发[2019]135号）以及《关于统筹使用“十四五”建设项目主要大气污染物总量指标的通知》（淄环函[2021]55号），淄博市将SO</w:t>
            </w:r>
            <w:r>
              <w:rPr>
                <w:color w:val="auto"/>
                <w:sz w:val="24"/>
                <w:highlight w:val="none"/>
                <w:vertAlign w:val="subscript"/>
              </w:rPr>
              <w:t>2</w:t>
            </w:r>
            <w:r>
              <w:rPr>
                <w:color w:val="auto"/>
                <w:sz w:val="24"/>
                <w:highlight w:val="none"/>
              </w:rPr>
              <w:t>、烟（粉）尘、NOx、COD、氨氮和</w:t>
            </w:r>
            <w:r>
              <w:rPr>
                <w:rFonts w:hint="eastAsia"/>
                <w:color w:val="auto"/>
                <w:sz w:val="24"/>
                <w:highlight w:val="none"/>
              </w:rPr>
              <w:t>挥发性有机物</w:t>
            </w:r>
            <w:r>
              <w:rPr>
                <w:color w:val="auto"/>
                <w:sz w:val="24"/>
                <w:highlight w:val="none"/>
              </w:rPr>
              <w:t>列为总量控制</w:t>
            </w:r>
            <w:r>
              <w:rPr>
                <w:rFonts w:hint="eastAsia"/>
                <w:color w:val="auto"/>
                <w:sz w:val="24"/>
                <w:highlight w:val="none"/>
              </w:rPr>
              <w:t>对象</w:t>
            </w:r>
            <w:r>
              <w:rPr>
                <w:color w:val="auto"/>
                <w:sz w:val="24"/>
                <w:highlight w:val="none"/>
              </w:rPr>
              <w:t>。</w:t>
            </w:r>
          </w:p>
          <w:p w14:paraId="5E99C0D3">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ascii="黑体" w:hAnsi="黑体" w:eastAsia="黑体" w:cs="黑体"/>
                <w:color w:val="auto"/>
                <w:sz w:val="24"/>
                <w:highlight w:val="none"/>
              </w:rPr>
            </w:pPr>
            <w:r>
              <w:rPr>
                <w:rFonts w:hint="eastAsia" w:ascii="黑体" w:hAnsi="黑体" w:eastAsia="黑体" w:cs="黑体"/>
                <w:color w:val="auto"/>
                <w:sz w:val="24"/>
                <w:highlight w:val="none"/>
              </w:rPr>
              <w:t>2、总量控制指标</w:t>
            </w:r>
          </w:p>
          <w:p w14:paraId="510ABFA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rPr>
            </w:pPr>
            <w:r>
              <w:rPr>
                <w:rFonts w:ascii="Times New Roman" w:hAnsi="Times New Roman" w:eastAsia="宋体" w:cs="Times New Roman"/>
                <w:color w:val="auto"/>
                <w:sz w:val="24"/>
              </w:rPr>
              <w:t>根据《山东省建设项目主要大气污染物排放总量替代指标核算及管理办法》（鲁环发[2019]132 号）、《关于印发&lt;淄博市建设项目主要大气污染物排放总量替代指标核算及管理办法&gt;的通知》（淄环发[2019]135号）以及《关于统筹使用“十四五”建设项目主要大气污染物总量指标的通知》（淄环函[2021]55号）</w:t>
            </w:r>
            <w:r>
              <w:rPr>
                <w:color w:val="auto"/>
                <w:sz w:val="24"/>
              </w:rPr>
              <w:t>，若上一年度细颗粒物年平均浓度超标，实行二氧化硫、氮氧化物、颗粒物、挥发性有机物四项污</w:t>
            </w:r>
            <w:r>
              <w:rPr>
                <w:rFonts w:ascii="Times New Roman" w:hAnsi="Times New Roman" w:eastAsia="宋体" w:cs="Times New Roman"/>
                <w:color w:val="auto"/>
                <w:sz w:val="24"/>
              </w:rPr>
              <w:t>染物排放总量指标2倍消减替代</w:t>
            </w:r>
            <w:r>
              <w:rPr>
                <w:rFonts w:hint="eastAsia" w:ascii="Times New Roman" w:hAnsi="Times New Roman" w:eastAsia="宋体" w:cs="Times New Roman"/>
                <w:color w:val="auto"/>
                <w:sz w:val="24"/>
              </w:rPr>
              <w:t>。</w:t>
            </w:r>
          </w:p>
          <w:p w14:paraId="6CCB07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w:t>
            </w:r>
            <w:r>
              <w:rPr>
                <w:rFonts w:hint="eastAsia" w:cs="Times New Roman"/>
                <w:color w:val="auto"/>
                <w:sz w:val="24"/>
                <w:lang w:val="en-US" w:eastAsia="zh-CN"/>
              </w:rPr>
              <w:t>生产废水全部回用不外排，</w:t>
            </w:r>
            <w:r>
              <w:rPr>
                <w:rFonts w:hint="eastAsia" w:ascii="Times New Roman" w:hAnsi="Times New Roman" w:eastAsia="宋体" w:cs="Times New Roman"/>
                <w:color w:val="auto"/>
                <w:sz w:val="24"/>
                <w:lang w:eastAsia="zh-CN"/>
              </w:rPr>
              <w:t>生活污水经化粪池处理后</w:t>
            </w:r>
            <w:r>
              <w:rPr>
                <w:rFonts w:hint="eastAsia" w:cs="Times New Roman"/>
                <w:color w:val="auto"/>
                <w:sz w:val="24"/>
                <w:lang w:val="en-US" w:eastAsia="zh-CN"/>
              </w:rPr>
              <w:t>由环卫部门定期清运</w:t>
            </w:r>
            <w:r>
              <w:rPr>
                <w:rFonts w:hint="eastAsia" w:ascii="Times New Roman" w:hAnsi="Times New Roman" w:eastAsia="宋体" w:cs="Times New Roman"/>
                <w:color w:val="auto"/>
                <w:sz w:val="24"/>
                <w:lang w:val="en-US" w:eastAsia="zh-CN"/>
              </w:rPr>
              <w:t>，不需要申请总量控制标准。</w:t>
            </w:r>
          </w:p>
          <w:p w14:paraId="44D332AD">
            <w:pPr>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w:t>
            </w:r>
            <w:r>
              <w:rPr>
                <w:rFonts w:hint="eastAsia" w:ascii="Times New Roman" w:hAnsi="Times New Roman" w:eastAsia="宋体" w:cs="Times New Roman"/>
                <w:color w:val="auto"/>
                <w:sz w:val="24"/>
                <w:lang w:eastAsia="zh-CN"/>
              </w:rPr>
              <w:t>生产过程</w:t>
            </w:r>
            <w:r>
              <w:rPr>
                <w:color w:val="auto"/>
                <w:sz w:val="24"/>
              </w:rPr>
              <w:t>中</w:t>
            </w:r>
            <w:r>
              <w:rPr>
                <w:rFonts w:hint="eastAsia"/>
                <w:color w:val="auto"/>
                <w:sz w:val="24"/>
              </w:rPr>
              <w:t>有</w:t>
            </w:r>
            <w:r>
              <w:rPr>
                <w:rFonts w:hint="eastAsia"/>
                <w:color w:val="auto"/>
                <w:sz w:val="24"/>
                <w:lang w:val="en-US" w:eastAsia="zh-CN"/>
              </w:rPr>
              <w:t>VOCs、</w:t>
            </w:r>
            <w:r>
              <w:rPr>
                <w:color w:val="auto"/>
                <w:sz w:val="24"/>
              </w:rPr>
              <w:t>颗粒物产生，需申请总量排放指标</w:t>
            </w:r>
            <w:r>
              <w:rPr>
                <w:rFonts w:hint="eastAsia" w:ascii="Times New Roman" w:hAnsi="Times New Roman" w:eastAsia="宋体" w:cs="Times New Roman"/>
                <w:color w:val="auto"/>
                <w:sz w:val="24"/>
                <w:lang w:val="en-US" w:eastAsia="zh-CN"/>
              </w:rPr>
              <w:t>。</w:t>
            </w:r>
          </w:p>
          <w:p w14:paraId="5B9836C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color w:val="auto"/>
                <w:sz w:val="24"/>
                <w:highlight w:val="none"/>
                <w:lang w:eastAsia="zh-CN"/>
              </w:rPr>
            </w:pPr>
            <w:r>
              <w:rPr>
                <w:rFonts w:hint="eastAsia" w:ascii="黑体" w:hAnsi="黑体" w:eastAsia="黑体" w:cs="黑体"/>
                <w:color w:val="auto"/>
                <w:sz w:val="24"/>
                <w:highlight w:val="none"/>
                <w:lang w:val="en-US" w:eastAsia="zh-CN"/>
              </w:rPr>
              <w:t>3</w:t>
            </w:r>
            <w:r>
              <w:rPr>
                <w:rFonts w:hint="eastAsia" w:ascii="黑体" w:hAnsi="黑体" w:eastAsia="黑体" w:cs="黑体"/>
                <w:color w:val="auto"/>
                <w:sz w:val="24"/>
                <w:highlight w:val="none"/>
              </w:rPr>
              <w:t>、</w:t>
            </w:r>
            <w:r>
              <w:rPr>
                <w:rFonts w:hint="eastAsia" w:ascii="黑体" w:hAnsi="黑体" w:eastAsia="黑体" w:cs="黑体"/>
                <w:color w:val="auto"/>
                <w:sz w:val="24"/>
                <w:highlight w:val="none"/>
                <w:lang w:eastAsia="zh-CN"/>
              </w:rPr>
              <w:t>倍量替代</w:t>
            </w:r>
          </w:p>
          <w:p w14:paraId="55C87D10">
            <w:pPr>
              <w:pStyle w:val="15"/>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kern w:val="2"/>
                <w:sz w:val="24"/>
                <w:szCs w:val="24"/>
                <w:lang w:val="en-US" w:eastAsia="zh-CN" w:bidi="ar-SA"/>
              </w:rPr>
              <w:t>本</w:t>
            </w:r>
            <w:r>
              <w:rPr>
                <w:rFonts w:hint="eastAsia" w:ascii="Times New Roman" w:hAnsi="Times New Roman" w:eastAsia="宋体" w:cs="Times New Roman"/>
                <w:color w:val="auto"/>
                <w:kern w:val="2"/>
                <w:sz w:val="24"/>
                <w:szCs w:val="24"/>
                <w:lang w:val="en-US" w:eastAsia="zh-CN" w:bidi="ar-SA"/>
              </w:rPr>
              <w:t>项目有组织</w:t>
            </w:r>
            <w:r>
              <w:rPr>
                <w:rFonts w:hint="eastAsia"/>
                <w:color w:val="auto"/>
                <w:sz w:val="24"/>
                <w:lang w:val="en-US" w:eastAsia="zh-CN"/>
              </w:rPr>
              <w:t>VOCs</w:t>
            </w:r>
            <w:r>
              <w:rPr>
                <w:rFonts w:hint="eastAsia" w:ascii="Times New Roman" w:hAnsi="Times New Roman" w:eastAsia="宋体" w:cs="Times New Roman"/>
                <w:color w:val="auto"/>
                <w:kern w:val="2"/>
                <w:sz w:val="24"/>
                <w:szCs w:val="24"/>
                <w:lang w:val="en-US" w:eastAsia="zh-CN" w:bidi="ar-SA"/>
              </w:rPr>
              <w:t>排放量为</w:t>
            </w:r>
            <w:r>
              <w:rPr>
                <w:rFonts w:hint="eastAsia" w:cs="Times New Roman"/>
                <w:color w:val="auto"/>
                <w:kern w:val="2"/>
                <w:sz w:val="24"/>
                <w:szCs w:val="24"/>
                <w:lang w:val="en-US" w:eastAsia="zh-CN" w:bidi="ar-SA"/>
              </w:rPr>
              <w:t>0.363</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kern w:val="2"/>
                <w:sz w:val="24"/>
                <w:szCs w:val="24"/>
                <w:lang w:val="en-US" w:eastAsia="zh-CN" w:bidi="ar-SA"/>
              </w:rPr>
              <w:t>无组织</w:t>
            </w:r>
            <w:r>
              <w:rPr>
                <w:rFonts w:hint="eastAsia"/>
                <w:color w:val="auto"/>
                <w:sz w:val="24"/>
                <w:lang w:val="en-US" w:eastAsia="zh-CN"/>
              </w:rPr>
              <w:t>VOCs</w:t>
            </w:r>
            <w:r>
              <w:rPr>
                <w:rFonts w:hint="eastAsia" w:ascii="Times New Roman" w:hAnsi="Times New Roman" w:eastAsia="宋体" w:cs="Times New Roman"/>
                <w:color w:val="auto"/>
                <w:kern w:val="2"/>
                <w:sz w:val="24"/>
                <w:szCs w:val="24"/>
                <w:lang w:val="en-US" w:eastAsia="zh-CN" w:bidi="ar-SA"/>
              </w:rPr>
              <w:t>排放量为</w:t>
            </w:r>
            <w:r>
              <w:rPr>
                <w:rFonts w:hint="eastAsia" w:cs="Times New Roman"/>
                <w:color w:val="auto"/>
                <w:kern w:val="2"/>
                <w:sz w:val="24"/>
                <w:szCs w:val="24"/>
                <w:lang w:val="en-US" w:eastAsia="zh-CN" w:bidi="ar-SA"/>
              </w:rPr>
              <w:t>0.2015</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kern w:val="2"/>
                <w:sz w:val="24"/>
                <w:szCs w:val="24"/>
                <w:lang w:val="en-US" w:eastAsia="zh-CN" w:bidi="ar-SA"/>
              </w:rPr>
              <w:t>有组织颗粒物排放量为</w:t>
            </w:r>
            <w:r>
              <w:rPr>
                <w:rFonts w:hint="eastAsia" w:cs="Times New Roman"/>
                <w:color w:val="auto"/>
                <w:kern w:val="2"/>
                <w:sz w:val="24"/>
                <w:szCs w:val="24"/>
                <w:lang w:val="en-US" w:eastAsia="zh-CN" w:bidi="ar-SA"/>
              </w:rPr>
              <w:t>0.019</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kern w:val="2"/>
                <w:sz w:val="24"/>
                <w:szCs w:val="24"/>
                <w:lang w:val="en-US" w:eastAsia="zh-CN" w:bidi="ar-SA"/>
              </w:rPr>
              <w:t>无组织颗粒物排放量为</w:t>
            </w:r>
            <w:r>
              <w:rPr>
                <w:rFonts w:hint="eastAsia" w:cs="Times New Roman"/>
                <w:color w:val="auto"/>
                <w:kern w:val="2"/>
                <w:sz w:val="24"/>
                <w:szCs w:val="24"/>
                <w:lang w:val="en-US" w:eastAsia="zh-CN" w:bidi="ar-SA"/>
              </w:rPr>
              <w:t>0.1</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因此，本项目需申请总量控制指标</w:t>
            </w:r>
            <w:r>
              <w:rPr>
                <w:rFonts w:hint="eastAsia"/>
                <w:color w:val="auto"/>
                <w:sz w:val="24"/>
                <w:lang w:val="en-US" w:eastAsia="zh-CN"/>
              </w:rPr>
              <w:t xml:space="preserve">VOCs </w:t>
            </w:r>
            <w:r>
              <w:rPr>
                <w:rFonts w:hint="eastAsia" w:cs="Times New Roman"/>
                <w:color w:val="auto"/>
                <w:sz w:val="24"/>
                <w:szCs w:val="24"/>
                <w:lang w:val="en-US" w:eastAsia="zh-CN"/>
              </w:rPr>
              <w:t>0.5645</w:t>
            </w:r>
            <w:r>
              <w:rPr>
                <w:rFonts w:hint="default"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、颗粒物0.119t/a。</w:t>
            </w:r>
          </w:p>
          <w:p w14:paraId="13E3F8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rPr>
              <w:t>本项目排放总量指标需实行2倍消减替代，替代量为</w:t>
            </w:r>
            <w:r>
              <w:rPr>
                <w:rFonts w:hint="eastAsia"/>
                <w:color w:val="auto"/>
                <w:sz w:val="24"/>
                <w:lang w:val="en-US" w:eastAsia="zh-CN"/>
              </w:rPr>
              <w:t>VOCs 1.129</w:t>
            </w:r>
            <w:r>
              <w:rPr>
                <w:rFonts w:hint="default"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w:t>
            </w:r>
            <w:r>
              <w:rPr>
                <w:rFonts w:ascii="Times New Roman" w:hAnsi="Times New Roman" w:eastAsia="宋体" w:cs="Times New Roman"/>
                <w:color w:val="auto"/>
                <w:sz w:val="24"/>
              </w:rPr>
              <w:t>颗粒物</w:t>
            </w:r>
            <w:r>
              <w:rPr>
                <w:rFonts w:hint="eastAsia" w:cs="Times New Roman"/>
                <w:color w:val="auto"/>
                <w:sz w:val="24"/>
                <w:lang w:val="en-US" w:eastAsia="zh-CN"/>
              </w:rPr>
              <w:t>0.238</w:t>
            </w:r>
            <w:r>
              <w:rPr>
                <w:rFonts w:ascii="Times New Roman" w:hAnsi="Times New Roman" w:eastAsia="宋体" w:cs="Times New Roman"/>
                <w:color w:val="auto"/>
                <w:sz w:val="24"/>
              </w:rPr>
              <w:t>t/a</w:t>
            </w:r>
            <w:r>
              <w:rPr>
                <w:rFonts w:hint="eastAsia" w:ascii="Times New Roman" w:hAnsi="Times New Roman" w:eastAsia="宋体" w:cs="Times New Roman"/>
                <w:color w:val="auto"/>
                <w:sz w:val="24"/>
                <w:lang w:val="en-US" w:eastAsia="zh-CN"/>
              </w:rPr>
              <w:t>。</w:t>
            </w:r>
          </w:p>
        </w:tc>
      </w:tr>
    </w:tbl>
    <w:p w14:paraId="40FBF8B9">
      <w:pPr>
        <w:pStyle w:val="23"/>
        <w:jc w:val="center"/>
        <w:outlineLvl w:val="0"/>
        <w:rPr>
          <w:rFonts w:hint="default" w:ascii="Times New Roman" w:hAnsi="Times New Roman" w:cs="Times New Roman"/>
          <w:snapToGrid w:val="0"/>
          <w:color w:val="auto"/>
          <w:sz w:val="36"/>
          <w:szCs w:val="36"/>
          <w:highlight w:val="none"/>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7528A77">
      <w:pPr>
        <w:pStyle w:val="23"/>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四、主要环境影响和保护措施</w:t>
      </w:r>
    </w:p>
    <w:tbl>
      <w:tblPr>
        <w:tblStyle w:val="27"/>
        <w:tblW w:w="510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90"/>
        <w:gridCol w:w="8776"/>
      </w:tblGrid>
      <w:tr w14:paraId="4C45E2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213" w:type="pct"/>
            <w:tcMar>
              <w:left w:w="28" w:type="dxa"/>
              <w:right w:w="28" w:type="dxa"/>
            </w:tcMar>
            <w:vAlign w:val="center"/>
          </w:tcPr>
          <w:p w14:paraId="1600190A">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施</w:t>
            </w:r>
          </w:p>
          <w:p w14:paraId="19BBC368">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工</w:t>
            </w:r>
          </w:p>
          <w:p w14:paraId="217DAB9D">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期</w:t>
            </w:r>
          </w:p>
          <w:p w14:paraId="08C34DC6">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环</w:t>
            </w:r>
          </w:p>
          <w:p w14:paraId="404A8C55">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境</w:t>
            </w:r>
          </w:p>
          <w:p w14:paraId="40AB34ED">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保</w:t>
            </w:r>
          </w:p>
          <w:p w14:paraId="502A634D">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护</w:t>
            </w:r>
          </w:p>
          <w:p w14:paraId="2AA0DA2F">
            <w:pPr>
              <w:pStyle w:val="23"/>
              <w:adjustRightInd w:val="0"/>
              <w:snapToGrid w:val="0"/>
              <w:spacing w:before="0" w:beforeAutospacing="0" w:after="0" w:afterAutospacing="0"/>
              <w:jc w:val="center"/>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rPr>
              <w:t>措</w:t>
            </w:r>
          </w:p>
          <w:p w14:paraId="4A850DAF">
            <w:pPr>
              <w:adjustRightInd w:val="0"/>
              <w:snapToGrid w:val="0"/>
              <w:jc w:val="center"/>
              <w:rPr>
                <w:rFonts w:hint="default" w:ascii="Times New Roman" w:hAnsi="Times New Roman" w:cs="Times New Roman"/>
                <w:b/>
                <w:bCs/>
                <w:color w:val="auto"/>
                <w:kern w:val="0"/>
                <w:sz w:val="24"/>
                <w:szCs w:val="24"/>
                <w:highlight w:val="none"/>
              </w:rPr>
            </w:pPr>
            <w:r>
              <w:rPr>
                <w:rFonts w:hint="eastAsia" w:ascii="黑体" w:hAnsi="黑体" w:eastAsia="黑体" w:cs="黑体"/>
                <w:color w:val="auto"/>
                <w:kern w:val="2"/>
                <w:sz w:val="24"/>
                <w:szCs w:val="24"/>
                <w:highlight w:val="none"/>
              </w:rPr>
              <w:t>施</w:t>
            </w:r>
          </w:p>
        </w:tc>
        <w:tc>
          <w:tcPr>
            <w:tcW w:w="4786" w:type="pct"/>
            <w:vAlign w:val="center"/>
          </w:tcPr>
          <w:p w14:paraId="35B826EC">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本项目</w:t>
            </w:r>
            <w:r>
              <w:rPr>
                <w:rFonts w:hint="eastAsia" w:cs="Times New Roman"/>
                <w:color w:val="auto"/>
                <w:sz w:val="24"/>
                <w:szCs w:val="24"/>
                <w:highlight w:val="none"/>
                <w:lang w:val="en-US" w:eastAsia="zh-CN"/>
              </w:rPr>
              <w:t>租赁</w:t>
            </w:r>
            <w:r>
              <w:rPr>
                <w:rFonts w:hint="eastAsia" w:ascii="Times New Roman" w:hAnsi="Times New Roman" w:eastAsia="宋体" w:cs="Times New Roman"/>
                <w:color w:val="auto"/>
                <w:sz w:val="24"/>
                <w:szCs w:val="24"/>
                <w:highlight w:val="none"/>
                <w:lang w:eastAsia="zh-CN"/>
              </w:rPr>
              <w:t>现有</w:t>
            </w:r>
            <w:r>
              <w:rPr>
                <w:rFonts w:hint="eastAsia" w:cs="Times New Roman"/>
                <w:color w:val="auto"/>
                <w:sz w:val="24"/>
                <w:szCs w:val="24"/>
                <w:highlight w:val="none"/>
                <w:lang w:val="en-US" w:eastAsia="zh-CN"/>
              </w:rPr>
              <w:t>已建成</w:t>
            </w:r>
            <w:r>
              <w:rPr>
                <w:rFonts w:hint="eastAsia" w:ascii="Times New Roman" w:hAnsi="Times New Roman" w:eastAsia="宋体" w:cs="Times New Roman"/>
                <w:color w:val="auto"/>
                <w:sz w:val="24"/>
                <w:szCs w:val="24"/>
                <w:highlight w:val="none"/>
                <w:lang w:val="en-US" w:eastAsia="zh-CN"/>
              </w:rPr>
              <w:t>厂房，</w:t>
            </w:r>
            <w:r>
              <w:rPr>
                <w:rFonts w:hint="eastAsia" w:ascii="Times New Roman" w:hAnsi="Times New Roman" w:cs="Times New Roman"/>
                <w:color w:val="auto"/>
                <w:sz w:val="24"/>
                <w:szCs w:val="24"/>
                <w:highlight w:val="none"/>
                <w:lang w:eastAsia="zh-CN"/>
              </w:rPr>
              <w:t>无土建施工</w:t>
            </w:r>
            <w:r>
              <w:rPr>
                <w:rFonts w:hint="eastAsia" w:ascii="Times New Roman" w:hAnsi="Times New Roman" w:eastAsia="宋体" w:cs="Times New Roman"/>
                <w:color w:val="auto"/>
                <w:sz w:val="24"/>
                <w:szCs w:val="24"/>
                <w:highlight w:val="none"/>
                <w:lang w:eastAsia="zh-CN"/>
              </w:rPr>
              <w:t>，施工期主要进行设备安装和调试，</w:t>
            </w:r>
            <w:r>
              <w:rPr>
                <w:rFonts w:hint="eastAsia" w:ascii="Times New Roman" w:hAnsi="Times New Roman" w:eastAsia="宋体" w:cs="Times New Roman"/>
                <w:color w:val="auto"/>
                <w:sz w:val="24"/>
                <w:szCs w:val="24"/>
                <w:highlight w:val="none"/>
              </w:rPr>
              <w:t>本次环评不再进行施工期环境影响分析</w:t>
            </w:r>
            <w:r>
              <w:rPr>
                <w:rFonts w:hint="eastAsia" w:ascii="Times New Roman" w:hAnsi="Times New Roman" w:eastAsia="宋体" w:cs="Times New Roman"/>
                <w:color w:val="auto"/>
                <w:sz w:val="24"/>
                <w:szCs w:val="24"/>
                <w:highlight w:val="none"/>
                <w:lang w:eastAsia="zh-CN"/>
              </w:rPr>
              <w:t>。</w:t>
            </w:r>
          </w:p>
          <w:p w14:paraId="64A14024">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p>
          <w:p w14:paraId="2C0DEC87">
            <w:pPr>
              <w:pStyle w:val="48"/>
              <w:rPr>
                <w:rFonts w:hint="default" w:ascii="Times New Roman" w:hAnsi="Times New Roman" w:eastAsia="宋体" w:cs="Times New Roman"/>
                <w:color w:val="auto"/>
                <w:sz w:val="24"/>
                <w:highlight w:val="none"/>
              </w:rPr>
            </w:pPr>
          </w:p>
          <w:p w14:paraId="76BDAADD">
            <w:pPr>
              <w:pStyle w:val="50"/>
              <w:rPr>
                <w:rFonts w:hint="default" w:ascii="Times New Roman" w:hAnsi="Times New Roman" w:eastAsia="宋体" w:cs="Times New Roman"/>
                <w:color w:val="auto"/>
                <w:sz w:val="24"/>
                <w:highlight w:val="none"/>
              </w:rPr>
            </w:pPr>
          </w:p>
          <w:p w14:paraId="475A551C">
            <w:pPr>
              <w:rPr>
                <w:rFonts w:hint="default" w:ascii="Times New Roman" w:hAnsi="Times New Roman" w:eastAsia="宋体" w:cs="Times New Roman"/>
                <w:color w:val="auto"/>
                <w:sz w:val="24"/>
                <w:highlight w:val="none"/>
              </w:rPr>
            </w:pPr>
          </w:p>
          <w:p w14:paraId="1570B238">
            <w:pPr>
              <w:pStyle w:val="48"/>
              <w:rPr>
                <w:rFonts w:hint="default" w:ascii="Times New Roman" w:hAnsi="Times New Roman" w:eastAsia="宋体" w:cs="Times New Roman"/>
                <w:color w:val="auto"/>
                <w:sz w:val="24"/>
                <w:highlight w:val="none"/>
              </w:rPr>
            </w:pPr>
          </w:p>
          <w:p w14:paraId="140C83C1">
            <w:pPr>
              <w:pStyle w:val="50"/>
              <w:rPr>
                <w:rFonts w:hint="default" w:ascii="Times New Roman" w:hAnsi="Times New Roman" w:eastAsia="宋体" w:cs="Times New Roman"/>
                <w:color w:val="auto"/>
                <w:sz w:val="24"/>
                <w:highlight w:val="none"/>
              </w:rPr>
            </w:pPr>
          </w:p>
          <w:p w14:paraId="27824EB7">
            <w:pPr>
              <w:rPr>
                <w:rFonts w:hint="default" w:ascii="Times New Roman" w:hAnsi="Times New Roman" w:eastAsia="宋体" w:cs="Times New Roman"/>
                <w:color w:val="auto"/>
                <w:sz w:val="24"/>
                <w:highlight w:val="none"/>
              </w:rPr>
            </w:pPr>
          </w:p>
          <w:p w14:paraId="62F0A318">
            <w:pPr>
              <w:pStyle w:val="48"/>
              <w:rPr>
                <w:rFonts w:hint="default" w:ascii="Times New Roman" w:hAnsi="Times New Roman" w:eastAsia="宋体" w:cs="Times New Roman"/>
                <w:color w:val="auto"/>
                <w:sz w:val="24"/>
                <w:highlight w:val="none"/>
              </w:rPr>
            </w:pPr>
          </w:p>
          <w:p w14:paraId="10D2CCC9">
            <w:pPr>
              <w:pStyle w:val="50"/>
              <w:rPr>
                <w:rFonts w:hint="default" w:ascii="Times New Roman" w:hAnsi="Times New Roman" w:eastAsia="宋体" w:cs="Times New Roman"/>
                <w:color w:val="auto"/>
                <w:sz w:val="24"/>
                <w:highlight w:val="none"/>
              </w:rPr>
            </w:pPr>
          </w:p>
          <w:p w14:paraId="53D994F2">
            <w:pPr>
              <w:rPr>
                <w:rFonts w:hint="default" w:ascii="Times New Roman" w:hAnsi="Times New Roman" w:eastAsia="宋体" w:cs="Times New Roman"/>
                <w:color w:val="auto"/>
                <w:sz w:val="24"/>
                <w:highlight w:val="none"/>
              </w:rPr>
            </w:pPr>
          </w:p>
          <w:p w14:paraId="6AA3FA85">
            <w:pPr>
              <w:pStyle w:val="48"/>
              <w:rPr>
                <w:rFonts w:hint="default" w:ascii="Times New Roman" w:hAnsi="Times New Roman" w:eastAsia="宋体" w:cs="Times New Roman"/>
                <w:color w:val="auto"/>
                <w:sz w:val="24"/>
                <w:highlight w:val="none"/>
              </w:rPr>
            </w:pPr>
          </w:p>
          <w:p w14:paraId="3883A2D3">
            <w:pPr>
              <w:pStyle w:val="50"/>
              <w:rPr>
                <w:rFonts w:hint="default" w:ascii="Times New Roman" w:hAnsi="Times New Roman" w:eastAsia="宋体" w:cs="Times New Roman"/>
                <w:color w:val="auto"/>
                <w:sz w:val="24"/>
                <w:highlight w:val="none"/>
              </w:rPr>
            </w:pPr>
          </w:p>
          <w:p w14:paraId="4CDAF76C">
            <w:pPr>
              <w:rPr>
                <w:rFonts w:hint="default" w:ascii="Times New Roman" w:hAnsi="Times New Roman" w:eastAsia="宋体" w:cs="Times New Roman"/>
                <w:color w:val="auto"/>
                <w:sz w:val="24"/>
                <w:highlight w:val="none"/>
              </w:rPr>
            </w:pPr>
          </w:p>
          <w:p w14:paraId="37C65678">
            <w:pPr>
              <w:pStyle w:val="48"/>
              <w:rPr>
                <w:rFonts w:hint="default" w:ascii="Times New Roman" w:hAnsi="Times New Roman" w:eastAsia="宋体" w:cs="Times New Roman"/>
                <w:color w:val="auto"/>
                <w:sz w:val="24"/>
                <w:highlight w:val="none"/>
              </w:rPr>
            </w:pPr>
          </w:p>
          <w:p w14:paraId="31439195">
            <w:pPr>
              <w:pStyle w:val="50"/>
              <w:rPr>
                <w:rFonts w:hint="default" w:ascii="Times New Roman" w:hAnsi="Times New Roman" w:eastAsia="宋体" w:cs="Times New Roman"/>
                <w:color w:val="auto"/>
                <w:sz w:val="24"/>
                <w:highlight w:val="none"/>
              </w:rPr>
            </w:pPr>
          </w:p>
          <w:p w14:paraId="09A7C1BA">
            <w:pPr>
              <w:rPr>
                <w:rFonts w:hint="default" w:ascii="Times New Roman" w:hAnsi="Times New Roman" w:eastAsia="宋体" w:cs="Times New Roman"/>
                <w:color w:val="auto"/>
                <w:sz w:val="24"/>
                <w:highlight w:val="none"/>
              </w:rPr>
            </w:pPr>
          </w:p>
          <w:p w14:paraId="06577869">
            <w:pPr>
              <w:pStyle w:val="48"/>
              <w:rPr>
                <w:rFonts w:hint="default" w:ascii="Times New Roman" w:hAnsi="Times New Roman" w:eastAsia="宋体" w:cs="Times New Roman"/>
                <w:color w:val="auto"/>
                <w:sz w:val="24"/>
                <w:highlight w:val="none"/>
              </w:rPr>
            </w:pPr>
          </w:p>
          <w:p w14:paraId="4E0F9405">
            <w:pPr>
              <w:pStyle w:val="50"/>
              <w:rPr>
                <w:rFonts w:hint="default" w:ascii="Times New Roman" w:hAnsi="Times New Roman" w:eastAsia="宋体" w:cs="Times New Roman"/>
                <w:color w:val="auto"/>
                <w:sz w:val="24"/>
                <w:highlight w:val="none"/>
              </w:rPr>
            </w:pPr>
          </w:p>
          <w:p w14:paraId="71246C29">
            <w:pPr>
              <w:rPr>
                <w:rFonts w:hint="default" w:ascii="Times New Roman" w:hAnsi="Times New Roman" w:eastAsia="宋体" w:cs="Times New Roman"/>
                <w:color w:val="auto"/>
                <w:sz w:val="24"/>
                <w:highlight w:val="none"/>
              </w:rPr>
            </w:pPr>
          </w:p>
          <w:p w14:paraId="2338275B">
            <w:pPr>
              <w:pStyle w:val="48"/>
              <w:rPr>
                <w:rFonts w:hint="default" w:ascii="Times New Roman" w:hAnsi="Times New Roman" w:eastAsia="宋体" w:cs="Times New Roman"/>
                <w:color w:val="auto"/>
                <w:sz w:val="24"/>
                <w:highlight w:val="none"/>
              </w:rPr>
            </w:pPr>
          </w:p>
          <w:p w14:paraId="57ADABB4">
            <w:pPr>
              <w:pStyle w:val="50"/>
              <w:rPr>
                <w:rFonts w:hint="default" w:ascii="Times New Roman" w:hAnsi="Times New Roman" w:eastAsia="宋体" w:cs="Times New Roman"/>
                <w:color w:val="auto"/>
                <w:sz w:val="24"/>
                <w:highlight w:val="none"/>
              </w:rPr>
            </w:pPr>
          </w:p>
          <w:p w14:paraId="165342BB">
            <w:pPr>
              <w:rPr>
                <w:rFonts w:hint="default" w:ascii="Times New Roman" w:hAnsi="Times New Roman" w:eastAsia="宋体" w:cs="Times New Roman"/>
                <w:color w:val="auto"/>
                <w:sz w:val="24"/>
                <w:highlight w:val="none"/>
              </w:rPr>
            </w:pPr>
          </w:p>
          <w:p w14:paraId="05D5D2EC">
            <w:pPr>
              <w:pStyle w:val="48"/>
              <w:rPr>
                <w:rFonts w:hint="default" w:ascii="Times New Roman" w:hAnsi="Times New Roman" w:eastAsia="宋体" w:cs="Times New Roman"/>
                <w:color w:val="auto"/>
                <w:sz w:val="24"/>
                <w:highlight w:val="none"/>
              </w:rPr>
            </w:pPr>
          </w:p>
          <w:p w14:paraId="20CF1F3A">
            <w:pPr>
              <w:pStyle w:val="50"/>
              <w:rPr>
                <w:rFonts w:hint="default" w:ascii="Times New Roman" w:hAnsi="Times New Roman" w:eastAsia="宋体" w:cs="Times New Roman"/>
                <w:color w:val="auto"/>
                <w:sz w:val="24"/>
                <w:highlight w:val="none"/>
              </w:rPr>
            </w:pPr>
          </w:p>
          <w:p w14:paraId="07A5F155">
            <w:pPr>
              <w:rPr>
                <w:rFonts w:hint="default" w:ascii="Times New Roman" w:hAnsi="Times New Roman" w:eastAsia="宋体" w:cs="Times New Roman"/>
                <w:color w:val="auto"/>
                <w:sz w:val="24"/>
                <w:highlight w:val="none"/>
              </w:rPr>
            </w:pPr>
          </w:p>
          <w:p w14:paraId="3C0B41E4">
            <w:pPr>
              <w:pStyle w:val="48"/>
              <w:rPr>
                <w:rFonts w:hint="default" w:ascii="Times New Roman" w:hAnsi="Times New Roman" w:eastAsia="宋体" w:cs="Times New Roman"/>
                <w:color w:val="auto"/>
                <w:sz w:val="24"/>
                <w:highlight w:val="none"/>
              </w:rPr>
            </w:pPr>
          </w:p>
          <w:p w14:paraId="5DEB0372">
            <w:pPr>
              <w:pStyle w:val="50"/>
              <w:rPr>
                <w:rFonts w:hint="default" w:ascii="Times New Roman" w:hAnsi="Times New Roman" w:eastAsia="宋体" w:cs="Times New Roman"/>
                <w:color w:val="auto"/>
                <w:sz w:val="24"/>
                <w:highlight w:val="none"/>
              </w:rPr>
            </w:pPr>
          </w:p>
          <w:p w14:paraId="67BDB6A7">
            <w:pPr>
              <w:rPr>
                <w:rFonts w:hint="default" w:ascii="Times New Roman" w:hAnsi="Times New Roman" w:eastAsia="宋体" w:cs="Times New Roman"/>
                <w:color w:val="auto"/>
                <w:sz w:val="24"/>
                <w:highlight w:val="none"/>
              </w:rPr>
            </w:pPr>
          </w:p>
          <w:p w14:paraId="09580B35">
            <w:pPr>
              <w:pStyle w:val="48"/>
              <w:rPr>
                <w:rFonts w:hint="eastAsia" w:ascii="Times New Roman" w:hAnsi="Times New Roman" w:cs="Times New Roman"/>
                <w:color w:val="auto"/>
                <w:sz w:val="24"/>
                <w:highlight w:val="none"/>
                <w:lang w:eastAsia="zh-CN"/>
              </w:rPr>
            </w:pPr>
          </w:p>
          <w:p w14:paraId="6541E605">
            <w:pPr>
              <w:pStyle w:val="48"/>
              <w:rPr>
                <w:rFonts w:hint="eastAsia" w:ascii="Times New Roman" w:hAnsi="Times New Roman" w:cs="Times New Roman"/>
                <w:color w:val="auto"/>
                <w:sz w:val="24"/>
                <w:highlight w:val="none"/>
                <w:lang w:eastAsia="zh-CN"/>
              </w:rPr>
            </w:pPr>
          </w:p>
          <w:p w14:paraId="74ACAD01">
            <w:pPr>
              <w:pStyle w:val="48"/>
              <w:rPr>
                <w:rFonts w:hint="eastAsia" w:ascii="Times New Roman" w:hAnsi="Times New Roman" w:cs="Times New Roman"/>
                <w:color w:val="auto"/>
                <w:sz w:val="24"/>
                <w:highlight w:val="none"/>
                <w:lang w:eastAsia="zh-CN"/>
              </w:rPr>
            </w:pPr>
          </w:p>
          <w:p w14:paraId="5F5FBF84">
            <w:pPr>
              <w:pStyle w:val="48"/>
              <w:rPr>
                <w:rFonts w:hint="eastAsia" w:ascii="Times New Roman" w:hAnsi="Times New Roman" w:cs="Times New Roman"/>
                <w:color w:val="auto"/>
                <w:sz w:val="24"/>
                <w:highlight w:val="none"/>
                <w:lang w:eastAsia="zh-CN"/>
              </w:rPr>
            </w:pPr>
          </w:p>
          <w:p w14:paraId="4C591CAE">
            <w:pPr>
              <w:pStyle w:val="48"/>
              <w:rPr>
                <w:rFonts w:hint="eastAsia" w:ascii="Times New Roman" w:hAnsi="Times New Roman" w:eastAsia="宋体" w:cs="Times New Roman"/>
                <w:color w:val="auto"/>
                <w:sz w:val="24"/>
                <w:highlight w:val="none"/>
                <w:lang w:eastAsia="zh-CN"/>
              </w:rPr>
            </w:pPr>
          </w:p>
          <w:p w14:paraId="73F19BF5">
            <w:pPr>
              <w:keepNext w:val="0"/>
              <w:keepLines w:val="0"/>
              <w:pageBreakBefore w:val="0"/>
              <w:widowControl w:val="0"/>
              <w:kinsoku/>
              <w:wordWrap/>
              <w:overflowPunct/>
              <w:topLinePunct w:val="0"/>
              <w:bidi w:val="0"/>
              <w:adjustRightInd w:val="0"/>
              <w:snapToGrid w:val="0"/>
              <w:spacing w:line="360" w:lineRule="auto"/>
              <w:textAlignment w:val="auto"/>
              <w:rPr>
                <w:rFonts w:hint="eastAsia"/>
                <w:color w:val="auto"/>
                <w:highlight w:val="none"/>
                <w:lang w:eastAsia="zh-CN"/>
              </w:rPr>
            </w:pPr>
          </w:p>
          <w:p w14:paraId="568992B3">
            <w:pPr>
              <w:keepNext w:val="0"/>
              <w:keepLines w:val="0"/>
              <w:pageBreakBefore w:val="0"/>
              <w:widowControl w:val="0"/>
              <w:kinsoku/>
              <w:wordWrap/>
              <w:overflowPunct/>
              <w:topLinePunct w:val="0"/>
              <w:bidi w:val="0"/>
              <w:adjustRightInd w:val="0"/>
              <w:snapToGrid w:val="0"/>
              <w:spacing w:line="360" w:lineRule="auto"/>
              <w:textAlignment w:val="auto"/>
              <w:rPr>
                <w:rFonts w:hint="eastAsia"/>
                <w:color w:val="auto"/>
                <w:highlight w:val="none"/>
                <w:lang w:eastAsia="zh-CN"/>
              </w:rPr>
            </w:pPr>
          </w:p>
          <w:p w14:paraId="290F7BCC">
            <w:pPr>
              <w:keepNext w:val="0"/>
              <w:keepLines w:val="0"/>
              <w:pageBreakBefore w:val="0"/>
              <w:widowControl w:val="0"/>
              <w:kinsoku/>
              <w:wordWrap/>
              <w:overflowPunct/>
              <w:topLinePunct w:val="0"/>
              <w:bidi w:val="0"/>
              <w:adjustRightInd w:val="0"/>
              <w:snapToGrid w:val="0"/>
              <w:spacing w:line="360" w:lineRule="auto"/>
              <w:textAlignment w:val="auto"/>
              <w:rPr>
                <w:rFonts w:hint="eastAsia"/>
                <w:color w:val="auto"/>
                <w:highlight w:val="none"/>
                <w:lang w:eastAsia="zh-CN"/>
              </w:rPr>
            </w:pPr>
          </w:p>
          <w:p w14:paraId="5D0F908D">
            <w:pPr>
              <w:keepNext w:val="0"/>
              <w:keepLines w:val="0"/>
              <w:pageBreakBefore w:val="0"/>
              <w:widowControl w:val="0"/>
              <w:kinsoku/>
              <w:wordWrap/>
              <w:overflowPunct/>
              <w:topLinePunct w:val="0"/>
              <w:bidi w:val="0"/>
              <w:adjustRightInd w:val="0"/>
              <w:snapToGrid w:val="0"/>
              <w:spacing w:line="360" w:lineRule="auto"/>
              <w:textAlignment w:val="auto"/>
              <w:rPr>
                <w:rFonts w:hint="eastAsia"/>
                <w:color w:val="auto"/>
                <w:highlight w:val="none"/>
                <w:lang w:eastAsia="zh-CN"/>
              </w:rPr>
            </w:pPr>
          </w:p>
          <w:p w14:paraId="60BF137E">
            <w:pPr>
              <w:keepNext w:val="0"/>
              <w:keepLines w:val="0"/>
              <w:pageBreakBefore w:val="0"/>
              <w:widowControl w:val="0"/>
              <w:kinsoku/>
              <w:wordWrap/>
              <w:overflowPunct/>
              <w:topLinePunct w:val="0"/>
              <w:bidi w:val="0"/>
              <w:adjustRightInd w:val="0"/>
              <w:snapToGrid w:val="0"/>
              <w:spacing w:line="360" w:lineRule="auto"/>
              <w:textAlignment w:val="auto"/>
              <w:rPr>
                <w:rFonts w:hint="eastAsia" w:eastAsia="宋体"/>
                <w:color w:val="auto"/>
                <w:highlight w:val="none"/>
                <w:lang w:eastAsia="zh-CN"/>
              </w:rPr>
            </w:pPr>
          </w:p>
        </w:tc>
      </w:tr>
    </w:tbl>
    <w:p w14:paraId="64951F53">
      <w:pPr>
        <w:adjustRightInd w:val="0"/>
        <w:snapToGrid w:val="0"/>
        <w:jc w:val="center"/>
        <w:rPr>
          <w:rFonts w:hint="default" w:ascii="Times New Roman" w:hAnsi="Times New Roman" w:cs="Times New Roman"/>
          <w:b/>
          <w:bCs/>
          <w:color w:val="auto"/>
          <w:kern w:val="0"/>
          <w:sz w:val="28"/>
          <w:szCs w:val="28"/>
          <w:highlight w:val="none"/>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12798"/>
      </w:tblGrid>
      <w:tr w14:paraId="09B30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6" w:type="dxa"/>
          </w:tcPr>
          <w:p w14:paraId="614F8927">
            <w:pPr>
              <w:adjustRightInd w:val="0"/>
              <w:snapToGrid w:val="0"/>
              <w:jc w:val="center"/>
              <w:rPr>
                <w:rFonts w:hint="eastAsia" w:ascii="黑体" w:hAnsi="黑体" w:eastAsia="黑体" w:cs="黑体"/>
                <w:bCs/>
                <w:color w:val="auto"/>
                <w:sz w:val="24"/>
                <w:szCs w:val="24"/>
                <w:highlight w:val="none"/>
                <w:vertAlign w:val="baseline"/>
              </w:rPr>
            </w:pPr>
          </w:p>
        </w:tc>
        <w:tc>
          <w:tcPr>
            <w:tcW w:w="12798" w:type="dxa"/>
          </w:tcPr>
          <w:p w14:paraId="2D074221">
            <w:pPr>
              <w:spacing w:line="360" w:lineRule="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一、废气</w:t>
            </w:r>
          </w:p>
          <w:p w14:paraId="6DC76E84">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产排污节点、污染物及污染治理设施</w:t>
            </w:r>
          </w:p>
          <w:p w14:paraId="02A1191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废气有组织产排污节点、污染物及污染治理设施见下表。</w:t>
            </w:r>
          </w:p>
          <w:p w14:paraId="0C59AB8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表4-1</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有组织废气污染物排放源强核算结果一览表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536"/>
              <w:gridCol w:w="627"/>
              <w:gridCol w:w="591"/>
              <w:gridCol w:w="430"/>
              <w:gridCol w:w="1004"/>
              <w:gridCol w:w="503"/>
              <w:gridCol w:w="408"/>
              <w:gridCol w:w="586"/>
              <w:gridCol w:w="898"/>
              <w:gridCol w:w="934"/>
              <w:gridCol w:w="712"/>
              <w:gridCol w:w="805"/>
              <w:gridCol w:w="503"/>
              <w:gridCol w:w="682"/>
              <w:gridCol w:w="652"/>
              <w:gridCol w:w="689"/>
              <w:gridCol w:w="657"/>
              <w:gridCol w:w="453"/>
              <w:gridCol w:w="351"/>
            </w:tblGrid>
            <w:tr w14:paraId="5260F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 w:type="pct"/>
                  <w:vMerge w:val="restart"/>
                  <w:noWrap w:val="0"/>
                  <w:tcMar>
                    <w:top w:w="0" w:type="dxa"/>
                    <w:left w:w="0" w:type="dxa"/>
                    <w:bottom w:w="0" w:type="dxa"/>
                    <w:right w:w="0" w:type="dxa"/>
                  </w:tcMar>
                  <w:vAlign w:val="center"/>
                </w:tcPr>
                <w:p w14:paraId="744CDBCD">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产污</w:t>
                  </w:r>
                </w:p>
                <w:p w14:paraId="0E842EA4">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环节</w:t>
                  </w:r>
                </w:p>
              </w:tc>
              <w:tc>
                <w:tcPr>
                  <w:tcW w:w="213" w:type="pct"/>
                  <w:vMerge w:val="restart"/>
                  <w:noWrap w:val="0"/>
                  <w:tcMar>
                    <w:top w:w="0" w:type="dxa"/>
                    <w:left w:w="0" w:type="dxa"/>
                    <w:bottom w:w="0" w:type="dxa"/>
                    <w:right w:w="0" w:type="dxa"/>
                  </w:tcMar>
                  <w:vAlign w:val="center"/>
                </w:tcPr>
                <w:p w14:paraId="5D764002">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污染物种类</w:t>
                  </w:r>
                </w:p>
              </w:tc>
              <w:tc>
                <w:tcPr>
                  <w:tcW w:w="484" w:type="pct"/>
                  <w:gridSpan w:val="2"/>
                  <w:noWrap w:val="0"/>
                  <w:tcMar>
                    <w:top w:w="0" w:type="dxa"/>
                    <w:left w:w="0" w:type="dxa"/>
                    <w:bottom w:w="0" w:type="dxa"/>
                    <w:right w:w="0" w:type="dxa"/>
                  </w:tcMar>
                  <w:vAlign w:val="center"/>
                </w:tcPr>
                <w:p w14:paraId="0E010DE2">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污染物产生情况</w:t>
                  </w:r>
                </w:p>
              </w:tc>
              <w:tc>
                <w:tcPr>
                  <w:tcW w:w="932" w:type="pct"/>
                  <w:gridSpan w:val="4"/>
                  <w:noWrap w:val="0"/>
                  <w:tcMar>
                    <w:top w:w="0" w:type="dxa"/>
                    <w:left w:w="0" w:type="dxa"/>
                    <w:bottom w:w="0" w:type="dxa"/>
                    <w:right w:w="0" w:type="dxa"/>
                  </w:tcMar>
                  <w:vAlign w:val="center"/>
                </w:tcPr>
                <w:p w14:paraId="4A4B158E">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治理设施</w:t>
                  </w:r>
                </w:p>
              </w:tc>
              <w:tc>
                <w:tcPr>
                  <w:tcW w:w="961" w:type="pct"/>
                  <w:gridSpan w:val="3"/>
                  <w:noWrap w:val="0"/>
                  <w:tcMar>
                    <w:top w:w="0" w:type="dxa"/>
                    <w:left w:w="0" w:type="dxa"/>
                    <w:bottom w:w="0" w:type="dxa"/>
                    <w:right w:w="0" w:type="dxa"/>
                  </w:tcMar>
                  <w:vAlign w:val="center"/>
                </w:tcPr>
                <w:p w14:paraId="2B824ABB">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污染物排放情况</w:t>
                  </w:r>
                </w:p>
              </w:tc>
              <w:tc>
                <w:tcPr>
                  <w:tcW w:w="1607" w:type="pct"/>
                  <w:gridSpan w:val="6"/>
                  <w:noWrap w:val="0"/>
                  <w:tcMar>
                    <w:top w:w="0" w:type="dxa"/>
                    <w:left w:w="0" w:type="dxa"/>
                    <w:bottom w:w="0" w:type="dxa"/>
                    <w:right w:w="0" w:type="dxa"/>
                  </w:tcMar>
                  <w:vAlign w:val="center"/>
                </w:tcPr>
                <w:p w14:paraId="1B56F635">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排放口</w:t>
                  </w:r>
                </w:p>
              </w:tc>
              <w:tc>
                <w:tcPr>
                  <w:tcW w:w="441" w:type="pct"/>
                  <w:gridSpan w:val="2"/>
                  <w:noWrap w:val="0"/>
                  <w:tcMar>
                    <w:top w:w="0" w:type="dxa"/>
                    <w:left w:w="0" w:type="dxa"/>
                    <w:bottom w:w="0" w:type="dxa"/>
                    <w:right w:w="0" w:type="dxa"/>
                  </w:tcMar>
                  <w:vAlign w:val="center"/>
                </w:tcPr>
                <w:p w14:paraId="41E1FD53">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排放标准</w:t>
                  </w:r>
                </w:p>
              </w:tc>
              <w:tc>
                <w:tcPr>
                  <w:tcW w:w="139" w:type="pct"/>
                  <w:vMerge w:val="restart"/>
                  <w:noWrap w:val="0"/>
                  <w:tcMar>
                    <w:top w:w="0" w:type="dxa"/>
                    <w:left w:w="0" w:type="dxa"/>
                    <w:bottom w:w="0" w:type="dxa"/>
                    <w:right w:w="0" w:type="dxa"/>
                  </w:tcMar>
                  <w:vAlign w:val="center"/>
                </w:tcPr>
                <w:p w14:paraId="35537597">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是否达标</w:t>
                  </w:r>
                </w:p>
              </w:tc>
            </w:tr>
            <w:tr w14:paraId="61D13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 w:type="pct"/>
                  <w:vMerge w:val="continue"/>
                  <w:noWrap w:val="0"/>
                  <w:tcMar>
                    <w:top w:w="0" w:type="dxa"/>
                    <w:left w:w="0" w:type="dxa"/>
                    <w:bottom w:w="0" w:type="dxa"/>
                    <w:right w:w="0" w:type="dxa"/>
                  </w:tcMar>
                  <w:vAlign w:val="center"/>
                </w:tcPr>
                <w:p w14:paraId="1A27F3D4">
                  <w:pPr>
                    <w:pStyle w:val="13"/>
                    <w:spacing w:line="240" w:lineRule="atLeast"/>
                    <w:jc w:val="center"/>
                    <w:rPr>
                      <w:rFonts w:ascii="Times New Roman" w:hAnsi="Times New Roman"/>
                      <w:b w:val="0"/>
                      <w:bCs w:val="0"/>
                      <w:color w:val="auto"/>
                      <w:kern w:val="0"/>
                      <w:sz w:val="21"/>
                      <w:szCs w:val="21"/>
                      <w:highlight w:val="none"/>
                    </w:rPr>
                  </w:pPr>
                </w:p>
              </w:tc>
              <w:tc>
                <w:tcPr>
                  <w:tcW w:w="213" w:type="pct"/>
                  <w:vMerge w:val="continue"/>
                  <w:noWrap w:val="0"/>
                  <w:tcMar>
                    <w:top w:w="0" w:type="dxa"/>
                    <w:left w:w="0" w:type="dxa"/>
                    <w:bottom w:w="0" w:type="dxa"/>
                    <w:right w:w="0" w:type="dxa"/>
                  </w:tcMar>
                  <w:vAlign w:val="center"/>
                </w:tcPr>
                <w:p w14:paraId="3FDE91A1">
                  <w:pPr>
                    <w:pStyle w:val="13"/>
                    <w:spacing w:line="240" w:lineRule="atLeast"/>
                    <w:jc w:val="center"/>
                    <w:rPr>
                      <w:rFonts w:ascii="Times New Roman" w:hAnsi="Times New Roman"/>
                      <w:b w:val="0"/>
                      <w:bCs w:val="0"/>
                      <w:color w:val="auto"/>
                      <w:kern w:val="0"/>
                      <w:sz w:val="21"/>
                      <w:szCs w:val="21"/>
                      <w:highlight w:val="none"/>
                    </w:rPr>
                  </w:pPr>
                </w:p>
              </w:tc>
              <w:tc>
                <w:tcPr>
                  <w:tcW w:w="249" w:type="pct"/>
                  <w:noWrap w:val="0"/>
                  <w:tcMar>
                    <w:top w:w="0" w:type="dxa"/>
                    <w:left w:w="0" w:type="dxa"/>
                    <w:bottom w:w="0" w:type="dxa"/>
                    <w:right w:w="0" w:type="dxa"/>
                  </w:tcMar>
                  <w:vAlign w:val="center"/>
                </w:tcPr>
                <w:p w14:paraId="5B72B0EA">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产生速率kg/h</w:t>
                  </w:r>
                </w:p>
              </w:tc>
              <w:tc>
                <w:tcPr>
                  <w:tcW w:w="235" w:type="pct"/>
                  <w:noWrap w:val="0"/>
                  <w:tcMar>
                    <w:top w:w="0" w:type="dxa"/>
                    <w:left w:w="0" w:type="dxa"/>
                    <w:bottom w:w="0" w:type="dxa"/>
                    <w:right w:w="0" w:type="dxa"/>
                  </w:tcMar>
                  <w:vAlign w:val="center"/>
                </w:tcPr>
                <w:p w14:paraId="5AB37FF9">
                  <w:pPr>
                    <w:pStyle w:val="13"/>
                    <w:spacing w:line="240" w:lineRule="atLeast"/>
                    <w:jc w:val="center"/>
                    <w:rPr>
                      <w:rFonts w:hint="eastAsia" w:ascii="Times New Roman" w:hAnsi="Times New Roman" w:eastAsia="宋体"/>
                      <w:b w:val="0"/>
                      <w:bCs w:val="0"/>
                      <w:color w:val="auto"/>
                      <w:kern w:val="0"/>
                      <w:sz w:val="21"/>
                      <w:szCs w:val="21"/>
                      <w:highlight w:val="none"/>
                      <w:lang w:eastAsia="zh-CN"/>
                    </w:rPr>
                  </w:pPr>
                  <w:r>
                    <w:rPr>
                      <w:rFonts w:ascii="Times New Roman" w:hAnsi="Times New Roman"/>
                      <w:b w:val="0"/>
                      <w:bCs w:val="0"/>
                      <w:color w:val="auto"/>
                      <w:kern w:val="0"/>
                      <w:sz w:val="21"/>
                      <w:szCs w:val="21"/>
                      <w:highlight w:val="none"/>
                    </w:rPr>
                    <w:t>产生量t/a</w:t>
                  </w:r>
                </w:p>
              </w:tc>
              <w:tc>
                <w:tcPr>
                  <w:tcW w:w="171" w:type="pct"/>
                  <w:noWrap w:val="0"/>
                  <w:tcMar>
                    <w:top w:w="0" w:type="dxa"/>
                    <w:left w:w="0" w:type="dxa"/>
                    <w:bottom w:w="0" w:type="dxa"/>
                    <w:right w:w="0" w:type="dxa"/>
                  </w:tcMar>
                  <w:vAlign w:val="center"/>
                </w:tcPr>
                <w:p w14:paraId="7CDD16C2">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收集效率</w:t>
                  </w:r>
                  <w:r>
                    <w:rPr>
                      <w:rFonts w:hint="eastAsia" w:ascii="Times New Roman" w:hAnsi="Times New Roman"/>
                      <w:b w:val="0"/>
                      <w:bCs w:val="0"/>
                      <w:color w:val="auto"/>
                      <w:kern w:val="0"/>
                      <w:sz w:val="21"/>
                      <w:szCs w:val="21"/>
                      <w:highlight w:val="none"/>
                    </w:rPr>
                    <w:t>%</w:t>
                  </w:r>
                </w:p>
              </w:tc>
              <w:tc>
                <w:tcPr>
                  <w:tcW w:w="399" w:type="pct"/>
                  <w:noWrap w:val="0"/>
                  <w:tcMar>
                    <w:top w:w="0" w:type="dxa"/>
                    <w:left w:w="0" w:type="dxa"/>
                    <w:bottom w:w="0" w:type="dxa"/>
                    <w:right w:w="0" w:type="dxa"/>
                  </w:tcMar>
                  <w:vAlign w:val="center"/>
                </w:tcPr>
                <w:p w14:paraId="5F7B69D6">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治理设施</w:t>
                  </w:r>
                </w:p>
              </w:tc>
              <w:tc>
                <w:tcPr>
                  <w:tcW w:w="200" w:type="pct"/>
                  <w:noWrap w:val="0"/>
                  <w:tcMar>
                    <w:top w:w="0" w:type="dxa"/>
                    <w:left w:w="0" w:type="dxa"/>
                    <w:bottom w:w="0" w:type="dxa"/>
                    <w:right w:w="0" w:type="dxa"/>
                  </w:tcMar>
                  <w:vAlign w:val="center"/>
                </w:tcPr>
                <w:p w14:paraId="4E9140A7">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处理效率</w:t>
                  </w:r>
                  <w:r>
                    <w:rPr>
                      <w:rFonts w:hint="eastAsia" w:ascii="Times New Roman" w:hAnsi="Times New Roman"/>
                      <w:b w:val="0"/>
                      <w:bCs w:val="0"/>
                      <w:color w:val="auto"/>
                      <w:kern w:val="0"/>
                      <w:sz w:val="21"/>
                      <w:szCs w:val="21"/>
                      <w:highlight w:val="none"/>
                    </w:rPr>
                    <w:t>%</w:t>
                  </w:r>
                </w:p>
              </w:tc>
              <w:tc>
                <w:tcPr>
                  <w:tcW w:w="162" w:type="pct"/>
                  <w:noWrap w:val="0"/>
                  <w:tcMar>
                    <w:top w:w="0" w:type="dxa"/>
                    <w:left w:w="0" w:type="dxa"/>
                    <w:bottom w:w="0" w:type="dxa"/>
                    <w:right w:w="0" w:type="dxa"/>
                  </w:tcMar>
                  <w:vAlign w:val="center"/>
                </w:tcPr>
                <w:p w14:paraId="4B2D5FCD">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是否为可行技术</w:t>
                  </w:r>
                </w:p>
              </w:tc>
              <w:tc>
                <w:tcPr>
                  <w:tcW w:w="233" w:type="pct"/>
                  <w:noWrap w:val="0"/>
                  <w:tcMar>
                    <w:top w:w="0" w:type="dxa"/>
                    <w:left w:w="0" w:type="dxa"/>
                    <w:bottom w:w="0" w:type="dxa"/>
                    <w:right w:w="0" w:type="dxa"/>
                  </w:tcMar>
                  <w:vAlign w:val="center"/>
                </w:tcPr>
                <w:p w14:paraId="36B876F6">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w:t>
                  </w:r>
                </w:p>
                <w:p w14:paraId="71400706">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浓度mg/m</w:t>
                  </w:r>
                  <w:r>
                    <w:rPr>
                      <w:rFonts w:ascii="Times New Roman" w:hAnsi="Times New Roman"/>
                      <w:b w:val="0"/>
                      <w:bCs w:val="0"/>
                      <w:color w:val="auto"/>
                      <w:kern w:val="0"/>
                      <w:sz w:val="21"/>
                      <w:szCs w:val="21"/>
                      <w:highlight w:val="none"/>
                      <w:vertAlign w:val="superscript"/>
                    </w:rPr>
                    <w:t>3</w:t>
                  </w:r>
                </w:p>
              </w:tc>
              <w:tc>
                <w:tcPr>
                  <w:tcW w:w="357" w:type="pct"/>
                  <w:noWrap w:val="0"/>
                  <w:tcMar>
                    <w:top w:w="0" w:type="dxa"/>
                    <w:left w:w="0" w:type="dxa"/>
                    <w:bottom w:w="0" w:type="dxa"/>
                    <w:right w:w="0" w:type="dxa"/>
                  </w:tcMar>
                  <w:vAlign w:val="center"/>
                </w:tcPr>
                <w:p w14:paraId="1505780F">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排放速率kg/h</w:t>
                  </w:r>
                </w:p>
              </w:tc>
              <w:tc>
                <w:tcPr>
                  <w:tcW w:w="371" w:type="pct"/>
                  <w:noWrap w:val="0"/>
                  <w:tcMar>
                    <w:top w:w="0" w:type="dxa"/>
                    <w:left w:w="0" w:type="dxa"/>
                    <w:bottom w:w="0" w:type="dxa"/>
                    <w:right w:w="0" w:type="dxa"/>
                  </w:tcMar>
                  <w:vAlign w:val="center"/>
                </w:tcPr>
                <w:p w14:paraId="1D678B61">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排放量t/a</w:t>
                  </w:r>
                </w:p>
              </w:tc>
              <w:tc>
                <w:tcPr>
                  <w:tcW w:w="283" w:type="pct"/>
                  <w:noWrap w:val="0"/>
                  <w:tcMar>
                    <w:top w:w="0" w:type="dxa"/>
                    <w:left w:w="0" w:type="dxa"/>
                    <w:bottom w:w="0" w:type="dxa"/>
                    <w:right w:w="0" w:type="dxa"/>
                  </w:tcMar>
                  <w:vAlign w:val="center"/>
                </w:tcPr>
                <w:p w14:paraId="0AF60147">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编号</w:t>
                  </w:r>
                </w:p>
              </w:tc>
              <w:tc>
                <w:tcPr>
                  <w:tcW w:w="320" w:type="pct"/>
                  <w:noWrap w:val="0"/>
                  <w:tcMar>
                    <w:top w:w="0" w:type="dxa"/>
                    <w:left w:w="0" w:type="dxa"/>
                    <w:bottom w:w="0" w:type="dxa"/>
                    <w:right w:w="0" w:type="dxa"/>
                  </w:tcMar>
                  <w:vAlign w:val="center"/>
                </w:tcPr>
                <w:p w14:paraId="06ECD1F2">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名称</w:t>
                  </w:r>
                </w:p>
                <w:p w14:paraId="3B65512F">
                  <w:pPr>
                    <w:pStyle w:val="13"/>
                    <w:spacing w:line="240" w:lineRule="atLeast"/>
                    <w:jc w:val="center"/>
                    <w:rPr>
                      <w:rFonts w:ascii="Times New Roman" w:hAnsi="Times New Roman"/>
                      <w:b w:val="0"/>
                      <w:bCs w:val="0"/>
                      <w:color w:val="auto"/>
                      <w:kern w:val="0"/>
                      <w:sz w:val="21"/>
                      <w:szCs w:val="21"/>
                      <w:highlight w:val="none"/>
                    </w:rPr>
                  </w:pPr>
                </w:p>
              </w:tc>
              <w:tc>
                <w:tcPr>
                  <w:tcW w:w="200" w:type="pct"/>
                  <w:noWrap w:val="0"/>
                  <w:tcMar>
                    <w:top w:w="0" w:type="dxa"/>
                    <w:left w:w="0" w:type="dxa"/>
                    <w:bottom w:w="0" w:type="dxa"/>
                    <w:right w:w="0" w:type="dxa"/>
                  </w:tcMar>
                  <w:vAlign w:val="center"/>
                </w:tcPr>
                <w:p w14:paraId="7130185F">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高度</w:t>
                  </w:r>
                </w:p>
                <w:p w14:paraId="41175BF6">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m</w:t>
                  </w:r>
                </w:p>
              </w:tc>
              <w:tc>
                <w:tcPr>
                  <w:tcW w:w="271" w:type="pct"/>
                  <w:noWrap w:val="0"/>
                  <w:tcMar>
                    <w:top w:w="0" w:type="dxa"/>
                    <w:left w:w="0" w:type="dxa"/>
                    <w:bottom w:w="0" w:type="dxa"/>
                    <w:right w:w="0" w:type="dxa"/>
                  </w:tcMar>
                  <w:vAlign w:val="center"/>
                </w:tcPr>
                <w:p w14:paraId="7BAD4558">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出口内径m</w:t>
                  </w:r>
                </w:p>
              </w:tc>
              <w:tc>
                <w:tcPr>
                  <w:tcW w:w="259" w:type="pct"/>
                  <w:noWrap w:val="0"/>
                  <w:tcMar>
                    <w:top w:w="0" w:type="dxa"/>
                    <w:left w:w="0" w:type="dxa"/>
                    <w:bottom w:w="0" w:type="dxa"/>
                    <w:right w:w="0" w:type="dxa"/>
                  </w:tcMar>
                  <w:vAlign w:val="center"/>
                </w:tcPr>
                <w:p w14:paraId="14A0C58D">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风量m</w:t>
                  </w:r>
                  <w:r>
                    <w:rPr>
                      <w:rFonts w:ascii="Times New Roman" w:hAnsi="Times New Roman"/>
                      <w:b w:val="0"/>
                      <w:bCs w:val="0"/>
                      <w:color w:val="auto"/>
                      <w:kern w:val="0"/>
                      <w:sz w:val="21"/>
                      <w:szCs w:val="21"/>
                      <w:highlight w:val="none"/>
                      <w:vertAlign w:val="superscript"/>
                    </w:rPr>
                    <w:t>3</w:t>
                  </w:r>
                  <w:r>
                    <w:rPr>
                      <w:rFonts w:ascii="Times New Roman" w:hAnsi="Times New Roman"/>
                      <w:b w:val="0"/>
                      <w:bCs w:val="0"/>
                      <w:color w:val="auto"/>
                      <w:kern w:val="0"/>
                      <w:sz w:val="21"/>
                      <w:szCs w:val="21"/>
                      <w:highlight w:val="none"/>
                    </w:rPr>
                    <w:t>/h</w:t>
                  </w:r>
                </w:p>
              </w:tc>
              <w:tc>
                <w:tcPr>
                  <w:tcW w:w="274" w:type="pct"/>
                  <w:noWrap w:val="0"/>
                  <w:tcMar>
                    <w:top w:w="0" w:type="dxa"/>
                    <w:left w:w="0" w:type="dxa"/>
                    <w:bottom w:w="0" w:type="dxa"/>
                    <w:right w:w="0" w:type="dxa"/>
                  </w:tcMar>
                  <w:vAlign w:val="center"/>
                </w:tcPr>
                <w:p w14:paraId="78ED2661">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年排放</w:t>
                  </w:r>
                  <w:r>
                    <w:rPr>
                      <w:rFonts w:hint="eastAsia" w:ascii="Times New Roman" w:hAnsi="Times New Roman"/>
                      <w:b w:val="0"/>
                      <w:bCs w:val="0"/>
                      <w:color w:val="auto"/>
                      <w:kern w:val="0"/>
                      <w:sz w:val="21"/>
                      <w:szCs w:val="21"/>
                      <w:highlight w:val="none"/>
                      <w:lang w:val="en-US" w:eastAsia="zh-CN"/>
                    </w:rPr>
                    <w:t>时间</w:t>
                  </w:r>
                  <w:r>
                    <w:rPr>
                      <w:rFonts w:ascii="Times New Roman" w:hAnsi="Times New Roman"/>
                      <w:b w:val="0"/>
                      <w:bCs w:val="0"/>
                      <w:color w:val="auto"/>
                      <w:kern w:val="0"/>
                      <w:sz w:val="21"/>
                      <w:szCs w:val="21"/>
                      <w:highlight w:val="none"/>
                    </w:rPr>
                    <w:t>/h</w:t>
                  </w:r>
                </w:p>
              </w:tc>
              <w:tc>
                <w:tcPr>
                  <w:tcW w:w="261" w:type="pct"/>
                  <w:noWrap w:val="0"/>
                  <w:tcMar>
                    <w:top w:w="0" w:type="dxa"/>
                    <w:left w:w="0" w:type="dxa"/>
                    <w:bottom w:w="0" w:type="dxa"/>
                    <w:right w:w="0" w:type="dxa"/>
                  </w:tcMar>
                  <w:vAlign w:val="center"/>
                </w:tcPr>
                <w:p w14:paraId="58A29A18">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w:t>
                  </w:r>
                </w:p>
                <w:p w14:paraId="31C4DA8A">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限值mg/m</w:t>
                  </w:r>
                  <w:r>
                    <w:rPr>
                      <w:rFonts w:ascii="Times New Roman" w:hAnsi="Times New Roman"/>
                      <w:b w:val="0"/>
                      <w:bCs w:val="0"/>
                      <w:color w:val="auto"/>
                      <w:kern w:val="0"/>
                      <w:sz w:val="21"/>
                      <w:szCs w:val="21"/>
                      <w:highlight w:val="none"/>
                      <w:vertAlign w:val="superscript"/>
                    </w:rPr>
                    <w:t>3</w:t>
                  </w:r>
                </w:p>
              </w:tc>
              <w:tc>
                <w:tcPr>
                  <w:tcW w:w="180" w:type="pct"/>
                  <w:noWrap w:val="0"/>
                  <w:tcMar>
                    <w:top w:w="0" w:type="dxa"/>
                    <w:left w:w="0" w:type="dxa"/>
                    <w:bottom w:w="0" w:type="dxa"/>
                    <w:right w:w="0" w:type="dxa"/>
                  </w:tcMar>
                  <w:vAlign w:val="center"/>
                </w:tcPr>
                <w:p w14:paraId="09A600E6">
                  <w:pPr>
                    <w:pStyle w:val="13"/>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速率限值kg/h</w:t>
                  </w:r>
                </w:p>
              </w:tc>
              <w:tc>
                <w:tcPr>
                  <w:tcW w:w="139" w:type="pct"/>
                  <w:vMerge w:val="continue"/>
                  <w:noWrap w:val="0"/>
                  <w:tcMar>
                    <w:top w:w="0" w:type="dxa"/>
                    <w:left w:w="0" w:type="dxa"/>
                    <w:bottom w:w="0" w:type="dxa"/>
                    <w:right w:w="0" w:type="dxa"/>
                  </w:tcMar>
                  <w:vAlign w:val="center"/>
                </w:tcPr>
                <w:p w14:paraId="2576A86E">
                  <w:pPr>
                    <w:pStyle w:val="13"/>
                    <w:spacing w:line="240" w:lineRule="atLeast"/>
                    <w:jc w:val="center"/>
                    <w:rPr>
                      <w:rFonts w:ascii="Times New Roman" w:hAnsi="Times New Roman"/>
                      <w:b w:val="0"/>
                      <w:bCs w:val="0"/>
                      <w:color w:val="auto"/>
                      <w:kern w:val="0"/>
                      <w:sz w:val="21"/>
                      <w:szCs w:val="21"/>
                      <w:highlight w:val="none"/>
                    </w:rPr>
                  </w:pPr>
                </w:p>
              </w:tc>
            </w:tr>
            <w:tr w14:paraId="29CFE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 w:type="pct"/>
                  <w:noWrap w:val="0"/>
                  <w:tcMar>
                    <w:top w:w="0" w:type="dxa"/>
                    <w:left w:w="0" w:type="dxa"/>
                    <w:bottom w:w="0" w:type="dxa"/>
                    <w:right w:w="0" w:type="dxa"/>
                  </w:tcMar>
                  <w:vAlign w:val="center"/>
                </w:tcPr>
                <w:p w14:paraId="7773A3C5">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312" w:lineRule="exact"/>
                    <w:jc w:val="center"/>
                    <w:textAlignment w:val="auto"/>
                    <w:outlineLvl w:val="0"/>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纺丝和冷却、油剂、牵伸、压花、烘干定型、纺丝组件清洗废气</w:t>
                  </w:r>
                </w:p>
              </w:tc>
              <w:tc>
                <w:tcPr>
                  <w:tcW w:w="213" w:type="pct"/>
                  <w:noWrap w:val="0"/>
                  <w:tcMar>
                    <w:top w:w="0" w:type="dxa"/>
                    <w:left w:w="0" w:type="dxa"/>
                    <w:bottom w:w="0" w:type="dxa"/>
                    <w:right w:w="0" w:type="dxa"/>
                  </w:tcMar>
                  <w:vAlign w:val="center"/>
                </w:tcPr>
                <w:p w14:paraId="1669C491">
                  <w:pPr>
                    <w:spacing w:line="240" w:lineRule="atLeas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VOCs</w:t>
                  </w:r>
                </w:p>
              </w:tc>
              <w:tc>
                <w:tcPr>
                  <w:tcW w:w="249" w:type="pct"/>
                  <w:noWrap w:val="0"/>
                  <w:tcMar>
                    <w:top w:w="0" w:type="dxa"/>
                    <w:left w:w="0" w:type="dxa"/>
                    <w:bottom w:w="0" w:type="dxa"/>
                    <w:right w:w="0" w:type="dxa"/>
                  </w:tcMar>
                  <w:vAlign w:val="center"/>
                </w:tcPr>
                <w:p w14:paraId="3772A15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0.2798</w:t>
                  </w:r>
                </w:p>
              </w:tc>
              <w:tc>
                <w:tcPr>
                  <w:tcW w:w="235" w:type="pct"/>
                  <w:noWrap w:val="0"/>
                  <w:tcMar>
                    <w:top w:w="0" w:type="dxa"/>
                    <w:left w:w="0" w:type="dxa"/>
                    <w:bottom w:w="0" w:type="dxa"/>
                    <w:right w:w="0" w:type="dxa"/>
                  </w:tcMar>
                  <w:vAlign w:val="center"/>
                </w:tcPr>
                <w:p w14:paraId="73CDEDF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2.0145</w:t>
                  </w:r>
                </w:p>
              </w:tc>
              <w:tc>
                <w:tcPr>
                  <w:tcW w:w="171" w:type="pct"/>
                  <w:noWrap w:val="0"/>
                  <w:tcMar>
                    <w:top w:w="0" w:type="dxa"/>
                    <w:left w:w="0" w:type="dxa"/>
                    <w:bottom w:w="0" w:type="dxa"/>
                    <w:right w:w="0" w:type="dxa"/>
                  </w:tcMar>
                  <w:vAlign w:val="center"/>
                </w:tcPr>
                <w:p w14:paraId="04FEEE3D">
                  <w:pPr>
                    <w:pStyle w:val="13"/>
                    <w:spacing w:line="240" w:lineRule="atLeas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90</w:t>
                  </w:r>
                </w:p>
              </w:tc>
              <w:tc>
                <w:tcPr>
                  <w:tcW w:w="399" w:type="pct"/>
                  <w:noWrap w:val="0"/>
                  <w:tcMar>
                    <w:top w:w="0" w:type="dxa"/>
                    <w:left w:w="0" w:type="dxa"/>
                    <w:bottom w:w="0" w:type="dxa"/>
                    <w:right w:w="0" w:type="dxa"/>
                  </w:tcMar>
                  <w:vAlign w:val="center"/>
                </w:tcPr>
                <w:p w14:paraId="1B305229">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312" w:lineRule="exact"/>
                    <w:jc w:val="center"/>
                    <w:textAlignment w:val="auto"/>
                    <w:outlineLvl w:val="0"/>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sz w:val="21"/>
                      <w:szCs w:val="21"/>
                      <w:vertAlign w:val="baseline"/>
                      <w:lang w:val="en-US" w:eastAsia="zh-CN"/>
                    </w:rPr>
                    <w:t>二级活性炭装置</w:t>
                  </w:r>
                  <w:r>
                    <w:rPr>
                      <w:rFonts w:hint="eastAsia" w:ascii="Times New Roman" w:hAnsi="Times New Roman" w:eastAsia="宋体" w:cs="Times New Roman"/>
                      <w:color w:val="auto"/>
                      <w:sz w:val="21"/>
                      <w:szCs w:val="21"/>
                      <w:vertAlign w:val="baseline"/>
                      <w:lang w:val="en-US" w:eastAsia="zh-CN"/>
                    </w:rPr>
                    <w:t>+15m高排气DA00</w:t>
                  </w:r>
                  <w:r>
                    <w:rPr>
                      <w:rFonts w:hint="eastAsia" w:ascii="Times New Roman" w:hAnsi="Times New Roman" w:cs="Times New Roman"/>
                      <w:color w:val="auto"/>
                      <w:sz w:val="21"/>
                      <w:szCs w:val="21"/>
                      <w:vertAlign w:val="baseline"/>
                      <w:lang w:val="en-US" w:eastAsia="zh-CN"/>
                    </w:rPr>
                    <w:t>1排放</w:t>
                  </w:r>
                </w:p>
              </w:tc>
              <w:tc>
                <w:tcPr>
                  <w:tcW w:w="200" w:type="pct"/>
                  <w:noWrap w:val="0"/>
                  <w:tcMar>
                    <w:top w:w="0" w:type="dxa"/>
                    <w:left w:w="0" w:type="dxa"/>
                    <w:bottom w:w="0" w:type="dxa"/>
                    <w:right w:w="0" w:type="dxa"/>
                  </w:tcMar>
                  <w:vAlign w:val="center"/>
                </w:tcPr>
                <w:p w14:paraId="341358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80</w:t>
                  </w:r>
                </w:p>
              </w:tc>
              <w:tc>
                <w:tcPr>
                  <w:tcW w:w="162" w:type="pct"/>
                  <w:noWrap w:val="0"/>
                  <w:tcMar>
                    <w:top w:w="0" w:type="dxa"/>
                    <w:left w:w="0" w:type="dxa"/>
                    <w:bottom w:w="0" w:type="dxa"/>
                    <w:right w:w="0" w:type="dxa"/>
                  </w:tcMar>
                  <w:vAlign w:val="center"/>
                </w:tcPr>
                <w:p w14:paraId="7DA5E2CE">
                  <w:pPr>
                    <w:pStyle w:val="13"/>
                    <w:spacing w:line="240" w:lineRule="atLeast"/>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是</w:t>
                  </w:r>
                </w:p>
              </w:tc>
              <w:tc>
                <w:tcPr>
                  <w:tcW w:w="233" w:type="pct"/>
                  <w:noWrap w:val="0"/>
                  <w:tcMar>
                    <w:top w:w="0" w:type="dxa"/>
                    <w:left w:w="0" w:type="dxa"/>
                    <w:bottom w:w="0" w:type="dxa"/>
                    <w:right w:w="0" w:type="dxa"/>
                  </w:tcMar>
                  <w:vAlign w:val="center"/>
                </w:tcPr>
                <w:p w14:paraId="4466FF0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5.036</w:t>
                  </w:r>
                </w:p>
              </w:tc>
              <w:tc>
                <w:tcPr>
                  <w:tcW w:w="357" w:type="pct"/>
                  <w:noWrap w:val="0"/>
                  <w:tcMar>
                    <w:top w:w="0" w:type="dxa"/>
                    <w:left w:w="0" w:type="dxa"/>
                    <w:bottom w:w="0" w:type="dxa"/>
                    <w:right w:w="0" w:type="dxa"/>
                  </w:tcMar>
                  <w:vAlign w:val="center"/>
                </w:tcPr>
                <w:p w14:paraId="7C67ADB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0.0504</w:t>
                  </w:r>
                </w:p>
              </w:tc>
              <w:tc>
                <w:tcPr>
                  <w:tcW w:w="371" w:type="pct"/>
                  <w:noWrap w:val="0"/>
                  <w:tcMar>
                    <w:top w:w="0" w:type="dxa"/>
                    <w:left w:w="0" w:type="dxa"/>
                    <w:bottom w:w="0" w:type="dxa"/>
                    <w:right w:w="0" w:type="dxa"/>
                  </w:tcMar>
                  <w:vAlign w:val="center"/>
                </w:tcPr>
                <w:p w14:paraId="0B1BFB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0.363</w:t>
                  </w:r>
                </w:p>
              </w:tc>
              <w:tc>
                <w:tcPr>
                  <w:tcW w:w="283" w:type="pct"/>
                  <w:noWrap w:val="0"/>
                  <w:tcMar>
                    <w:top w:w="0" w:type="dxa"/>
                    <w:left w:w="0" w:type="dxa"/>
                    <w:bottom w:w="0" w:type="dxa"/>
                    <w:right w:w="0" w:type="dxa"/>
                  </w:tcMar>
                  <w:vAlign w:val="center"/>
                </w:tcPr>
                <w:p w14:paraId="3E88B46E">
                  <w:pPr>
                    <w:pStyle w:val="13"/>
                    <w:spacing w:line="240" w:lineRule="atLeast"/>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DA00</w:t>
                  </w:r>
                  <w:r>
                    <w:rPr>
                      <w:rFonts w:hint="eastAsia" w:ascii="Times New Roman" w:hAnsi="Times New Roman" w:cs="Times New Roman"/>
                      <w:color w:val="auto"/>
                      <w:kern w:val="0"/>
                      <w:sz w:val="21"/>
                      <w:szCs w:val="21"/>
                      <w:highlight w:val="none"/>
                      <w:lang w:val="en-US" w:eastAsia="zh-CN"/>
                    </w:rPr>
                    <w:t>1</w:t>
                  </w:r>
                </w:p>
              </w:tc>
              <w:tc>
                <w:tcPr>
                  <w:tcW w:w="320" w:type="pct"/>
                  <w:noWrap w:val="0"/>
                  <w:tcMar>
                    <w:top w:w="0" w:type="dxa"/>
                    <w:left w:w="0" w:type="dxa"/>
                    <w:bottom w:w="0" w:type="dxa"/>
                    <w:right w:w="0" w:type="dxa"/>
                  </w:tcMar>
                  <w:vAlign w:val="center"/>
                </w:tcPr>
                <w:p w14:paraId="55434C41">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312" w:lineRule="exact"/>
                    <w:jc w:val="center"/>
                    <w:textAlignment w:val="auto"/>
                    <w:outlineLvl w:val="0"/>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vertAlign w:val="baseline"/>
                      <w:lang w:val="en-US" w:eastAsia="zh-CN"/>
                    </w:rPr>
                    <w:t>有组织</w:t>
                  </w:r>
                  <w:r>
                    <w:rPr>
                      <w:rFonts w:hint="eastAsia" w:ascii="Times New Roman" w:hAnsi="Times New Roman" w:eastAsia="宋体" w:cs="Times New Roman"/>
                      <w:color w:val="auto"/>
                      <w:sz w:val="21"/>
                      <w:szCs w:val="21"/>
                      <w:vertAlign w:val="baseline"/>
                      <w:lang w:val="en-US" w:eastAsia="zh-CN"/>
                    </w:rPr>
                    <w:t>DA0</w:t>
                  </w:r>
                  <w:r>
                    <w:rPr>
                      <w:rFonts w:hint="eastAsia" w:ascii="Times New Roman" w:hAnsi="Times New Roman" w:cs="Times New Roman"/>
                      <w:color w:val="auto"/>
                      <w:sz w:val="21"/>
                      <w:szCs w:val="21"/>
                      <w:vertAlign w:val="baseline"/>
                      <w:lang w:val="en-US" w:eastAsia="zh-CN"/>
                    </w:rPr>
                    <w:t>01排气筒</w:t>
                  </w:r>
                </w:p>
              </w:tc>
              <w:tc>
                <w:tcPr>
                  <w:tcW w:w="200" w:type="pct"/>
                  <w:noWrap w:val="0"/>
                  <w:tcMar>
                    <w:top w:w="0" w:type="dxa"/>
                    <w:left w:w="0" w:type="dxa"/>
                    <w:bottom w:w="0" w:type="dxa"/>
                    <w:right w:w="0" w:type="dxa"/>
                  </w:tcMar>
                  <w:vAlign w:val="center"/>
                </w:tcPr>
                <w:p w14:paraId="481B111E">
                  <w:pPr>
                    <w:pStyle w:val="13"/>
                    <w:spacing w:line="240" w:lineRule="atLeast"/>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w:t>
                  </w:r>
                </w:p>
              </w:tc>
              <w:tc>
                <w:tcPr>
                  <w:tcW w:w="271" w:type="pct"/>
                  <w:noWrap w:val="0"/>
                  <w:tcMar>
                    <w:top w:w="0" w:type="dxa"/>
                    <w:left w:w="0" w:type="dxa"/>
                    <w:bottom w:w="0" w:type="dxa"/>
                    <w:right w:w="0" w:type="dxa"/>
                  </w:tcMar>
                  <w:vAlign w:val="center"/>
                </w:tcPr>
                <w:p w14:paraId="0C0FDD59">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5</w:t>
                  </w:r>
                </w:p>
              </w:tc>
              <w:tc>
                <w:tcPr>
                  <w:tcW w:w="259" w:type="pct"/>
                  <w:noWrap w:val="0"/>
                  <w:tcMar>
                    <w:top w:w="0" w:type="dxa"/>
                    <w:left w:w="0" w:type="dxa"/>
                    <w:bottom w:w="0" w:type="dxa"/>
                    <w:right w:w="0" w:type="dxa"/>
                  </w:tcMar>
                  <w:vAlign w:val="center"/>
                </w:tcPr>
                <w:p w14:paraId="65AB7293">
                  <w:pPr>
                    <w:pStyle w:val="13"/>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10000</w:t>
                  </w:r>
                </w:p>
              </w:tc>
              <w:tc>
                <w:tcPr>
                  <w:tcW w:w="274" w:type="pct"/>
                  <w:noWrap w:val="0"/>
                  <w:tcMar>
                    <w:top w:w="0" w:type="dxa"/>
                    <w:left w:w="0" w:type="dxa"/>
                    <w:bottom w:w="0" w:type="dxa"/>
                    <w:right w:w="0" w:type="dxa"/>
                  </w:tcMar>
                  <w:vAlign w:val="center"/>
                </w:tcPr>
                <w:p w14:paraId="5531BAE7">
                  <w:pPr>
                    <w:pStyle w:val="13"/>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7200</w:t>
                  </w:r>
                </w:p>
              </w:tc>
              <w:tc>
                <w:tcPr>
                  <w:tcW w:w="261" w:type="pct"/>
                  <w:noWrap w:val="0"/>
                  <w:tcMar>
                    <w:top w:w="0" w:type="dxa"/>
                    <w:left w:w="0" w:type="dxa"/>
                    <w:bottom w:w="0" w:type="dxa"/>
                    <w:right w:w="0" w:type="dxa"/>
                  </w:tcMar>
                  <w:vAlign w:val="center"/>
                </w:tcPr>
                <w:p w14:paraId="61022D46">
                  <w:pPr>
                    <w:pStyle w:val="13"/>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60</w:t>
                  </w:r>
                </w:p>
              </w:tc>
              <w:tc>
                <w:tcPr>
                  <w:tcW w:w="180" w:type="pct"/>
                  <w:noWrap w:val="0"/>
                  <w:tcMar>
                    <w:top w:w="0" w:type="dxa"/>
                    <w:left w:w="0" w:type="dxa"/>
                    <w:bottom w:w="0" w:type="dxa"/>
                    <w:right w:w="0" w:type="dxa"/>
                  </w:tcMar>
                  <w:vAlign w:val="center"/>
                </w:tcPr>
                <w:p w14:paraId="7F90D22A">
                  <w:pPr>
                    <w:spacing w:line="240" w:lineRule="atLeast"/>
                    <w:jc w:val="center"/>
                    <w:rPr>
                      <w:rFonts w:hint="default" w:ascii="Times New Roman" w:hAnsi="Times New Roman" w:eastAsia="宋体"/>
                      <w:color w:val="auto"/>
                      <w:kern w:val="0"/>
                      <w:sz w:val="21"/>
                      <w:szCs w:val="21"/>
                      <w:highlight w:val="none"/>
                      <w:lang w:val="en-US" w:eastAsia="zh-CN"/>
                    </w:rPr>
                  </w:pPr>
                  <w:r>
                    <w:rPr>
                      <w:rFonts w:hint="eastAsia"/>
                      <w:color w:val="auto"/>
                      <w:kern w:val="0"/>
                      <w:sz w:val="21"/>
                      <w:szCs w:val="21"/>
                      <w:highlight w:val="none"/>
                      <w:lang w:val="en-US" w:eastAsia="zh-CN"/>
                    </w:rPr>
                    <w:t>6</w:t>
                  </w:r>
                </w:p>
              </w:tc>
              <w:tc>
                <w:tcPr>
                  <w:tcW w:w="139" w:type="pct"/>
                  <w:noWrap w:val="0"/>
                  <w:tcMar>
                    <w:top w:w="0" w:type="dxa"/>
                    <w:left w:w="0" w:type="dxa"/>
                    <w:bottom w:w="0" w:type="dxa"/>
                    <w:right w:w="0" w:type="dxa"/>
                  </w:tcMar>
                  <w:vAlign w:val="center"/>
                </w:tcPr>
                <w:p w14:paraId="24F32F65">
                  <w:pPr>
                    <w:pStyle w:val="13"/>
                    <w:spacing w:line="240" w:lineRule="atLeast"/>
                    <w:jc w:val="center"/>
                    <w:rPr>
                      <w:rFonts w:hint="eastAsia"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r w14:paraId="6D587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9" w:type="pct"/>
                  <w:noWrap w:val="0"/>
                  <w:tcMar>
                    <w:top w:w="0" w:type="dxa"/>
                    <w:left w:w="0" w:type="dxa"/>
                    <w:bottom w:w="0" w:type="dxa"/>
                    <w:right w:w="0" w:type="dxa"/>
                  </w:tcMar>
                  <w:vAlign w:val="center"/>
                </w:tcPr>
                <w:p w14:paraId="224D611D">
                  <w:pPr>
                    <w:keepNext w:val="0"/>
                    <w:keepLines w:val="0"/>
                    <w:widowControl/>
                    <w:suppressLineNumbers w:val="0"/>
                    <w:jc w:val="center"/>
                    <w:textAlignment w:val="center"/>
                    <w:rPr>
                      <w:rFonts w:hint="default" w:cs="Times New Roman"/>
                      <w:bCs/>
                      <w:color w:val="auto"/>
                      <w:sz w:val="21"/>
                      <w:szCs w:val="21"/>
                      <w:lang w:val="en-US" w:eastAsia="zh-CN"/>
                    </w:rPr>
                  </w:pPr>
                  <w:r>
                    <w:rPr>
                      <w:rFonts w:hint="eastAsia" w:cs="Times New Roman"/>
                      <w:bCs/>
                      <w:color w:val="auto"/>
                      <w:sz w:val="21"/>
                      <w:szCs w:val="21"/>
                      <w:lang w:val="en-US" w:eastAsia="zh-CN"/>
                    </w:rPr>
                    <w:t>磨尖废气</w:t>
                  </w:r>
                </w:p>
              </w:tc>
              <w:tc>
                <w:tcPr>
                  <w:tcW w:w="213" w:type="pct"/>
                  <w:noWrap w:val="0"/>
                  <w:tcMar>
                    <w:top w:w="0" w:type="dxa"/>
                    <w:left w:w="0" w:type="dxa"/>
                    <w:bottom w:w="0" w:type="dxa"/>
                    <w:right w:w="0" w:type="dxa"/>
                  </w:tcMar>
                  <w:vAlign w:val="center"/>
                </w:tcPr>
                <w:p w14:paraId="7AF93FFF">
                  <w:pPr>
                    <w:keepNext w:val="0"/>
                    <w:keepLines w:val="0"/>
                    <w:widowControl/>
                    <w:suppressLineNumbers w:val="0"/>
                    <w:jc w:val="center"/>
                    <w:textAlignment w:val="center"/>
                    <w:rPr>
                      <w:rFonts w:hint="eastAsia" w:cs="Times New Roman"/>
                      <w:bCs/>
                      <w:color w:val="auto"/>
                      <w:sz w:val="21"/>
                      <w:szCs w:val="21"/>
                      <w:lang w:val="en-US" w:eastAsia="zh-CN"/>
                    </w:rPr>
                  </w:pPr>
                  <w:r>
                    <w:rPr>
                      <w:rFonts w:hint="eastAsia" w:cs="Times New Roman"/>
                      <w:bCs/>
                      <w:color w:val="auto"/>
                      <w:sz w:val="21"/>
                      <w:szCs w:val="21"/>
                      <w:lang w:val="en-US" w:eastAsia="zh-CN"/>
                    </w:rPr>
                    <w:t>颗粒物</w:t>
                  </w:r>
                </w:p>
              </w:tc>
              <w:tc>
                <w:tcPr>
                  <w:tcW w:w="249" w:type="pct"/>
                  <w:noWrap w:val="0"/>
                  <w:tcMar>
                    <w:top w:w="0" w:type="dxa"/>
                    <w:left w:w="0" w:type="dxa"/>
                    <w:bottom w:w="0" w:type="dxa"/>
                    <w:right w:w="0" w:type="dxa"/>
                  </w:tcMar>
                  <w:vAlign w:val="center"/>
                </w:tcPr>
                <w:p w14:paraId="3BB6003A">
                  <w:pPr>
                    <w:keepNext w:val="0"/>
                    <w:keepLines w:val="0"/>
                    <w:widowControl/>
                    <w:suppressLineNumbers w:val="0"/>
                    <w:jc w:val="center"/>
                    <w:textAlignment w:val="center"/>
                    <w:rPr>
                      <w:rFonts w:hint="default" w:cs="Times New Roman"/>
                      <w:bCs/>
                      <w:color w:val="auto"/>
                      <w:sz w:val="21"/>
                      <w:szCs w:val="21"/>
                      <w:lang w:val="en-US" w:eastAsia="zh-CN"/>
                    </w:rPr>
                  </w:pPr>
                  <w:r>
                    <w:rPr>
                      <w:rFonts w:hint="eastAsia" w:cs="Times New Roman"/>
                      <w:bCs/>
                      <w:color w:val="auto"/>
                      <w:sz w:val="21"/>
                      <w:szCs w:val="21"/>
                      <w:lang w:val="en-US" w:eastAsia="zh-CN"/>
                    </w:rPr>
                    <w:t>0.833</w:t>
                  </w:r>
                </w:p>
              </w:tc>
              <w:tc>
                <w:tcPr>
                  <w:tcW w:w="235" w:type="pct"/>
                  <w:noWrap w:val="0"/>
                  <w:tcMar>
                    <w:top w:w="0" w:type="dxa"/>
                    <w:left w:w="0" w:type="dxa"/>
                    <w:bottom w:w="0" w:type="dxa"/>
                    <w:right w:w="0" w:type="dxa"/>
                  </w:tcMar>
                  <w:vAlign w:val="center"/>
                </w:tcPr>
                <w:p w14:paraId="2FFAFAAD">
                  <w:pPr>
                    <w:keepNext w:val="0"/>
                    <w:keepLines w:val="0"/>
                    <w:widowControl/>
                    <w:suppressLineNumbers w:val="0"/>
                    <w:jc w:val="center"/>
                    <w:textAlignment w:val="center"/>
                    <w:rPr>
                      <w:rFonts w:hint="default" w:cs="Times New Roman"/>
                      <w:bCs/>
                      <w:color w:val="auto"/>
                      <w:sz w:val="21"/>
                      <w:szCs w:val="21"/>
                      <w:lang w:val="en-US" w:eastAsia="zh-CN"/>
                    </w:rPr>
                  </w:pPr>
                  <w:r>
                    <w:rPr>
                      <w:rFonts w:hint="eastAsia" w:cs="Times New Roman"/>
                      <w:bCs/>
                      <w:color w:val="auto"/>
                      <w:sz w:val="21"/>
                      <w:szCs w:val="21"/>
                      <w:lang w:val="en-US" w:eastAsia="zh-CN"/>
                    </w:rPr>
                    <w:t>2</w:t>
                  </w:r>
                </w:p>
              </w:tc>
              <w:tc>
                <w:tcPr>
                  <w:tcW w:w="171" w:type="pct"/>
                  <w:noWrap w:val="0"/>
                  <w:tcMar>
                    <w:top w:w="0" w:type="dxa"/>
                    <w:left w:w="0" w:type="dxa"/>
                    <w:bottom w:w="0" w:type="dxa"/>
                    <w:right w:w="0" w:type="dxa"/>
                  </w:tcMar>
                  <w:vAlign w:val="center"/>
                </w:tcPr>
                <w:p w14:paraId="2047205C">
                  <w:pPr>
                    <w:keepNext w:val="0"/>
                    <w:keepLines w:val="0"/>
                    <w:widowControl/>
                    <w:suppressLineNumbers w:val="0"/>
                    <w:jc w:val="center"/>
                    <w:textAlignment w:val="center"/>
                    <w:rPr>
                      <w:rFonts w:hint="eastAsia" w:eastAsia="宋体" w:cs="Times New Roman"/>
                      <w:bCs/>
                      <w:color w:val="auto"/>
                      <w:sz w:val="21"/>
                      <w:szCs w:val="21"/>
                      <w:lang w:val="en-US" w:eastAsia="zh-CN"/>
                    </w:rPr>
                  </w:pPr>
                  <w:r>
                    <w:rPr>
                      <w:rFonts w:hint="eastAsia" w:cs="Times New Roman"/>
                      <w:bCs/>
                      <w:color w:val="auto"/>
                      <w:sz w:val="21"/>
                      <w:szCs w:val="21"/>
                      <w:lang w:val="en-US" w:eastAsia="zh-CN"/>
                    </w:rPr>
                    <w:t>9</w:t>
                  </w:r>
                  <w:r>
                    <w:rPr>
                      <w:rFonts w:hint="eastAsia"/>
                      <w:lang w:val="en-US" w:eastAsia="zh-CN"/>
                    </w:rPr>
                    <w:t>5</w:t>
                  </w:r>
                </w:p>
              </w:tc>
              <w:tc>
                <w:tcPr>
                  <w:tcW w:w="399" w:type="pct"/>
                  <w:noWrap w:val="0"/>
                  <w:tcMar>
                    <w:top w:w="0" w:type="dxa"/>
                    <w:left w:w="0" w:type="dxa"/>
                    <w:bottom w:w="0" w:type="dxa"/>
                    <w:right w:w="0" w:type="dxa"/>
                  </w:tcMar>
                  <w:vAlign w:val="center"/>
                </w:tcPr>
                <w:p w14:paraId="62D0AA3C">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312" w:lineRule="exact"/>
                    <w:jc w:val="center"/>
                    <w:textAlignment w:val="auto"/>
                    <w:outlineLvl w:val="0"/>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布袋除尘器</w:t>
                  </w:r>
                  <w:r>
                    <w:rPr>
                      <w:rFonts w:hint="eastAsia" w:ascii="Times New Roman" w:hAnsi="Times New Roman" w:eastAsia="宋体" w:cs="Times New Roman"/>
                      <w:color w:val="auto"/>
                      <w:sz w:val="21"/>
                      <w:szCs w:val="21"/>
                      <w:vertAlign w:val="baseline"/>
                      <w:lang w:val="en-US" w:eastAsia="zh-CN"/>
                    </w:rPr>
                    <w:t>+15m高排气筒DA00</w:t>
                  </w:r>
                  <w:r>
                    <w:rPr>
                      <w:rFonts w:hint="eastAsia" w:ascii="Times New Roman" w:hAnsi="Times New Roman" w:cs="Times New Roman"/>
                      <w:color w:val="auto"/>
                      <w:sz w:val="21"/>
                      <w:szCs w:val="21"/>
                      <w:vertAlign w:val="baseline"/>
                      <w:lang w:val="en-US" w:eastAsia="zh-CN"/>
                    </w:rPr>
                    <w:t>2排放</w:t>
                  </w:r>
                </w:p>
              </w:tc>
              <w:tc>
                <w:tcPr>
                  <w:tcW w:w="200" w:type="pct"/>
                  <w:noWrap w:val="0"/>
                  <w:tcMar>
                    <w:top w:w="0" w:type="dxa"/>
                    <w:left w:w="0" w:type="dxa"/>
                    <w:bottom w:w="0" w:type="dxa"/>
                    <w:right w:w="0" w:type="dxa"/>
                  </w:tcMar>
                  <w:vAlign w:val="center"/>
                </w:tcPr>
                <w:p w14:paraId="487B4394">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99</w:t>
                  </w:r>
                </w:p>
              </w:tc>
              <w:tc>
                <w:tcPr>
                  <w:tcW w:w="162" w:type="pct"/>
                  <w:noWrap w:val="0"/>
                  <w:tcMar>
                    <w:top w:w="0" w:type="dxa"/>
                    <w:left w:w="0" w:type="dxa"/>
                    <w:bottom w:w="0" w:type="dxa"/>
                    <w:right w:w="0" w:type="dxa"/>
                  </w:tcMar>
                  <w:vAlign w:val="center"/>
                </w:tcPr>
                <w:p w14:paraId="5E2CEDF1">
                  <w:pPr>
                    <w:spacing w:line="240" w:lineRule="atLeast"/>
                    <w:jc w:val="center"/>
                    <w:rPr>
                      <w:rFonts w:hint="eastAsia"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是</w:t>
                  </w:r>
                </w:p>
              </w:tc>
              <w:tc>
                <w:tcPr>
                  <w:tcW w:w="233" w:type="pct"/>
                  <w:noWrap w:val="0"/>
                  <w:tcMar>
                    <w:top w:w="0" w:type="dxa"/>
                    <w:left w:w="0" w:type="dxa"/>
                    <w:bottom w:w="0" w:type="dxa"/>
                    <w:right w:w="0" w:type="dxa"/>
                  </w:tcMar>
                  <w:vAlign w:val="center"/>
                </w:tcPr>
                <w:p w14:paraId="2E01CFD3">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3.958</w:t>
                  </w:r>
                </w:p>
              </w:tc>
              <w:tc>
                <w:tcPr>
                  <w:tcW w:w="357" w:type="pct"/>
                  <w:noWrap w:val="0"/>
                  <w:tcMar>
                    <w:top w:w="0" w:type="dxa"/>
                    <w:left w:w="0" w:type="dxa"/>
                    <w:bottom w:w="0" w:type="dxa"/>
                    <w:right w:w="0" w:type="dxa"/>
                  </w:tcMar>
                  <w:vAlign w:val="center"/>
                </w:tcPr>
                <w:p w14:paraId="06507410">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0.0079</w:t>
                  </w:r>
                </w:p>
              </w:tc>
              <w:tc>
                <w:tcPr>
                  <w:tcW w:w="371" w:type="pct"/>
                  <w:noWrap w:val="0"/>
                  <w:tcMar>
                    <w:top w:w="0" w:type="dxa"/>
                    <w:left w:w="0" w:type="dxa"/>
                    <w:bottom w:w="0" w:type="dxa"/>
                    <w:right w:w="0" w:type="dxa"/>
                  </w:tcMar>
                  <w:vAlign w:val="center"/>
                </w:tcPr>
                <w:p w14:paraId="71A2FB50">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0.019</w:t>
                  </w:r>
                </w:p>
              </w:tc>
              <w:tc>
                <w:tcPr>
                  <w:tcW w:w="283" w:type="pct"/>
                  <w:shd w:val="clear" w:color="auto" w:fill="auto"/>
                  <w:noWrap w:val="0"/>
                  <w:tcMar>
                    <w:top w:w="0" w:type="dxa"/>
                    <w:left w:w="0" w:type="dxa"/>
                    <w:bottom w:w="0" w:type="dxa"/>
                    <w:right w:w="0" w:type="dxa"/>
                  </w:tcMar>
                  <w:vAlign w:val="center"/>
                </w:tcPr>
                <w:p w14:paraId="4C7FE1EF">
                  <w:pPr>
                    <w:pStyle w:val="13"/>
                    <w:spacing w:line="240" w:lineRule="atLeas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DA00</w:t>
                  </w:r>
                  <w:r>
                    <w:rPr>
                      <w:rFonts w:hint="eastAsia" w:ascii="Times New Roman" w:hAnsi="Times New Roman" w:cs="Times New Roman"/>
                      <w:color w:val="auto"/>
                      <w:kern w:val="0"/>
                      <w:sz w:val="21"/>
                      <w:szCs w:val="21"/>
                      <w:highlight w:val="none"/>
                      <w:lang w:val="en-US" w:eastAsia="zh-CN"/>
                    </w:rPr>
                    <w:t>2</w:t>
                  </w:r>
                </w:p>
              </w:tc>
              <w:tc>
                <w:tcPr>
                  <w:tcW w:w="320" w:type="pct"/>
                  <w:shd w:val="clear" w:color="auto" w:fill="auto"/>
                  <w:noWrap w:val="0"/>
                  <w:tcMar>
                    <w:top w:w="0" w:type="dxa"/>
                    <w:left w:w="0" w:type="dxa"/>
                    <w:bottom w:w="0" w:type="dxa"/>
                    <w:right w:w="0" w:type="dxa"/>
                  </w:tcMar>
                  <w:vAlign w:val="center"/>
                </w:tcPr>
                <w:p w14:paraId="5BC60D1D">
                  <w:pPr>
                    <w:pStyle w:val="23"/>
                    <w:keepNext w:val="0"/>
                    <w:keepLines w:val="0"/>
                    <w:pageBreakBefore w:val="0"/>
                    <w:widowControl/>
                    <w:kinsoku/>
                    <w:wordWrap/>
                    <w:overflowPunct/>
                    <w:topLinePunct w:val="0"/>
                    <w:autoSpaceDE/>
                    <w:autoSpaceDN/>
                    <w:bidi w:val="0"/>
                    <w:adjustRightInd/>
                    <w:snapToGrid/>
                    <w:spacing w:before="0" w:beforeAutospacing="0" w:after="0" w:afterAutospacing="0" w:line="312" w:lineRule="exact"/>
                    <w:jc w:val="center"/>
                    <w:textAlignment w:val="auto"/>
                    <w:outlineLvl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vertAlign w:val="baseline"/>
                      <w:lang w:val="en-US" w:eastAsia="zh-CN"/>
                    </w:rPr>
                    <w:t>有组织</w:t>
                  </w:r>
                  <w:r>
                    <w:rPr>
                      <w:rFonts w:hint="eastAsia" w:ascii="Times New Roman" w:hAnsi="Times New Roman" w:eastAsia="宋体" w:cs="Times New Roman"/>
                      <w:color w:val="auto"/>
                      <w:sz w:val="21"/>
                      <w:szCs w:val="21"/>
                      <w:vertAlign w:val="baseline"/>
                      <w:lang w:val="en-US" w:eastAsia="zh-CN"/>
                    </w:rPr>
                    <w:t>DA0</w:t>
                  </w:r>
                  <w:r>
                    <w:rPr>
                      <w:rFonts w:hint="eastAsia" w:ascii="Times New Roman" w:hAnsi="Times New Roman" w:cs="Times New Roman"/>
                      <w:color w:val="auto"/>
                      <w:sz w:val="21"/>
                      <w:szCs w:val="21"/>
                      <w:vertAlign w:val="baseline"/>
                      <w:lang w:val="en-US" w:eastAsia="zh-CN"/>
                    </w:rPr>
                    <w:t>02排气筒</w:t>
                  </w:r>
                </w:p>
              </w:tc>
              <w:tc>
                <w:tcPr>
                  <w:tcW w:w="200" w:type="pct"/>
                  <w:shd w:val="clear" w:color="auto" w:fill="auto"/>
                  <w:noWrap w:val="0"/>
                  <w:tcMar>
                    <w:top w:w="0" w:type="dxa"/>
                    <w:left w:w="0" w:type="dxa"/>
                    <w:bottom w:w="0" w:type="dxa"/>
                    <w:right w:w="0" w:type="dxa"/>
                  </w:tcMar>
                  <w:vAlign w:val="center"/>
                </w:tcPr>
                <w:p w14:paraId="2AE03469">
                  <w:pPr>
                    <w:pStyle w:val="13"/>
                    <w:spacing w:line="240" w:lineRule="atLeast"/>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w:t>
                  </w:r>
                </w:p>
              </w:tc>
              <w:tc>
                <w:tcPr>
                  <w:tcW w:w="271" w:type="pct"/>
                  <w:shd w:val="clear" w:color="auto" w:fill="auto"/>
                  <w:noWrap w:val="0"/>
                  <w:tcMar>
                    <w:top w:w="0" w:type="dxa"/>
                    <w:left w:w="0" w:type="dxa"/>
                    <w:bottom w:w="0" w:type="dxa"/>
                    <w:right w:w="0" w:type="dxa"/>
                  </w:tcMar>
                  <w:vAlign w:val="center"/>
                </w:tcPr>
                <w:p w14:paraId="6046017B">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4</w:t>
                  </w:r>
                </w:p>
              </w:tc>
              <w:tc>
                <w:tcPr>
                  <w:tcW w:w="259" w:type="pct"/>
                  <w:shd w:val="clear" w:color="auto" w:fill="auto"/>
                  <w:noWrap w:val="0"/>
                  <w:tcMar>
                    <w:top w:w="0" w:type="dxa"/>
                    <w:left w:w="0" w:type="dxa"/>
                    <w:bottom w:w="0" w:type="dxa"/>
                    <w:right w:w="0" w:type="dxa"/>
                  </w:tcMar>
                  <w:vAlign w:val="center"/>
                </w:tcPr>
                <w:p w14:paraId="6412CF36">
                  <w:pPr>
                    <w:pStyle w:val="13"/>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2000</w:t>
                  </w:r>
                </w:p>
              </w:tc>
              <w:tc>
                <w:tcPr>
                  <w:tcW w:w="274" w:type="pct"/>
                  <w:shd w:val="clear" w:color="auto" w:fill="auto"/>
                  <w:noWrap w:val="0"/>
                  <w:tcMar>
                    <w:top w:w="0" w:type="dxa"/>
                    <w:left w:w="0" w:type="dxa"/>
                    <w:bottom w:w="0" w:type="dxa"/>
                    <w:right w:w="0" w:type="dxa"/>
                  </w:tcMar>
                  <w:vAlign w:val="center"/>
                </w:tcPr>
                <w:p w14:paraId="22C44BD2">
                  <w:pPr>
                    <w:pStyle w:val="13"/>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2400</w:t>
                  </w:r>
                </w:p>
              </w:tc>
              <w:tc>
                <w:tcPr>
                  <w:tcW w:w="261" w:type="pct"/>
                  <w:shd w:val="clear" w:color="auto" w:fill="auto"/>
                  <w:noWrap w:val="0"/>
                  <w:tcMar>
                    <w:top w:w="0" w:type="dxa"/>
                    <w:left w:w="0" w:type="dxa"/>
                    <w:bottom w:w="0" w:type="dxa"/>
                    <w:right w:w="0" w:type="dxa"/>
                  </w:tcMar>
                  <w:vAlign w:val="center"/>
                </w:tcPr>
                <w:p w14:paraId="4F234718">
                  <w:pPr>
                    <w:pStyle w:val="13"/>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10</w:t>
                  </w:r>
                </w:p>
              </w:tc>
              <w:tc>
                <w:tcPr>
                  <w:tcW w:w="180" w:type="pct"/>
                  <w:shd w:val="clear" w:color="auto" w:fill="auto"/>
                  <w:noWrap w:val="0"/>
                  <w:tcMar>
                    <w:top w:w="0" w:type="dxa"/>
                    <w:left w:w="0" w:type="dxa"/>
                    <w:bottom w:w="0" w:type="dxa"/>
                    <w:right w:w="0" w:type="dxa"/>
                  </w:tcMar>
                  <w:vAlign w:val="center"/>
                </w:tcPr>
                <w:p w14:paraId="0CAB28E2">
                  <w:pPr>
                    <w:spacing w:line="240" w:lineRule="atLeast"/>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139" w:type="pct"/>
                  <w:shd w:val="clear" w:color="auto" w:fill="auto"/>
                  <w:noWrap w:val="0"/>
                  <w:tcMar>
                    <w:top w:w="0" w:type="dxa"/>
                    <w:left w:w="0" w:type="dxa"/>
                    <w:bottom w:w="0" w:type="dxa"/>
                    <w:right w:w="0" w:type="dxa"/>
                  </w:tcMar>
                  <w:vAlign w:val="center"/>
                </w:tcPr>
                <w:p w14:paraId="43A1E498">
                  <w:pPr>
                    <w:pStyle w:val="13"/>
                    <w:spacing w:line="240" w:lineRule="atLeast"/>
                    <w:jc w:val="center"/>
                    <w:rPr>
                      <w:rFonts w:hint="eastAsia"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bl>
          <w:p w14:paraId="30A92A51">
            <w:pPr>
              <w:autoSpaceDE w:val="0"/>
              <w:autoSpaceDN w:val="0"/>
              <w:adjustRightInd w:val="0"/>
              <w:spacing w:line="360" w:lineRule="auto"/>
              <w:ind w:firstLine="480" w:firstLineChars="200"/>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废气无组织产排污节点、污染物及污染治理设施见下表。</w:t>
            </w:r>
          </w:p>
          <w:p w14:paraId="665E613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w:t>
            </w:r>
            <w:r>
              <w:rPr>
                <w:rFonts w:hint="eastAsia" w:ascii="Times New Roman" w:hAnsi="Times New Roman" w:eastAsia="黑体" w:cs="Times New Roman"/>
                <w:b w:val="0"/>
                <w:bCs w:val="0"/>
                <w:color w:val="auto"/>
                <w:kern w:val="0"/>
                <w:sz w:val="24"/>
                <w:szCs w:val="24"/>
                <w:highlight w:val="none"/>
                <w:lang w:val="en-US" w:eastAsia="zh-CN"/>
              </w:rPr>
              <w:t xml:space="preserve">2 </w:t>
            </w:r>
            <w:r>
              <w:rPr>
                <w:rFonts w:hint="default" w:ascii="Times New Roman" w:hAnsi="Times New Roman" w:eastAsia="黑体" w:cs="Times New Roman"/>
                <w:b w:val="0"/>
                <w:bCs w:val="0"/>
                <w:color w:val="auto"/>
                <w:kern w:val="0"/>
                <w:sz w:val="24"/>
                <w:szCs w:val="24"/>
                <w:highlight w:val="none"/>
                <w:lang w:val="en-US" w:eastAsia="zh-CN"/>
              </w:rPr>
              <w:t>废气无组织产排污节点、污染物及污染治理设施信息表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2203"/>
              <w:gridCol w:w="1429"/>
              <w:gridCol w:w="2055"/>
              <w:gridCol w:w="1977"/>
              <w:gridCol w:w="1446"/>
              <w:gridCol w:w="1787"/>
            </w:tblGrid>
            <w:tr w14:paraId="0CEA0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noWrap w:val="0"/>
                  <w:vAlign w:val="center"/>
                </w:tcPr>
                <w:p w14:paraId="0B29EECB">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生产单元</w:t>
                  </w:r>
                </w:p>
              </w:tc>
              <w:tc>
                <w:tcPr>
                  <w:tcW w:w="876" w:type="pct"/>
                  <w:noWrap w:val="0"/>
                  <w:vAlign w:val="center"/>
                </w:tcPr>
                <w:p w14:paraId="28FECFC5">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生产设施</w:t>
                  </w:r>
                </w:p>
              </w:tc>
              <w:tc>
                <w:tcPr>
                  <w:tcW w:w="568" w:type="pct"/>
                  <w:noWrap w:val="0"/>
                  <w:vAlign w:val="center"/>
                </w:tcPr>
                <w:p w14:paraId="3C9BEDF3">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污染物种类</w:t>
                  </w:r>
                </w:p>
              </w:tc>
              <w:tc>
                <w:tcPr>
                  <w:tcW w:w="817" w:type="pct"/>
                  <w:noWrap w:val="0"/>
                  <w:vAlign w:val="center"/>
                </w:tcPr>
                <w:p w14:paraId="2999F1C8">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主要污染防治措施</w:t>
                  </w:r>
                </w:p>
              </w:tc>
              <w:tc>
                <w:tcPr>
                  <w:tcW w:w="786" w:type="pct"/>
                  <w:noWrap w:val="0"/>
                  <w:vAlign w:val="center"/>
                </w:tcPr>
                <w:p w14:paraId="0BAEE41C">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浓度限值（</w:t>
                  </w:r>
                  <w:r>
                    <w:rPr>
                      <w:rFonts w:ascii="Times New Roman" w:hAnsi="Times New Roman"/>
                      <w:b w:val="0"/>
                      <w:bCs w:val="0"/>
                      <w:color w:val="auto"/>
                      <w:kern w:val="0"/>
                      <w:sz w:val="21"/>
                      <w:szCs w:val="21"/>
                      <w:highlight w:val="none"/>
                    </w:rPr>
                    <w:t>mg/m</w:t>
                  </w:r>
                  <w:r>
                    <w:rPr>
                      <w:rFonts w:ascii="Times New Roman" w:hAnsi="Times New Roman"/>
                      <w:b w:val="0"/>
                      <w:bCs w:val="0"/>
                      <w:color w:val="auto"/>
                      <w:kern w:val="0"/>
                      <w:sz w:val="21"/>
                      <w:szCs w:val="21"/>
                      <w:highlight w:val="none"/>
                      <w:vertAlign w:val="superscript"/>
                    </w:rPr>
                    <w:t>3</w:t>
                  </w:r>
                  <w:r>
                    <w:rPr>
                      <w:rFonts w:hint="default" w:ascii="Times New Roman" w:hAnsi="Times New Roman" w:cs="Times New Roman"/>
                      <w:b w:val="0"/>
                      <w:bCs w:val="0"/>
                      <w:color w:val="auto"/>
                      <w:sz w:val="21"/>
                      <w:szCs w:val="21"/>
                      <w:highlight w:val="none"/>
                    </w:rPr>
                    <w:t>）</w:t>
                  </w:r>
                </w:p>
              </w:tc>
              <w:tc>
                <w:tcPr>
                  <w:tcW w:w="575" w:type="pct"/>
                  <w:noWrap w:val="0"/>
                  <w:vAlign w:val="center"/>
                </w:tcPr>
                <w:p w14:paraId="4D796FB3">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eastAsia="zh-CN"/>
                    </w:rPr>
                    <w:t>速率</w:t>
                  </w:r>
                  <w:r>
                    <w:rPr>
                      <w:rFonts w:hint="default" w:ascii="Times New Roman" w:hAnsi="Times New Roman" w:cs="Times New Roman"/>
                      <w:b w:val="0"/>
                      <w:bCs w:val="0"/>
                      <w:color w:val="auto"/>
                      <w:sz w:val="21"/>
                      <w:szCs w:val="21"/>
                      <w:highlight w:val="none"/>
                    </w:rPr>
                    <w:t>限值（</w:t>
                  </w:r>
                  <w:r>
                    <w:rPr>
                      <w:rFonts w:hint="eastAsia" w:ascii="Times New Roman" w:hAnsi="Times New Roman"/>
                      <w:b w:val="0"/>
                      <w:bCs w:val="0"/>
                      <w:color w:val="auto"/>
                      <w:kern w:val="0"/>
                      <w:sz w:val="21"/>
                      <w:szCs w:val="21"/>
                      <w:highlight w:val="none"/>
                      <w:lang w:val="en-US" w:eastAsia="zh-CN"/>
                    </w:rPr>
                    <w:t>kg/h</w:t>
                  </w:r>
                  <w:r>
                    <w:rPr>
                      <w:rFonts w:hint="default" w:ascii="Times New Roman" w:hAnsi="Times New Roman" w:cs="Times New Roman"/>
                      <w:b w:val="0"/>
                      <w:bCs w:val="0"/>
                      <w:color w:val="auto"/>
                      <w:sz w:val="21"/>
                      <w:szCs w:val="21"/>
                      <w:highlight w:val="none"/>
                    </w:rPr>
                    <w:t>）</w:t>
                  </w:r>
                </w:p>
              </w:tc>
              <w:tc>
                <w:tcPr>
                  <w:tcW w:w="710" w:type="pct"/>
                  <w:noWrap w:val="0"/>
                  <w:vAlign w:val="center"/>
                </w:tcPr>
                <w:p w14:paraId="6A038B1B">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排放量（t/a）</w:t>
                  </w:r>
                </w:p>
              </w:tc>
            </w:tr>
            <w:tr w14:paraId="2E74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shd w:val="clear" w:color="auto" w:fill="auto"/>
                  <w:noWrap w:val="0"/>
                  <w:vAlign w:val="center"/>
                </w:tcPr>
                <w:p w14:paraId="0C839D67">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w:t>
                  </w:r>
                  <w:r>
                    <w:rPr>
                      <w:rFonts w:hint="eastAsia" w:ascii="Times New Roman" w:hAnsi="Times New Roman" w:cs="Times New Roman"/>
                      <w:b w:val="0"/>
                      <w:bCs w:val="0"/>
                      <w:color w:val="auto"/>
                      <w:sz w:val="21"/>
                      <w:szCs w:val="21"/>
                      <w:highlight w:val="none"/>
                      <w:lang w:val="en-US" w:eastAsia="zh-CN"/>
                    </w:rPr>
                    <w:t>和冷却</w:t>
                  </w:r>
                  <w:r>
                    <w:rPr>
                      <w:rFonts w:hint="eastAsia" w:ascii="Times New Roman" w:hAnsi="Times New Roman" w:eastAsia="宋体" w:cs="Times New Roman"/>
                      <w:b w:val="0"/>
                      <w:bCs w:val="0"/>
                      <w:color w:val="auto"/>
                      <w:sz w:val="21"/>
                      <w:szCs w:val="21"/>
                      <w:highlight w:val="none"/>
                      <w:lang w:val="en-US" w:eastAsia="zh-CN"/>
                    </w:rPr>
                    <w:t>、油剂、牵伸、压花、烘干定型、纺丝组件清洗废气</w:t>
                  </w:r>
                </w:p>
              </w:tc>
              <w:tc>
                <w:tcPr>
                  <w:tcW w:w="876" w:type="pct"/>
                  <w:noWrap w:val="0"/>
                  <w:vAlign w:val="center"/>
                </w:tcPr>
                <w:p w14:paraId="69521C59">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纺丝设备、牵伸卷绕设备、压花机、热风循环烘干箱、纺丝组件真空清洗</w:t>
                  </w:r>
                </w:p>
              </w:tc>
              <w:tc>
                <w:tcPr>
                  <w:tcW w:w="568" w:type="pct"/>
                  <w:noWrap w:val="0"/>
                  <w:vAlign w:val="center"/>
                </w:tcPr>
                <w:p w14:paraId="71D6C73E">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VOCs</w:t>
                  </w:r>
                </w:p>
              </w:tc>
              <w:tc>
                <w:tcPr>
                  <w:tcW w:w="817" w:type="pct"/>
                  <w:noWrap w:val="0"/>
                  <w:vAlign w:val="center"/>
                </w:tcPr>
                <w:p w14:paraId="75039711">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车间密闭</w:t>
                  </w:r>
                </w:p>
              </w:tc>
              <w:tc>
                <w:tcPr>
                  <w:tcW w:w="786" w:type="pct"/>
                  <w:shd w:val="clear" w:color="auto" w:fill="auto"/>
                  <w:noWrap w:val="0"/>
                  <w:vAlign w:val="center"/>
                </w:tcPr>
                <w:p w14:paraId="36D1680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2.0</w:t>
                  </w:r>
                </w:p>
              </w:tc>
              <w:tc>
                <w:tcPr>
                  <w:tcW w:w="575" w:type="pct"/>
                  <w:noWrap w:val="0"/>
                  <w:vAlign w:val="center"/>
                </w:tcPr>
                <w:p w14:paraId="2A0CC56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10" w:type="pct"/>
                  <w:shd w:val="clear" w:color="auto" w:fill="auto"/>
                  <w:noWrap w:val="0"/>
                  <w:vAlign w:val="center"/>
                </w:tcPr>
                <w:p w14:paraId="376149F4">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0.2015</w:t>
                  </w:r>
                </w:p>
              </w:tc>
            </w:tr>
            <w:tr w14:paraId="02292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shd w:val="clear" w:color="auto" w:fill="auto"/>
                  <w:noWrap w:val="0"/>
                  <w:vAlign w:val="center"/>
                </w:tcPr>
                <w:p w14:paraId="4DE7831C">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磨尖废气</w:t>
                  </w:r>
                </w:p>
              </w:tc>
              <w:tc>
                <w:tcPr>
                  <w:tcW w:w="876" w:type="pct"/>
                  <w:noWrap w:val="0"/>
                  <w:vAlign w:val="center"/>
                </w:tcPr>
                <w:p w14:paraId="09FA0FA8">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磨尖机</w:t>
                  </w:r>
                </w:p>
              </w:tc>
              <w:tc>
                <w:tcPr>
                  <w:tcW w:w="568" w:type="pct"/>
                  <w:noWrap w:val="0"/>
                  <w:vAlign w:val="center"/>
                </w:tcPr>
                <w:p w14:paraId="4939A772">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颗粒物</w:t>
                  </w:r>
                </w:p>
              </w:tc>
              <w:tc>
                <w:tcPr>
                  <w:tcW w:w="817" w:type="pct"/>
                  <w:noWrap w:val="0"/>
                  <w:vAlign w:val="center"/>
                </w:tcPr>
                <w:p w14:paraId="6C040BE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车间密闭</w:t>
                  </w:r>
                </w:p>
              </w:tc>
              <w:tc>
                <w:tcPr>
                  <w:tcW w:w="786" w:type="pct"/>
                  <w:noWrap w:val="0"/>
                  <w:vAlign w:val="center"/>
                </w:tcPr>
                <w:p w14:paraId="1C46DF9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575" w:type="pct"/>
                  <w:noWrap w:val="0"/>
                  <w:vAlign w:val="center"/>
                </w:tcPr>
                <w:p w14:paraId="67269BF7">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710" w:type="pct"/>
                  <w:shd w:val="clear" w:color="auto" w:fill="auto"/>
                  <w:noWrap w:val="0"/>
                  <w:vAlign w:val="center"/>
                </w:tcPr>
                <w:p w14:paraId="1D6293AC">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r>
          </w:tbl>
          <w:p w14:paraId="30B62599">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eastAsia="黑体" w:cs="Times New Roman"/>
                <w:color w:val="auto"/>
                <w:sz w:val="24"/>
                <w:szCs w:val="24"/>
                <w:highlight w:val="none"/>
                <w:lang w:val="en-US" w:eastAsia="zh-CN"/>
              </w:rPr>
              <w:t>2、</w:t>
            </w:r>
            <w:r>
              <w:rPr>
                <w:rFonts w:hint="default" w:ascii="Times New Roman" w:hAnsi="Times New Roman" w:eastAsia="黑体" w:cs="Times New Roman"/>
                <w:color w:val="auto"/>
                <w:sz w:val="24"/>
                <w:szCs w:val="24"/>
                <w:highlight w:val="none"/>
                <w:lang w:val="en-US" w:eastAsia="zh-CN"/>
              </w:rPr>
              <w:t>排放口信息</w:t>
            </w:r>
          </w:p>
          <w:p w14:paraId="0CFEBB4B">
            <w:pPr>
              <w:pStyle w:val="9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w:t>
            </w:r>
            <w:r>
              <w:rPr>
                <w:rFonts w:hint="eastAsia" w:ascii="Times New Roman" w:hAnsi="Times New Roman" w:eastAsia="黑体" w:cs="Times New Roman"/>
                <w:b w:val="0"/>
                <w:bCs w:val="0"/>
                <w:color w:val="auto"/>
                <w:kern w:val="0"/>
                <w:sz w:val="24"/>
                <w:szCs w:val="24"/>
                <w:highlight w:val="none"/>
                <w:lang w:val="en-US" w:eastAsia="zh-CN"/>
              </w:rPr>
              <w:t xml:space="preserve">3 </w:t>
            </w:r>
            <w:r>
              <w:rPr>
                <w:rFonts w:hint="default" w:ascii="Times New Roman" w:hAnsi="Times New Roman" w:eastAsia="黑体" w:cs="Times New Roman"/>
                <w:b w:val="0"/>
                <w:bCs w:val="0"/>
                <w:color w:val="auto"/>
                <w:kern w:val="0"/>
                <w:sz w:val="24"/>
                <w:szCs w:val="24"/>
                <w:highlight w:val="none"/>
                <w:lang w:val="en-US" w:eastAsia="zh-CN"/>
              </w:rPr>
              <w:t>大气污染物排放口基本情况表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012"/>
              <w:gridCol w:w="1254"/>
              <w:gridCol w:w="1760"/>
              <w:gridCol w:w="2236"/>
              <w:gridCol w:w="2160"/>
              <w:gridCol w:w="1224"/>
              <w:gridCol w:w="1468"/>
              <w:gridCol w:w="1468"/>
            </w:tblGrid>
            <w:tr w14:paraId="64FE273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402" w:type="pct"/>
                  <w:tcBorders>
                    <w:top w:val="single" w:color="auto" w:sz="4" w:space="0"/>
                    <w:left w:val="single" w:color="auto" w:sz="0" w:space="0"/>
                    <w:bottom w:val="single" w:color="auto" w:sz="4" w:space="0"/>
                    <w:right w:val="single" w:color="auto" w:sz="4" w:space="0"/>
                    <w:tl2br w:val="nil"/>
                    <w:tr2bl w:val="nil"/>
                  </w:tcBorders>
                  <w:noWrap w:val="0"/>
                  <w:vAlign w:val="center"/>
                </w:tcPr>
                <w:p w14:paraId="1F97533F">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序号</w:t>
                  </w:r>
                </w:p>
              </w:tc>
              <w:tc>
                <w:tcPr>
                  <w:tcW w:w="4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88D3A8">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排放口编号</w:t>
                  </w:r>
                </w:p>
              </w:tc>
              <w:tc>
                <w:tcPr>
                  <w:tcW w:w="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D8EAB1">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排放口名称</w:t>
                  </w:r>
                </w:p>
              </w:tc>
              <w:tc>
                <w:tcPr>
                  <w:tcW w:w="88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370495">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污染物种类</w:t>
                  </w:r>
                </w:p>
              </w:tc>
              <w:tc>
                <w:tcPr>
                  <w:tcW w:w="85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5261FD">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治理措施</w:t>
                  </w:r>
                </w:p>
              </w:tc>
              <w:tc>
                <w:tcPr>
                  <w:tcW w:w="48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8B7B3A6">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排气筒高度（m）</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31D1090">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排气筒出口内径（m）</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DCC23B4">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排放口类型</w:t>
                  </w:r>
                </w:p>
              </w:tc>
            </w:tr>
            <w:tr w14:paraId="518BB1B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2" w:hRule="atLeast"/>
                <w:jc w:val="center"/>
              </w:trPr>
              <w:tc>
                <w:tcPr>
                  <w:tcW w:w="4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70ECD2">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w:t>
                  </w:r>
                </w:p>
              </w:tc>
              <w:tc>
                <w:tcPr>
                  <w:tcW w:w="4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05430C2">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DA001</w:t>
                  </w:r>
                </w:p>
              </w:tc>
              <w:tc>
                <w:tcPr>
                  <w:tcW w:w="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27AD1B6">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DA001排气筒</w:t>
                  </w:r>
                </w:p>
              </w:tc>
              <w:tc>
                <w:tcPr>
                  <w:tcW w:w="88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D74D13">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VOCs</w:t>
                  </w:r>
                </w:p>
              </w:tc>
              <w:tc>
                <w:tcPr>
                  <w:tcW w:w="85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1C5570">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废气经</w:t>
                  </w:r>
                  <w:r>
                    <w:rPr>
                      <w:rFonts w:hint="eastAsia" w:ascii="Times New Roman" w:hAnsi="Times New Roman" w:cs="Times New Roman"/>
                      <w:b w:val="0"/>
                      <w:bCs w:val="0"/>
                      <w:color w:val="auto"/>
                      <w:sz w:val="21"/>
                      <w:szCs w:val="21"/>
                      <w:highlight w:val="none"/>
                      <w:lang w:val="en-US" w:eastAsia="zh-CN"/>
                    </w:rPr>
                    <w:t>二级活性炭吸附装置</w:t>
                  </w:r>
                  <w:r>
                    <w:rPr>
                      <w:rFonts w:hint="eastAsia" w:ascii="Times New Roman" w:hAnsi="Times New Roman" w:eastAsia="宋体" w:cs="Times New Roman"/>
                      <w:b w:val="0"/>
                      <w:bCs w:val="0"/>
                      <w:color w:val="auto"/>
                      <w:sz w:val="21"/>
                      <w:szCs w:val="21"/>
                      <w:highlight w:val="none"/>
                      <w:lang w:val="en-US" w:eastAsia="zh-CN"/>
                    </w:rPr>
                    <w:t>+排气筒排放</w:t>
                  </w:r>
                </w:p>
              </w:tc>
              <w:tc>
                <w:tcPr>
                  <w:tcW w:w="48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8E848E">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15</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101EE3D">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r>
                    <w:rPr>
                      <w:rFonts w:hint="eastAsia" w:ascii="Times New Roman" w:hAnsi="Times New Roman" w:cs="Times New Roman"/>
                      <w:b w:val="0"/>
                      <w:bCs w:val="0"/>
                      <w:color w:val="auto"/>
                      <w:sz w:val="21"/>
                      <w:szCs w:val="21"/>
                      <w:highlight w:val="none"/>
                      <w:lang w:val="en-US" w:eastAsia="zh-CN"/>
                    </w:rPr>
                    <w:t>5</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D3CF7DF">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主要排放口</w:t>
                  </w:r>
                </w:p>
              </w:tc>
            </w:tr>
            <w:tr w14:paraId="7AD6FBB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39" w:hRule="atLeast"/>
                <w:jc w:val="center"/>
              </w:trPr>
              <w:tc>
                <w:tcPr>
                  <w:tcW w:w="40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6478E7D">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49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7B8A285">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DA002</w:t>
                  </w:r>
                </w:p>
              </w:tc>
              <w:tc>
                <w:tcPr>
                  <w:tcW w:w="699"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7D367E">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DA002排气筒</w:t>
                  </w:r>
                </w:p>
              </w:tc>
              <w:tc>
                <w:tcPr>
                  <w:tcW w:w="88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84E70E8">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颗粒物</w:t>
                  </w:r>
                </w:p>
              </w:tc>
              <w:tc>
                <w:tcPr>
                  <w:tcW w:w="85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1DEDCAF">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废气经布袋除尘器+排气筒排放</w:t>
                  </w:r>
                </w:p>
              </w:tc>
              <w:tc>
                <w:tcPr>
                  <w:tcW w:w="48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C4E8E3">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15</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23687C1">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0.4</w:t>
                  </w:r>
                </w:p>
              </w:tc>
              <w:tc>
                <w:tcPr>
                  <w:tcW w:w="58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5B37FC4">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一般排放口</w:t>
                  </w:r>
                </w:p>
              </w:tc>
            </w:tr>
          </w:tbl>
          <w:p w14:paraId="7355DAFB">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lang w:val="en-US" w:eastAsia="zh-CN"/>
              </w:rPr>
              <w:t>检测要求</w:t>
            </w:r>
          </w:p>
          <w:p w14:paraId="094FEA00">
            <w:pPr>
              <w:autoSpaceDE w:val="0"/>
              <w:autoSpaceDN w:val="0"/>
              <w:adjustRightInd w:val="0"/>
              <w:spacing w:line="360" w:lineRule="auto"/>
              <w:ind w:firstLine="480" w:firstLineChars="200"/>
              <w:rPr>
                <w:rFonts w:hint="eastAsia" w:ascii="黑体" w:hAnsi="黑体" w:eastAsia="黑体" w:cs="黑体"/>
                <w:bCs/>
                <w:color w:val="auto"/>
                <w:sz w:val="24"/>
                <w:szCs w:val="24"/>
                <w:highlight w:val="none"/>
                <w:vertAlign w:val="baseline"/>
              </w:rPr>
            </w:pPr>
            <w:r>
              <w:rPr>
                <w:rFonts w:hint="eastAsia" w:ascii="Times New Roman" w:hAnsi="Times New Roman" w:eastAsia="宋体" w:cs="Times New Roman"/>
                <w:color w:val="auto"/>
                <w:kern w:val="0"/>
                <w:sz w:val="24"/>
                <w:highlight w:val="none"/>
                <w:lang w:val="en-US" w:eastAsia="zh-CN"/>
              </w:rPr>
              <w:t>根据《</w:t>
            </w:r>
            <w:r>
              <w:rPr>
                <w:rFonts w:hint="default" w:ascii="Times New Roman" w:hAnsi="Times New Roman" w:eastAsia="宋体" w:cs="Times New Roman"/>
                <w:color w:val="auto"/>
                <w:kern w:val="0"/>
                <w:sz w:val="24"/>
                <w:highlight w:val="none"/>
                <w:lang w:val="zh-CN"/>
              </w:rPr>
              <w:t>排污单位自行监测技术指南</w:t>
            </w:r>
            <w:r>
              <w:rPr>
                <w:rFonts w:hint="eastAsia" w:ascii="Times New Roman" w:hAnsi="Times New Roman" w:eastAsia="宋体" w:cs="Times New Roman"/>
                <w:color w:val="auto"/>
                <w:kern w:val="0"/>
                <w:sz w:val="24"/>
                <w:highlight w:val="none"/>
                <w:lang w:val="en-US" w:eastAsia="zh-CN"/>
              </w:rPr>
              <w:t xml:space="preserve"> 化学纤维制造业》</w:t>
            </w:r>
            <w:r>
              <w:rPr>
                <w:rFonts w:hint="default" w:ascii="Times New Roman" w:hAnsi="Times New Roman" w:eastAsia="宋体" w:cs="Times New Roman"/>
                <w:color w:val="auto"/>
                <w:kern w:val="0"/>
                <w:sz w:val="24"/>
                <w:highlight w:val="none"/>
                <w:lang w:val="zh-CN"/>
              </w:rPr>
              <w:t>（HJ</w:t>
            </w:r>
            <w:r>
              <w:rPr>
                <w:rFonts w:hint="eastAsia" w:ascii="Times New Roman" w:hAnsi="Times New Roman" w:eastAsia="宋体" w:cs="Times New Roman"/>
                <w:color w:val="auto"/>
                <w:kern w:val="0"/>
                <w:sz w:val="24"/>
                <w:highlight w:val="none"/>
                <w:lang w:val="en-US" w:eastAsia="zh-CN"/>
              </w:rPr>
              <w:t xml:space="preserve"> 1139</w:t>
            </w:r>
            <w:r>
              <w:rPr>
                <w:rFonts w:hint="default" w:ascii="Times New Roman" w:hAnsi="Times New Roman" w:eastAsia="宋体" w:cs="Times New Roman"/>
                <w:color w:val="auto"/>
                <w:kern w:val="0"/>
                <w:sz w:val="24"/>
                <w:highlight w:val="none"/>
                <w:lang w:val="zh-CN"/>
              </w:rPr>
              <w:t>—20</w:t>
            </w:r>
            <w:r>
              <w:rPr>
                <w:rFonts w:hint="eastAsia" w:ascii="Times New Roman" w:hAnsi="Times New Roman" w:eastAsia="宋体" w:cs="Times New Roman"/>
                <w:color w:val="auto"/>
                <w:kern w:val="0"/>
                <w:sz w:val="24"/>
                <w:highlight w:val="none"/>
                <w:lang w:val="en-US" w:eastAsia="zh-CN"/>
              </w:rPr>
              <w:t>20</w:t>
            </w:r>
            <w:r>
              <w:rPr>
                <w:rFonts w:hint="default" w:ascii="Times New Roman" w:hAnsi="Times New Roman" w:eastAsia="宋体" w:cs="Times New Roman"/>
                <w:color w:val="auto"/>
                <w:kern w:val="0"/>
                <w:sz w:val="24"/>
                <w:highlight w:val="none"/>
                <w:lang w:val="zh-CN"/>
              </w:rPr>
              <w:t>）</w:t>
            </w:r>
            <w:r>
              <w:rPr>
                <w:rFonts w:hint="eastAsia" w:ascii="Times New Roman" w:hAnsi="Times New Roman" w:eastAsia="宋体" w:cs="Times New Roman"/>
                <w:color w:val="auto"/>
                <w:kern w:val="0"/>
                <w:sz w:val="24"/>
                <w:highlight w:val="none"/>
                <w:lang w:val="en-US" w:eastAsia="zh-CN"/>
              </w:rPr>
              <w:t>、</w:t>
            </w:r>
            <w:r>
              <w:rPr>
                <w:rFonts w:hint="eastAsia" w:cs="Times New Roman"/>
                <w:color w:val="auto"/>
                <w:kern w:val="0"/>
                <w:sz w:val="24"/>
                <w:highlight w:val="none"/>
                <w:lang w:val="en-US" w:eastAsia="zh-CN"/>
              </w:rPr>
              <w:t>《排污单位自行监测技术指南 橡胶和塑料制品》</w:t>
            </w:r>
            <w:r>
              <w:rPr>
                <w:rFonts w:hint="default" w:ascii="Times New Roman" w:hAnsi="Times New Roman" w:eastAsia="宋体" w:cs="Times New Roman"/>
                <w:color w:val="auto"/>
                <w:kern w:val="0"/>
                <w:sz w:val="24"/>
                <w:highlight w:val="none"/>
                <w:lang w:val="zh-CN"/>
              </w:rPr>
              <w:t>（HJ</w:t>
            </w:r>
            <w:r>
              <w:rPr>
                <w:rFonts w:hint="eastAsia" w:ascii="Times New Roman" w:hAnsi="Times New Roman" w:eastAsia="宋体" w:cs="Times New Roman"/>
                <w:color w:val="auto"/>
                <w:kern w:val="0"/>
                <w:sz w:val="24"/>
                <w:highlight w:val="none"/>
                <w:lang w:val="en-US" w:eastAsia="zh-CN"/>
              </w:rPr>
              <w:t xml:space="preserve"> </w:t>
            </w:r>
            <w:r>
              <w:rPr>
                <w:rFonts w:hint="eastAsia" w:cs="Times New Roman"/>
                <w:color w:val="auto"/>
                <w:kern w:val="0"/>
                <w:sz w:val="24"/>
                <w:highlight w:val="none"/>
                <w:lang w:val="en-US" w:eastAsia="zh-CN"/>
              </w:rPr>
              <w:t>1207</w:t>
            </w:r>
            <w:r>
              <w:rPr>
                <w:rFonts w:hint="default" w:ascii="Times New Roman" w:hAnsi="Times New Roman" w:eastAsia="宋体" w:cs="Times New Roman"/>
                <w:color w:val="auto"/>
                <w:kern w:val="0"/>
                <w:sz w:val="24"/>
                <w:highlight w:val="none"/>
                <w:lang w:val="zh-CN"/>
              </w:rPr>
              <w:t>—20</w:t>
            </w:r>
            <w:r>
              <w:rPr>
                <w:rFonts w:hint="eastAsia" w:cs="Times New Roman"/>
                <w:color w:val="auto"/>
                <w:kern w:val="0"/>
                <w:sz w:val="24"/>
                <w:highlight w:val="none"/>
                <w:lang w:val="en-US" w:eastAsia="zh-CN"/>
              </w:rPr>
              <w:t>21</w:t>
            </w:r>
            <w:r>
              <w:rPr>
                <w:rFonts w:hint="default" w:ascii="Times New Roman" w:hAnsi="Times New Roman" w:eastAsia="宋体" w:cs="Times New Roman"/>
                <w:color w:val="auto"/>
                <w:kern w:val="0"/>
                <w:sz w:val="24"/>
                <w:highlight w:val="none"/>
                <w:lang w:val="zh-CN"/>
              </w:rPr>
              <w:t>）</w:t>
            </w:r>
            <w:r>
              <w:rPr>
                <w:rFonts w:hint="eastAsia" w:cs="Times New Roman"/>
                <w:color w:val="auto"/>
                <w:kern w:val="0"/>
                <w:sz w:val="24"/>
                <w:highlight w:val="none"/>
                <w:lang w:val="zh-CN"/>
              </w:rPr>
              <w:t>、</w:t>
            </w:r>
            <w:r>
              <w:rPr>
                <w:rFonts w:hint="default" w:ascii="Times New Roman" w:hAnsi="Times New Roman" w:eastAsia="宋体" w:cs="Times New Roman"/>
                <w:color w:val="auto"/>
                <w:kern w:val="0"/>
                <w:sz w:val="24"/>
                <w:highlight w:val="none"/>
                <w:lang w:val="zh-CN" w:eastAsia="zh-CN"/>
              </w:rPr>
              <w:t>《</w:t>
            </w:r>
            <w:r>
              <w:rPr>
                <w:rFonts w:hint="default" w:ascii="Times New Roman" w:hAnsi="Times New Roman" w:eastAsia="宋体" w:cs="Times New Roman"/>
                <w:color w:val="auto"/>
                <w:kern w:val="0"/>
                <w:sz w:val="24"/>
                <w:highlight w:val="none"/>
                <w:lang w:val="zh-CN"/>
              </w:rPr>
              <w:t>排污单位自行监测技术指南</w:t>
            </w:r>
            <w:r>
              <w:rPr>
                <w:rFonts w:hint="eastAsia"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color w:val="auto"/>
                <w:kern w:val="0"/>
                <w:sz w:val="24"/>
                <w:highlight w:val="none"/>
                <w:lang w:val="zh-CN"/>
              </w:rPr>
              <w:t>总则</w:t>
            </w:r>
            <w:r>
              <w:rPr>
                <w:rFonts w:hint="default" w:ascii="Times New Roman" w:hAnsi="Times New Roman" w:eastAsia="宋体" w:cs="Times New Roman"/>
                <w:color w:val="auto"/>
                <w:kern w:val="0"/>
                <w:sz w:val="24"/>
                <w:highlight w:val="none"/>
                <w:lang w:val="zh-CN" w:eastAsia="zh-CN"/>
              </w:rPr>
              <w:t>》</w:t>
            </w:r>
            <w:r>
              <w:rPr>
                <w:rFonts w:hint="default" w:ascii="Times New Roman" w:hAnsi="Times New Roman" w:eastAsia="宋体" w:cs="Times New Roman"/>
                <w:color w:val="auto"/>
                <w:kern w:val="0"/>
                <w:sz w:val="24"/>
                <w:highlight w:val="none"/>
                <w:lang w:val="zh-CN"/>
              </w:rPr>
              <w:t>（HJ</w:t>
            </w:r>
            <w:r>
              <w:rPr>
                <w:rFonts w:hint="eastAsia" w:ascii="Times New Roman" w:hAnsi="Times New Roman" w:eastAsia="宋体" w:cs="Times New Roman"/>
                <w:color w:val="auto"/>
                <w:kern w:val="0"/>
                <w:sz w:val="24"/>
                <w:highlight w:val="none"/>
                <w:lang w:val="en-US" w:eastAsia="zh-CN"/>
              </w:rPr>
              <w:t xml:space="preserve"> 819</w:t>
            </w:r>
            <w:r>
              <w:rPr>
                <w:rFonts w:hint="default" w:ascii="Times New Roman" w:hAnsi="Times New Roman" w:eastAsia="宋体" w:cs="Times New Roman"/>
                <w:color w:val="auto"/>
                <w:kern w:val="0"/>
                <w:sz w:val="24"/>
                <w:highlight w:val="none"/>
                <w:lang w:val="zh-CN"/>
              </w:rPr>
              <w:t>—20</w:t>
            </w:r>
            <w:r>
              <w:rPr>
                <w:rFonts w:hint="eastAsia" w:ascii="Times New Roman" w:hAnsi="Times New Roman" w:eastAsia="宋体" w:cs="Times New Roman"/>
                <w:color w:val="auto"/>
                <w:kern w:val="0"/>
                <w:sz w:val="24"/>
                <w:highlight w:val="none"/>
                <w:lang w:val="en-US" w:eastAsia="zh-CN"/>
              </w:rPr>
              <w:t>17</w:t>
            </w:r>
            <w:r>
              <w:rPr>
                <w:rFonts w:hint="default" w:ascii="Times New Roman" w:hAnsi="Times New Roman" w:eastAsia="宋体" w:cs="Times New Roman"/>
                <w:color w:val="auto"/>
                <w:kern w:val="0"/>
                <w:sz w:val="24"/>
                <w:highlight w:val="none"/>
                <w:lang w:val="zh-CN"/>
              </w:rPr>
              <w:t>）要求及本项目实际情况，制定监测计划。</w:t>
            </w:r>
          </w:p>
        </w:tc>
      </w:tr>
    </w:tbl>
    <w:p w14:paraId="03398992">
      <w:pPr>
        <w:adjustRightInd w:val="0"/>
        <w:snapToGrid w:val="0"/>
        <w:jc w:val="center"/>
        <w:rPr>
          <w:rFonts w:hint="eastAsia" w:ascii="黑体" w:hAnsi="黑体" w:eastAsia="黑体" w:cs="黑体"/>
          <w:bCs/>
          <w:color w:val="auto"/>
          <w:sz w:val="24"/>
          <w:szCs w:val="24"/>
          <w:highlight w:val="none"/>
        </w:rPr>
        <w:sectPr>
          <w:pgSz w:w="16840" w:h="11907"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
        <w:gridCol w:w="8643"/>
      </w:tblGrid>
      <w:tr w14:paraId="27EED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6" w:hRule="atLeast"/>
        </w:trPr>
        <w:tc>
          <w:tcPr>
            <w:tcW w:w="418" w:type="dxa"/>
          </w:tcPr>
          <w:p w14:paraId="597AD76B">
            <w:pPr>
              <w:adjustRightInd w:val="0"/>
              <w:snapToGrid w:val="0"/>
              <w:jc w:val="center"/>
              <w:rPr>
                <w:rFonts w:hint="eastAsia" w:ascii="黑体" w:hAnsi="黑体" w:eastAsia="黑体" w:cs="黑体"/>
                <w:bCs/>
                <w:color w:val="auto"/>
                <w:sz w:val="24"/>
                <w:szCs w:val="24"/>
                <w:highlight w:val="none"/>
                <w:vertAlign w:val="baseline"/>
              </w:rPr>
            </w:pPr>
          </w:p>
        </w:tc>
        <w:tc>
          <w:tcPr>
            <w:tcW w:w="8643" w:type="dxa"/>
          </w:tcPr>
          <w:p w14:paraId="632A1A8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highlight w:val="none"/>
                <w:lang w:val="zh-CN" w:eastAsia="zh-CN" w:bidi="ar-SA"/>
              </w:rPr>
            </w:pPr>
            <w:r>
              <w:rPr>
                <w:rFonts w:hint="eastAsia" w:ascii="Times New Roman" w:hAnsi="Times New Roman" w:eastAsia="黑体" w:cs="Times New Roman"/>
                <w:b w:val="0"/>
                <w:bCs w:val="0"/>
                <w:color w:val="auto"/>
                <w:kern w:val="0"/>
                <w:sz w:val="24"/>
                <w:szCs w:val="24"/>
                <w:highlight w:val="none"/>
                <w:lang w:val="zh-CN" w:eastAsia="zh-CN" w:bidi="ar-SA"/>
              </w:rPr>
              <w:t>表4-</w:t>
            </w:r>
            <w:r>
              <w:rPr>
                <w:rFonts w:hint="eastAsia" w:ascii="Times New Roman" w:hAnsi="Times New Roman" w:cs="Times New Roman"/>
                <w:b w:val="0"/>
                <w:bCs w:val="0"/>
                <w:color w:val="auto"/>
                <w:kern w:val="0"/>
                <w:sz w:val="24"/>
                <w:szCs w:val="24"/>
                <w:highlight w:val="none"/>
                <w:lang w:val="en-US" w:eastAsia="zh-CN" w:bidi="ar-SA"/>
              </w:rPr>
              <w:t>4</w:t>
            </w:r>
            <w:r>
              <w:rPr>
                <w:rFonts w:hint="eastAsia" w:ascii="Times New Roman" w:hAnsi="Times New Roman" w:eastAsia="黑体" w:cs="Times New Roman"/>
                <w:b w:val="0"/>
                <w:bCs w:val="0"/>
                <w:color w:val="auto"/>
                <w:kern w:val="0"/>
                <w:sz w:val="24"/>
                <w:szCs w:val="24"/>
                <w:highlight w:val="none"/>
                <w:lang w:val="zh-CN" w:eastAsia="zh-CN" w:bidi="ar-SA"/>
              </w:rPr>
              <w:t xml:space="preserve"> 本项目废气监测信息表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0"/>
              <w:gridCol w:w="1653"/>
              <w:gridCol w:w="1486"/>
              <w:gridCol w:w="3435"/>
            </w:tblGrid>
            <w:tr w14:paraId="431C5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3" w:type="pct"/>
                  <w:tcBorders>
                    <w:tl2br w:val="nil"/>
                    <w:tr2bl w:val="nil"/>
                  </w:tcBorders>
                  <w:noWrap w:val="0"/>
                  <w:vAlign w:val="center"/>
                </w:tcPr>
                <w:p w14:paraId="4E5AC4BC">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环境要素</w:t>
                  </w:r>
                </w:p>
              </w:tc>
              <w:tc>
                <w:tcPr>
                  <w:tcW w:w="982" w:type="pct"/>
                  <w:tcBorders>
                    <w:tl2br w:val="nil"/>
                    <w:tr2bl w:val="nil"/>
                  </w:tcBorders>
                  <w:noWrap w:val="0"/>
                  <w:vAlign w:val="center"/>
                </w:tcPr>
                <w:p w14:paraId="0C2E0B75">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监测点位</w:t>
                  </w:r>
                </w:p>
              </w:tc>
              <w:tc>
                <w:tcPr>
                  <w:tcW w:w="883" w:type="pct"/>
                  <w:tcBorders>
                    <w:tl2br w:val="nil"/>
                    <w:tr2bl w:val="nil"/>
                  </w:tcBorders>
                  <w:noWrap w:val="0"/>
                  <w:vAlign w:val="center"/>
                </w:tcPr>
                <w:p w14:paraId="56DE02D9">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监测项目</w:t>
                  </w:r>
                </w:p>
              </w:tc>
              <w:tc>
                <w:tcPr>
                  <w:tcW w:w="2040" w:type="pct"/>
                  <w:tcBorders>
                    <w:tl2br w:val="nil"/>
                    <w:tr2bl w:val="nil"/>
                  </w:tcBorders>
                  <w:noWrap w:val="0"/>
                  <w:vAlign w:val="center"/>
                </w:tcPr>
                <w:p w14:paraId="14E54238">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监测频次</w:t>
                  </w:r>
                </w:p>
              </w:tc>
            </w:tr>
            <w:tr w14:paraId="719DB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1093" w:type="pct"/>
                  <w:vMerge w:val="restart"/>
                  <w:tcBorders>
                    <w:tl2br w:val="nil"/>
                    <w:tr2bl w:val="nil"/>
                  </w:tcBorders>
                  <w:noWrap w:val="0"/>
                  <w:vAlign w:val="center"/>
                </w:tcPr>
                <w:p w14:paraId="078682F1">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废气</w:t>
                  </w:r>
                </w:p>
              </w:tc>
              <w:tc>
                <w:tcPr>
                  <w:tcW w:w="982" w:type="pct"/>
                  <w:tcBorders>
                    <w:tl2br w:val="nil"/>
                    <w:tr2bl w:val="nil"/>
                  </w:tcBorders>
                  <w:noWrap w:val="0"/>
                  <w:vAlign w:val="center"/>
                </w:tcPr>
                <w:p w14:paraId="3FF1E949">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DA00</w:t>
                  </w:r>
                  <w:r>
                    <w:rPr>
                      <w:rFonts w:hint="eastAsia" w:ascii="Times New Roman" w:hAnsi="Times New Roman" w:cs="Times New Roman"/>
                      <w:b w:val="0"/>
                      <w:bCs w:val="0"/>
                      <w:color w:val="auto"/>
                      <w:sz w:val="21"/>
                      <w:szCs w:val="21"/>
                      <w:highlight w:val="none"/>
                      <w:lang w:val="en-US" w:eastAsia="zh-CN"/>
                    </w:rPr>
                    <w:t>1</w:t>
                  </w:r>
                </w:p>
              </w:tc>
              <w:tc>
                <w:tcPr>
                  <w:tcW w:w="883" w:type="pct"/>
                  <w:tcBorders>
                    <w:tl2br w:val="nil"/>
                    <w:tr2bl w:val="nil"/>
                  </w:tcBorders>
                  <w:noWrap w:val="0"/>
                  <w:vAlign w:val="center"/>
                </w:tcPr>
                <w:p w14:paraId="28129A9A">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VOCs</w:t>
                  </w:r>
                </w:p>
              </w:tc>
              <w:tc>
                <w:tcPr>
                  <w:tcW w:w="2040" w:type="pct"/>
                  <w:tcBorders>
                    <w:tl2br w:val="nil"/>
                    <w:tr2bl w:val="nil"/>
                  </w:tcBorders>
                  <w:noWrap w:val="0"/>
                  <w:vAlign w:val="center"/>
                </w:tcPr>
                <w:p w14:paraId="76532264">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每</w:t>
                  </w:r>
                  <w:r>
                    <w:rPr>
                      <w:rFonts w:hint="eastAsia" w:ascii="Times New Roman" w:hAnsi="Times New Roman" w:cs="Times New Roman"/>
                      <w:b w:val="0"/>
                      <w:bCs w:val="0"/>
                      <w:color w:val="auto"/>
                      <w:sz w:val="21"/>
                      <w:szCs w:val="21"/>
                      <w:highlight w:val="none"/>
                      <w:lang w:val="en-US" w:eastAsia="zh-CN"/>
                    </w:rPr>
                    <w:t>半年</w:t>
                  </w:r>
                  <w:r>
                    <w:rPr>
                      <w:rFonts w:hint="eastAsia" w:ascii="Times New Roman" w:hAnsi="Times New Roman" w:eastAsia="宋体" w:cs="Times New Roman"/>
                      <w:b w:val="0"/>
                      <w:bCs w:val="0"/>
                      <w:color w:val="auto"/>
                      <w:sz w:val="21"/>
                      <w:szCs w:val="21"/>
                      <w:highlight w:val="none"/>
                      <w:lang w:val="en-US" w:eastAsia="zh-CN"/>
                    </w:rPr>
                    <w:t>一次，委托有资质单位监测</w:t>
                  </w:r>
                </w:p>
              </w:tc>
            </w:tr>
            <w:tr w14:paraId="7BC2E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093" w:type="pct"/>
                  <w:vMerge w:val="continue"/>
                  <w:tcBorders>
                    <w:tl2br w:val="nil"/>
                    <w:tr2bl w:val="nil"/>
                  </w:tcBorders>
                  <w:noWrap w:val="0"/>
                  <w:vAlign w:val="center"/>
                </w:tcPr>
                <w:p w14:paraId="46AC602A">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82" w:type="pct"/>
                  <w:tcBorders>
                    <w:tl2br w:val="nil"/>
                    <w:tr2bl w:val="nil"/>
                  </w:tcBorders>
                  <w:noWrap w:val="0"/>
                  <w:vAlign w:val="center"/>
                </w:tcPr>
                <w:p w14:paraId="0390E05F">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DA002</w:t>
                  </w:r>
                </w:p>
              </w:tc>
              <w:tc>
                <w:tcPr>
                  <w:tcW w:w="883" w:type="pct"/>
                  <w:tcBorders>
                    <w:tl2br w:val="nil"/>
                    <w:tr2bl w:val="nil"/>
                  </w:tcBorders>
                  <w:noWrap w:val="0"/>
                  <w:vAlign w:val="center"/>
                </w:tcPr>
                <w:p w14:paraId="522DE12C">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颗粒物</w:t>
                  </w:r>
                </w:p>
              </w:tc>
              <w:tc>
                <w:tcPr>
                  <w:tcW w:w="2040" w:type="pct"/>
                  <w:tcBorders>
                    <w:tl2br w:val="nil"/>
                    <w:tr2bl w:val="nil"/>
                  </w:tcBorders>
                  <w:noWrap w:val="0"/>
                  <w:vAlign w:val="center"/>
                </w:tcPr>
                <w:p w14:paraId="7562614A">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每</w:t>
                  </w:r>
                  <w:r>
                    <w:rPr>
                      <w:rFonts w:hint="eastAsia" w:ascii="Times New Roman" w:hAnsi="Times New Roman" w:cs="Times New Roman"/>
                      <w:b w:val="0"/>
                      <w:bCs w:val="0"/>
                      <w:color w:val="auto"/>
                      <w:sz w:val="21"/>
                      <w:szCs w:val="21"/>
                      <w:highlight w:val="none"/>
                      <w:lang w:val="en-US" w:eastAsia="zh-CN"/>
                    </w:rPr>
                    <w:t>半年</w:t>
                  </w:r>
                  <w:r>
                    <w:rPr>
                      <w:rFonts w:hint="eastAsia" w:ascii="Times New Roman" w:hAnsi="Times New Roman" w:eastAsia="宋体" w:cs="Times New Roman"/>
                      <w:b w:val="0"/>
                      <w:bCs w:val="0"/>
                      <w:color w:val="auto"/>
                      <w:sz w:val="21"/>
                      <w:szCs w:val="21"/>
                      <w:highlight w:val="none"/>
                      <w:lang w:val="en-US" w:eastAsia="zh-CN"/>
                    </w:rPr>
                    <w:t>一次，委托有资质单位监测</w:t>
                  </w:r>
                </w:p>
              </w:tc>
            </w:tr>
            <w:tr w14:paraId="3E354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093" w:type="pct"/>
                  <w:vMerge w:val="continue"/>
                  <w:tcBorders>
                    <w:tl2br w:val="nil"/>
                    <w:tr2bl w:val="nil"/>
                  </w:tcBorders>
                  <w:noWrap w:val="0"/>
                  <w:vAlign w:val="center"/>
                </w:tcPr>
                <w:p w14:paraId="4020251E">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p>
              </w:tc>
              <w:tc>
                <w:tcPr>
                  <w:tcW w:w="982" w:type="pct"/>
                  <w:tcBorders>
                    <w:tl2br w:val="nil"/>
                    <w:tr2bl w:val="nil"/>
                  </w:tcBorders>
                  <w:noWrap w:val="0"/>
                  <w:vAlign w:val="center"/>
                </w:tcPr>
                <w:p w14:paraId="6290FD87">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厂界</w:t>
                  </w:r>
                </w:p>
              </w:tc>
              <w:tc>
                <w:tcPr>
                  <w:tcW w:w="883" w:type="pct"/>
                  <w:tcBorders>
                    <w:tl2br w:val="nil"/>
                    <w:tr2bl w:val="nil"/>
                  </w:tcBorders>
                  <w:noWrap w:val="0"/>
                  <w:vAlign w:val="center"/>
                </w:tcPr>
                <w:p w14:paraId="47F50094">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VOCs、颗粒物</w:t>
                  </w:r>
                </w:p>
              </w:tc>
              <w:tc>
                <w:tcPr>
                  <w:tcW w:w="2040" w:type="pct"/>
                  <w:tcBorders>
                    <w:tl2br w:val="nil"/>
                    <w:tr2bl w:val="nil"/>
                  </w:tcBorders>
                  <w:noWrap w:val="0"/>
                  <w:vAlign w:val="center"/>
                </w:tcPr>
                <w:p w14:paraId="0FD3EA16">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每</w:t>
                  </w:r>
                  <w:r>
                    <w:rPr>
                      <w:rFonts w:hint="eastAsia" w:ascii="Times New Roman" w:hAnsi="Times New Roman" w:cs="Times New Roman"/>
                      <w:b w:val="0"/>
                      <w:bCs w:val="0"/>
                      <w:color w:val="auto"/>
                      <w:sz w:val="21"/>
                      <w:szCs w:val="21"/>
                      <w:highlight w:val="none"/>
                      <w:lang w:val="en-US" w:eastAsia="zh-CN"/>
                    </w:rPr>
                    <w:t>季度</w:t>
                  </w:r>
                  <w:r>
                    <w:rPr>
                      <w:rFonts w:hint="eastAsia" w:ascii="Times New Roman" w:hAnsi="Times New Roman" w:eastAsia="宋体" w:cs="Times New Roman"/>
                      <w:b w:val="0"/>
                      <w:bCs w:val="0"/>
                      <w:color w:val="auto"/>
                      <w:sz w:val="21"/>
                      <w:szCs w:val="21"/>
                      <w:highlight w:val="none"/>
                      <w:lang w:val="en-US" w:eastAsia="zh-CN"/>
                    </w:rPr>
                    <w:t>一次，委托有资质单位监测</w:t>
                  </w:r>
                </w:p>
              </w:tc>
            </w:tr>
          </w:tbl>
          <w:p w14:paraId="0E4913D4">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4、</w:t>
            </w:r>
            <w:r>
              <w:rPr>
                <w:rFonts w:hint="default" w:ascii="Times New Roman" w:hAnsi="Times New Roman" w:eastAsia="黑体" w:cs="Times New Roman"/>
                <w:b w:val="0"/>
                <w:bCs w:val="0"/>
                <w:color w:val="auto"/>
                <w:sz w:val="24"/>
                <w:szCs w:val="24"/>
                <w:highlight w:val="none"/>
                <w:lang w:val="en-US" w:eastAsia="zh-CN"/>
              </w:rPr>
              <w:t>非正常工况分析</w:t>
            </w:r>
          </w:p>
          <w:p w14:paraId="4831738B">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1</w:t>
            </w:r>
            <w:r>
              <w:rPr>
                <w:rFonts w:hint="eastAsia"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非正常工况污染物产排分析</w:t>
            </w:r>
          </w:p>
          <w:p w14:paraId="6EA4F0A4">
            <w:pPr>
              <w:pageBreakBefore/>
              <w:widowControl/>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本项目非正常工况主要考虑废气处理设备出现故障或废气治理设施长时间使用未维护，治理设施无效果或效果降低，污染物排放量增大。</w:t>
            </w:r>
            <w:r>
              <w:rPr>
                <w:rFonts w:hint="eastAsia"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rPr>
              <w:t>项目非正常工况主</w:t>
            </w:r>
            <w:r>
              <w:rPr>
                <w:rFonts w:hint="default" w:ascii="Times New Roman" w:hAnsi="Times New Roman" w:eastAsia="宋体" w:cs="Times New Roman"/>
                <w:b w:val="0"/>
                <w:bCs w:val="0"/>
                <w:color w:val="auto"/>
                <w:sz w:val="24"/>
                <w:szCs w:val="24"/>
                <w:highlight w:val="none"/>
              </w:rPr>
              <w:t>要是污染物排放控制措施达不到应有效率，即</w:t>
            </w:r>
            <w:r>
              <w:rPr>
                <w:rFonts w:hint="eastAsia" w:ascii="Times New Roman" w:hAnsi="Times New Roman" w:eastAsia="宋体" w:cs="Times New Roman"/>
                <w:b w:val="0"/>
                <w:bCs w:val="0"/>
                <w:color w:val="auto"/>
                <w:sz w:val="24"/>
                <w:szCs w:val="24"/>
                <w:highlight w:val="none"/>
                <w:lang w:val="en-US" w:eastAsia="zh-CN"/>
              </w:rPr>
              <w:t>二级活性炭吸附装置、布袋除尘器异常</w:t>
            </w:r>
            <w:r>
              <w:rPr>
                <w:rFonts w:hint="default" w:ascii="Times New Roman" w:hAnsi="Times New Roman" w:eastAsia="宋体" w:cs="Times New Roman"/>
                <w:b w:val="0"/>
                <w:bCs w:val="0"/>
                <w:color w:val="auto"/>
                <w:sz w:val="24"/>
                <w:szCs w:val="24"/>
                <w:highlight w:val="none"/>
              </w:rPr>
              <w:t>，造成</w:t>
            </w:r>
            <w:r>
              <w:rPr>
                <w:rFonts w:hint="eastAsia" w:ascii="Times New Roman" w:hAnsi="Times New Roman" w:eastAsia="宋体" w:cs="Times New Roman"/>
                <w:b w:val="0"/>
                <w:bCs w:val="0"/>
                <w:color w:val="auto"/>
                <w:sz w:val="24"/>
                <w:szCs w:val="24"/>
                <w:highlight w:val="none"/>
                <w:lang w:val="en-US" w:eastAsia="zh-CN"/>
              </w:rPr>
              <w:t>VOCs、</w:t>
            </w:r>
            <w:r>
              <w:rPr>
                <w:rFonts w:hint="eastAsia" w:cs="Times New Roman"/>
                <w:color w:val="auto"/>
                <w:sz w:val="24"/>
                <w:szCs w:val="24"/>
                <w:highlight w:val="none"/>
                <w:lang w:val="en-US" w:eastAsia="zh-CN"/>
              </w:rPr>
              <w:t>颗粒物</w:t>
            </w:r>
            <w:r>
              <w:rPr>
                <w:rFonts w:hint="eastAsia" w:ascii="Times New Roman" w:hAnsi="Times New Roman" w:eastAsia="宋体" w:cs="Times New Roman"/>
                <w:color w:val="auto"/>
                <w:sz w:val="24"/>
                <w:szCs w:val="24"/>
                <w:highlight w:val="none"/>
                <w:lang w:val="en-US" w:eastAsia="zh-CN"/>
              </w:rPr>
              <w:t>的排放量增加，</w:t>
            </w:r>
            <w:r>
              <w:rPr>
                <w:rFonts w:hint="default" w:ascii="Times New Roman" w:hAnsi="Times New Roman" w:eastAsia="宋体" w:cs="Times New Roman"/>
                <w:color w:val="auto"/>
                <w:sz w:val="24"/>
                <w:szCs w:val="24"/>
                <w:highlight w:val="none"/>
              </w:rPr>
              <w:t>其排放情况见</w:t>
            </w:r>
            <w:r>
              <w:rPr>
                <w:rFonts w:hint="eastAsia"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表所示</w:t>
            </w:r>
            <w:r>
              <w:rPr>
                <w:rFonts w:hint="default" w:ascii="Times New Roman" w:hAnsi="Times New Roman" w:eastAsia="宋体" w:cs="Times New Roman"/>
                <w:color w:val="auto"/>
                <w:sz w:val="24"/>
                <w:szCs w:val="24"/>
                <w:highlight w:val="none"/>
                <w:lang w:val="zh-CN"/>
              </w:rPr>
              <w:t>。</w:t>
            </w:r>
          </w:p>
          <w:p w14:paraId="3CC411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w:t>
            </w:r>
            <w:r>
              <w:rPr>
                <w:rFonts w:hint="eastAsia" w:eastAsia="黑体" w:cs="Times New Roman"/>
                <w:b w:val="0"/>
                <w:bCs w:val="0"/>
                <w:color w:val="auto"/>
                <w:kern w:val="0"/>
                <w:sz w:val="24"/>
                <w:szCs w:val="24"/>
                <w:highlight w:val="none"/>
                <w:lang w:val="en-US" w:eastAsia="zh-CN"/>
              </w:rPr>
              <w:t>5</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zh-CN" w:eastAsia="zh-CN"/>
              </w:rPr>
              <w:t>项目废气治理设施出现故障状况下污染物排放情况</w:t>
            </w:r>
            <w:r>
              <w:rPr>
                <w:rFonts w:hint="default" w:ascii="Times New Roman" w:hAnsi="Times New Roman" w:eastAsia="黑体" w:cs="Times New Roman"/>
                <w:b w:val="0"/>
                <w:bCs w:val="0"/>
                <w:color w:val="auto"/>
                <w:kern w:val="0"/>
                <w:sz w:val="24"/>
                <w:szCs w:val="24"/>
                <w:highlight w:val="none"/>
                <w:lang w:val="en-US" w:eastAsia="zh-CN"/>
              </w:rPr>
              <w:t>分析表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91"/>
              <w:gridCol w:w="808"/>
              <w:gridCol w:w="1441"/>
              <w:gridCol w:w="1168"/>
              <w:gridCol w:w="837"/>
              <w:gridCol w:w="1604"/>
              <w:gridCol w:w="1065"/>
            </w:tblGrid>
            <w:tr w14:paraId="721FE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86" w:type="pct"/>
                  <w:vMerge w:val="restart"/>
                  <w:noWrap w:val="0"/>
                  <w:vAlign w:val="center"/>
                </w:tcPr>
                <w:p w14:paraId="18EBD61E">
                  <w:pPr>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污染源</w:t>
                  </w:r>
                </w:p>
              </w:tc>
              <w:tc>
                <w:tcPr>
                  <w:tcW w:w="480" w:type="pct"/>
                  <w:vMerge w:val="restart"/>
                  <w:noWrap w:val="0"/>
                  <w:vAlign w:val="center"/>
                </w:tcPr>
                <w:p w14:paraId="3AE2CAE7">
                  <w:pPr>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污染物</w:t>
                  </w:r>
                </w:p>
              </w:tc>
              <w:tc>
                <w:tcPr>
                  <w:tcW w:w="856" w:type="pct"/>
                  <w:vMerge w:val="restart"/>
                  <w:noWrap w:val="0"/>
                  <w:vAlign w:val="center"/>
                </w:tcPr>
                <w:p w14:paraId="69403EB6">
                  <w:pPr>
                    <w:jc w:val="center"/>
                    <w:rPr>
                      <w:rFonts w:ascii="Times New Roman" w:hAnsi="Times New Roman" w:eastAsia="宋体" w:cs="Times New Roman"/>
                      <w:b w:val="0"/>
                      <w:bCs w:val="0"/>
                      <w:color w:val="auto"/>
                      <w:sz w:val="21"/>
                      <w:szCs w:val="21"/>
                      <w:highlight w:val="none"/>
                    </w:rPr>
                  </w:pPr>
                  <w:r>
                    <w:rPr>
                      <w:rFonts w:ascii="Times New Roman" w:hAnsi="Times New Roman" w:eastAsia="宋体" w:cs="Times New Roman"/>
                      <w:b w:val="0"/>
                      <w:bCs w:val="0"/>
                      <w:color w:val="auto"/>
                      <w:sz w:val="21"/>
                      <w:szCs w:val="21"/>
                      <w:highlight w:val="none"/>
                    </w:rPr>
                    <w:t>非正常排放原因</w:t>
                  </w:r>
                </w:p>
              </w:tc>
              <w:tc>
                <w:tcPr>
                  <w:tcW w:w="2776" w:type="pct"/>
                  <w:gridSpan w:val="4"/>
                  <w:noWrap w:val="0"/>
                  <w:vAlign w:val="center"/>
                </w:tcPr>
                <w:p w14:paraId="16939E9B">
                  <w:pPr>
                    <w:jc w:val="center"/>
                    <w:rPr>
                      <w:b w:val="0"/>
                      <w:bCs w:val="0"/>
                      <w:color w:val="auto"/>
                      <w:sz w:val="21"/>
                      <w:szCs w:val="21"/>
                      <w:highlight w:val="none"/>
                    </w:rPr>
                  </w:pPr>
                  <w:r>
                    <w:rPr>
                      <w:b w:val="0"/>
                      <w:bCs w:val="0"/>
                      <w:color w:val="auto"/>
                      <w:sz w:val="21"/>
                      <w:szCs w:val="21"/>
                      <w:highlight w:val="none"/>
                    </w:rPr>
                    <w:t>非正常排放情况</w:t>
                  </w:r>
                </w:p>
              </w:tc>
            </w:tr>
            <w:tr w14:paraId="6A14D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86" w:type="pct"/>
                  <w:vMerge w:val="continue"/>
                  <w:noWrap w:val="0"/>
                  <w:vAlign w:val="center"/>
                </w:tcPr>
                <w:p w14:paraId="71BEE445">
                  <w:pPr>
                    <w:jc w:val="center"/>
                    <w:rPr>
                      <w:rFonts w:ascii="Times New Roman" w:hAnsi="Times New Roman" w:eastAsia="宋体" w:cs="Times New Roman"/>
                      <w:b w:val="0"/>
                      <w:bCs w:val="0"/>
                      <w:color w:val="auto"/>
                      <w:sz w:val="21"/>
                      <w:szCs w:val="21"/>
                      <w:highlight w:val="none"/>
                    </w:rPr>
                  </w:pPr>
                </w:p>
              </w:tc>
              <w:tc>
                <w:tcPr>
                  <w:tcW w:w="480" w:type="pct"/>
                  <w:vMerge w:val="continue"/>
                  <w:noWrap w:val="0"/>
                  <w:vAlign w:val="center"/>
                </w:tcPr>
                <w:p w14:paraId="387194AB">
                  <w:pPr>
                    <w:jc w:val="center"/>
                    <w:rPr>
                      <w:rFonts w:ascii="Times New Roman" w:hAnsi="Times New Roman" w:eastAsia="宋体" w:cs="Times New Roman"/>
                      <w:b w:val="0"/>
                      <w:bCs w:val="0"/>
                      <w:color w:val="auto"/>
                      <w:sz w:val="21"/>
                      <w:szCs w:val="21"/>
                      <w:highlight w:val="none"/>
                    </w:rPr>
                  </w:pPr>
                </w:p>
              </w:tc>
              <w:tc>
                <w:tcPr>
                  <w:tcW w:w="856" w:type="pct"/>
                  <w:vMerge w:val="continue"/>
                  <w:noWrap w:val="0"/>
                  <w:vAlign w:val="center"/>
                </w:tcPr>
                <w:p w14:paraId="4C4F0D5D">
                  <w:pPr>
                    <w:jc w:val="center"/>
                    <w:rPr>
                      <w:rFonts w:ascii="Times New Roman" w:hAnsi="Times New Roman" w:eastAsia="宋体" w:cs="Times New Roman"/>
                      <w:b w:val="0"/>
                      <w:bCs w:val="0"/>
                      <w:color w:val="auto"/>
                      <w:sz w:val="21"/>
                      <w:szCs w:val="21"/>
                      <w:highlight w:val="none"/>
                    </w:rPr>
                  </w:pPr>
                </w:p>
              </w:tc>
              <w:tc>
                <w:tcPr>
                  <w:tcW w:w="694" w:type="pct"/>
                  <w:noWrap w:val="0"/>
                  <w:vAlign w:val="center"/>
                </w:tcPr>
                <w:p w14:paraId="0D36FB6D">
                  <w:pPr>
                    <w:jc w:val="center"/>
                    <w:rPr>
                      <w:b w:val="0"/>
                      <w:bCs w:val="0"/>
                      <w:color w:val="auto"/>
                      <w:sz w:val="21"/>
                      <w:szCs w:val="21"/>
                      <w:highlight w:val="none"/>
                    </w:rPr>
                  </w:pPr>
                  <w:r>
                    <w:rPr>
                      <w:b w:val="0"/>
                      <w:bCs w:val="0"/>
                      <w:color w:val="auto"/>
                      <w:sz w:val="21"/>
                      <w:szCs w:val="21"/>
                      <w:highlight w:val="none"/>
                    </w:rPr>
                    <w:t>浓度mg/m</w:t>
                  </w:r>
                  <w:r>
                    <w:rPr>
                      <w:b w:val="0"/>
                      <w:bCs w:val="0"/>
                      <w:color w:val="auto"/>
                      <w:sz w:val="21"/>
                      <w:szCs w:val="21"/>
                      <w:highlight w:val="none"/>
                      <w:vertAlign w:val="superscript"/>
                    </w:rPr>
                    <w:t>3</w:t>
                  </w:r>
                </w:p>
              </w:tc>
              <w:tc>
                <w:tcPr>
                  <w:tcW w:w="497" w:type="pct"/>
                  <w:noWrap w:val="0"/>
                  <w:vAlign w:val="center"/>
                </w:tcPr>
                <w:p w14:paraId="37CE447B">
                  <w:pPr>
                    <w:jc w:val="center"/>
                    <w:rPr>
                      <w:b w:val="0"/>
                      <w:bCs w:val="0"/>
                      <w:color w:val="auto"/>
                      <w:sz w:val="21"/>
                      <w:szCs w:val="21"/>
                      <w:highlight w:val="none"/>
                    </w:rPr>
                  </w:pPr>
                  <w:r>
                    <w:rPr>
                      <w:b w:val="0"/>
                      <w:bCs w:val="0"/>
                      <w:color w:val="auto"/>
                      <w:sz w:val="21"/>
                      <w:szCs w:val="21"/>
                      <w:highlight w:val="none"/>
                    </w:rPr>
                    <w:t>速率kg/h</w:t>
                  </w:r>
                </w:p>
              </w:tc>
              <w:tc>
                <w:tcPr>
                  <w:tcW w:w="953" w:type="pct"/>
                  <w:noWrap w:val="0"/>
                  <w:vAlign w:val="center"/>
                </w:tcPr>
                <w:p w14:paraId="33870D46">
                  <w:pPr>
                    <w:jc w:val="center"/>
                    <w:rPr>
                      <w:b w:val="0"/>
                      <w:bCs w:val="0"/>
                      <w:color w:val="auto"/>
                      <w:sz w:val="21"/>
                      <w:szCs w:val="21"/>
                      <w:highlight w:val="none"/>
                    </w:rPr>
                  </w:pPr>
                  <w:r>
                    <w:rPr>
                      <w:b w:val="0"/>
                      <w:bCs w:val="0"/>
                      <w:color w:val="auto"/>
                      <w:sz w:val="21"/>
                      <w:szCs w:val="21"/>
                      <w:highlight w:val="none"/>
                    </w:rPr>
                    <w:t>频次及持续时间</w:t>
                  </w:r>
                </w:p>
              </w:tc>
              <w:tc>
                <w:tcPr>
                  <w:tcW w:w="632" w:type="pct"/>
                  <w:noWrap w:val="0"/>
                  <w:vAlign w:val="center"/>
                </w:tcPr>
                <w:p w14:paraId="7E7D169D">
                  <w:pPr>
                    <w:jc w:val="center"/>
                    <w:rPr>
                      <w:b w:val="0"/>
                      <w:bCs w:val="0"/>
                      <w:color w:val="auto"/>
                      <w:sz w:val="21"/>
                      <w:szCs w:val="21"/>
                      <w:highlight w:val="none"/>
                    </w:rPr>
                  </w:pPr>
                  <w:r>
                    <w:rPr>
                      <w:b w:val="0"/>
                      <w:bCs w:val="0"/>
                      <w:color w:val="auto"/>
                      <w:sz w:val="21"/>
                      <w:szCs w:val="21"/>
                      <w:highlight w:val="none"/>
                    </w:rPr>
                    <w:t>排放量</w:t>
                  </w:r>
                  <w:r>
                    <w:rPr>
                      <w:rFonts w:hint="eastAsia"/>
                      <w:b w:val="0"/>
                      <w:bCs w:val="0"/>
                      <w:color w:val="auto"/>
                      <w:sz w:val="21"/>
                      <w:szCs w:val="21"/>
                      <w:highlight w:val="none"/>
                      <w:lang w:val="en-US" w:eastAsia="zh-CN"/>
                    </w:rPr>
                    <w:t>t</w:t>
                  </w:r>
                  <w:r>
                    <w:rPr>
                      <w:b w:val="0"/>
                      <w:bCs w:val="0"/>
                      <w:color w:val="auto"/>
                      <w:sz w:val="21"/>
                      <w:szCs w:val="21"/>
                      <w:highlight w:val="none"/>
                    </w:rPr>
                    <w:t>/a</w:t>
                  </w:r>
                </w:p>
              </w:tc>
            </w:tr>
            <w:tr w14:paraId="73E4E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86" w:type="pct"/>
                  <w:noWrap w:val="0"/>
                  <w:vAlign w:val="center"/>
                </w:tcPr>
                <w:p w14:paraId="344E609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Cs w:val="21"/>
                      <w:lang w:eastAsia="zh-CN"/>
                    </w:rPr>
                    <w:t>DA0</w:t>
                  </w:r>
                  <w:r>
                    <w:rPr>
                      <w:rFonts w:hint="eastAsia" w:ascii="Times New Roman" w:hAnsi="Times New Roman" w:eastAsia="宋体"/>
                      <w:color w:val="auto"/>
                      <w:szCs w:val="21"/>
                      <w:lang w:val="en-US" w:eastAsia="zh-CN"/>
                    </w:rPr>
                    <w:t>0</w:t>
                  </w:r>
                  <w:r>
                    <w:rPr>
                      <w:rFonts w:hint="eastAsia"/>
                      <w:color w:val="auto"/>
                      <w:szCs w:val="21"/>
                      <w:lang w:val="en-US" w:eastAsia="zh-CN"/>
                    </w:rPr>
                    <w:t>1</w:t>
                  </w:r>
                  <w:r>
                    <w:rPr>
                      <w:rFonts w:ascii="Times New Roman" w:cs="Times New Roman"/>
                      <w:color w:val="auto"/>
                      <w:sz w:val="21"/>
                      <w:szCs w:val="21"/>
                    </w:rPr>
                    <w:t>排气筒</w:t>
                  </w:r>
                </w:p>
              </w:tc>
              <w:tc>
                <w:tcPr>
                  <w:tcW w:w="480" w:type="pct"/>
                  <w:noWrap w:val="0"/>
                  <w:vAlign w:val="center"/>
                </w:tcPr>
                <w:p w14:paraId="1EAACC50">
                  <w:pPr>
                    <w:pStyle w:val="13"/>
                    <w:spacing w:line="240" w:lineRule="atLeast"/>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lang w:val="en-US" w:eastAsia="zh-CN"/>
                    </w:rPr>
                    <w:t>VOCs</w:t>
                  </w:r>
                </w:p>
              </w:tc>
              <w:tc>
                <w:tcPr>
                  <w:tcW w:w="856" w:type="pct"/>
                  <w:noWrap w:val="0"/>
                  <w:vAlign w:val="center"/>
                </w:tcPr>
                <w:p w14:paraId="0D1BB51F">
                  <w:pPr>
                    <w:pStyle w:val="13"/>
                    <w:spacing w:line="240" w:lineRule="atLeast"/>
                    <w:jc w:val="center"/>
                    <w:rPr>
                      <w:rFonts w:hint="default" w:ascii="Times New Roman" w:hAnsi="Times New Roman" w:eastAsia="宋体" w:cs="Times New Roman"/>
                      <w:b w:val="0"/>
                      <w:bCs w:val="0"/>
                      <w:color w:val="auto"/>
                      <w:sz w:val="21"/>
                      <w:szCs w:val="21"/>
                      <w:highlight w:val="none"/>
                      <w:lang w:val="en-US"/>
                    </w:rPr>
                  </w:pPr>
                  <w:r>
                    <w:rPr>
                      <w:rFonts w:hint="eastAsia" w:ascii="Times New Roman" w:cs="Times New Roman"/>
                      <w:color w:val="auto"/>
                      <w:sz w:val="21"/>
                      <w:szCs w:val="21"/>
                      <w:lang w:eastAsia="zh-CN"/>
                    </w:rPr>
                    <w:t>废气治理设施</w:t>
                  </w:r>
                  <w:r>
                    <w:rPr>
                      <w:rFonts w:hint="eastAsia" w:ascii="Times New Roman" w:cs="Times New Roman"/>
                      <w:color w:val="auto"/>
                      <w:sz w:val="21"/>
                      <w:szCs w:val="21"/>
                      <w:lang w:val="en-US" w:eastAsia="zh-CN"/>
                    </w:rPr>
                    <w:t>效率降低为50%</w:t>
                  </w:r>
                </w:p>
              </w:tc>
              <w:tc>
                <w:tcPr>
                  <w:tcW w:w="694" w:type="pct"/>
                  <w:shd w:val="clear" w:color="auto" w:fill="auto"/>
                  <w:noWrap w:val="0"/>
                  <w:vAlign w:val="center"/>
                </w:tcPr>
                <w:p w14:paraId="64F6B74C">
                  <w:pPr>
                    <w:keepNext w:val="0"/>
                    <w:keepLines w:val="0"/>
                    <w:widowControl/>
                    <w:suppressLineNumbers w:val="0"/>
                    <w:jc w:val="center"/>
                    <w:textAlignment w:val="center"/>
                    <w:rPr>
                      <w:rFonts w:hint="default"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12.59</w:t>
                  </w:r>
                </w:p>
              </w:tc>
              <w:tc>
                <w:tcPr>
                  <w:tcW w:w="497" w:type="pct"/>
                  <w:shd w:val="clear" w:color="auto" w:fill="auto"/>
                  <w:noWrap w:val="0"/>
                  <w:vAlign w:val="center"/>
                </w:tcPr>
                <w:p w14:paraId="5BD38EA5">
                  <w:pPr>
                    <w:keepNext w:val="0"/>
                    <w:keepLines w:val="0"/>
                    <w:widowControl/>
                    <w:suppressLineNumbers w:val="0"/>
                    <w:jc w:val="center"/>
                    <w:textAlignment w:val="center"/>
                    <w:rPr>
                      <w:rFonts w:hint="default"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0.1259</w:t>
                  </w:r>
                </w:p>
              </w:tc>
              <w:tc>
                <w:tcPr>
                  <w:tcW w:w="953" w:type="pct"/>
                  <w:noWrap w:val="0"/>
                  <w:vAlign w:val="center"/>
                </w:tcPr>
                <w:p w14:paraId="15131AA9">
                  <w:pPr>
                    <w:keepNext w:val="0"/>
                    <w:keepLines w:val="0"/>
                    <w:widowControl/>
                    <w:suppressLineNumbers w:val="0"/>
                    <w:jc w:val="center"/>
                    <w:textAlignment w:val="center"/>
                    <w:rPr>
                      <w:rFonts w:hint="eastAsia"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2次/a、0.5h/次</w:t>
                  </w:r>
                </w:p>
              </w:tc>
              <w:tc>
                <w:tcPr>
                  <w:tcW w:w="632" w:type="pct"/>
                  <w:noWrap w:val="0"/>
                  <w:vAlign w:val="center"/>
                </w:tcPr>
                <w:p w14:paraId="5E928795">
                  <w:pPr>
                    <w:keepNext w:val="0"/>
                    <w:keepLines w:val="0"/>
                    <w:widowControl/>
                    <w:suppressLineNumbers w:val="0"/>
                    <w:jc w:val="center"/>
                    <w:textAlignment w:val="center"/>
                    <w:rPr>
                      <w:rFonts w:hint="default"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0.1259</w:t>
                  </w:r>
                </w:p>
              </w:tc>
            </w:tr>
            <w:tr w14:paraId="54658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86" w:type="pct"/>
                  <w:noWrap w:val="0"/>
                  <w:vAlign w:val="center"/>
                </w:tcPr>
                <w:p w14:paraId="1DC4E664">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eastAsia="宋体"/>
                      <w:color w:val="auto"/>
                      <w:szCs w:val="21"/>
                      <w:lang w:eastAsia="zh-CN"/>
                    </w:rPr>
                    <w:t>DA0</w:t>
                  </w:r>
                  <w:r>
                    <w:rPr>
                      <w:rFonts w:hint="eastAsia" w:ascii="Times New Roman" w:hAnsi="Times New Roman" w:eastAsia="宋体"/>
                      <w:color w:val="auto"/>
                      <w:szCs w:val="21"/>
                      <w:lang w:val="en-US" w:eastAsia="zh-CN"/>
                    </w:rPr>
                    <w:t>02</w:t>
                  </w:r>
                  <w:r>
                    <w:rPr>
                      <w:rFonts w:ascii="Times New Roman" w:cs="Times New Roman"/>
                      <w:color w:val="auto"/>
                      <w:sz w:val="21"/>
                      <w:szCs w:val="21"/>
                    </w:rPr>
                    <w:t>排气筒</w:t>
                  </w:r>
                </w:p>
              </w:tc>
              <w:tc>
                <w:tcPr>
                  <w:tcW w:w="480" w:type="pct"/>
                  <w:noWrap w:val="0"/>
                  <w:vAlign w:val="center"/>
                </w:tcPr>
                <w:p w14:paraId="456E21ED">
                  <w:pPr>
                    <w:spacing w:line="240" w:lineRule="atLeast"/>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b w:val="0"/>
                      <w:bCs w:val="0"/>
                      <w:color w:val="auto"/>
                      <w:sz w:val="21"/>
                      <w:szCs w:val="21"/>
                      <w:highlight w:val="none"/>
                      <w:lang w:eastAsia="zh-CN"/>
                    </w:rPr>
                    <w:t>颗粒物</w:t>
                  </w:r>
                </w:p>
              </w:tc>
              <w:tc>
                <w:tcPr>
                  <w:tcW w:w="856" w:type="pct"/>
                  <w:noWrap w:val="0"/>
                  <w:vAlign w:val="center"/>
                </w:tcPr>
                <w:p w14:paraId="651B63EB">
                  <w:pPr>
                    <w:pStyle w:val="13"/>
                    <w:spacing w:line="240" w:lineRule="atLeast"/>
                    <w:jc w:val="center"/>
                    <w:rPr>
                      <w:rFonts w:hint="eastAsia" w:ascii="Times New Roman" w:hAnsi="Times New Roman" w:cs="Times New Roman"/>
                      <w:color w:val="auto"/>
                      <w:szCs w:val="21"/>
                      <w:highlight w:val="none"/>
                      <w:lang w:val="en-US" w:eastAsia="zh-CN"/>
                    </w:rPr>
                  </w:pPr>
                  <w:r>
                    <w:rPr>
                      <w:rFonts w:hint="eastAsia" w:ascii="Times New Roman" w:cs="Times New Roman"/>
                      <w:color w:val="auto"/>
                      <w:sz w:val="21"/>
                      <w:szCs w:val="21"/>
                      <w:lang w:eastAsia="zh-CN"/>
                    </w:rPr>
                    <w:t>废气治理设施</w:t>
                  </w:r>
                  <w:r>
                    <w:rPr>
                      <w:rFonts w:hint="eastAsia" w:ascii="Times New Roman" w:cs="Times New Roman"/>
                      <w:color w:val="auto"/>
                      <w:sz w:val="21"/>
                      <w:szCs w:val="21"/>
                      <w:lang w:val="en-US" w:eastAsia="zh-CN"/>
                    </w:rPr>
                    <w:t>效率降低为98%</w:t>
                  </w:r>
                </w:p>
              </w:tc>
              <w:tc>
                <w:tcPr>
                  <w:tcW w:w="694" w:type="pct"/>
                  <w:shd w:val="clear" w:color="auto" w:fill="auto"/>
                  <w:noWrap w:val="0"/>
                  <w:vAlign w:val="center"/>
                </w:tcPr>
                <w:p w14:paraId="5931E2F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7.916</w:t>
                  </w:r>
                </w:p>
              </w:tc>
              <w:tc>
                <w:tcPr>
                  <w:tcW w:w="497" w:type="pct"/>
                  <w:shd w:val="clear" w:color="auto" w:fill="auto"/>
                  <w:noWrap w:val="0"/>
                  <w:vAlign w:val="center"/>
                </w:tcPr>
                <w:p w14:paraId="6074B03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vertAlign w:val="baseline"/>
                      <w:lang w:val="en-US" w:eastAsia="zh-CN" w:bidi="ar-SA"/>
                    </w:rPr>
                  </w:pPr>
                  <w:r>
                    <w:rPr>
                      <w:rFonts w:hint="eastAsia" w:cs="Times New Roman"/>
                      <w:color w:val="auto"/>
                      <w:kern w:val="0"/>
                      <w:sz w:val="21"/>
                      <w:szCs w:val="21"/>
                      <w:vertAlign w:val="baseline"/>
                      <w:lang w:val="en-US" w:eastAsia="zh-CN" w:bidi="ar-SA"/>
                    </w:rPr>
                    <w:t>0.0158</w:t>
                  </w:r>
                </w:p>
              </w:tc>
              <w:tc>
                <w:tcPr>
                  <w:tcW w:w="953" w:type="pct"/>
                  <w:noWrap w:val="0"/>
                  <w:vAlign w:val="center"/>
                </w:tcPr>
                <w:p w14:paraId="0C2F2998">
                  <w:pPr>
                    <w:jc w:val="center"/>
                    <w:rPr>
                      <w:b w:val="0"/>
                      <w:bCs w:val="0"/>
                      <w:color w:val="auto"/>
                      <w:sz w:val="21"/>
                      <w:szCs w:val="21"/>
                      <w:highlight w:val="none"/>
                    </w:rPr>
                  </w:pPr>
                  <w:r>
                    <w:rPr>
                      <w:b w:val="0"/>
                      <w:bCs w:val="0"/>
                      <w:color w:val="auto"/>
                      <w:sz w:val="21"/>
                      <w:szCs w:val="21"/>
                      <w:highlight w:val="none"/>
                    </w:rPr>
                    <w:t>2次/a</w:t>
                  </w:r>
                  <w:r>
                    <w:rPr>
                      <w:rFonts w:hint="eastAsia"/>
                      <w:b w:val="0"/>
                      <w:bCs w:val="0"/>
                      <w:color w:val="auto"/>
                      <w:sz w:val="21"/>
                      <w:szCs w:val="21"/>
                      <w:highlight w:val="none"/>
                    </w:rPr>
                    <w:t>、</w:t>
                  </w:r>
                  <w:r>
                    <w:rPr>
                      <w:b w:val="0"/>
                      <w:bCs w:val="0"/>
                      <w:color w:val="auto"/>
                      <w:sz w:val="21"/>
                      <w:szCs w:val="21"/>
                      <w:highlight w:val="none"/>
                    </w:rPr>
                    <w:t>0.5h/次</w:t>
                  </w:r>
                </w:p>
              </w:tc>
              <w:tc>
                <w:tcPr>
                  <w:tcW w:w="632" w:type="pct"/>
                  <w:noWrap w:val="0"/>
                  <w:vAlign w:val="center"/>
                </w:tcPr>
                <w:p w14:paraId="0035B543">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0.0158</w:t>
                  </w:r>
                </w:p>
              </w:tc>
            </w:tr>
          </w:tbl>
          <w:p w14:paraId="09A2F83D">
            <w:pPr>
              <w:pageBreakBefore/>
              <w:widowControl/>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非正常工况环境影响分析及预防措施</w:t>
            </w:r>
          </w:p>
          <w:p w14:paraId="4A0DA52B">
            <w:pPr>
              <w:pageBreakBefore/>
              <w:widowControl/>
              <w:spacing w:line="360" w:lineRule="auto"/>
              <w:ind w:firstLine="480" w:firstLineChars="200"/>
              <w:rPr>
                <w:rFonts w:hint="eastAsia"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由上表可</w:t>
            </w:r>
            <w:r>
              <w:rPr>
                <w:rFonts w:ascii="Times New Roman" w:hAnsi="Times New Roman" w:eastAsia="宋体" w:cs="Times New Roman"/>
                <w:color w:val="auto"/>
                <w:sz w:val="24"/>
                <w:szCs w:val="24"/>
                <w:highlight w:val="none"/>
              </w:rPr>
              <w:t>知，非正常工况下，</w:t>
            </w:r>
            <w:r>
              <w:rPr>
                <w:rFonts w:hint="eastAsia" w:cs="Times New Roman"/>
                <w:color w:val="auto"/>
                <w:sz w:val="24"/>
                <w:szCs w:val="24"/>
                <w:highlight w:val="none"/>
                <w:lang w:eastAsia="zh-CN"/>
              </w:rPr>
              <w:t>排气筒排放</w:t>
            </w:r>
            <w:r>
              <w:rPr>
                <w:rFonts w:hint="eastAsia" w:ascii="Times New Roman" w:hAnsi="Times New Roman" w:eastAsia="宋体" w:cs="Times New Roman"/>
                <w:b w:val="0"/>
                <w:bCs w:val="0"/>
                <w:color w:val="auto"/>
                <w:sz w:val="24"/>
                <w:szCs w:val="24"/>
                <w:highlight w:val="none"/>
                <w:lang w:val="en-US" w:eastAsia="zh-CN"/>
              </w:rPr>
              <w:t>VOCs、</w:t>
            </w:r>
            <w:r>
              <w:rPr>
                <w:rFonts w:hint="eastAsia" w:cs="Times New Roman"/>
                <w:color w:val="auto"/>
                <w:sz w:val="24"/>
                <w:szCs w:val="24"/>
                <w:highlight w:val="none"/>
                <w:lang w:eastAsia="zh-CN"/>
              </w:rPr>
              <w:t>颗粒物</w:t>
            </w:r>
            <w:r>
              <w:rPr>
                <w:rFonts w:ascii="Times New Roman" w:hAnsi="Times New Roman" w:eastAsia="宋体" w:cs="Times New Roman"/>
                <w:color w:val="auto"/>
                <w:sz w:val="24"/>
                <w:szCs w:val="24"/>
                <w:highlight w:val="none"/>
              </w:rPr>
              <w:t>浓度</w:t>
            </w:r>
            <w:r>
              <w:rPr>
                <w:rFonts w:hint="eastAsia" w:ascii="Times New Roman" w:hAnsi="Times New Roman" w:eastAsia="宋体" w:cs="Times New Roman"/>
                <w:color w:val="auto"/>
                <w:sz w:val="24"/>
                <w:szCs w:val="24"/>
                <w:highlight w:val="none"/>
                <w:lang w:eastAsia="zh-CN"/>
              </w:rPr>
              <w:t>显著增加</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rPr>
              <w:t>项目废气治理设施出现故障等非正常工况下，污染物排放对环境影响较大。</w:t>
            </w:r>
          </w:p>
          <w:p w14:paraId="210C5229">
            <w:pPr>
              <w:pageBreakBefore/>
              <w:widowControl/>
              <w:spacing w:line="360" w:lineRule="auto"/>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针对非正常工况，企业应定期对废气净化设施进行检查，确保其正常工作状态；设置专人负责，保证正常去除效率。检查、核查等工作做好记录，一旦发现问题，应立即停止生产工序，待净化设施等恢复正常工作并具有稳定废气去除效率后，开工生产，杜绝废气排放事故发生。加强企业的运行管理，设立专门人员负责厂内环保设施管理、监测等工作。</w:t>
            </w:r>
          </w:p>
          <w:p w14:paraId="2D9A6850">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5、</w:t>
            </w:r>
            <w:r>
              <w:rPr>
                <w:rFonts w:hint="default" w:ascii="Times New Roman" w:hAnsi="Times New Roman" w:eastAsia="黑体" w:cs="Times New Roman"/>
                <w:b w:val="0"/>
                <w:bCs w:val="0"/>
                <w:color w:val="auto"/>
                <w:sz w:val="24"/>
                <w:szCs w:val="24"/>
                <w:highlight w:val="none"/>
                <w:lang w:val="en-US" w:eastAsia="zh-CN"/>
              </w:rPr>
              <w:t>污染源强核算过程简要说明</w:t>
            </w:r>
          </w:p>
          <w:p w14:paraId="3671BDBA">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本项目有组织废气主要为</w:t>
            </w:r>
            <w:r>
              <w:rPr>
                <w:rFonts w:hint="eastAsia" w:cs="Times New Roman"/>
                <w:bCs/>
                <w:color w:val="auto"/>
                <w:sz w:val="24"/>
                <w:lang w:val="en-US" w:eastAsia="zh-CN"/>
              </w:rPr>
              <w:t>纤维丝生产中纺丝和冷却、集束上油、牵伸工序、纺丝组件清洗产生的VOCs；假发生产中，压花定型</w:t>
            </w:r>
            <w:r>
              <w:rPr>
                <w:rFonts w:hint="eastAsia" w:ascii="Times New Roman" w:hAnsi="Times New Roman" w:eastAsia="宋体" w:cs="Times New Roman"/>
                <w:bCs/>
                <w:color w:val="auto"/>
                <w:sz w:val="24"/>
                <w:lang w:val="en-US" w:eastAsia="zh-CN"/>
              </w:rPr>
              <w:t>工序</w:t>
            </w:r>
            <w:r>
              <w:rPr>
                <w:rFonts w:hint="eastAsia" w:cs="Times New Roman"/>
                <w:bCs/>
                <w:color w:val="auto"/>
                <w:sz w:val="24"/>
                <w:lang w:val="en-US" w:eastAsia="zh-CN"/>
              </w:rPr>
              <w:t>产生的VOCs；假睫毛生产中，磨尖工序产生的颗粒物和烘干定型工序产生的VOCs</w:t>
            </w:r>
            <w:r>
              <w:rPr>
                <w:rFonts w:hint="eastAsia" w:ascii="Times New Roman" w:hAnsi="Times New Roman" w:eastAsia="宋体" w:cs="Times New Roman"/>
                <w:bCs/>
                <w:color w:val="auto"/>
                <w:sz w:val="24"/>
                <w:lang w:val="en-US" w:eastAsia="zh-CN"/>
              </w:rPr>
              <w:t>。项目无组织废气主要为</w:t>
            </w:r>
            <w:r>
              <w:rPr>
                <w:rFonts w:hint="eastAsia" w:ascii="Times New Roman" w:hAnsi="Times New Roman" w:cs="Times New Roman"/>
                <w:color w:val="auto"/>
                <w:kern w:val="2"/>
                <w:sz w:val="24"/>
                <w:szCs w:val="22"/>
                <w:lang w:val="en-US" w:eastAsia="zh-CN" w:bidi="ar-SA"/>
              </w:rPr>
              <w:t>未被收</w:t>
            </w:r>
            <w:r>
              <w:rPr>
                <w:rFonts w:hint="eastAsia" w:ascii="Times New Roman" w:hAnsi="Times New Roman" w:eastAsia="宋体" w:cs="宋体"/>
                <w:color w:val="auto"/>
                <w:kern w:val="2"/>
                <w:sz w:val="24"/>
                <w:szCs w:val="22"/>
                <w:lang w:val="en-US" w:eastAsia="zh-CN" w:bidi="ar-SA"/>
              </w:rPr>
              <w:t>集的VOCs以</w:t>
            </w:r>
            <w:r>
              <w:rPr>
                <w:rFonts w:hint="eastAsia" w:ascii="Times New Roman" w:hAnsi="Times New Roman" w:cs="Times New Roman"/>
                <w:color w:val="auto"/>
                <w:kern w:val="2"/>
                <w:sz w:val="24"/>
                <w:szCs w:val="22"/>
                <w:lang w:val="en-US" w:eastAsia="zh-CN" w:bidi="ar-SA"/>
              </w:rPr>
              <w:t>及</w:t>
            </w:r>
            <w:r>
              <w:rPr>
                <w:rFonts w:hint="eastAsia" w:cs="Times New Roman"/>
                <w:color w:val="auto"/>
                <w:kern w:val="2"/>
                <w:sz w:val="24"/>
                <w:szCs w:val="24"/>
                <w:highlight w:val="none"/>
                <w:lang w:val="en-US" w:eastAsia="zh-CN" w:bidi="ar-SA"/>
              </w:rPr>
              <w:t>磨尖</w:t>
            </w:r>
            <w:r>
              <w:rPr>
                <w:rFonts w:hint="eastAsia" w:ascii="Times New Roman" w:hAnsi="Times New Roman" w:cs="Times New Roman"/>
                <w:color w:val="auto"/>
                <w:kern w:val="2"/>
                <w:sz w:val="24"/>
                <w:szCs w:val="22"/>
                <w:lang w:val="en-US" w:eastAsia="zh-CN" w:bidi="ar-SA"/>
              </w:rPr>
              <w:t>工序</w:t>
            </w:r>
            <w:r>
              <w:rPr>
                <w:rFonts w:hint="eastAsia" w:ascii="Times New Roman" w:hAnsi="Times New Roman" w:eastAsia="宋体" w:cs="Times New Roman"/>
                <w:color w:val="auto"/>
                <w:kern w:val="2"/>
                <w:sz w:val="24"/>
                <w:szCs w:val="22"/>
                <w:lang w:val="en-US" w:eastAsia="zh-CN" w:bidi="ar-SA"/>
              </w:rPr>
              <w:t>产生的未被收集的颗粒物</w:t>
            </w:r>
            <w:r>
              <w:rPr>
                <w:rFonts w:hint="eastAsia" w:ascii="Times New Roman" w:hAnsi="Times New Roman" w:eastAsia="宋体" w:cs="Times New Roman"/>
                <w:bCs/>
                <w:color w:val="auto"/>
                <w:sz w:val="24"/>
                <w:lang w:val="en-US" w:eastAsia="zh-CN"/>
              </w:rPr>
              <w:t>。</w:t>
            </w:r>
          </w:p>
          <w:p w14:paraId="152EAC29">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有组织废气</w:t>
            </w:r>
          </w:p>
          <w:p w14:paraId="1FAA2F77">
            <w:pPr>
              <w:adjustRightInd w:val="0"/>
              <w:snapToGrid w:val="0"/>
              <w:spacing w:line="360" w:lineRule="auto"/>
              <w:ind w:firstLine="480" w:firstLineChars="200"/>
              <w:rPr>
                <w:rFonts w:hint="default" w:cs="Times New Roman"/>
                <w:color w:val="auto"/>
                <w:kern w:val="2"/>
                <w:sz w:val="24"/>
                <w:szCs w:val="24"/>
                <w:highlight w:val="none"/>
                <w:lang w:val="en-US" w:eastAsia="zh-CN" w:bidi="ar-SA"/>
              </w:rPr>
            </w:pPr>
            <w:r>
              <w:rPr>
                <w:rFonts w:hint="default" w:cs="Times New Roman"/>
                <w:color w:val="auto"/>
                <w:kern w:val="2"/>
                <w:sz w:val="24"/>
                <w:szCs w:val="24"/>
                <w:highlight w:val="none"/>
                <w:lang w:val="en-US" w:eastAsia="zh-CN" w:bidi="ar-SA"/>
              </w:rPr>
              <w:t>①</w:t>
            </w:r>
            <w:r>
              <w:rPr>
                <w:rFonts w:hint="eastAsia" w:cs="Times New Roman"/>
                <w:color w:val="auto"/>
                <w:kern w:val="2"/>
                <w:sz w:val="24"/>
                <w:szCs w:val="24"/>
                <w:highlight w:val="none"/>
                <w:lang w:val="en-US" w:eastAsia="zh-CN" w:bidi="ar-SA"/>
              </w:rPr>
              <w:t>纺丝和冷却、油剂、牵伸、压花、烘干定型、纺丝组件清洗废气（DA001排气筒废气）</w:t>
            </w:r>
          </w:p>
          <w:p w14:paraId="7C48D60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1）</w:t>
            </w:r>
            <w:r>
              <w:rPr>
                <w:rFonts w:hint="eastAsia" w:cs="Times New Roman"/>
                <w:color w:val="auto"/>
                <w:sz w:val="24"/>
                <w:highlight w:val="none"/>
                <w:lang w:val="en-US" w:eastAsia="zh-CN"/>
              </w:rPr>
              <w:t>纺丝和冷却、牵伸、压花</w:t>
            </w:r>
            <w:r>
              <w:rPr>
                <w:rFonts w:hint="eastAsia" w:ascii="Times New Roman" w:hAnsi="Times New Roman" w:eastAsia="宋体" w:cs="Times New Roman"/>
                <w:color w:val="auto"/>
                <w:sz w:val="24"/>
                <w:highlight w:val="none"/>
                <w:lang w:eastAsia="zh-CN"/>
              </w:rPr>
              <w:t>废气</w:t>
            </w:r>
          </w:p>
          <w:p w14:paraId="127EB5B8">
            <w:pPr>
              <w:adjustRightInd w:val="0"/>
              <w:snapToGrid w:val="0"/>
              <w:spacing w:line="360" w:lineRule="auto"/>
              <w:ind w:firstLine="480" w:firstLineChars="200"/>
              <w:rPr>
                <w:rFonts w:hint="eastAsia"/>
                <w:color w:val="auto"/>
                <w:sz w:val="24"/>
                <w:highlight w:val="none"/>
                <w:lang w:val="en-US" w:eastAsia="zh-CN"/>
              </w:rPr>
            </w:pPr>
            <w:r>
              <w:rPr>
                <w:rFonts w:hint="eastAsia" w:cs="Times New Roman"/>
                <w:bCs/>
                <w:color w:val="auto"/>
                <w:sz w:val="24"/>
                <w:lang w:val="en-US" w:eastAsia="zh-CN"/>
              </w:rPr>
              <w:t>本项目纺丝和冷却、牵伸、压花工序产生VOCs，</w:t>
            </w:r>
            <w:r>
              <w:rPr>
                <w:rFonts w:hint="eastAsia" w:cs="Times New Roman"/>
                <w:color w:val="auto"/>
                <w:kern w:val="2"/>
                <w:sz w:val="24"/>
                <w:szCs w:val="24"/>
                <w:highlight w:val="none"/>
                <w:lang w:val="en-US" w:eastAsia="zh-CN" w:bidi="ar-SA"/>
              </w:rPr>
              <w:t>系数参考《排放源统计调查产排污核算方法和系数手册》中“2825 丙纶纤维制造业”系数表中“丙纶短纤”在切片-熔融-纺丝-集束-牵伸-卷曲-定型-切断工段挥发性有机物产生系数为139g/t-产品，项目年产PP纤维丝3800吨，则纺丝工序</w:t>
            </w:r>
            <w:r>
              <w:rPr>
                <w:rFonts w:hint="eastAsia" w:cs="Times New Roman"/>
                <w:bCs/>
                <w:color w:val="auto"/>
                <w:sz w:val="24"/>
                <w:lang w:val="en-US" w:eastAsia="zh-CN"/>
              </w:rPr>
              <w:t>VOCs</w:t>
            </w:r>
            <w:r>
              <w:rPr>
                <w:rFonts w:hint="eastAsia" w:cs="Times New Roman"/>
                <w:color w:val="auto"/>
                <w:kern w:val="2"/>
                <w:sz w:val="24"/>
                <w:szCs w:val="24"/>
                <w:highlight w:val="none"/>
                <w:lang w:val="en-US" w:eastAsia="zh-CN" w:bidi="ar-SA"/>
              </w:rPr>
              <w:t>产生量为0.528.t/a</w:t>
            </w:r>
            <w:r>
              <w:rPr>
                <w:rFonts w:hint="eastAsia" w:ascii="Times New Roman" w:hAnsi="Times New Roman" w:eastAsia="宋体" w:cs="Times New Roman"/>
                <w:color w:val="auto"/>
                <w:sz w:val="24"/>
                <w:highlight w:val="none"/>
                <w:lang w:val="en-US" w:eastAsia="zh-CN"/>
              </w:rPr>
              <w:t>。</w:t>
            </w:r>
          </w:p>
          <w:p w14:paraId="004918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2）</w:t>
            </w:r>
            <w:r>
              <w:rPr>
                <w:rFonts w:hint="eastAsia" w:cs="Times New Roman"/>
                <w:color w:val="auto"/>
                <w:sz w:val="24"/>
                <w:highlight w:val="none"/>
                <w:lang w:val="en-US" w:eastAsia="zh-CN"/>
              </w:rPr>
              <w:t>油剂</w:t>
            </w:r>
            <w:r>
              <w:rPr>
                <w:rFonts w:hint="eastAsia" w:ascii="Times New Roman" w:hAnsi="Times New Roman" w:eastAsia="宋体" w:cs="Times New Roman"/>
                <w:color w:val="auto"/>
                <w:sz w:val="24"/>
                <w:highlight w:val="none"/>
                <w:lang w:eastAsia="zh-CN"/>
              </w:rPr>
              <w:t>废气</w:t>
            </w:r>
          </w:p>
          <w:p w14:paraId="3E3A2A1F">
            <w:pPr>
              <w:adjustRightInd w:val="0"/>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sz w:val="24"/>
                <w:szCs w:val="24"/>
                <w:lang w:val="en-US" w:eastAsia="zh-CN"/>
              </w:rPr>
              <w:t>本项目纤维丝生产集束上油工序会产生少量</w:t>
            </w:r>
            <w:r>
              <w:rPr>
                <w:rFonts w:hint="eastAsia" w:cs="Times New Roman"/>
                <w:bCs/>
                <w:color w:val="auto"/>
                <w:sz w:val="24"/>
                <w:lang w:val="en-US" w:eastAsia="zh-CN"/>
              </w:rPr>
              <w:t>VOCs</w:t>
            </w:r>
            <w:r>
              <w:rPr>
                <w:rFonts w:hint="eastAsia" w:cs="Times New Roman"/>
                <w:sz w:val="24"/>
                <w:szCs w:val="24"/>
                <w:lang w:val="en-US" w:eastAsia="zh-CN"/>
              </w:rPr>
              <w:t>废气，本项目使用的油剂为高沸点的表面活性剂，常温下非常稳定，不会挥发，在受热情况下会有部分形成油雾，同时极少部分会分解成有机废气。本项目纺丝油年用量为50t/a，纺丝油剂浓度为6.25%，则纺丝油剂折纯量为3.125t/a</w:t>
            </w:r>
            <w:r>
              <w:rPr>
                <w:rFonts w:hint="eastAsia"/>
                <w:color w:val="auto"/>
                <w:sz w:val="24"/>
                <w:highlight w:val="none"/>
                <w:lang w:val="en-US" w:eastAsia="zh-CN"/>
              </w:rPr>
              <w:t>。根据企业提供资料，纺丝油剂挥发量按折纯油剂的5%计，则油剂挥发量为0.156t/a。</w:t>
            </w:r>
          </w:p>
          <w:p w14:paraId="01581580">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eastAsia" w:ascii="Times New Roman" w:hAnsi="Times New Roman" w:cs="宋体"/>
                <w:color w:val="auto"/>
                <w:kern w:val="2"/>
                <w:sz w:val="24"/>
                <w:szCs w:val="22"/>
                <w:lang w:val="en-US" w:eastAsia="zh-CN" w:bidi="ar-SA"/>
              </w:rPr>
            </w:pPr>
            <w:r>
              <w:rPr>
                <w:rFonts w:hint="eastAsia" w:ascii="Times New Roman" w:hAnsi="Times New Roman" w:cs="宋体"/>
                <w:color w:val="auto"/>
                <w:kern w:val="2"/>
                <w:sz w:val="24"/>
                <w:szCs w:val="22"/>
                <w:lang w:val="en-US" w:eastAsia="zh-CN" w:bidi="ar-SA"/>
              </w:rPr>
              <w:t>3）烘干</w:t>
            </w:r>
            <w:r>
              <w:rPr>
                <w:rFonts w:hint="eastAsia" w:ascii="Times New Roman" w:hAnsi="Times New Roman" w:cs="宋体"/>
                <w:color w:val="auto"/>
                <w:sz w:val="24"/>
                <w:highlight w:val="none"/>
                <w:lang w:val="en-US" w:eastAsia="zh-CN"/>
              </w:rPr>
              <w:t>定</w:t>
            </w:r>
            <w:r>
              <w:rPr>
                <w:rFonts w:hint="eastAsia" w:ascii="Times New Roman" w:hAnsi="Times New Roman" w:cs="宋体"/>
                <w:color w:val="auto"/>
                <w:kern w:val="2"/>
                <w:sz w:val="24"/>
                <w:szCs w:val="22"/>
                <w:lang w:val="en-US" w:eastAsia="zh-CN" w:bidi="ar-SA"/>
              </w:rPr>
              <w:t>型工序废气</w:t>
            </w:r>
          </w:p>
          <w:p w14:paraId="1B18DD00">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default" w:ascii="Times New Roman" w:hAnsi="Times New Roman" w:cs="宋体"/>
                <w:color w:val="auto"/>
                <w:kern w:val="2"/>
                <w:sz w:val="24"/>
                <w:szCs w:val="22"/>
                <w:lang w:val="en-US" w:eastAsia="zh-CN" w:bidi="ar-SA"/>
              </w:rPr>
            </w:pPr>
            <w:r>
              <w:rPr>
                <w:rFonts w:hint="eastAsia" w:ascii="Times New Roman" w:hAnsi="Times New Roman" w:cs="宋体"/>
                <w:color w:val="auto"/>
                <w:kern w:val="2"/>
                <w:sz w:val="24"/>
                <w:szCs w:val="22"/>
                <w:lang w:val="en-US" w:eastAsia="zh-CN" w:bidi="ar-SA"/>
              </w:rPr>
              <w:t>本项目假睫毛生产过程中</w:t>
            </w:r>
            <w:r>
              <w:rPr>
                <w:rFonts w:hint="eastAsia" w:ascii="Times New Roman" w:hAnsi="Times New Roman" w:cs="宋体"/>
                <w:color w:val="auto"/>
                <w:sz w:val="24"/>
                <w:highlight w:val="none"/>
                <w:lang w:val="en-US" w:eastAsia="zh-CN"/>
              </w:rPr>
              <w:t>烘干定</w:t>
            </w:r>
            <w:r>
              <w:rPr>
                <w:rFonts w:hint="eastAsia" w:ascii="Times New Roman" w:hAnsi="Times New Roman" w:cs="宋体"/>
                <w:color w:val="auto"/>
                <w:kern w:val="2"/>
                <w:sz w:val="24"/>
                <w:szCs w:val="22"/>
                <w:lang w:val="en-US" w:eastAsia="zh-CN" w:bidi="ar-SA"/>
              </w:rPr>
              <w:t>型工序产生废气，在热风循环烘干箱上方设置集气罩进行收集，收集效率为90%，废气参考</w:t>
            </w:r>
            <w:r>
              <w:rPr>
                <w:rFonts w:hint="eastAsia" w:ascii="Times New Roman" w:hAnsi="Times New Roman" w:cs="宋体"/>
                <w:color w:val="auto"/>
                <w:kern w:val="2"/>
                <w:sz w:val="24"/>
                <w:szCs w:val="24"/>
                <w:highlight w:val="none"/>
                <w:lang w:val="en-US" w:eastAsia="zh-CN" w:bidi="ar-SA"/>
              </w:rPr>
              <w:t>《排放源统计调查产排污核算方法和系数手册》中“</w:t>
            </w:r>
            <w:r>
              <w:rPr>
                <w:rFonts w:hint="default" w:ascii="Times New Roman" w:hAnsi="Times New Roman" w:cs="宋体"/>
                <w:color w:val="auto"/>
                <w:kern w:val="2"/>
                <w:sz w:val="24"/>
                <w:szCs w:val="24"/>
                <w:highlight w:val="none"/>
                <w:lang w:val="en-US" w:eastAsia="zh-CN" w:bidi="ar-SA"/>
              </w:rPr>
              <w:t>2929</w:t>
            </w:r>
            <w:r>
              <w:rPr>
                <w:rFonts w:hint="eastAsia" w:ascii="Times New Roman" w:hAnsi="Times New Roman" w:cs="宋体"/>
                <w:color w:val="auto"/>
                <w:kern w:val="2"/>
                <w:sz w:val="24"/>
                <w:szCs w:val="24"/>
                <w:highlight w:val="none"/>
                <w:lang w:val="en-US" w:eastAsia="zh-CN" w:bidi="ar-SA"/>
              </w:rPr>
              <w:t xml:space="preserve"> 塑料零件及其他塑料制品制造行业”</w:t>
            </w:r>
            <w:r>
              <w:rPr>
                <w:rFonts w:hint="eastAsia" w:ascii="Times New Roman" w:hAnsi="Times New Roman" w:cs="宋体"/>
                <w:color w:val="auto"/>
                <w:kern w:val="2"/>
                <w:sz w:val="24"/>
                <w:szCs w:val="22"/>
                <w:lang w:val="en-US" w:eastAsia="zh-CN" w:bidi="ar-SA"/>
              </w:rPr>
              <w:t>，VOCs产生系数为2.7g/t-产</w:t>
            </w:r>
            <w:r>
              <w:rPr>
                <w:rFonts w:hint="eastAsia" w:ascii="Times New Roman" w:hAnsi="Times New Roman" w:cs="宋体"/>
                <w:color w:val="auto"/>
                <w:kern w:val="2"/>
                <w:sz w:val="24"/>
                <w:szCs w:val="24"/>
                <w:highlight w:val="none"/>
                <w:lang w:val="en-US" w:eastAsia="zh-CN" w:bidi="ar-SA"/>
              </w:rPr>
              <w:t>品</w:t>
            </w:r>
            <w:r>
              <w:rPr>
                <w:rFonts w:hint="eastAsia" w:ascii="Times New Roman" w:hAnsi="Times New Roman" w:cs="宋体"/>
                <w:color w:val="auto"/>
                <w:kern w:val="2"/>
                <w:sz w:val="24"/>
                <w:szCs w:val="22"/>
                <w:lang w:val="en-US" w:eastAsia="zh-CN" w:bidi="ar-SA"/>
              </w:rPr>
              <w:t>，则产生量为0.0005t/a</w:t>
            </w:r>
            <w:r>
              <w:rPr>
                <w:rFonts w:hint="eastAsia" w:ascii="Times New Roman" w:hAnsi="Times New Roman" w:eastAsia="宋体" w:cs="宋体"/>
                <w:color w:val="auto"/>
                <w:sz w:val="24"/>
                <w:highlight w:val="none"/>
                <w:lang w:val="en-US" w:eastAsia="zh-CN"/>
              </w:rPr>
              <w:t>。</w:t>
            </w:r>
          </w:p>
          <w:p w14:paraId="301D0248">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eastAsia" w:ascii="Times New Roman" w:hAnsi="Times New Roman" w:cs="宋体"/>
                <w:color w:val="auto"/>
                <w:kern w:val="2"/>
                <w:sz w:val="24"/>
                <w:szCs w:val="22"/>
                <w:lang w:val="en-US" w:eastAsia="zh-CN" w:bidi="ar-SA"/>
              </w:rPr>
            </w:pPr>
            <w:r>
              <w:rPr>
                <w:rFonts w:hint="eastAsia" w:ascii="Times New Roman" w:hAnsi="Times New Roman" w:cs="宋体"/>
                <w:color w:val="auto"/>
                <w:kern w:val="2"/>
                <w:sz w:val="24"/>
                <w:szCs w:val="22"/>
                <w:lang w:val="en-US" w:eastAsia="zh-CN" w:bidi="ar-SA"/>
              </w:rPr>
              <w:t>4）纺丝组件清洗废气</w:t>
            </w:r>
          </w:p>
          <w:p w14:paraId="0AC02550">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eastAsia" w:ascii="Times New Roman" w:hAnsi="Times New Roman" w:cs="宋体"/>
                <w:color w:val="auto"/>
                <w:sz w:val="24"/>
                <w:highlight w:val="none"/>
                <w:lang w:val="en-US" w:eastAsia="zh-CN"/>
              </w:rPr>
            </w:pPr>
            <w:r>
              <w:rPr>
                <w:rFonts w:hint="eastAsia" w:ascii="Times New Roman" w:hAnsi="Times New Roman" w:cs="宋体"/>
                <w:color w:val="auto"/>
                <w:sz w:val="24"/>
                <w:highlight w:val="none"/>
                <w:lang w:val="en-US" w:eastAsia="zh-CN"/>
              </w:rPr>
              <w:t>纺丝组件在使用一段时间后，表面和喷丝孔附近会积聚一定量的高分子聚合物，从而影响喷丝质量，堵塞喷丝孔，因此在使用一段时间后需要更换，更换后纺丝组件和计量泵上有少量聚合熔体和杂质，使用电加热真空清洗炉进行清洗。本项目纺丝组件清洗废气进入二级活性炭吸附装置处理后由15米排气筒（DA001）排放。炉内剩下的是工件和少量无机物，这些无机物已经成为粉状，收集后交由有资质的单位处置。</w:t>
            </w:r>
          </w:p>
          <w:p w14:paraId="249CCD4D">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eastAsia" w:ascii="Times New Roman" w:hAnsi="Times New Roman" w:cs="宋体"/>
                <w:color w:val="auto"/>
                <w:sz w:val="24"/>
                <w:highlight w:val="none"/>
                <w:lang w:val="en-US" w:eastAsia="zh-CN"/>
              </w:rPr>
            </w:pPr>
            <w:r>
              <w:rPr>
                <w:rFonts w:hint="eastAsia" w:ascii="Times New Roman" w:hAnsi="Times New Roman" w:cs="宋体"/>
                <w:color w:val="auto"/>
                <w:sz w:val="24"/>
                <w:highlight w:val="none"/>
                <w:lang w:val="en-US" w:eastAsia="zh-CN"/>
              </w:rPr>
              <w:t>本项目纺丝组件清洗废气根据《空气污染排放和控制手册 工业污染源调查与研究-第二辑》第十三章“塑料”中的介绍，加工过程有机废气排放系数为0.35kg/t原料，本项目纺丝共用原料3800t/a，则</w:t>
            </w:r>
            <w:r>
              <w:rPr>
                <w:rFonts w:hint="eastAsia" w:ascii="Times New Roman" w:hAnsi="Times New Roman" w:cs="宋体"/>
                <w:color w:val="auto"/>
                <w:kern w:val="2"/>
                <w:sz w:val="24"/>
                <w:szCs w:val="22"/>
                <w:lang w:val="en-US" w:eastAsia="zh-CN" w:bidi="ar-SA"/>
              </w:rPr>
              <w:t>VOCs产生量为1.33t/a。</w:t>
            </w:r>
          </w:p>
          <w:p w14:paraId="0703D44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综上所述，DA001</w:t>
            </w:r>
            <w:r>
              <w:rPr>
                <w:rFonts w:hint="eastAsia" w:ascii="Times New Roman" w:hAnsi="Times New Roman" w:eastAsia="宋体" w:cs="Times New Roman"/>
                <w:color w:val="auto"/>
                <w:sz w:val="24"/>
                <w:highlight w:val="none"/>
                <w:lang w:val="en-US" w:eastAsia="zh-CN"/>
              </w:rPr>
              <w:t>排气筒有组织</w:t>
            </w:r>
            <w:r>
              <w:rPr>
                <w:rFonts w:hint="eastAsia" w:ascii="Times New Roman" w:hAnsi="Times New Roman" w:cs="宋体"/>
                <w:color w:val="auto"/>
                <w:kern w:val="2"/>
                <w:sz w:val="24"/>
                <w:szCs w:val="22"/>
                <w:lang w:val="en-US" w:eastAsia="zh-CN" w:bidi="ar-SA"/>
              </w:rPr>
              <w:t>VOCs产生总量为</w:t>
            </w:r>
            <w:r>
              <w:rPr>
                <w:rFonts w:hint="eastAsia" w:cs="宋体"/>
                <w:color w:val="auto"/>
                <w:kern w:val="2"/>
                <w:sz w:val="24"/>
                <w:szCs w:val="22"/>
                <w:lang w:val="en-US" w:eastAsia="zh-CN" w:bidi="ar-SA"/>
              </w:rPr>
              <w:t>2.0145</w:t>
            </w:r>
            <w:r>
              <w:rPr>
                <w:rFonts w:hint="eastAsia" w:ascii="Times New Roman" w:hAnsi="Times New Roman" w:cs="宋体"/>
                <w:color w:val="auto"/>
                <w:kern w:val="2"/>
                <w:sz w:val="24"/>
                <w:szCs w:val="22"/>
                <w:lang w:val="en-US" w:eastAsia="zh-CN" w:bidi="ar-SA"/>
              </w:rPr>
              <w:t>t/a，集气罩收集效率为9</w:t>
            </w:r>
            <w:r>
              <w:rPr>
                <w:rFonts w:hint="eastAsia" w:cs="宋体"/>
                <w:color w:val="auto"/>
                <w:kern w:val="2"/>
                <w:sz w:val="24"/>
                <w:szCs w:val="22"/>
                <w:lang w:val="en-US" w:eastAsia="zh-CN" w:bidi="ar-SA"/>
              </w:rPr>
              <w:t>0</w:t>
            </w:r>
            <w:r>
              <w:rPr>
                <w:rFonts w:hint="eastAsia" w:ascii="Times New Roman" w:hAnsi="Times New Roman" w:cs="宋体"/>
                <w:color w:val="auto"/>
                <w:kern w:val="2"/>
                <w:sz w:val="24"/>
                <w:szCs w:val="22"/>
                <w:lang w:val="en-US" w:eastAsia="zh-CN" w:bidi="ar-SA"/>
              </w:rPr>
              <w:t>%，二级活性炭吸附装置去除效率为80%，风机风量为</w:t>
            </w:r>
            <w:r>
              <w:rPr>
                <w:rFonts w:hint="eastAsia" w:cs="Times New Roman"/>
                <w:color w:val="auto"/>
                <w:sz w:val="24"/>
                <w:highlight w:val="none"/>
                <w:lang w:val="en-US" w:eastAsia="zh-CN"/>
              </w:rPr>
              <w:t>10</w:t>
            </w:r>
            <w:r>
              <w:rPr>
                <w:rFonts w:hint="eastAsia" w:ascii="Times New Roman" w:hAnsi="Times New Roman" w:eastAsia="宋体" w:cs="Times New Roman"/>
                <w:color w:val="auto"/>
                <w:sz w:val="24"/>
                <w:highlight w:val="none"/>
                <w:lang w:val="en-US" w:eastAsia="zh-CN"/>
              </w:rPr>
              <w:t>000m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/h，排放速率为</w:t>
            </w:r>
            <w:r>
              <w:rPr>
                <w:rFonts w:hint="eastAsia" w:cs="Times New Roman"/>
                <w:color w:val="auto"/>
                <w:sz w:val="24"/>
                <w:highlight w:val="none"/>
                <w:lang w:val="en-US" w:eastAsia="zh-CN"/>
              </w:rPr>
              <w:t>0.0504</w:t>
            </w:r>
            <w:r>
              <w:rPr>
                <w:rFonts w:hint="eastAsia"/>
                <w:color w:val="auto"/>
                <w:sz w:val="24"/>
                <w:highlight w:val="none"/>
                <w:lang w:val="en-US" w:eastAsia="zh-CN"/>
              </w:rPr>
              <w:t>kg/h，</w:t>
            </w:r>
            <w:r>
              <w:rPr>
                <w:rFonts w:hint="eastAsia" w:eastAsia="宋体" w:cs="Times New Roman"/>
                <w:b w:val="0"/>
                <w:bCs w:val="0"/>
                <w:color w:val="auto"/>
                <w:sz w:val="24"/>
                <w:lang w:val="en-US" w:eastAsia="zh-CN"/>
              </w:rPr>
              <w:t>排放浓度为</w:t>
            </w:r>
            <w:r>
              <w:rPr>
                <w:rFonts w:hint="eastAsia" w:cs="Times New Roman"/>
                <w:b w:val="0"/>
                <w:bCs w:val="0"/>
                <w:color w:val="auto"/>
                <w:sz w:val="24"/>
                <w:lang w:val="en-US" w:eastAsia="zh-CN"/>
              </w:rPr>
              <w:t>5.036</w:t>
            </w:r>
            <w:r>
              <w:rPr>
                <w:rFonts w:hint="eastAsia" w:ascii="Times New Roman" w:hAnsi="Times New Roman" w:eastAsia="宋体" w:cs="Times New Roman"/>
                <w:color w:val="auto"/>
                <w:sz w:val="24"/>
                <w:highlight w:val="none"/>
                <w:lang w:val="en-US" w:eastAsia="zh-CN"/>
              </w:rPr>
              <w:t>mg/m</w:t>
            </w:r>
            <w:r>
              <w:rPr>
                <w:rFonts w:hint="eastAsia"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，排放量为</w:t>
            </w:r>
            <w:r>
              <w:rPr>
                <w:rFonts w:hint="eastAsia" w:cs="Times New Roman"/>
                <w:color w:val="auto"/>
                <w:sz w:val="24"/>
                <w:highlight w:val="none"/>
                <w:lang w:val="en-US" w:eastAsia="zh-CN"/>
              </w:rPr>
              <w:t>0.363</w:t>
            </w:r>
            <w:r>
              <w:rPr>
                <w:rFonts w:hint="eastAsia" w:ascii="Times New Roman" w:hAnsi="Times New Roman" w:eastAsia="宋体" w:cs="Times New Roman"/>
                <w:color w:val="auto"/>
                <w:sz w:val="24"/>
                <w:highlight w:val="none"/>
                <w:lang w:val="en-US" w:eastAsia="zh-CN"/>
              </w:rPr>
              <w:t>t/a。</w:t>
            </w:r>
          </w:p>
          <w:p w14:paraId="2BBEA0C3">
            <w:pPr>
              <w:adjustRightInd w:val="0"/>
              <w:snapToGrid w:val="0"/>
              <w:spacing w:line="360" w:lineRule="auto"/>
              <w:ind w:firstLine="480" w:firstLineChars="200"/>
              <w:rPr>
                <w:rFonts w:hint="default" w:cs="Times New Roman"/>
                <w:color w:val="auto"/>
                <w:kern w:val="2"/>
                <w:sz w:val="24"/>
                <w:szCs w:val="24"/>
                <w:highlight w:val="none"/>
                <w:lang w:val="en-US" w:eastAsia="zh-CN" w:bidi="ar-SA"/>
              </w:rPr>
            </w:pPr>
            <w:r>
              <w:rPr>
                <w:rFonts w:hint="default" w:cs="Times New Roman"/>
                <w:color w:val="auto"/>
                <w:kern w:val="2"/>
                <w:sz w:val="24"/>
                <w:szCs w:val="24"/>
                <w:highlight w:val="none"/>
                <w:lang w:val="en-US" w:eastAsia="zh-CN" w:bidi="ar-SA"/>
              </w:rPr>
              <w:t>②</w:t>
            </w:r>
            <w:r>
              <w:rPr>
                <w:rFonts w:hint="eastAsia" w:cs="Times New Roman"/>
                <w:color w:val="auto"/>
                <w:kern w:val="2"/>
                <w:sz w:val="24"/>
                <w:szCs w:val="24"/>
                <w:highlight w:val="none"/>
                <w:lang w:val="en-US" w:eastAsia="zh-CN" w:bidi="ar-SA"/>
              </w:rPr>
              <w:t>磨尖工序废气（DA002排气筒废气）</w:t>
            </w:r>
          </w:p>
          <w:p w14:paraId="0A0EA23B">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eastAsia" w:ascii="Times New Roman" w:hAnsi="Times New Roman" w:eastAsia="宋体" w:cs="宋体"/>
                <w:color w:val="auto"/>
                <w:kern w:val="2"/>
                <w:sz w:val="24"/>
                <w:szCs w:val="22"/>
                <w:lang w:val="en-US" w:eastAsia="zh-CN" w:bidi="ar-SA"/>
              </w:rPr>
            </w:pPr>
            <w:r>
              <w:rPr>
                <w:rFonts w:hint="eastAsia" w:ascii="Times New Roman" w:hAnsi="Times New Roman" w:cs="Times New Roman"/>
                <w:color w:val="auto"/>
                <w:kern w:val="2"/>
                <w:sz w:val="24"/>
                <w:szCs w:val="22"/>
                <w:lang w:val="en-US" w:eastAsia="zh-CN" w:bidi="ar-SA"/>
              </w:rPr>
              <w:t>本项目磨尖工序产生颗粒物，经管道收集后通过15m高的DA002排气筒排放。根据企业提供资料，磨尖工序颗粒物产生量按原料用</w:t>
            </w:r>
            <w:r>
              <w:rPr>
                <w:rFonts w:hint="eastAsia" w:ascii="Times New Roman" w:hAnsi="Times New Roman" w:cs="宋体"/>
                <w:color w:val="auto"/>
                <w:kern w:val="2"/>
                <w:sz w:val="24"/>
                <w:szCs w:val="22"/>
                <w:lang w:val="en-US" w:eastAsia="zh-CN" w:bidi="ar-SA"/>
              </w:rPr>
              <w:t>量的1%计，原料用量为200t/a，则颗粒物产生量为2t/a，产生速率为0.833kg/h，收集效率为95%，颗粒物去除效率为99%，风机风量为2000m</w:t>
            </w:r>
            <w:r>
              <w:rPr>
                <w:rFonts w:hint="eastAsia" w:ascii="Times New Roman" w:hAnsi="Times New Roman" w:cs="宋体"/>
                <w:color w:val="auto"/>
                <w:kern w:val="2"/>
                <w:sz w:val="24"/>
                <w:szCs w:val="22"/>
                <w:vertAlign w:val="superscript"/>
                <w:lang w:val="en-US" w:eastAsia="zh-CN" w:bidi="ar-SA"/>
              </w:rPr>
              <w:t>3</w:t>
            </w:r>
            <w:r>
              <w:rPr>
                <w:rFonts w:hint="eastAsia" w:ascii="Times New Roman" w:hAnsi="Times New Roman" w:cs="宋体"/>
                <w:color w:val="auto"/>
                <w:kern w:val="2"/>
                <w:sz w:val="24"/>
                <w:szCs w:val="22"/>
                <w:lang w:val="en-US" w:eastAsia="zh-CN" w:bidi="ar-SA"/>
              </w:rPr>
              <w:t>/h，通过DA002排气筒排放，</w:t>
            </w:r>
            <w:r>
              <w:rPr>
                <w:rFonts w:hint="eastAsia" w:ascii="Times New Roman" w:hAnsi="Times New Roman" w:eastAsia="宋体" w:cs="宋体"/>
                <w:color w:val="auto"/>
                <w:kern w:val="2"/>
                <w:sz w:val="24"/>
                <w:szCs w:val="22"/>
                <w:lang w:val="en-US" w:eastAsia="zh-CN" w:bidi="ar-SA"/>
              </w:rPr>
              <w:t>排放速率为</w:t>
            </w:r>
            <w:r>
              <w:rPr>
                <w:rFonts w:hint="eastAsia" w:ascii="Times New Roman" w:hAnsi="Times New Roman" w:cs="宋体"/>
                <w:color w:val="auto"/>
                <w:kern w:val="2"/>
                <w:sz w:val="24"/>
                <w:szCs w:val="22"/>
                <w:lang w:val="en-US" w:eastAsia="zh-CN" w:bidi="ar-SA"/>
              </w:rPr>
              <w:t>0.0079</w:t>
            </w:r>
            <w:r>
              <w:rPr>
                <w:rFonts w:hint="eastAsia" w:ascii="Times New Roman" w:hAnsi="Times New Roman" w:eastAsia="宋体" w:cs="宋体"/>
                <w:color w:val="auto"/>
                <w:kern w:val="2"/>
                <w:sz w:val="24"/>
                <w:szCs w:val="22"/>
                <w:lang w:val="en-US" w:eastAsia="zh-CN" w:bidi="ar-SA"/>
              </w:rPr>
              <w:t>kg/h，排放浓度为</w:t>
            </w:r>
            <w:r>
              <w:rPr>
                <w:rFonts w:hint="eastAsia" w:ascii="Times New Roman" w:hAnsi="Times New Roman" w:cs="宋体"/>
                <w:color w:val="auto"/>
                <w:kern w:val="2"/>
                <w:sz w:val="24"/>
                <w:szCs w:val="22"/>
                <w:lang w:val="en-US" w:eastAsia="zh-CN" w:bidi="ar-SA"/>
              </w:rPr>
              <w:t>3.958</w:t>
            </w:r>
            <w:r>
              <w:rPr>
                <w:rFonts w:hint="eastAsia" w:ascii="Times New Roman" w:hAnsi="Times New Roman" w:eastAsia="宋体" w:cs="宋体"/>
                <w:color w:val="auto"/>
                <w:kern w:val="2"/>
                <w:sz w:val="24"/>
                <w:szCs w:val="22"/>
                <w:lang w:val="en-US" w:eastAsia="zh-CN" w:bidi="ar-SA"/>
              </w:rPr>
              <w:t>mg</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cs="宋体"/>
                <w:color w:val="auto"/>
                <w:kern w:val="2"/>
                <w:sz w:val="24"/>
                <w:szCs w:val="22"/>
                <w:vertAlign w:val="superscript"/>
                <w:lang w:val="en-US" w:eastAsia="zh-CN" w:bidi="ar-SA"/>
              </w:rPr>
              <w:t>3</w:t>
            </w:r>
            <w:r>
              <w:rPr>
                <w:rFonts w:hint="eastAsia" w:ascii="Times New Roman" w:hAnsi="Times New Roman" w:cs="宋体"/>
                <w:color w:val="auto"/>
                <w:kern w:val="2"/>
                <w:sz w:val="24"/>
                <w:szCs w:val="22"/>
                <w:lang w:val="en-US" w:eastAsia="zh-CN" w:bidi="ar-SA"/>
              </w:rPr>
              <w:t>。</w:t>
            </w:r>
          </w:p>
          <w:p w14:paraId="728088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（2）无组织废气</w:t>
            </w:r>
          </w:p>
          <w:p w14:paraId="7159B465">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项目产生的无组织废气为</w:t>
            </w:r>
            <w:r>
              <w:rPr>
                <w:rFonts w:hint="eastAsia" w:cs="Times New Roman"/>
                <w:color w:val="auto"/>
                <w:kern w:val="2"/>
                <w:sz w:val="24"/>
                <w:szCs w:val="24"/>
                <w:highlight w:val="none"/>
                <w:lang w:val="en-US" w:eastAsia="zh-CN" w:bidi="ar-SA"/>
              </w:rPr>
              <w:t>纺丝、油剂、牵伸、压花、烘干定型、纺丝组件清洗</w:t>
            </w:r>
            <w:r>
              <w:rPr>
                <w:rFonts w:hint="eastAsia" w:ascii="Times New Roman" w:hAnsi="Times New Roman" w:eastAsia="宋体" w:cs="Times New Roman"/>
                <w:color w:val="auto"/>
                <w:kern w:val="2"/>
                <w:sz w:val="24"/>
                <w:szCs w:val="22"/>
                <w:lang w:val="en-US" w:eastAsia="zh-CN" w:bidi="ar-SA"/>
              </w:rPr>
              <w:t>等工序</w:t>
            </w:r>
            <w:r>
              <w:rPr>
                <w:rFonts w:hint="eastAsia" w:ascii="Times New Roman" w:hAnsi="Times New Roman" w:cs="Times New Roman"/>
                <w:color w:val="auto"/>
                <w:kern w:val="2"/>
                <w:sz w:val="24"/>
                <w:szCs w:val="22"/>
                <w:lang w:val="en-US" w:eastAsia="zh-CN" w:bidi="ar-SA"/>
              </w:rPr>
              <w:t>产生的未被收</w:t>
            </w:r>
            <w:r>
              <w:rPr>
                <w:rFonts w:hint="eastAsia" w:ascii="Times New Roman" w:hAnsi="Times New Roman" w:eastAsia="宋体" w:cs="宋体"/>
                <w:color w:val="auto"/>
                <w:kern w:val="2"/>
                <w:sz w:val="24"/>
                <w:szCs w:val="22"/>
                <w:lang w:val="en-US" w:eastAsia="zh-CN" w:bidi="ar-SA"/>
              </w:rPr>
              <w:t>集的VOCs以</w:t>
            </w:r>
            <w:r>
              <w:rPr>
                <w:rFonts w:hint="eastAsia" w:ascii="Times New Roman" w:hAnsi="Times New Roman" w:cs="Times New Roman"/>
                <w:color w:val="auto"/>
                <w:kern w:val="2"/>
                <w:sz w:val="24"/>
                <w:szCs w:val="22"/>
                <w:lang w:val="en-US" w:eastAsia="zh-CN" w:bidi="ar-SA"/>
              </w:rPr>
              <w:t>及</w:t>
            </w:r>
            <w:r>
              <w:rPr>
                <w:rFonts w:hint="eastAsia" w:cs="Times New Roman"/>
                <w:color w:val="auto"/>
                <w:kern w:val="2"/>
                <w:sz w:val="24"/>
                <w:szCs w:val="24"/>
                <w:highlight w:val="none"/>
                <w:lang w:val="en-US" w:eastAsia="zh-CN" w:bidi="ar-SA"/>
              </w:rPr>
              <w:t>磨尖</w:t>
            </w:r>
            <w:r>
              <w:rPr>
                <w:rFonts w:hint="eastAsia" w:ascii="Times New Roman" w:hAnsi="Times New Roman" w:cs="Times New Roman"/>
                <w:color w:val="auto"/>
                <w:kern w:val="2"/>
                <w:sz w:val="24"/>
                <w:szCs w:val="22"/>
                <w:lang w:val="en-US" w:eastAsia="zh-CN" w:bidi="ar-SA"/>
              </w:rPr>
              <w:t>工序</w:t>
            </w:r>
            <w:r>
              <w:rPr>
                <w:rFonts w:hint="eastAsia" w:ascii="Times New Roman" w:hAnsi="Times New Roman" w:eastAsia="宋体" w:cs="Times New Roman"/>
                <w:color w:val="auto"/>
                <w:kern w:val="2"/>
                <w:sz w:val="24"/>
                <w:szCs w:val="22"/>
                <w:lang w:val="en-US" w:eastAsia="zh-CN" w:bidi="ar-SA"/>
              </w:rPr>
              <w:t>产生的未被收集的颗粒物。</w:t>
            </w:r>
          </w:p>
          <w:p w14:paraId="2B44C912">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①</w:t>
            </w:r>
            <w:r>
              <w:rPr>
                <w:rFonts w:hint="eastAsia" w:cs="Times New Roman"/>
                <w:color w:val="auto"/>
                <w:kern w:val="2"/>
                <w:sz w:val="24"/>
                <w:szCs w:val="24"/>
                <w:highlight w:val="none"/>
                <w:lang w:val="en-US" w:eastAsia="zh-CN" w:bidi="ar-SA"/>
              </w:rPr>
              <w:t>纺丝、油剂、牵伸、压花、烘干定型、纺丝组件清洗</w:t>
            </w:r>
            <w:r>
              <w:rPr>
                <w:rFonts w:hint="eastAsia" w:cs="Times New Roman"/>
                <w:color w:val="auto"/>
                <w:sz w:val="24"/>
                <w:lang w:val="en-US" w:eastAsia="zh-CN"/>
              </w:rPr>
              <w:t>无</w:t>
            </w:r>
            <w:r>
              <w:rPr>
                <w:rFonts w:hint="eastAsia" w:ascii="Times New Roman" w:hAnsi="Times New Roman" w:eastAsia="宋体" w:cs="Times New Roman"/>
                <w:color w:val="auto"/>
                <w:sz w:val="24"/>
                <w:lang w:val="en-US" w:eastAsia="zh-CN"/>
              </w:rPr>
              <w:t>组织废气产生量</w:t>
            </w:r>
          </w:p>
          <w:p w14:paraId="4B869061">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eastAsia" w:ascii="Times New Roman" w:hAnsi="Times New Roman" w:cs="宋体"/>
                <w:color w:val="auto"/>
                <w:sz w:val="24"/>
                <w:lang w:val="en-US" w:eastAsia="zh-CN"/>
              </w:rPr>
            </w:pPr>
            <w:r>
              <w:rPr>
                <w:rFonts w:hint="eastAsia" w:cs="Times New Roman"/>
                <w:color w:val="auto"/>
                <w:kern w:val="2"/>
                <w:sz w:val="24"/>
                <w:szCs w:val="24"/>
                <w:highlight w:val="none"/>
                <w:lang w:val="en-US" w:eastAsia="zh-CN" w:bidi="ar-SA"/>
              </w:rPr>
              <w:t>纺丝、油剂、牵伸、压花、烘干定型、纺丝组件清洗工序</w:t>
            </w:r>
            <w:r>
              <w:rPr>
                <w:rFonts w:hint="eastAsia" w:ascii="Times New Roman" w:hAnsi="Times New Roman" w:eastAsia="宋体" w:cs="宋体"/>
                <w:color w:val="auto"/>
                <w:kern w:val="2"/>
                <w:sz w:val="24"/>
                <w:szCs w:val="22"/>
                <w:lang w:val="en-US" w:eastAsia="zh-CN" w:bidi="ar-SA"/>
              </w:rPr>
              <w:t>VOCs</w:t>
            </w:r>
            <w:r>
              <w:rPr>
                <w:rFonts w:hint="eastAsia" w:ascii="Times New Roman" w:hAnsi="Times New Roman" w:eastAsia="宋体" w:cs="宋体"/>
                <w:color w:val="auto"/>
                <w:sz w:val="24"/>
                <w:lang w:eastAsia="zh-CN"/>
              </w:rPr>
              <w:t>产生</w:t>
            </w:r>
            <w:r>
              <w:rPr>
                <w:rFonts w:hint="eastAsia" w:ascii="Times New Roman" w:hAnsi="Times New Roman" w:cs="宋体"/>
                <w:color w:val="auto"/>
                <w:sz w:val="24"/>
                <w:lang w:val="en-US" w:eastAsia="zh-CN"/>
              </w:rPr>
              <w:t>总</w:t>
            </w:r>
            <w:r>
              <w:rPr>
                <w:rFonts w:hint="eastAsia" w:ascii="Times New Roman" w:hAnsi="Times New Roman" w:eastAsia="宋体" w:cs="宋体"/>
                <w:color w:val="auto"/>
                <w:sz w:val="24"/>
                <w:lang w:eastAsia="zh-CN"/>
              </w:rPr>
              <w:t>量为</w:t>
            </w:r>
            <w:r>
              <w:rPr>
                <w:rFonts w:hint="eastAsia" w:ascii="Times New Roman" w:hAnsi="Times New Roman" w:eastAsia="宋体" w:cs="宋体"/>
                <w:color w:val="auto"/>
                <w:sz w:val="24"/>
                <w:lang w:val="en-US" w:eastAsia="zh-CN"/>
              </w:rPr>
              <w:t>2.0145t/a，收集效率为</w:t>
            </w:r>
            <w:r>
              <w:rPr>
                <w:rFonts w:hint="eastAsia" w:ascii="Times New Roman" w:hAnsi="Times New Roman" w:cs="宋体"/>
                <w:color w:val="auto"/>
                <w:sz w:val="24"/>
                <w:lang w:val="en-US" w:eastAsia="zh-CN"/>
              </w:rPr>
              <w:t>90</w:t>
            </w:r>
            <w:r>
              <w:rPr>
                <w:rFonts w:hint="eastAsia" w:ascii="Times New Roman" w:hAnsi="Times New Roman" w:eastAsia="宋体" w:cs="宋体"/>
                <w:color w:val="auto"/>
                <w:sz w:val="24"/>
                <w:lang w:val="en-US" w:eastAsia="zh-CN"/>
              </w:rPr>
              <w:t>%，</w:t>
            </w:r>
            <w:r>
              <w:rPr>
                <w:rFonts w:hint="eastAsia" w:ascii="Times New Roman" w:hAnsi="Times New Roman" w:eastAsia="宋体" w:cs="宋体"/>
                <w:color w:val="auto"/>
                <w:kern w:val="2"/>
                <w:sz w:val="24"/>
                <w:szCs w:val="22"/>
                <w:lang w:val="en-US" w:eastAsia="zh-CN" w:bidi="ar-SA"/>
              </w:rPr>
              <w:t>VOCs</w:t>
            </w:r>
            <w:r>
              <w:rPr>
                <w:rFonts w:hint="eastAsia" w:ascii="Times New Roman" w:hAnsi="Times New Roman" w:eastAsia="宋体" w:cs="宋体"/>
                <w:color w:val="auto"/>
                <w:sz w:val="24"/>
                <w:lang w:val="en-US" w:eastAsia="zh-CN"/>
              </w:rPr>
              <w:t>无组织排放量为</w:t>
            </w:r>
            <w:r>
              <w:rPr>
                <w:rFonts w:hint="eastAsia" w:ascii="Times New Roman" w:hAnsi="Times New Roman" w:cs="宋体"/>
                <w:color w:val="auto"/>
                <w:sz w:val="24"/>
                <w:lang w:val="en-US" w:eastAsia="zh-CN"/>
              </w:rPr>
              <w:t>0.2015</w:t>
            </w:r>
            <w:r>
              <w:rPr>
                <w:rFonts w:hint="eastAsia" w:ascii="Times New Roman" w:hAnsi="Times New Roman" w:eastAsia="宋体" w:cs="宋体"/>
                <w:color w:val="auto"/>
                <w:sz w:val="24"/>
                <w:lang w:val="en-US" w:eastAsia="zh-CN"/>
              </w:rPr>
              <w:t>t/a</w:t>
            </w:r>
            <w:r>
              <w:rPr>
                <w:rFonts w:hint="eastAsia" w:ascii="Times New Roman" w:hAnsi="Times New Roman" w:cs="宋体"/>
                <w:color w:val="auto"/>
                <w:sz w:val="24"/>
                <w:lang w:val="en-US" w:eastAsia="zh-CN"/>
              </w:rPr>
              <w:t>。</w:t>
            </w:r>
          </w:p>
          <w:p w14:paraId="130DCE3A">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eastAsia" w:ascii="Times New Roman" w:hAnsi="Times New Roman" w:cs="Times New Roman"/>
                <w:color w:val="auto"/>
                <w:kern w:val="2"/>
                <w:sz w:val="24"/>
                <w:szCs w:val="22"/>
                <w:lang w:val="en-US" w:eastAsia="zh-CN" w:bidi="ar-SA"/>
              </w:rPr>
            </w:pPr>
            <w:r>
              <w:rPr>
                <w:rFonts w:hint="default" w:ascii="Times New Roman" w:hAnsi="Times New Roman" w:eastAsia="宋体" w:cs="宋体"/>
                <w:color w:val="auto"/>
                <w:sz w:val="24"/>
                <w:lang w:val="en-US" w:eastAsia="zh-CN"/>
              </w:rPr>
              <w:t>②</w:t>
            </w:r>
            <w:r>
              <w:rPr>
                <w:rFonts w:hint="eastAsia" w:ascii="Times New Roman" w:hAnsi="Times New Roman" w:cs="Times New Roman"/>
                <w:color w:val="auto"/>
                <w:sz w:val="24"/>
                <w:highlight w:val="none"/>
                <w:lang w:val="en-US" w:eastAsia="zh-CN"/>
              </w:rPr>
              <w:t>磨尖工序</w:t>
            </w:r>
            <w:r>
              <w:rPr>
                <w:rFonts w:hint="eastAsia" w:cs="Times New Roman"/>
                <w:color w:val="auto"/>
                <w:sz w:val="24"/>
                <w:highlight w:val="none"/>
                <w:lang w:eastAsia="zh-CN"/>
              </w:rPr>
              <w:t>无</w:t>
            </w:r>
            <w:r>
              <w:rPr>
                <w:rFonts w:hint="eastAsia" w:ascii="Times New Roman" w:hAnsi="Times New Roman" w:eastAsia="宋体" w:cs="Times New Roman"/>
                <w:color w:val="auto"/>
                <w:sz w:val="24"/>
                <w:highlight w:val="none"/>
                <w:lang w:eastAsia="zh-CN"/>
              </w:rPr>
              <w:t>组织废气产生量</w:t>
            </w:r>
          </w:p>
          <w:p w14:paraId="11527A7E">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kern w:val="2"/>
                <w:sz w:val="24"/>
                <w:szCs w:val="24"/>
                <w:highlight w:val="none"/>
                <w:lang w:val="en-US" w:eastAsia="zh-CN" w:bidi="ar-SA"/>
              </w:rPr>
              <w:t>磨尖工序</w:t>
            </w:r>
            <w:r>
              <w:rPr>
                <w:rFonts w:hint="eastAsia" w:ascii="Times New Roman" w:hAnsi="Times New Roman" w:cs="宋体"/>
                <w:color w:val="auto"/>
                <w:kern w:val="2"/>
                <w:sz w:val="24"/>
                <w:szCs w:val="22"/>
                <w:lang w:val="en-US" w:eastAsia="zh-CN" w:bidi="ar-SA"/>
              </w:rPr>
              <w:t>颗粒</w:t>
            </w:r>
            <w:r>
              <w:rPr>
                <w:rFonts w:hint="eastAsia" w:ascii="Times New Roman" w:hAnsi="Times New Roman" w:eastAsia="宋体" w:cs="Times New Roman"/>
                <w:color w:val="auto"/>
                <w:sz w:val="24"/>
                <w:highlight w:val="none"/>
                <w:lang w:val="en-US" w:eastAsia="zh-CN"/>
              </w:rPr>
              <w:t>物产生量为2t/a，布袋除尘器的收集效率为95%，颗粒物无组织排放量为0.1t/a。</w:t>
            </w:r>
          </w:p>
          <w:p w14:paraId="3CBAD8B9">
            <w:pPr>
              <w:adjustRightInd w:val="0"/>
              <w:snapToGrid w:val="0"/>
              <w:spacing w:line="360" w:lineRule="auto"/>
              <w:ind w:firstLine="480" w:firstLineChars="200"/>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宋体"/>
                <w:color w:val="auto"/>
                <w:sz w:val="24"/>
                <w:lang w:val="en-US" w:eastAsia="zh-CN"/>
              </w:rPr>
              <w:t>综上</w:t>
            </w:r>
            <w:r>
              <w:rPr>
                <w:rFonts w:hint="eastAsia" w:ascii="Times New Roman" w:hAnsi="Times New Roman" w:eastAsia="宋体" w:cs="Times New Roman"/>
                <w:color w:val="auto"/>
                <w:kern w:val="2"/>
                <w:sz w:val="24"/>
                <w:szCs w:val="22"/>
                <w:lang w:val="en-US" w:eastAsia="zh-CN" w:bidi="ar-SA"/>
              </w:rPr>
              <w:t>所述，无组织</w:t>
            </w:r>
            <w:r>
              <w:rPr>
                <w:rFonts w:hint="eastAsia" w:ascii="Times New Roman" w:hAnsi="Times New Roman" w:eastAsia="宋体" w:cs="宋体"/>
                <w:color w:val="auto"/>
                <w:kern w:val="2"/>
                <w:sz w:val="24"/>
                <w:szCs w:val="22"/>
                <w:lang w:val="en-US" w:eastAsia="zh-CN" w:bidi="ar-SA"/>
              </w:rPr>
              <w:t>VOCs</w:t>
            </w:r>
            <w:r>
              <w:rPr>
                <w:rFonts w:hint="eastAsia" w:cs="宋体"/>
                <w:color w:val="auto"/>
                <w:kern w:val="2"/>
                <w:sz w:val="24"/>
                <w:szCs w:val="22"/>
                <w:lang w:val="en-US" w:eastAsia="zh-CN" w:bidi="ar-SA"/>
              </w:rPr>
              <w:t>的排放总量为</w:t>
            </w:r>
            <w:r>
              <w:rPr>
                <w:rFonts w:hint="eastAsia" w:ascii="Times New Roman" w:hAnsi="Times New Roman" w:cs="宋体"/>
                <w:color w:val="auto"/>
                <w:sz w:val="24"/>
                <w:lang w:val="en-US" w:eastAsia="zh-CN"/>
              </w:rPr>
              <w:t>0.</w:t>
            </w:r>
            <w:r>
              <w:rPr>
                <w:rFonts w:hint="eastAsia" w:cs="宋体"/>
                <w:color w:val="auto"/>
                <w:sz w:val="24"/>
                <w:lang w:val="en-US" w:eastAsia="zh-CN"/>
              </w:rPr>
              <w:t>2015</w:t>
            </w:r>
            <w:r>
              <w:rPr>
                <w:rFonts w:hint="eastAsia" w:ascii="Times New Roman" w:hAnsi="Times New Roman" w:eastAsia="宋体" w:cs="Times New Roman"/>
                <w:color w:val="auto"/>
                <w:kern w:val="2"/>
                <w:sz w:val="24"/>
                <w:szCs w:val="22"/>
                <w:lang w:val="en-US" w:eastAsia="zh-CN" w:bidi="ar-SA"/>
              </w:rPr>
              <w:t>t/a</w:t>
            </w:r>
            <w:r>
              <w:rPr>
                <w:rFonts w:hint="eastAsia" w:cs="宋体"/>
                <w:color w:val="auto"/>
                <w:kern w:val="2"/>
                <w:sz w:val="24"/>
                <w:szCs w:val="22"/>
                <w:lang w:val="en-US" w:eastAsia="zh-CN" w:bidi="ar-SA"/>
              </w:rPr>
              <w:t>，</w:t>
            </w:r>
            <w:r>
              <w:rPr>
                <w:rFonts w:hint="eastAsia" w:ascii="Times New Roman" w:hAnsi="Times New Roman" w:eastAsia="宋体" w:cs="Times New Roman"/>
                <w:color w:val="auto"/>
                <w:kern w:val="2"/>
                <w:sz w:val="24"/>
                <w:szCs w:val="22"/>
                <w:lang w:val="en-US" w:eastAsia="zh-CN" w:bidi="ar-SA"/>
              </w:rPr>
              <w:t>颗粒物的排放总量为0.</w:t>
            </w:r>
            <w:r>
              <w:rPr>
                <w:rFonts w:hint="eastAsia" w:cs="Times New Roman"/>
                <w:color w:val="auto"/>
                <w:kern w:val="2"/>
                <w:sz w:val="24"/>
                <w:szCs w:val="22"/>
                <w:lang w:val="en-US" w:eastAsia="zh-CN" w:bidi="ar-SA"/>
              </w:rPr>
              <w:t>1</w:t>
            </w:r>
            <w:r>
              <w:rPr>
                <w:rFonts w:hint="eastAsia" w:ascii="Times New Roman" w:hAnsi="Times New Roman" w:eastAsia="宋体" w:cs="Times New Roman"/>
                <w:color w:val="auto"/>
                <w:kern w:val="2"/>
                <w:sz w:val="24"/>
                <w:szCs w:val="22"/>
                <w:lang w:val="en-US" w:eastAsia="zh-CN" w:bidi="ar-SA"/>
              </w:rPr>
              <w:t>t/a。</w:t>
            </w:r>
          </w:p>
          <w:p w14:paraId="48130D3D">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kern w:val="2"/>
                <w:sz w:val="24"/>
                <w:szCs w:val="22"/>
                <w:lang w:val="en-US" w:eastAsia="zh-CN" w:bidi="ar-SA"/>
              </w:rPr>
              <w:t>本</w:t>
            </w:r>
            <w:r>
              <w:rPr>
                <w:rFonts w:hint="default" w:ascii="Times New Roman" w:hAnsi="Times New Roman" w:eastAsia="宋体" w:cs="Times New Roman"/>
                <w:color w:val="auto"/>
                <w:kern w:val="2"/>
                <w:sz w:val="24"/>
                <w:szCs w:val="22"/>
                <w:lang w:val="en-US" w:eastAsia="zh-CN" w:bidi="ar-SA"/>
              </w:rPr>
              <w:t>项目</w:t>
            </w:r>
            <w:r>
              <w:rPr>
                <w:rFonts w:hint="eastAsia" w:ascii="Times New Roman" w:hAnsi="Times New Roman" w:eastAsia="宋体" w:cs="Times New Roman"/>
                <w:color w:val="auto"/>
                <w:kern w:val="2"/>
                <w:sz w:val="24"/>
                <w:szCs w:val="22"/>
                <w:lang w:val="en-US" w:eastAsia="zh-CN" w:bidi="ar-SA"/>
              </w:rPr>
              <w:t>颗粒物</w:t>
            </w:r>
            <w:r>
              <w:rPr>
                <w:rFonts w:hint="default" w:ascii="Times New Roman" w:hAnsi="Times New Roman" w:eastAsia="宋体" w:cs="Times New Roman"/>
                <w:color w:val="auto"/>
                <w:kern w:val="2"/>
                <w:sz w:val="24"/>
                <w:szCs w:val="22"/>
                <w:lang w:val="en-US" w:eastAsia="zh-CN" w:bidi="ar-SA"/>
              </w:rPr>
              <w:t>排放浓度满足</w:t>
            </w:r>
            <w:r>
              <w:rPr>
                <w:rFonts w:hint="eastAsia" w:ascii="Times New Roman" w:hAnsi="Times New Roman" w:eastAsia="宋体" w:cs="Times New Roman"/>
                <w:color w:val="auto"/>
                <w:kern w:val="2"/>
                <w:sz w:val="24"/>
                <w:szCs w:val="22"/>
                <w:lang w:val="en-US" w:eastAsia="zh-CN" w:bidi="ar-SA"/>
              </w:rPr>
              <w:t>《区域性大气污染物综合排放标准》（DB37/2376-2019）表1中重点控制区排放浓度限值（</w:t>
            </w:r>
            <w:r>
              <w:rPr>
                <w:rFonts w:hint="default" w:ascii="Times New Roman" w:hAnsi="Times New Roman" w:eastAsia="宋体" w:cs="Times New Roman"/>
                <w:color w:val="auto"/>
                <w:kern w:val="2"/>
                <w:sz w:val="24"/>
                <w:szCs w:val="22"/>
                <w:lang w:val="en-US" w:eastAsia="zh-CN" w:bidi="ar-SA"/>
              </w:rPr>
              <w:t>10</w:t>
            </w:r>
            <w:r>
              <w:rPr>
                <w:rFonts w:hint="eastAsia" w:ascii="Times New Roman" w:hAnsi="Times New Roman" w:eastAsia="宋体" w:cs="Times New Roman"/>
                <w:color w:val="auto"/>
                <w:kern w:val="2"/>
                <w:sz w:val="24"/>
                <w:szCs w:val="22"/>
                <w:lang w:val="en-US" w:eastAsia="zh-CN" w:bidi="ar-SA"/>
              </w:rPr>
              <w:t>mg/m</w:t>
            </w:r>
            <w:r>
              <w:rPr>
                <w:rFonts w:hint="eastAsia" w:ascii="Times New Roman" w:hAnsi="Times New Roman" w:eastAsia="宋体" w:cs="Times New Roman"/>
                <w:color w:val="auto"/>
                <w:kern w:val="2"/>
                <w:sz w:val="24"/>
                <w:szCs w:val="22"/>
                <w:vertAlign w:val="superscript"/>
                <w:lang w:val="en-US" w:eastAsia="zh-CN" w:bidi="ar-SA"/>
              </w:rPr>
              <w:t>3</w:t>
            </w:r>
            <w:r>
              <w:rPr>
                <w:rFonts w:hint="eastAsia" w:ascii="Times New Roman" w:hAnsi="Times New Roman" w:eastAsia="宋体" w:cs="Times New Roman"/>
                <w:color w:val="auto"/>
                <w:kern w:val="2"/>
                <w:sz w:val="24"/>
                <w:szCs w:val="22"/>
                <w:lang w:val="en-US" w:eastAsia="zh-CN" w:bidi="ar-SA"/>
              </w:rPr>
              <w:t>）；</w:t>
            </w:r>
            <w:r>
              <w:rPr>
                <w:rFonts w:hint="default" w:ascii="Times New Roman" w:hAnsi="Times New Roman" w:eastAsia="宋体" w:cs="Times New Roman"/>
                <w:color w:val="auto"/>
                <w:kern w:val="2"/>
                <w:sz w:val="24"/>
                <w:szCs w:val="22"/>
                <w:lang w:val="en-US" w:eastAsia="zh-CN" w:bidi="ar-SA"/>
              </w:rPr>
              <w:t>通过</w:t>
            </w:r>
            <w:r>
              <w:rPr>
                <w:rFonts w:hint="eastAsia" w:ascii="Times New Roman" w:hAnsi="Times New Roman" w:eastAsia="宋体" w:cs="Times New Roman"/>
                <w:color w:val="auto"/>
                <w:kern w:val="2"/>
                <w:sz w:val="24"/>
                <w:szCs w:val="22"/>
                <w:lang w:val="en-US" w:eastAsia="zh-CN" w:bidi="ar-SA"/>
              </w:rPr>
              <w:t>车间密闭等措施，</w:t>
            </w:r>
            <w:r>
              <w:rPr>
                <w:rFonts w:hint="default" w:ascii="Times New Roman" w:hAnsi="Times New Roman" w:eastAsia="宋体" w:cs="Times New Roman"/>
                <w:color w:val="auto"/>
                <w:kern w:val="2"/>
                <w:sz w:val="24"/>
                <w:szCs w:val="22"/>
                <w:lang w:val="en-US" w:eastAsia="zh-CN" w:bidi="ar-SA"/>
              </w:rPr>
              <w:t>减少无组织废气逸散，</w:t>
            </w:r>
            <w:r>
              <w:rPr>
                <w:rFonts w:hint="eastAsia" w:ascii="Times New Roman" w:hAnsi="Times New Roman" w:eastAsia="宋体" w:cs="Times New Roman"/>
                <w:color w:val="auto"/>
                <w:kern w:val="2"/>
                <w:sz w:val="24"/>
                <w:szCs w:val="22"/>
                <w:lang w:val="en-US" w:eastAsia="zh-CN" w:bidi="ar-SA"/>
              </w:rPr>
              <w:t>预计无组织</w:t>
            </w:r>
            <w:r>
              <w:rPr>
                <w:rFonts w:hint="default" w:ascii="Times New Roman" w:hAnsi="Times New Roman" w:eastAsia="宋体" w:cs="Times New Roman"/>
                <w:color w:val="auto"/>
                <w:kern w:val="2"/>
                <w:sz w:val="24"/>
                <w:szCs w:val="22"/>
                <w:lang w:val="en-US" w:eastAsia="zh-CN" w:bidi="ar-SA"/>
              </w:rPr>
              <w:t>颗粒物排放浓度满足《大气污染物综合排放标准》(GB16297-1996）表2中无组织排放监控浓度限值</w:t>
            </w:r>
            <w:r>
              <w:rPr>
                <w:rFonts w:hint="eastAsia" w:ascii="Times New Roman" w:hAnsi="Times New Roman" w:eastAsia="宋体" w:cs="Times New Roman"/>
                <w:color w:val="auto"/>
                <w:kern w:val="2"/>
                <w:sz w:val="24"/>
                <w:szCs w:val="22"/>
                <w:lang w:val="en-US" w:eastAsia="zh-CN" w:bidi="ar-SA"/>
              </w:rPr>
              <w:t>（1mg/m</w:t>
            </w:r>
            <w:r>
              <w:rPr>
                <w:rFonts w:hint="eastAsia" w:ascii="Times New Roman" w:hAnsi="Times New Roman" w:eastAsia="宋体" w:cs="Times New Roman"/>
                <w:color w:val="auto"/>
                <w:kern w:val="2"/>
                <w:sz w:val="24"/>
                <w:szCs w:val="22"/>
                <w:vertAlign w:val="superscript"/>
                <w:lang w:val="en-US" w:eastAsia="zh-CN" w:bidi="ar-SA"/>
              </w:rPr>
              <w:t>3</w:t>
            </w:r>
            <w:r>
              <w:rPr>
                <w:rFonts w:hint="eastAsia" w:ascii="Times New Roman" w:hAnsi="Times New Roman" w:eastAsia="宋体" w:cs="Times New Roman"/>
                <w:color w:val="auto"/>
                <w:kern w:val="2"/>
                <w:sz w:val="24"/>
                <w:szCs w:val="22"/>
                <w:lang w:val="en-US" w:eastAsia="zh-CN" w:bidi="ar-SA"/>
              </w:rPr>
              <w:t>）</w:t>
            </w:r>
            <w:r>
              <w:rPr>
                <w:rFonts w:hint="default" w:ascii="Times New Roman" w:hAnsi="Times New Roman" w:eastAsia="宋体" w:cs="Times New Roman"/>
                <w:color w:val="auto"/>
                <w:kern w:val="2"/>
                <w:sz w:val="24"/>
                <w:szCs w:val="22"/>
                <w:lang w:val="en-US" w:eastAsia="zh-CN" w:bidi="ar-SA"/>
              </w:rPr>
              <w:t>。</w:t>
            </w:r>
            <w:r>
              <w:rPr>
                <w:rFonts w:hint="eastAsia" w:cs="Times New Roman"/>
                <w:color w:val="auto"/>
                <w:sz w:val="24"/>
                <w:lang w:val="en-US" w:eastAsia="zh-CN"/>
              </w:rPr>
              <w:t>有组织</w:t>
            </w:r>
            <w:r>
              <w:rPr>
                <w:rFonts w:hint="eastAsia" w:ascii="Times New Roman" w:hAnsi="Times New Roman" w:eastAsia="宋体" w:cs="Times New Roman"/>
                <w:color w:val="auto"/>
                <w:sz w:val="24"/>
                <w:lang w:val="en-US" w:eastAsia="zh-CN"/>
              </w:rPr>
              <w:t>VOCs满足</w:t>
            </w:r>
            <w:r>
              <w:rPr>
                <w:rFonts w:hint="eastAsia" w:cs="Times New Roman"/>
                <w:color w:val="auto"/>
                <w:sz w:val="24"/>
                <w:lang w:val="en-US" w:eastAsia="zh-CN"/>
              </w:rPr>
              <w:t>《挥发性有机物排放标准 第6部分：有机化工行业》（DB37/2801.6-2018）</w:t>
            </w:r>
            <w:r>
              <w:rPr>
                <w:rFonts w:hint="eastAsia" w:ascii="Times New Roman" w:hAnsi="Times New Roman" w:eastAsia="宋体" w:cs="Times New Roman"/>
                <w:color w:val="auto"/>
                <w:sz w:val="24"/>
                <w:lang w:val="en-US" w:eastAsia="zh-CN"/>
              </w:rPr>
              <w:t>表1</w:t>
            </w:r>
            <w:r>
              <w:rPr>
                <w:rFonts w:hint="eastAsia" w:cs="Times New Roman"/>
                <w:color w:val="auto"/>
                <w:sz w:val="24"/>
                <w:lang w:val="en-US" w:eastAsia="zh-CN"/>
              </w:rPr>
              <w:t>中</w:t>
            </w:r>
            <w:r>
              <w:rPr>
                <w:rFonts w:hint="default" w:ascii="Times New Roman" w:hAnsi="Times New Roman" w:eastAsia="宋体" w:cs="Times New Roman"/>
                <w:color w:val="auto"/>
                <w:sz w:val="24"/>
                <w:lang w:val="en-US" w:eastAsia="zh-CN"/>
              </w:rPr>
              <w:t>Ⅱ</w:t>
            </w:r>
            <w:r>
              <w:rPr>
                <w:rFonts w:hint="eastAsia" w:cs="Times New Roman"/>
                <w:color w:val="auto"/>
                <w:sz w:val="24"/>
                <w:lang w:val="en-US" w:eastAsia="zh-CN"/>
              </w:rPr>
              <w:t>时段</w:t>
            </w:r>
            <w:r>
              <w:rPr>
                <w:rFonts w:hint="eastAsia" w:ascii="Times New Roman" w:hAnsi="Times New Roman" w:eastAsia="宋体" w:cs="Times New Roman"/>
                <w:color w:val="auto"/>
                <w:sz w:val="24"/>
                <w:lang w:val="en-US" w:eastAsia="zh-CN"/>
              </w:rPr>
              <w:t>排放浓度限值</w:t>
            </w:r>
            <w:r>
              <w:rPr>
                <w:rFonts w:hint="eastAsia" w:ascii="Times New Roman" w:hAnsi="Times New Roman" w:eastAsia="宋体" w:cs="Times New Roman"/>
                <w:color w:val="auto"/>
                <w:kern w:val="2"/>
                <w:sz w:val="24"/>
                <w:szCs w:val="22"/>
                <w:lang w:val="en-US" w:eastAsia="zh-CN" w:bidi="ar-SA"/>
              </w:rPr>
              <w:t>（60mg/m</w:t>
            </w:r>
            <w:r>
              <w:rPr>
                <w:rFonts w:hint="eastAsia" w:ascii="Times New Roman" w:hAnsi="Times New Roman" w:eastAsia="宋体" w:cs="Times New Roman"/>
                <w:color w:val="auto"/>
                <w:kern w:val="2"/>
                <w:sz w:val="24"/>
                <w:szCs w:val="22"/>
                <w:vertAlign w:val="superscript"/>
                <w:lang w:val="en-US" w:eastAsia="zh-CN" w:bidi="ar-SA"/>
              </w:rPr>
              <w:t>3</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3.0</w:t>
            </w:r>
            <w:r>
              <w:rPr>
                <w:rFonts w:hint="eastAsia" w:ascii="Times New Roman" w:hAnsi="Times New Roman" w:eastAsia="宋体" w:cs="Times New Roman"/>
                <w:color w:val="auto"/>
                <w:sz w:val="24"/>
                <w:lang w:val="en-US" w:eastAsia="zh-CN"/>
              </w:rPr>
              <w:t>kg/h</w:t>
            </w:r>
            <w:r>
              <w:rPr>
                <w:rFonts w:hint="eastAsia"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sz w:val="24"/>
                <w:lang w:val="en-US" w:eastAsia="zh-CN"/>
              </w:rPr>
              <w:t>；无组织VOCs满足</w:t>
            </w:r>
            <w:r>
              <w:rPr>
                <w:rFonts w:hint="eastAsia" w:cs="Times New Roman"/>
                <w:color w:val="auto"/>
                <w:sz w:val="24"/>
                <w:lang w:val="en-US" w:eastAsia="zh-CN"/>
              </w:rPr>
              <w:t>《挥发性有机物排放标准 第6部分：有机化工行业》（DB37/2801.6-2018）</w:t>
            </w:r>
            <w:r>
              <w:rPr>
                <w:rFonts w:hint="eastAsia" w:ascii="Times New Roman" w:hAnsi="Times New Roman" w:eastAsia="宋体" w:cs="Times New Roman"/>
                <w:color w:val="auto"/>
                <w:sz w:val="24"/>
                <w:lang w:val="en-US" w:eastAsia="zh-CN"/>
              </w:rPr>
              <w:t>表</w:t>
            </w:r>
            <w:r>
              <w:rPr>
                <w:rFonts w:hint="eastAsia" w:cs="Times New Roman"/>
                <w:color w:val="auto"/>
                <w:sz w:val="24"/>
                <w:lang w:val="en-US" w:eastAsia="zh-CN"/>
              </w:rPr>
              <w:t>3</w:t>
            </w:r>
            <w:r>
              <w:rPr>
                <w:rFonts w:hint="eastAsia" w:ascii="Times New Roman" w:hAnsi="Times New Roman" w:eastAsia="宋体" w:cs="Times New Roman"/>
                <w:color w:val="auto"/>
                <w:sz w:val="24"/>
                <w:lang w:val="en-US" w:eastAsia="zh-CN"/>
              </w:rPr>
              <w:t>厂界排放浓度限值</w:t>
            </w:r>
            <w:r>
              <w:rPr>
                <w:rFonts w:hint="eastAsia" w:ascii="Times New Roman" w:hAnsi="Times New Roman" w:eastAsia="宋体" w:cs="Times New Roman"/>
                <w:color w:val="auto"/>
                <w:kern w:val="2"/>
                <w:sz w:val="24"/>
                <w:szCs w:val="22"/>
                <w:lang w:val="en-US" w:eastAsia="zh-CN" w:bidi="ar-SA"/>
              </w:rPr>
              <w:t>（2.0mg/m</w:t>
            </w:r>
            <w:r>
              <w:rPr>
                <w:rFonts w:hint="eastAsia" w:ascii="Times New Roman" w:hAnsi="Times New Roman" w:eastAsia="宋体" w:cs="Times New Roman"/>
                <w:color w:val="auto"/>
                <w:kern w:val="2"/>
                <w:sz w:val="24"/>
                <w:szCs w:val="22"/>
                <w:vertAlign w:val="superscript"/>
                <w:lang w:val="en-US" w:eastAsia="zh-CN" w:bidi="ar-SA"/>
              </w:rPr>
              <w:t>3</w:t>
            </w:r>
            <w:r>
              <w:rPr>
                <w:rFonts w:hint="eastAsia"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sz w:val="24"/>
                <w:lang w:val="en-US" w:eastAsia="zh-CN"/>
              </w:rPr>
              <w:t>。</w:t>
            </w:r>
          </w:p>
          <w:p w14:paraId="0FCA1D10">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6、废气量确定依据</w:t>
            </w:r>
          </w:p>
          <w:p w14:paraId="796FB63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Times New Roman"/>
                <w:color w:val="auto"/>
                <w:sz w:val="24"/>
                <w:szCs w:val="24"/>
                <w:lang w:val="en-US" w:eastAsia="zh-CN"/>
              </w:rPr>
              <w:t>根据《三废处</w:t>
            </w:r>
            <w:r>
              <w:rPr>
                <w:rFonts w:hint="eastAsia" w:ascii="Times New Roman" w:hAnsi="Times New Roman" w:eastAsia="宋体" w:cs="宋体"/>
                <w:color w:val="auto"/>
                <w:sz w:val="24"/>
                <w:szCs w:val="24"/>
                <w:highlight w:val="none"/>
              </w:rPr>
              <w:t>理工程技术手册废气卷》第十七章净化系统的设计中集气罩的排气量计算公式，项目设</w:t>
            </w:r>
            <w:r>
              <w:rPr>
                <w:rFonts w:hint="eastAsia" w:ascii="Times New Roman" w:hAnsi="Times New Roman" w:eastAsia="宋体" w:cs="宋体"/>
                <w:color w:val="auto"/>
                <w:sz w:val="24"/>
                <w:szCs w:val="24"/>
                <w:highlight w:val="none"/>
                <w:lang w:val="en-US" w:eastAsia="zh-CN"/>
              </w:rPr>
              <w:t>纺丝设备2套</w:t>
            </w:r>
            <w:r>
              <w:rPr>
                <w:rFonts w:hint="eastAsia" w:ascii="Times New Roman" w:hAnsi="Times New Roman" w:eastAsia="宋体" w:cs="宋体"/>
                <w:color w:val="auto"/>
                <w:sz w:val="24"/>
                <w:szCs w:val="24"/>
                <w:highlight w:val="none"/>
              </w:rPr>
              <w:t>、</w:t>
            </w:r>
            <w:r>
              <w:rPr>
                <w:rFonts w:hint="eastAsia" w:ascii="Times New Roman" w:hAnsi="Times New Roman" w:eastAsia="宋体" w:cs="宋体"/>
                <w:color w:val="auto"/>
                <w:sz w:val="24"/>
                <w:szCs w:val="24"/>
                <w:highlight w:val="none"/>
                <w:lang w:val="en-US" w:eastAsia="zh-CN"/>
              </w:rPr>
              <w:t>牵伸设备2台、压花机10台、热风循环烘干箱1台、真空清洗炉1台、组件预热炉1台</w:t>
            </w:r>
            <w:r>
              <w:rPr>
                <w:rFonts w:hint="eastAsia" w:ascii="Times New Roman" w:hAnsi="Times New Roman" w:eastAsia="宋体" w:cs="宋体"/>
                <w:color w:val="auto"/>
                <w:sz w:val="24"/>
                <w:szCs w:val="24"/>
                <w:highlight w:val="none"/>
              </w:rPr>
              <w:t>，共计</w:t>
            </w:r>
            <w:r>
              <w:rPr>
                <w:rFonts w:hint="eastAsia" w:cs="宋体"/>
                <w:color w:val="auto"/>
                <w:sz w:val="24"/>
                <w:szCs w:val="24"/>
                <w:highlight w:val="none"/>
                <w:lang w:val="en-US" w:eastAsia="zh-CN"/>
              </w:rPr>
              <w:t>17</w:t>
            </w:r>
            <w:r>
              <w:rPr>
                <w:rFonts w:hint="eastAsia" w:ascii="Times New Roman" w:hAnsi="Times New Roman" w:eastAsia="宋体" w:cs="宋体"/>
                <w:color w:val="auto"/>
                <w:sz w:val="24"/>
                <w:szCs w:val="24"/>
                <w:highlight w:val="none"/>
              </w:rPr>
              <w:t>个集气罩。每个集气罩排气量按如下公式计算：</w:t>
            </w:r>
          </w:p>
          <w:p w14:paraId="24D53D5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Q=3600×0.75（10X</w:t>
            </w:r>
            <w:r>
              <w:rPr>
                <w:rFonts w:hint="eastAsia" w:ascii="Times New Roman" w:hAnsi="Times New Roman" w:eastAsia="宋体" w:cs="宋体"/>
                <w:color w:val="auto"/>
                <w:sz w:val="24"/>
                <w:szCs w:val="24"/>
                <w:highlight w:val="none"/>
                <w:vertAlign w:val="superscript"/>
              </w:rPr>
              <w:t>2</w:t>
            </w:r>
            <w:r>
              <w:rPr>
                <w:rFonts w:hint="eastAsia" w:ascii="Times New Roman" w:hAnsi="Times New Roman" w:eastAsia="宋体" w:cs="宋体"/>
                <w:color w:val="auto"/>
                <w:sz w:val="24"/>
                <w:szCs w:val="24"/>
                <w:highlight w:val="none"/>
              </w:rPr>
              <w:t>+F）V</w:t>
            </w:r>
            <w:r>
              <w:rPr>
                <w:rFonts w:hint="eastAsia" w:ascii="Times New Roman" w:hAnsi="Times New Roman" w:eastAsia="宋体" w:cs="宋体"/>
                <w:color w:val="auto"/>
                <w:sz w:val="24"/>
                <w:szCs w:val="24"/>
                <w:highlight w:val="none"/>
                <w:vertAlign w:val="subscript"/>
              </w:rPr>
              <w:t>X</w:t>
            </w:r>
          </w:p>
          <w:p w14:paraId="1747A21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rPr>
              <w:t>其中：F为罩口面积</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本次评价取0.25</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2</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0.5m</w:t>
            </w:r>
            <w:r>
              <w:rPr>
                <w:rFonts w:hint="eastAsia" w:ascii="Times New Roman" w:hAnsi="Times New Roman" w:eastAsia="宋体" w:cs="宋体"/>
                <w:color w:val="auto"/>
                <w:sz w:val="24"/>
                <w:szCs w:val="24"/>
                <w:highlight w:val="none"/>
              </w:rPr>
              <w:t>×</w:t>
            </w:r>
            <w:r>
              <w:rPr>
                <w:rFonts w:hint="eastAsia" w:ascii="Times New Roman" w:hAnsi="Times New Roman" w:eastAsia="宋体" w:cs="宋体"/>
                <w:color w:val="auto"/>
                <w:sz w:val="24"/>
                <w:szCs w:val="24"/>
                <w:highlight w:val="none"/>
                <w:lang w:val="en-US" w:eastAsia="zh-CN"/>
              </w:rPr>
              <w:t>0.5m</w:t>
            </w:r>
            <w:r>
              <w:rPr>
                <w:rFonts w:hint="eastAsia" w:ascii="Times New Roman" w:hAnsi="Times New Roman" w:eastAsia="宋体" w:cs="宋体"/>
                <w:color w:val="auto"/>
                <w:sz w:val="24"/>
                <w:szCs w:val="24"/>
                <w:highlight w:val="none"/>
                <w:lang w:eastAsia="zh-CN"/>
              </w:rPr>
              <w:t>）；</w:t>
            </w:r>
          </w:p>
          <w:p w14:paraId="5300248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rPr>
              <w:t>X为设备到集气罩的高度</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本次评价取</w:t>
            </w:r>
            <w:r>
              <w:rPr>
                <w:rFonts w:hint="eastAsia" w:ascii="Times New Roman" w:hAnsi="Times New Roman" w:eastAsia="宋体" w:cs="宋体"/>
                <w:color w:val="auto"/>
                <w:sz w:val="24"/>
                <w:szCs w:val="24"/>
                <w:highlight w:val="none"/>
              </w:rPr>
              <w:t>0.1m</w:t>
            </w:r>
            <w:r>
              <w:rPr>
                <w:rFonts w:hint="eastAsia" w:ascii="Times New Roman" w:hAnsi="Times New Roman" w:eastAsia="宋体" w:cs="宋体"/>
                <w:color w:val="auto"/>
                <w:sz w:val="24"/>
                <w:szCs w:val="24"/>
                <w:highlight w:val="none"/>
                <w:lang w:eastAsia="zh-CN"/>
              </w:rPr>
              <w:t>；</w:t>
            </w:r>
          </w:p>
          <w:p w14:paraId="445976F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rPr>
              <w:t>V</w:t>
            </w:r>
            <w:r>
              <w:rPr>
                <w:rFonts w:hint="eastAsia" w:ascii="Times New Roman" w:hAnsi="Times New Roman" w:eastAsia="宋体" w:cs="宋体"/>
                <w:color w:val="auto"/>
                <w:sz w:val="24"/>
                <w:szCs w:val="24"/>
                <w:highlight w:val="none"/>
                <w:vertAlign w:val="subscript"/>
              </w:rPr>
              <w:t>X</w:t>
            </w:r>
            <w:r>
              <w:rPr>
                <w:rFonts w:hint="eastAsia" w:ascii="Times New Roman" w:hAnsi="Times New Roman" w:eastAsia="宋体" w:cs="宋体"/>
                <w:color w:val="auto"/>
                <w:sz w:val="24"/>
                <w:szCs w:val="24"/>
                <w:highlight w:val="none"/>
              </w:rPr>
              <w:t>为流速</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本次评价取</w:t>
            </w:r>
            <w:r>
              <w:rPr>
                <w:rFonts w:hint="eastAsia" w:ascii="Times New Roman" w:hAnsi="Times New Roman" w:eastAsia="宋体" w:cs="宋体"/>
                <w:color w:val="auto"/>
                <w:sz w:val="24"/>
                <w:szCs w:val="24"/>
                <w:highlight w:val="none"/>
              </w:rPr>
              <w:t>0.5m/s</w:t>
            </w:r>
            <w:r>
              <w:rPr>
                <w:rFonts w:hint="eastAsia" w:ascii="Times New Roman" w:hAnsi="Times New Roman" w:eastAsia="宋体" w:cs="宋体"/>
                <w:color w:val="auto"/>
                <w:sz w:val="24"/>
                <w:szCs w:val="24"/>
                <w:highlight w:val="none"/>
                <w:lang w:eastAsia="zh-CN"/>
              </w:rPr>
              <w:t>；</w:t>
            </w:r>
          </w:p>
          <w:p w14:paraId="5CFB318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rPr>
              <w:t>则上料罩口风量Q=3600×0.75（10×0.1×0.1+</w:t>
            </w:r>
            <w:r>
              <w:rPr>
                <w:rFonts w:hint="eastAsia" w:ascii="Times New Roman" w:hAnsi="Times New Roman" w:eastAsia="宋体" w:cs="宋体"/>
                <w:color w:val="auto"/>
                <w:sz w:val="24"/>
                <w:szCs w:val="24"/>
                <w:highlight w:val="none"/>
                <w:lang w:val="en-US" w:eastAsia="zh-CN"/>
              </w:rPr>
              <w:t>0.25</w:t>
            </w:r>
            <w:r>
              <w:rPr>
                <w:rFonts w:hint="eastAsia" w:ascii="Times New Roman" w:hAnsi="Times New Roman" w:eastAsia="宋体" w:cs="宋体"/>
                <w:color w:val="auto"/>
                <w:sz w:val="24"/>
                <w:szCs w:val="24"/>
                <w:highlight w:val="none"/>
              </w:rPr>
              <w:t>）×0.5=</w:t>
            </w:r>
            <w:r>
              <w:rPr>
                <w:rFonts w:hint="eastAsia" w:ascii="Times New Roman" w:hAnsi="Times New Roman" w:eastAsia="宋体" w:cs="宋体"/>
                <w:color w:val="auto"/>
                <w:sz w:val="24"/>
                <w:szCs w:val="24"/>
                <w:highlight w:val="none"/>
                <w:lang w:val="en-US" w:eastAsia="zh-CN"/>
              </w:rPr>
              <w:t>472.5</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/h，</w:t>
            </w:r>
            <w:r>
              <w:rPr>
                <w:rFonts w:hint="eastAsia" w:ascii="Times New Roman" w:eastAsia="宋体" w:cs="宋体"/>
                <w:color w:val="auto"/>
                <w:sz w:val="24"/>
                <w:szCs w:val="24"/>
                <w:highlight w:val="none"/>
                <w:lang w:val="en-US" w:eastAsia="zh-CN"/>
              </w:rPr>
              <w:t>本项目共17个集气罩，</w:t>
            </w:r>
            <w:r>
              <w:rPr>
                <w:rFonts w:hint="eastAsia" w:ascii="Times New Roman" w:hAnsi="Times New Roman" w:eastAsia="宋体" w:cs="宋体"/>
                <w:color w:val="auto"/>
                <w:sz w:val="24"/>
                <w:szCs w:val="24"/>
                <w:highlight w:val="none"/>
              </w:rPr>
              <w:t>故风机风量最小为</w:t>
            </w:r>
            <w:r>
              <w:rPr>
                <w:rFonts w:hint="eastAsia" w:ascii="Times New Roman" w:eastAsia="宋体" w:cs="宋体"/>
                <w:color w:val="auto"/>
                <w:sz w:val="24"/>
                <w:szCs w:val="24"/>
                <w:highlight w:val="none"/>
                <w:lang w:val="en-US" w:eastAsia="zh-CN"/>
              </w:rPr>
              <w:t>8032.5</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/h</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rPr>
              <w:t>同时考虑到风阻损失等，为保证收集效率，风机风量按照</w:t>
            </w:r>
            <w:r>
              <w:rPr>
                <w:rFonts w:hint="eastAsia" w:ascii="Times New Roman" w:hAnsi="Times New Roman" w:eastAsia="宋体" w:cs="宋体"/>
                <w:color w:val="auto"/>
                <w:sz w:val="24"/>
                <w:szCs w:val="24"/>
                <w:highlight w:val="none"/>
                <w:lang w:val="en-US" w:eastAsia="zh-CN"/>
              </w:rPr>
              <w:t>10</w:t>
            </w:r>
            <w:r>
              <w:rPr>
                <w:rFonts w:hint="eastAsia" w:ascii="Times New Roman" w:hAnsi="Times New Roman" w:eastAsia="宋体" w:cs="宋体"/>
                <w:color w:val="auto"/>
                <w:sz w:val="24"/>
                <w:szCs w:val="24"/>
                <w:highlight w:val="none"/>
              </w:rPr>
              <w:t>000m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/h设置</w:t>
            </w:r>
            <w:r>
              <w:rPr>
                <w:rFonts w:hint="eastAsia" w:ascii="Times New Roman" w:eastAsia="宋体" w:cs="宋体"/>
                <w:color w:val="auto"/>
                <w:sz w:val="24"/>
                <w:szCs w:val="24"/>
                <w:highlight w:val="none"/>
                <w:lang w:eastAsia="zh-CN"/>
              </w:rPr>
              <w:t>。</w:t>
            </w:r>
          </w:p>
          <w:p w14:paraId="3B9D6539">
            <w:pPr>
              <w:pStyle w:val="110"/>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宋体"/>
                <w:color w:val="auto"/>
                <w:sz w:val="24"/>
                <w:szCs w:val="24"/>
                <w:highlight w:val="none"/>
              </w:rPr>
            </w:pPr>
            <w:r>
              <w:rPr>
                <w:rFonts w:hint="eastAsia" w:ascii="Times New Roman" w:eastAsia="宋体" w:cs="宋体"/>
                <w:color w:val="auto"/>
                <w:sz w:val="24"/>
                <w:szCs w:val="24"/>
                <w:highlight w:val="none"/>
                <w:lang w:val="en-US" w:eastAsia="zh-CN"/>
              </w:rPr>
              <w:t>（2）本项目设置磨尖机2台，采用集气管道进行废气收集，根据</w:t>
            </w:r>
            <w:r>
              <w:rPr>
                <w:rFonts w:hint="eastAsia" w:ascii="Times New Roman" w:hAnsi="Times New Roman" w:eastAsia="宋体" w:cs="宋体"/>
                <w:color w:val="auto"/>
                <w:sz w:val="24"/>
                <w:szCs w:val="24"/>
                <w:highlight w:val="none"/>
              </w:rPr>
              <w:t>《三废处理工程技术手册废气卷》第十七章净化系统</w:t>
            </w:r>
            <w:r>
              <w:rPr>
                <w:rFonts w:hint="eastAsia" w:ascii="Times New Roman" w:eastAsia="宋体" w:cs="宋体"/>
                <w:color w:val="auto"/>
                <w:sz w:val="24"/>
                <w:szCs w:val="24"/>
                <w:highlight w:val="none"/>
                <w:lang w:val="en-US" w:eastAsia="zh-CN"/>
              </w:rPr>
              <w:t>的设计中集气管的排气量计算公式，每根集气管</w:t>
            </w:r>
            <w:r>
              <w:rPr>
                <w:rFonts w:hint="eastAsia" w:ascii="Times New Roman" w:hAnsi="Times New Roman" w:eastAsia="宋体" w:cs="宋体"/>
                <w:color w:val="auto"/>
                <w:sz w:val="24"/>
                <w:szCs w:val="24"/>
                <w:highlight w:val="none"/>
              </w:rPr>
              <w:t>排气量按如下公式计算：</w:t>
            </w:r>
          </w:p>
          <w:p w14:paraId="2728B14A">
            <w:pPr>
              <w:spacing w:line="360" w:lineRule="auto"/>
              <w:ind w:firstLine="480" w:firstLineChars="200"/>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Q=v×F×36000</w:t>
            </w:r>
          </w:p>
          <w:p w14:paraId="5D4AC04C">
            <w:pPr>
              <w:spacing w:line="360" w:lineRule="auto"/>
              <w:ind w:firstLine="480" w:firstLineChars="200"/>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其中</w:t>
            </w:r>
            <w:r>
              <w:rPr>
                <w:rFonts w:hint="default" w:ascii="Times New Roman" w:hAnsi="Times New Roman" w:eastAsia="宋体" w:cs="宋体"/>
                <w:color w:val="auto"/>
                <w:sz w:val="24"/>
                <w:szCs w:val="24"/>
                <w:highlight w:val="none"/>
                <w:lang w:val="en-US" w:eastAsia="zh-CN"/>
              </w:rPr>
              <w:t>F</w:t>
            </w:r>
            <w:r>
              <w:rPr>
                <w:rFonts w:hint="eastAsia" w:ascii="Times New Roman" w:hAnsi="Times New Roman" w:eastAsia="宋体" w:cs="宋体"/>
                <w:color w:val="auto"/>
                <w:sz w:val="24"/>
                <w:szCs w:val="24"/>
                <w:highlight w:val="none"/>
                <w:lang w:val="en-US" w:eastAsia="zh-CN"/>
              </w:rPr>
              <w:t>为管口面积，</w:t>
            </w:r>
            <w:r>
              <w:rPr>
                <w:rFonts w:hint="default" w:ascii="Times New Roman" w:hAnsi="Times New Roman" w:eastAsia="宋体" w:cs="宋体"/>
                <w:color w:val="auto"/>
                <w:sz w:val="24"/>
                <w:szCs w:val="24"/>
                <w:highlight w:val="none"/>
                <w:lang w:val="en-US" w:eastAsia="zh-CN"/>
              </w:rPr>
              <w:t>πr</w:t>
            </w:r>
            <w:r>
              <w:rPr>
                <w:rFonts w:hint="default" w:ascii="Times New Roman" w:hAnsi="Times New Roman" w:eastAsia="宋体" w:cs="宋体"/>
                <w:color w:val="auto"/>
                <w:sz w:val="24"/>
                <w:szCs w:val="24"/>
                <w:highlight w:val="none"/>
                <w:vertAlign w:val="superscript"/>
                <w:lang w:val="en-US" w:eastAsia="zh-CN"/>
              </w:rPr>
              <w:t>2</w:t>
            </w:r>
            <w:r>
              <w:rPr>
                <w:rFonts w:hint="eastAsia" w:ascii="Times New Roman" w:hAnsi="Times New Roman" w:eastAsia="宋体" w:cs="宋体"/>
                <w:color w:val="auto"/>
                <w:sz w:val="24"/>
                <w:szCs w:val="24"/>
                <w:highlight w:val="none"/>
                <w:lang w:val="en-US" w:eastAsia="zh-CN"/>
              </w:rPr>
              <w:t>（管口半径为</w:t>
            </w:r>
            <w:r>
              <w:rPr>
                <w:rFonts w:hint="default" w:ascii="Times New Roman" w:hAnsi="Times New Roman" w:eastAsia="宋体" w:cs="宋体"/>
                <w:color w:val="auto"/>
                <w:sz w:val="24"/>
                <w:szCs w:val="24"/>
                <w:highlight w:val="none"/>
                <w:lang w:val="en-US" w:eastAsia="zh-CN"/>
              </w:rPr>
              <w:t>0.</w:t>
            </w:r>
            <w:r>
              <w:rPr>
                <w:rFonts w:hint="eastAsia" w:cs="宋体"/>
                <w:color w:val="auto"/>
                <w:sz w:val="24"/>
                <w:szCs w:val="24"/>
                <w:highlight w:val="none"/>
                <w:lang w:val="en-US" w:eastAsia="zh-CN"/>
              </w:rPr>
              <w:t>3</w:t>
            </w:r>
            <w:r>
              <w:rPr>
                <w:rFonts w:hint="default" w:ascii="Times New Roman" w:hAnsi="Times New Roman" w:eastAsia="宋体" w:cs="宋体"/>
                <w:color w:val="auto"/>
                <w:sz w:val="24"/>
                <w:szCs w:val="24"/>
                <w:highlight w:val="none"/>
                <w:lang w:val="en-US" w:eastAsia="zh-CN"/>
              </w:rPr>
              <w:t>m</w:t>
            </w:r>
            <w:r>
              <w:rPr>
                <w:rFonts w:hint="eastAsia" w:ascii="Times New Roman" w:hAnsi="Times New Roman" w:eastAsia="宋体" w:cs="宋体"/>
                <w:color w:val="auto"/>
                <w:sz w:val="24"/>
                <w:szCs w:val="24"/>
                <w:highlight w:val="none"/>
                <w:lang w:val="en-US" w:eastAsia="zh-CN"/>
              </w:rPr>
              <w:t>）；</w:t>
            </w:r>
          </w:p>
          <w:p w14:paraId="3E8C44F9">
            <w:pPr>
              <w:spacing w:line="360" w:lineRule="auto"/>
              <w:ind w:firstLine="480" w:firstLineChars="200"/>
              <w:rPr>
                <w:rFonts w:hint="eastAsia" w:ascii="Times New Roman" w:hAnsi="Times New Roman" w:eastAsia="宋体" w:cs="宋体"/>
                <w:color w:val="auto"/>
                <w:sz w:val="24"/>
                <w:szCs w:val="24"/>
                <w:highlight w:val="none"/>
                <w:lang w:val="en-US" w:eastAsia="zh-CN"/>
              </w:rPr>
            </w:pPr>
            <w:r>
              <w:rPr>
                <w:rFonts w:hint="default" w:ascii="Times New Roman" w:hAnsi="Times New Roman" w:eastAsia="宋体" w:cs="宋体"/>
                <w:color w:val="auto"/>
                <w:sz w:val="24"/>
                <w:szCs w:val="24"/>
                <w:highlight w:val="none"/>
                <w:lang w:val="en-US" w:eastAsia="zh-CN"/>
              </w:rPr>
              <w:t>v--</w:t>
            </w:r>
            <w:r>
              <w:rPr>
                <w:rFonts w:hint="eastAsia" w:ascii="Times New Roman" w:hAnsi="Times New Roman" w:eastAsia="宋体" w:cs="宋体"/>
                <w:color w:val="auto"/>
                <w:sz w:val="24"/>
                <w:szCs w:val="24"/>
                <w:highlight w:val="none"/>
                <w:lang w:val="en-US" w:eastAsia="zh-CN"/>
              </w:rPr>
              <w:t>操作口平均风速，</w:t>
            </w:r>
            <w:r>
              <w:rPr>
                <w:rFonts w:hint="default" w:ascii="Times New Roman" w:hAnsi="Times New Roman" w:eastAsia="宋体" w:cs="宋体"/>
                <w:color w:val="auto"/>
                <w:sz w:val="24"/>
                <w:szCs w:val="24"/>
                <w:highlight w:val="none"/>
                <w:lang w:val="en-US" w:eastAsia="zh-CN"/>
              </w:rPr>
              <w:t>1.0m/s</w:t>
            </w:r>
            <w:r>
              <w:rPr>
                <w:rFonts w:hint="eastAsia" w:ascii="Times New Roman" w:hAnsi="Times New Roman" w:eastAsia="宋体" w:cs="宋体"/>
                <w:color w:val="auto"/>
                <w:sz w:val="24"/>
                <w:szCs w:val="24"/>
                <w:highlight w:val="none"/>
                <w:lang w:val="en-US" w:eastAsia="zh-CN"/>
              </w:rPr>
              <w:t>；</w:t>
            </w:r>
          </w:p>
          <w:p w14:paraId="79D1C306">
            <w:pPr>
              <w:spacing w:line="360" w:lineRule="auto"/>
              <w:ind w:firstLine="480" w:firstLineChars="200"/>
              <w:rPr>
                <w:rFonts w:hint="eastAsia" w:ascii="Times New Roman" w:hAnsi="Times New Roman" w:eastAsia="宋体" w:cs="宋体"/>
                <w:color w:val="auto"/>
                <w:sz w:val="24"/>
                <w:szCs w:val="24"/>
                <w:highlight w:val="none"/>
                <w:lang w:val="en-US" w:eastAsia="zh-CN"/>
              </w:rPr>
            </w:pPr>
            <w:r>
              <w:rPr>
                <w:rFonts w:hint="eastAsia" w:cs="宋体"/>
                <w:color w:val="auto"/>
                <w:sz w:val="24"/>
                <w:szCs w:val="24"/>
                <w:highlight w:val="none"/>
                <w:lang w:val="en-US" w:eastAsia="zh-CN"/>
              </w:rPr>
              <w:t>则</w:t>
            </w:r>
            <w:r>
              <w:rPr>
                <w:rFonts w:hint="eastAsia" w:ascii="Times New Roman" w:hAnsi="Times New Roman" w:eastAsia="宋体" w:cs="宋体"/>
                <w:color w:val="auto"/>
                <w:sz w:val="24"/>
                <w:szCs w:val="24"/>
                <w:highlight w:val="none"/>
              </w:rPr>
              <w:t>Q=</w:t>
            </w:r>
            <w:r>
              <w:rPr>
                <w:rFonts w:hint="eastAsia" w:cs="宋体"/>
                <w:color w:val="auto"/>
                <w:sz w:val="24"/>
                <w:szCs w:val="24"/>
                <w:highlight w:val="none"/>
                <w:lang w:val="en-US" w:eastAsia="zh-CN"/>
              </w:rPr>
              <w:t>1.0</w:t>
            </w:r>
            <w:r>
              <w:rPr>
                <w:rFonts w:hint="eastAsia" w:ascii="Times New Roman" w:hAnsi="Times New Roman" w:eastAsia="宋体" w:cs="宋体"/>
                <w:color w:val="auto"/>
                <w:sz w:val="24"/>
                <w:szCs w:val="24"/>
                <w:highlight w:val="none"/>
              </w:rPr>
              <w:t>×</w:t>
            </w:r>
            <w:r>
              <w:rPr>
                <w:rFonts w:hint="eastAsia" w:cs="宋体"/>
                <w:color w:val="auto"/>
                <w:sz w:val="24"/>
                <w:szCs w:val="24"/>
                <w:highlight w:val="none"/>
                <w:lang w:val="en-US" w:eastAsia="zh-CN"/>
              </w:rPr>
              <w:t>0.09</w:t>
            </w:r>
            <w:r>
              <w:rPr>
                <w:rFonts w:hint="default" w:ascii="Times New Roman" w:hAnsi="Times New Roman" w:eastAsia="宋体" w:cs="宋体"/>
                <w:color w:val="auto"/>
                <w:sz w:val="24"/>
                <w:szCs w:val="24"/>
                <w:highlight w:val="none"/>
                <w:lang w:val="en-US" w:eastAsia="zh-CN"/>
              </w:rPr>
              <w:t>π</w:t>
            </w:r>
            <w:r>
              <w:rPr>
                <w:rFonts w:hint="eastAsia" w:ascii="Times New Roman" w:hAnsi="Times New Roman" w:eastAsia="宋体" w:cs="宋体"/>
                <w:color w:val="auto"/>
                <w:sz w:val="24"/>
                <w:szCs w:val="24"/>
                <w:highlight w:val="none"/>
              </w:rPr>
              <w:t>×3600=</w:t>
            </w:r>
            <w:r>
              <w:rPr>
                <w:rFonts w:hint="eastAsia" w:cs="宋体"/>
                <w:color w:val="auto"/>
                <w:sz w:val="24"/>
                <w:szCs w:val="24"/>
                <w:highlight w:val="none"/>
                <w:lang w:val="en-US" w:eastAsia="zh-CN"/>
              </w:rPr>
              <w:t>1017.36</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/h，</w:t>
            </w:r>
            <w:r>
              <w:rPr>
                <w:rFonts w:hint="eastAsia" w:cs="宋体"/>
                <w:color w:val="auto"/>
                <w:sz w:val="24"/>
                <w:szCs w:val="24"/>
                <w:highlight w:val="none"/>
                <w:lang w:val="en-US" w:eastAsia="zh-CN"/>
              </w:rPr>
              <w:t>本项目共1根排气管道，故风机风量最小为1017.36</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/h</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rPr>
              <w:t>同时考虑到管道风阻损失等，为保证收集效率，风机风量按照</w:t>
            </w:r>
            <w:r>
              <w:rPr>
                <w:rFonts w:hint="eastAsia" w:ascii="Times New Roman" w:hAnsi="Times New Roman" w:eastAsia="宋体" w:cs="宋体"/>
                <w:color w:val="auto"/>
                <w:sz w:val="24"/>
                <w:szCs w:val="24"/>
                <w:highlight w:val="none"/>
                <w:lang w:val="en-US" w:eastAsia="zh-CN"/>
              </w:rPr>
              <w:t>2000</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/h设置</w:t>
            </w:r>
            <w:r>
              <w:rPr>
                <w:rFonts w:hint="eastAsia" w:ascii="Times New Roman" w:hAnsi="Times New Roman" w:eastAsia="宋体" w:cs="宋体"/>
                <w:color w:val="auto"/>
                <w:sz w:val="24"/>
                <w:szCs w:val="24"/>
                <w:highlight w:val="none"/>
                <w:lang w:eastAsia="zh-CN"/>
              </w:rPr>
              <w:t>。</w:t>
            </w:r>
          </w:p>
          <w:p w14:paraId="69F7D13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7、大气污染环保措施可行性分析</w:t>
            </w:r>
          </w:p>
          <w:p w14:paraId="12CD98DD">
            <w:pPr>
              <w:pStyle w:val="2"/>
              <w:keepNext w:val="0"/>
              <w:keepLines w:val="0"/>
              <w:pageBreakBefore w:val="0"/>
              <w:widowControl w:val="0"/>
              <w:kinsoku/>
              <w:wordWrap/>
              <w:overflowPunct/>
              <w:topLinePunct w:val="0"/>
              <w:autoSpaceDE/>
              <w:autoSpaceDN/>
              <w:bidi w:val="0"/>
              <w:adjustRightInd w:val="0"/>
              <w:snapToGrid/>
              <w:spacing w:after="0" w:line="360" w:lineRule="auto"/>
              <w:ind w:left="0" w:leftChars="0" w:firstLine="480" w:firstLineChars="200"/>
              <w:textAlignment w:val="auto"/>
              <w:rPr>
                <w:rFonts w:hint="default" w:ascii="Times New Roman" w:hAnsi="Times New Roman" w:eastAsia="宋体" w:cs="Times New Roman"/>
                <w:color w:val="auto"/>
                <w:kern w:val="2"/>
                <w:sz w:val="24"/>
                <w:szCs w:val="22"/>
                <w:lang w:val="en-US" w:eastAsia="zh-CN" w:bidi="ar-SA"/>
              </w:rPr>
            </w:pPr>
            <w:r>
              <w:rPr>
                <w:rFonts w:hint="eastAsia" w:ascii="Times New Roman" w:hAnsi="Times New Roman" w:cs="Times New Roman"/>
                <w:color w:val="auto"/>
                <w:kern w:val="2"/>
                <w:sz w:val="24"/>
                <w:szCs w:val="22"/>
                <w:lang w:val="en-US" w:eastAsia="zh-CN" w:bidi="ar-SA"/>
              </w:rPr>
              <w:t>项目废气处理措施主要为布袋除尘器、二级活性炭吸附装置。</w:t>
            </w:r>
            <w:r>
              <w:rPr>
                <w:rFonts w:hint="eastAsia" w:ascii="Times New Roman" w:hAnsi="Times New Roman" w:eastAsia="宋体" w:cs="Times New Roman"/>
                <w:color w:val="auto"/>
                <w:kern w:val="2"/>
                <w:sz w:val="24"/>
                <w:szCs w:val="22"/>
                <w:lang w:val="en-US" w:eastAsia="zh-CN" w:bidi="ar-SA"/>
              </w:rPr>
              <w:t>项目污染治理设施</w:t>
            </w:r>
            <w:r>
              <w:rPr>
                <w:rFonts w:hint="eastAsia" w:ascii="Times New Roman" w:hAnsi="Times New Roman" w:cs="Times New Roman"/>
                <w:color w:val="auto"/>
                <w:kern w:val="2"/>
                <w:sz w:val="24"/>
                <w:szCs w:val="22"/>
                <w:lang w:val="en-US" w:eastAsia="zh-CN" w:bidi="ar-SA"/>
              </w:rPr>
              <w:t>二级</w:t>
            </w:r>
            <w:r>
              <w:rPr>
                <w:rFonts w:hint="default" w:ascii="Times New Roman" w:hAnsi="Times New Roman" w:eastAsia="宋体" w:cs="Times New Roman"/>
                <w:color w:val="auto"/>
                <w:kern w:val="2"/>
                <w:sz w:val="24"/>
                <w:szCs w:val="22"/>
                <w:lang w:val="en-US" w:eastAsia="zh-CN" w:bidi="ar-SA"/>
              </w:rPr>
              <w:t>活性炭吸附属于《</w:t>
            </w:r>
            <w:r>
              <w:rPr>
                <w:rFonts w:hint="eastAsia" w:cs="Times New Roman"/>
                <w:b w:val="0"/>
                <w:bCs w:val="0"/>
                <w:color w:val="auto"/>
                <w:sz w:val="24"/>
                <w:szCs w:val="24"/>
                <w:highlight w:val="none"/>
                <w:lang w:val="en-US" w:eastAsia="zh-CN"/>
              </w:rPr>
              <w:t>排污许可证申请与核发技术规范 化学纤维制造业</w:t>
            </w:r>
            <w:r>
              <w:rPr>
                <w:rFonts w:hint="default" w:ascii="Times New Roman" w:hAnsi="Times New Roman" w:eastAsia="宋体" w:cs="Times New Roman"/>
                <w:color w:val="auto"/>
                <w:kern w:val="2"/>
                <w:sz w:val="24"/>
                <w:szCs w:val="22"/>
                <w:lang w:val="en-US" w:eastAsia="zh-CN" w:bidi="ar-SA"/>
              </w:rPr>
              <w:t>》（HJ</w:t>
            </w:r>
            <w:r>
              <w:rPr>
                <w:rFonts w:hint="eastAsia" w:ascii="Times New Roman" w:hAnsi="Times New Roman" w:cs="Times New Roman"/>
                <w:color w:val="auto"/>
                <w:kern w:val="2"/>
                <w:sz w:val="24"/>
                <w:szCs w:val="22"/>
                <w:lang w:val="en-US" w:eastAsia="zh-CN" w:bidi="ar-SA"/>
              </w:rPr>
              <w:t>1102</w:t>
            </w:r>
            <w:r>
              <w:rPr>
                <w:rFonts w:hint="default" w:ascii="Times New Roman" w:hAnsi="Times New Roman" w:eastAsia="宋体" w:cs="Times New Roman"/>
                <w:color w:val="auto"/>
                <w:kern w:val="2"/>
                <w:sz w:val="24"/>
                <w:szCs w:val="22"/>
                <w:lang w:val="en-US" w:eastAsia="zh-CN" w:bidi="ar-SA"/>
              </w:rPr>
              <w:t>-20</w:t>
            </w:r>
            <w:r>
              <w:rPr>
                <w:rFonts w:hint="eastAsia" w:ascii="Times New Roman" w:hAnsi="Times New Roman" w:cs="Times New Roman"/>
                <w:color w:val="auto"/>
                <w:kern w:val="2"/>
                <w:sz w:val="24"/>
                <w:szCs w:val="22"/>
                <w:lang w:val="en-US" w:eastAsia="zh-CN" w:bidi="ar-SA"/>
              </w:rPr>
              <w:t>20</w:t>
            </w:r>
            <w:r>
              <w:rPr>
                <w:rFonts w:hint="default" w:ascii="Times New Roman" w:hAnsi="Times New Roman" w:eastAsia="宋体" w:cs="Times New Roman"/>
                <w:color w:val="auto"/>
                <w:kern w:val="2"/>
                <w:sz w:val="24"/>
                <w:szCs w:val="22"/>
                <w:lang w:val="en-US" w:eastAsia="zh-CN" w:bidi="ar-SA"/>
              </w:rPr>
              <w:t>）中</w:t>
            </w:r>
            <w:r>
              <w:rPr>
                <w:rFonts w:hint="eastAsia" w:ascii="Times New Roman" w:hAnsi="Times New Roman" w:eastAsia="宋体" w:cs="Times New Roman"/>
                <w:color w:val="auto"/>
                <w:kern w:val="2"/>
                <w:sz w:val="24"/>
                <w:szCs w:val="22"/>
                <w:lang w:val="en-US" w:eastAsia="zh-CN" w:bidi="ar-SA"/>
              </w:rPr>
              <w:t>“</w:t>
            </w:r>
            <w:r>
              <w:rPr>
                <w:rFonts w:hint="default" w:ascii="Times New Roman" w:hAnsi="Times New Roman" w:eastAsia="宋体" w:cs="Times New Roman"/>
                <w:color w:val="auto"/>
                <w:kern w:val="2"/>
                <w:sz w:val="24"/>
                <w:szCs w:val="22"/>
                <w:lang w:val="en-US" w:eastAsia="zh-CN" w:bidi="ar-SA"/>
              </w:rPr>
              <w:t>4.5.</w:t>
            </w:r>
            <w:r>
              <w:rPr>
                <w:rFonts w:hint="eastAsia" w:ascii="Times New Roman" w:hAnsi="Times New Roman" w:eastAsia="宋体" w:cs="Times New Roman"/>
                <w:color w:val="auto"/>
                <w:kern w:val="2"/>
                <w:sz w:val="24"/>
                <w:szCs w:val="22"/>
                <w:lang w:val="en-US" w:eastAsia="zh-CN" w:bidi="ar-SA"/>
              </w:rPr>
              <w:t>1</w:t>
            </w:r>
            <w:r>
              <w:rPr>
                <w:rFonts w:hint="default" w:ascii="Times New Roman" w:hAnsi="Times New Roman" w:eastAsia="宋体" w:cs="Times New Roman"/>
                <w:color w:val="auto"/>
                <w:kern w:val="2"/>
                <w:sz w:val="24"/>
                <w:szCs w:val="22"/>
                <w:lang w:val="en-US" w:eastAsia="zh-CN" w:bidi="ar-SA"/>
              </w:rPr>
              <w:t>.</w:t>
            </w:r>
            <w:r>
              <w:rPr>
                <w:rFonts w:hint="eastAsia" w:ascii="Times New Roman" w:hAnsi="Times New Roman" w:eastAsia="宋体" w:cs="Times New Roman"/>
                <w:color w:val="auto"/>
                <w:kern w:val="2"/>
                <w:sz w:val="24"/>
                <w:szCs w:val="22"/>
                <w:lang w:val="en-US" w:eastAsia="zh-CN" w:bidi="ar-SA"/>
              </w:rPr>
              <w:t>3</w:t>
            </w:r>
            <w:r>
              <w:rPr>
                <w:rFonts w:hint="default" w:ascii="Times New Roman" w:hAnsi="Times New Roman" w:eastAsia="宋体" w:cs="Times New Roman"/>
                <w:color w:val="auto"/>
                <w:kern w:val="2"/>
                <w:sz w:val="24"/>
                <w:szCs w:val="22"/>
                <w:lang w:val="en-US" w:eastAsia="zh-CN" w:bidi="ar-SA"/>
              </w:rPr>
              <w:t xml:space="preserve"> 废气产排污环节、污染物种类、排放形式及污染治理设施</w:t>
            </w:r>
            <w:r>
              <w:rPr>
                <w:rFonts w:hint="eastAsia" w:ascii="Times New Roman" w:hAnsi="Times New Roman" w:eastAsia="宋体" w:cs="Times New Roman"/>
                <w:color w:val="auto"/>
                <w:kern w:val="2"/>
                <w:sz w:val="24"/>
                <w:szCs w:val="22"/>
                <w:lang w:val="en-US" w:eastAsia="zh-CN" w:bidi="ar-SA"/>
              </w:rPr>
              <w:t>”</w:t>
            </w:r>
            <w:r>
              <w:rPr>
                <w:rFonts w:hint="default" w:ascii="Times New Roman" w:hAnsi="Times New Roman" w:eastAsia="宋体" w:cs="Times New Roman"/>
                <w:color w:val="auto"/>
                <w:kern w:val="2"/>
                <w:sz w:val="24"/>
                <w:szCs w:val="22"/>
                <w:lang w:val="en-US" w:eastAsia="zh-CN" w:bidi="ar-SA"/>
              </w:rPr>
              <w:t>可行性技术。</w:t>
            </w:r>
            <w:r>
              <w:rPr>
                <w:rFonts w:hint="eastAsia" w:ascii="Times New Roman" w:hAnsi="Times New Roman" w:eastAsia="宋体" w:cs="Times New Roman"/>
                <w:color w:val="auto"/>
                <w:kern w:val="2"/>
                <w:sz w:val="24"/>
                <w:szCs w:val="22"/>
                <w:lang w:val="en-US" w:eastAsia="zh-CN" w:bidi="ar-SA"/>
              </w:rPr>
              <w:t>根据《排污许可证申请与核发技术规范 橡胶和塑料制品工业（HJ1122-2020）》中“表A.2 塑料制品工业排污单位废气污染防治可行技术参考表”相关技术要求，本项目采用二级活性炭吸附吸附装置处理有机废气，布袋除尘装置处理粉尘颗粒物，属于可行技术参考表中的可行技术。</w:t>
            </w:r>
          </w:p>
          <w:p w14:paraId="33644FCE">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二</w:t>
            </w:r>
            <w:r>
              <w:rPr>
                <w:rFonts w:hint="default" w:ascii="Times New Roman" w:hAnsi="Times New Roman" w:eastAsia="黑体" w:cs="Times New Roman"/>
                <w:b w:val="0"/>
                <w:bCs w:val="0"/>
                <w:color w:val="auto"/>
                <w:sz w:val="24"/>
                <w:szCs w:val="24"/>
                <w:highlight w:val="none"/>
                <w:lang w:val="en-US" w:eastAsia="zh-CN"/>
              </w:rPr>
              <w:t>、废水</w:t>
            </w:r>
          </w:p>
          <w:p w14:paraId="272140D0">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1、</w:t>
            </w:r>
            <w:r>
              <w:rPr>
                <w:rFonts w:hint="eastAsia" w:ascii="Times New Roman" w:hAnsi="Times New Roman" w:eastAsia="黑体" w:cs="Times New Roman"/>
                <w:b w:val="0"/>
                <w:bCs w:val="0"/>
                <w:color w:val="auto"/>
                <w:sz w:val="24"/>
                <w:szCs w:val="24"/>
                <w:highlight w:val="none"/>
                <w:lang w:val="en-US" w:eastAsia="zh-CN"/>
              </w:rPr>
              <w:t>废水产生情况</w:t>
            </w:r>
          </w:p>
          <w:p w14:paraId="70938EAA">
            <w:pPr>
              <w:pStyle w:val="8"/>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jc w:val="left"/>
              <w:textAlignment w:val="auto"/>
              <w:rPr>
                <w:rFonts w:hint="eastAsia" w:ascii="Times New Roman" w:hAnsi="Times New Roman"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2"/>
                <w:lang w:val="en-US" w:eastAsia="zh-CN" w:bidi="ar-SA"/>
              </w:rPr>
              <w:t>本项目废水主要为职工生活污水</w:t>
            </w:r>
            <w:r>
              <w:rPr>
                <w:rFonts w:hint="eastAsia" w:cs="Times New Roman"/>
                <w:color w:val="auto"/>
                <w:kern w:val="2"/>
                <w:sz w:val="24"/>
                <w:szCs w:val="22"/>
                <w:lang w:val="en-US" w:eastAsia="zh-CN" w:bidi="ar-SA"/>
              </w:rPr>
              <w:t>、洗丝废水、纺丝组件清洗废水、甩干废水</w:t>
            </w:r>
            <w:r>
              <w:rPr>
                <w:rFonts w:hint="eastAsia" w:ascii="Times New Roman" w:hAnsi="Times New Roman" w:eastAsia="宋体" w:cs="Times New Roman"/>
                <w:color w:val="auto"/>
                <w:kern w:val="2"/>
                <w:sz w:val="24"/>
                <w:szCs w:val="22"/>
                <w:lang w:val="en-US" w:eastAsia="zh-CN" w:bidi="ar-SA"/>
              </w:rPr>
              <w:t>。</w:t>
            </w:r>
          </w:p>
          <w:p w14:paraId="08EBFBEB">
            <w:pPr>
              <w:spacing w:line="360" w:lineRule="auto"/>
              <w:ind w:firstLine="480"/>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生活污水：</w:t>
            </w:r>
            <w:r>
              <w:rPr>
                <w:rFonts w:hint="eastAsia" w:ascii="Times New Roman" w:hAnsi="Times New Roman" w:eastAsia="宋体" w:cs="Times New Roman"/>
                <w:b w:val="0"/>
                <w:bCs w:val="0"/>
                <w:color w:val="auto"/>
                <w:sz w:val="24"/>
                <w:szCs w:val="24"/>
                <w:highlight w:val="none"/>
                <w:lang w:eastAsia="zh-CN"/>
              </w:rPr>
              <w:t>生活污水排污系数按80%计，生活污水产生量约</w:t>
            </w:r>
            <w:r>
              <w:rPr>
                <w:rFonts w:hint="eastAsia" w:cs="Times New Roman"/>
                <w:b w:val="0"/>
                <w:bCs w:val="0"/>
                <w:color w:val="auto"/>
                <w:sz w:val="24"/>
                <w:szCs w:val="24"/>
                <w:highlight w:val="none"/>
                <w:lang w:val="en-US" w:eastAsia="zh-CN"/>
              </w:rPr>
              <w:t>360</w:t>
            </w:r>
            <w:r>
              <w:rPr>
                <w:rFonts w:hint="eastAsia" w:ascii="Times New Roman" w:hAnsi="Times New Roman" w:eastAsia="宋体" w:cs="Times New Roman"/>
                <w:b w:val="0"/>
                <w:bCs w:val="0"/>
                <w:color w:val="auto"/>
                <w:sz w:val="24"/>
                <w:szCs w:val="24"/>
                <w:highlight w:val="no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/a</w:t>
            </w:r>
            <w:r>
              <w:rPr>
                <w:rFonts w:hint="eastAsia" w:ascii="Times New Roman" w:hAnsi="Times New Roman" w:eastAsia="宋体" w:cs="Times New Roman"/>
                <w:b w:val="0"/>
                <w:bCs w:val="0"/>
                <w:color w:val="auto"/>
                <w:sz w:val="24"/>
                <w:szCs w:val="24"/>
                <w:highlight w:val="none"/>
                <w:lang w:eastAsia="zh-CN"/>
              </w:rPr>
              <w:t>。主要污染因子</w:t>
            </w:r>
            <w:r>
              <w:rPr>
                <w:rFonts w:hint="default" w:ascii="Times New Roman" w:hAnsi="Times New Roman" w:eastAsia="宋体" w:cs="Times New Roman"/>
                <w:b w:val="0"/>
                <w:bCs w:val="0"/>
                <w:color w:val="auto"/>
                <w:sz w:val="24"/>
                <w:szCs w:val="24"/>
                <w:highlight w:val="none"/>
                <w:lang w:eastAsia="zh-CN"/>
              </w:rPr>
              <w:t>为COD、NH</w:t>
            </w:r>
            <w:r>
              <w:rPr>
                <w:rFonts w:hint="default" w:ascii="Times New Roman" w:hAnsi="Times New Roman" w:eastAsia="宋体" w:cs="Times New Roman"/>
                <w:b w:val="0"/>
                <w:bCs w:val="0"/>
                <w:color w:val="auto"/>
                <w:sz w:val="24"/>
                <w:szCs w:val="24"/>
                <w:highlight w:val="none"/>
                <w:vertAlign w:val="subscript"/>
                <w:lang w:eastAsia="zh-CN"/>
              </w:rPr>
              <w:t>3</w:t>
            </w:r>
            <w:r>
              <w:rPr>
                <w:rFonts w:hint="default" w:ascii="Times New Roman" w:hAnsi="Times New Roman" w:eastAsia="宋体" w:cs="Times New Roman"/>
                <w:b w:val="0"/>
                <w:bCs w:val="0"/>
                <w:color w:val="auto"/>
                <w:sz w:val="24"/>
                <w:szCs w:val="24"/>
                <w:highlight w:val="none"/>
                <w:lang w:eastAsia="zh-CN"/>
              </w:rPr>
              <w:t>-N等，生活污水经化粪池处理后</w:t>
            </w:r>
            <w:r>
              <w:rPr>
                <w:rFonts w:hint="eastAsia" w:cs="Times New Roman"/>
                <w:b w:val="0"/>
                <w:bCs w:val="0"/>
                <w:color w:val="auto"/>
                <w:sz w:val="24"/>
                <w:szCs w:val="24"/>
                <w:highlight w:val="none"/>
                <w:lang w:val="en-US" w:eastAsia="zh-CN"/>
              </w:rPr>
              <w:t>由环卫部门定期清运</w:t>
            </w:r>
            <w:r>
              <w:rPr>
                <w:rFonts w:hint="default" w:ascii="Times New Roman" w:hAnsi="Times New Roman" w:eastAsia="宋体" w:cs="Times New Roman"/>
                <w:b w:val="0"/>
                <w:bCs w:val="0"/>
                <w:color w:val="auto"/>
                <w:sz w:val="24"/>
                <w:szCs w:val="24"/>
                <w:highlight w:val="none"/>
                <w:lang w:eastAsia="zh-CN"/>
              </w:rPr>
              <w:t>。</w:t>
            </w:r>
          </w:p>
          <w:p w14:paraId="350CFFD3">
            <w:pPr>
              <w:spacing w:line="360" w:lineRule="auto"/>
              <w:ind w:firstLine="480"/>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洗丝废水：假睫毛生产中洗丝工序产生少量废水，每一批纤维丝采用二级清洗的方式，</w:t>
            </w:r>
            <w:r>
              <w:rPr>
                <w:rFonts w:hint="eastAsia" w:cs="Times New Roman"/>
                <w:color w:val="auto"/>
                <w:sz w:val="24"/>
                <w:highlight w:val="none"/>
                <w:lang w:val="en-US" w:eastAsia="zh-CN"/>
              </w:rPr>
              <w:t>一级水洗槽每天排放更换2次，二级水洗槽循环使用，二级水洗槽水循环进入一级水洗槽，进行逆流清洗。</w:t>
            </w:r>
            <w:r>
              <w:rPr>
                <w:rFonts w:hint="eastAsia" w:cs="Times New Roman"/>
                <w:b w:val="0"/>
                <w:bCs w:val="0"/>
                <w:color w:val="auto"/>
                <w:sz w:val="24"/>
                <w:szCs w:val="24"/>
                <w:highlight w:val="none"/>
                <w:lang w:val="en-US" w:eastAsia="zh-CN"/>
              </w:rPr>
              <w:t>产生的废水主要污染物为SS，洗丝废水经沉淀池沉淀处理后全部回用，不外排。洗丝后纤维丝携带少量废水进入下一工序，经甩干为甩干废水，携带废水约为洗丝产生废水的20%，洗丝废水的产生量为245.76</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/a，甩干废水产生量为61.44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/a，其中损耗量按20%计，因此所需的新鲜水量为384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w:t>
            </w:r>
          </w:p>
          <w:p w14:paraId="0F292A08">
            <w:pPr>
              <w:spacing w:line="360" w:lineRule="auto"/>
              <w:ind w:firstLine="480"/>
              <w:rPr>
                <w:rFonts w:hint="default"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甩干废水：本项目甩干工序产生少量废水，统一收集经沉淀池处理后全部回用于洗丝工序，甩干工序中产生的废水主要为洗丝后纤维丝携带的水分，根据行业经验，甩干废水约为洗丝废水量的20%，因此甩干废水产生量为61.44</w:t>
            </w:r>
            <w:r>
              <w:rPr>
                <w:rFonts w:hint="eastAsia" w:ascii="Times New Roman" w:hAnsi="Times New Roman" w:cs="宋体"/>
                <w:b w:val="0"/>
                <w:bCs w:val="0"/>
                <w:color w:val="auto"/>
                <w:sz w:val="24"/>
                <w:szCs w:val="24"/>
                <w:highlight w:val="none"/>
                <w:lang w:val="en-US" w:eastAsia="zh-CN"/>
              </w:rPr>
              <w:t>m</w:t>
            </w:r>
            <w:r>
              <w:rPr>
                <w:rFonts w:hint="eastAsia" w:ascii="Times New Roman" w:hAnsi="Times New Roman" w:cs="宋体"/>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w:t>
            </w:r>
          </w:p>
          <w:p w14:paraId="71D75468">
            <w:pPr>
              <w:spacing w:line="360" w:lineRule="auto"/>
              <w:ind w:firstLine="480"/>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纺丝组件清洗废水：项目超声波清洗机按每月清洗一次计（每年清洗12次），本项目超声波清洗机的用水量约1.2m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/次（14.4m</w:t>
            </w:r>
            <w:r>
              <w:rPr>
                <w:rFonts w:hint="eastAsia" w:cs="Times New Roman"/>
                <w:b w:val="0"/>
                <w:bCs w:val="0"/>
                <w:color w:val="auto"/>
                <w:sz w:val="24"/>
                <w:szCs w:val="24"/>
                <w:highlight w:val="none"/>
                <w:vertAlign w:val="superscript"/>
                <w:lang w:val="en-US" w:eastAsia="zh-CN"/>
              </w:rPr>
              <w:t>3</w:t>
            </w:r>
            <w:r>
              <w:rPr>
                <w:rFonts w:hint="eastAsia" w:cs="Times New Roman"/>
                <w:b w:val="0"/>
                <w:bCs w:val="0"/>
                <w:color w:val="auto"/>
                <w:sz w:val="24"/>
                <w:szCs w:val="24"/>
                <w:highlight w:val="none"/>
                <w:lang w:val="en-US" w:eastAsia="zh-CN"/>
              </w:rPr>
              <w:t>/a），统一收集经沉淀池处理后全部回用。</w:t>
            </w:r>
          </w:p>
          <w:p w14:paraId="329F33F4">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2、源强核算</w:t>
            </w:r>
          </w:p>
          <w:p w14:paraId="14F1B7B6">
            <w:pPr>
              <w:adjustRightInd w:val="0"/>
              <w:snapToGrid w:val="0"/>
              <w:jc w:val="center"/>
              <w:rPr>
                <w:rFonts w:hint="eastAsia" w:ascii="Times New Roman" w:hAnsi="Times New Roman" w:cs="宋体"/>
                <w:color w:val="auto"/>
                <w:sz w:val="24"/>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ascii="Times New Roman" w:hAnsi="Times New Roman" w:eastAsia="黑体" w:cs="Times New Roman"/>
                <w:b w:val="0"/>
                <w:bCs w:val="0"/>
                <w:color w:val="auto"/>
                <w:kern w:val="0"/>
                <w:sz w:val="24"/>
                <w:szCs w:val="24"/>
                <w:highlight w:val="none"/>
                <w:lang w:val="en-US" w:eastAsia="zh-CN"/>
              </w:rPr>
              <w:t>4-</w:t>
            </w:r>
            <w:r>
              <w:rPr>
                <w:rFonts w:hint="eastAsia" w:eastAsia="黑体" w:cs="Times New Roman"/>
                <w:b w:val="0"/>
                <w:bCs w:val="0"/>
                <w:color w:val="auto"/>
                <w:kern w:val="0"/>
                <w:sz w:val="24"/>
                <w:szCs w:val="24"/>
                <w:highlight w:val="none"/>
                <w:lang w:val="en-US" w:eastAsia="zh-CN"/>
              </w:rPr>
              <w:t>6</w:t>
            </w:r>
            <w:r>
              <w:rPr>
                <w:rFonts w:hint="eastAsia" w:ascii="Times New Roman" w:hAnsi="Times New Roman" w:eastAsia="黑体" w:cs="Times New Roman"/>
                <w:b w:val="0"/>
                <w:bCs w:val="0"/>
                <w:color w:val="auto"/>
                <w:kern w:val="0"/>
                <w:sz w:val="24"/>
                <w:szCs w:val="24"/>
                <w:highlight w:val="none"/>
                <w:lang w:val="en-US" w:eastAsia="zh-CN"/>
              </w:rPr>
              <w:t xml:space="preserve"> 废水污染物源强核算情况</w:t>
            </w:r>
            <w:r>
              <w:rPr>
                <w:rFonts w:hint="default" w:ascii="Times New Roman" w:hAnsi="Times New Roman" w:eastAsia="黑体" w:cs="Times New Roman"/>
                <w:b w:val="0"/>
                <w:bCs w:val="0"/>
                <w:color w:val="auto"/>
                <w:kern w:val="0"/>
                <w:sz w:val="24"/>
                <w:szCs w:val="24"/>
                <w:highlight w:val="none"/>
                <w:lang w:val="en-US" w:eastAsia="zh-CN"/>
              </w:rPr>
              <w:t>一览表</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6"/>
              <w:gridCol w:w="813"/>
              <w:gridCol w:w="603"/>
              <w:gridCol w:w="886"/>
              <w:gridCol w:w="751"/>
              <w:gridCol w:w="632"/>
              <w:gridCol w:w="753"/>
              <w:gridCol w:w="886"/>
              <w:gridCol w:w="1241"/>
              <w:gridCol w:w="1241"/>
            </w:tblGrid>
            <w:tr w14:paraId="44785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tcBorders>
                    <w:tl2br w:val="nil"/>
                    <w:tr2bl w:val="nil"/>
                  </w:tcBorders>
                  <w:noWrap w:val="0"/>
                  <w:vAlign w:val="center"/>
                </w:tcPr>
                <w:p w14:paraId="37FD9020">
                  <w:pPr>
                    <w:adjustRightInd w:val="0"/>
                    <w:snapToGrid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废水来源</w:t>
                  </w:r>
                </w:p>
              </w:tc>
              <w:tc>
                <w:tcPr>
                  <w:tcW w:w="483" w:type="pct"/>
                  <w:tcBorders>
                    <w:tl2br w:val="nil"/>
                    <w:tr2bl w:val="nil"/>
                  </w:tcBorders>
                  <w:noWrap w:val="0"/>
                  <w:vAlign w:val="center"/>
                </w:tcPr>
                <w:p w14:paraId="7C8A0165">
                  <w:pPr>
                    <w:adjustRightInd w:val="0"/>
                    <w:snapToGrid w:val="0"/>
                    <w:jc w:val="center"/>
                    <w:rPr>
                      <w:rFonts w:hint="eastAsia" w:ascii="Times New Roman" w:hAnsi="Times New Roman" w:eastAsia="宋体" w:cs="Times New Roman"/>
                      <w:color w:val="auto"/>
                      <w:lang w:val="en-US" w:eastAsia="zh-CN"/>
                    </w:rPr>
                  </w:pPr>
                  <w:r>
                    <w:rPr>
                      <w:rFonts w:hint="eastAsia" w:cs="Times New Roman"/>
                      <w:color w:val="auto"/>
                      <w:lang w:val="en-US" w:eastAsia="zh-CN"/>
                    </w:rPr>
                    <w:t>水</w:t>
                  </w:r>
                  <w:r>
                    <w:rPr>
                      <w:rFonts w:hint="eastAsia" w:ascii="Times New Roman" w:hAnsi="Times New Roman" w:eastAsia="宋体" w:cs="Times New Roman"/>
                      <w:color w:val="auto"/>
                      <w:lang w:val="en-US" w:eastAsia="zh-CN"/>
                    </w:rPr>
                    <w:t>量（m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/a）</w:t>
                  </w:r>
                </w:p>
              </w:tc>
              <w:tc>
                <w:tcPr>
                  <w:tcW w:w="358" w:type="pct"/>
                  <w:tcBorders>
                    <w:tl2br w:val="nil"/>
                    <w:tr2bl w:val="nil"/>
                  </w:tcBorders>
                  <w:noWrap w:val="0"/>
                  <w:vAlign w:val="center"/>
                </w:tcPr>
                <w:p w14:paraId="602264D4">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污染物种类</w:t>
                  </w:r>
                </w:p>
              </w:tc>
              <w:tc>
                <w:tcPr>
                  <w:tcW w:w="526" w:type="pct"/>
                  <w:tcBorders>
                    <w:tl2br w:val="nil"/>
                    <w:tr2bl w:val="nil"/>
                  </w:tcBorders>
                  <w:noWrap w:val="0"/>
                  <w:vAlign w:val="center"/>
                </w:tcPr>
                <w:p w14:paraId="3ECD1480">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产生浓度</w:t>
                  </w:r>
                </w:p>
                <w:p w14:paraId="1246BE82">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mg/L</w:t>
                  </w:r>
                  <w:r>
                    <w:rPr>
                      <w:rFonts w:hint="eastAsia" w:ascii="Times New Roman" w:hAnsi="Times New Roman" w:eastAsia="宋体" w:cs="Times New Roman"/>
                      <w:color w:val="auto"/>
                      <w:lang w:val="en-US" w:eastAsia="zh-CN"/>
                    </w:rPr>
                    <w:t>）</w:t>
                  </w:r>
                </w:p>
              </w:tc>
              <w:tc>
                <w:tcPr>
                  <w:tcW w:w="446" w:type="pct"/>
                  <w:tcBorders>
                    <w:tl2br w:val="nil"/>
                    <w:tr2bl w:val="nil"/>
                  </w:tcBorders>
                  <w:noWrap w:val="0"/>
                  <w:vAlign w:val="center"/>
                </w:tcPr>
                <w:p w14:paraId="733C209D">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产生量</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t/a</w:t>
                  </w:r>
                  <w:r>
                    <w:rPr>
                      <w:rFonts w:hint="eastAsia" w:ascii="Times New Roman" w:hAnsi="Times New Roman" w:eastAsia="宋体" w:cs="Times New Roman"/>
                      <w:color w:val="auto"/>
                      <w:lang w:val="en-US" w:eastAsia="zh-CN"/>
                    </w:rPr>
                    <w:t>）</w:t>
                  </w:r>
                </w:p>
              </w:tc>
              <w:tc>
                <w:tcPr>
                  <w:tcW w:w="375" w:type="pct"/>
                  <w:tcBorders>
                    <w:tl2br w:val="nil"/>
                    <w:tr2bl w:val="nil"/>
                  </w:tcBorders>
                  <w:noWrap w:val="0"/>
                  <w:vAlign w:val="center"/>
                </w:tcPr>
                <w:p w14:paraId="2311D13E">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治理设施</w:t>
                  </w:r>
                </w:p>
              </w:tc>
              <w:tc>
                <w:tcPr>
                  <w:tcW w:w="447" w:type="pct"/>
                  <w:tcBorders>
                    <w:tl2br w:val="nil"/>
                    <w:tr2bl w:val="nil"/>
                  </w:tcBorders>
                  <w:noWrap w:val="0"/>
                  <w:vAlign w:val="center"/>
                </w:tcPr>
                <w:p w14:paraId="00C09860">
                  <w:pPr>
                    <w:adjustRightInd w:val="0"/>
                    <w:snapToGrid w:val="0"/>
                    <w:jc w:val="center"/>
                    <w:rPr>
                      <w:rFonts w:hint="eastAsia" w:ascii="Times New Roman" w:hAnsi="Times New Roman" w:eastAsia="宋体" w:cs="Times New Roman"/>
                      <w:color w:val="auto"/>
                      <w:lang w:val="en-US" w:eastAsia="zh-CN"/>
                    </w:rPr>
                  </w:pPr>
                  <w:r>
                    <w:rPr>
                      <w:rFonts w:hint="eastAsia" w:cs="Times New Roman"/>
                      <w:color w:val="auto"/>
                      <w:lang w:val="en-US" w:eastAsia="zh-CN"/>
                    </w:rPr>
                    <w:t>治理后量</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t/a</w:t>
                  </w:r>
                  <w:r>
                    <w:rPr>
                      <w:rFonts w:hint="eastAsia" w:ascii="Times New Roman" w:hAnsi="Times New Roman" w:eastAsia="宋体" w:cs="Times New Roman"/>
                      <w:color w:val="auto"/>
                      <w:lang w:val="en-US" w:eastAsia="zh-CN"/>
                    </w:rPr>
                    <w:t>）</w:t>
                  </w:r>
                </w:p>
              </w:tc>
              <w:tc>
                <w:tcPr>
                  <w:tcW w:w="526" w:type="pct"/>
                  <w:tcBorders>
                    <w:tl2br w:val="nil"/>
                    <w:tr2bl w:val="nil"/>
                  </w:tcBorders>
                  <w:noWrap w:val="0"/>
                  <w:vAlign w:val="center"/>
                </w:tcPr>
                <w:p w14:paraId="6996CAC9">
                  <w:pPr>
                    <w:adjustRightInd w:val="0"/>
                    <w:snapToGrid w:val="0"/>
                    <w:jc w:val="center"/>
                    <w:rPr>
                      <w:rFonts w:hint="eastAsia" w:ascii="Times New Roman" w:hAnsi="Times New Roman" w:eastAsia="宋体" w:cs="Times New Roman"/>
                      <w:color w:val="auto"/>
                      <w:lang w:val="en-US" w:eastAsia="zh-CN"/>
                    </w:rPr>
                  </w:pPr>
                  <w:r>
                    <w:rPr>
                      <w:rFonts w:hint="eastAsia" w:cs="Times New Roman"/>
                      <w:lang w:val="en-US" w:eastAsia="zh-CN"/>
                    </w:rPr>
                    <w:t>治理后浓度</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mg/L</w:t>
                  </w:r>
                  <w:r>
                    <w:rPr>
                      <w:rFonts w:hint="eastAsia" w:ascii="Times New Roman" w:hAnsi="Times New Roman" w:eastAsia="宋体" w:cs="Times New Roman"/>
                      <w:lang w:val="en-US" w:eastAsia="zh-CN"/>
                    </w:rPr>
                    <w:t>）</w:t>
                  </w:r>
                </w:p>
              </w:tc>
              <w:tc>
                <w:tcPr>
                  <w:tcW w:w="737" w:type="pct"/>
                  <w:tcBorders>
                    <w:tl2br w:val="nil"/>
                    <w:tr2bl w:val="nil"/>
                  </w:tcBorders>
                  <w:noWrap w:val="0"/>
                  <w:vAlign w:val="center"/>
                </w:tcPr>
                <w:p w14:paraId="07801F9C">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kern w:val="2"/>
                      <w:sz w:val="21"/>
                      <w:szCs w:val="24"/>
                      <w:lang w:val="en-US" w:eastAsia="zh-CN" w:bidi="ar-SA"/>
                    </w:rPr>
                    <w:t>污染物</w:t>
                  </w:r>
                  <w:r>
                    <w:rPr>
                      <w:rFonts w:hint="eastAsia" w:cs="Times New Roman"/>
                      <w:kern w:val="2"/>
                      <w:sz w:val="21"/>
                      <w:szCs w:val="24"/>
                      <w:lang w:val="en-US" w:eastAsia="zh-CN" w:bidi="ar-SA"/>
                    </w:rPr>
                    <w:t>治理后</w:t>
                  </w:r>
                  <w:r>
                    <w:rPr>
                      <w:rFonts w:hint="eastAsia" w:ascii="Times New Roman" w:hAnsi="Times New Roman" w:eastAsia="宋体" w:cs="Times New Roman"/>
                      <w:kern w:val="2"/>
                      <w:sz w:val="21"/>
                      <w:szCs w:val="24"/>
                      <w:lang w:val="en-US" w:eastAsia="zh-CN" w:bidi="ar-SA"/>
                    </w:rPr>
                    <w:t>量</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t/a</w:t>
                  </w:r>
                  <w:r>
                    <w:rPr>
                      <w:rFonts w:hint="eastAsia" w:ascii="Times New Roman" w:hAnsi="Times New Roman" w:eastAsia="宋体" w:cs="Times New Roman"/>
                      <w:lang w:val="en-US" w:eastAsia="zh-CN"/>
                    </w:rPr>
                    <w:t>）</w:t>
                  </w:r>
                </w:p>
              </w:tc>
              <w:tc>
                <w:tcPr>
                  <w:tcW w:w="737" w:type="pct"/>
                  <w:tcBorders>
                    <w:tl2br w:val="nil"/>
                    <w:tr2bl w:val="nil"/>
                  </w:tcBorders>
                  <w:noWrap w:val="0"/>
                  <w:vAlign w:val="center"/>
                </w:tcPr>
                <w:p w14:paraId="0D4F731A">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排放去向</w:t>
                  </w:r>
                </w:p>
              </w:tc>
            </w:tr>
            <w:tr w14:paraId="436CC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restart"/>
                  <w:tcBorders>
                    <w:tl2br w:val="nil"/>
                    <w:tr2bl w:val="nil"/>
                  </w:tcBorders>
                  <w:noWrap w:val="0"/>
                  <w:vAlign w:val="center"/>
                </w:tcPr>
                <w:p w14:paraId="2491B877">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职工生活废水</w:t>
                  </w:r>
                </w:p>
              </w:tc>
              <w:tc>
                <w:tcPr>
                  <w:tcW w:w="483" w:type="pct"/>
                  <w:vMerge w:val="restart"/>
                  <w:tcBorders>
                    <w:tl2br w:val="nil"/>
                    <w:tr2bl w:val="nil"/>
                  </w:tcBorders>
                  <w:noWrap w:val="0"/>
                  <w:vAlign w:val="center"/>
                </w:tcPr>
                <w:p w14:paraId="56D228A2">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360</w:t>
                  </w:r>
                </w:p>
              </w:tc>
              <w:tc>
                <w:tcPr>
                  <w:tcW w:w="358" w:type="pct"/>
                  <w:tcBorders>
                    <w:tl2br w:val="nil"/>
                    <w:tr2bl w:val="nil"/>
                  </w:tcBorders>
                  <w:noWrap w:val="0"/>
                  <w:vAlign w:val="center"/>
                </w:tcPr>
                <w:p w14:paraId="57F3B3EC">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pH</w:t>
                  </w:r>
                </w:p>
              </w:tc>
              <w:tc>
                <w:tcPr>
                  <w:tcW w:w="526" w:type="pct"/>
                  <w:tcBorders>
                    <w:tl2br w:val="nil"/>
                    <w:tr2bl w:val="nil"/>
                  </w:tcBorders>
                  <w:noWrap w:val="0"/>
                  <w:vAlign w:val="center"/>
                </w:tcPr>
                <w:p w14:paraId="4BF5A452">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7～8</w:t>
                  </w:r>
                </w:p>
              </w:tc>
              <w:tc>
                <w:tcPr>
                  <w:tcW w:w="446" w:type="pct"/>
                  <w:tcBorders>
                    <w:tl2br w:val="nil"/>
                    <w:tr2bl w:val="nil"/>
                  </w:tcBorders>
                  <w:noWrap w:val="0"/>
                  <w:vAlign w:val="center"/>
                </w:tcPr>
                <w:p w14:paraId="285CA9D3">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w:t>
                  </w:r>
                </w:p>
              </w:tc>
              <w:tc>
                <w:tcPr>
                  <w:tcW w:w="375" w:type="pct"/>
                  <w:vMerge w:val="restart"/>
                  <w:tcBorders>
                    <w:tl2br w:val="nil"/>
                    <w:tr2bl w:val="nil"/>
                  </w:tcBorders>
                  <w:noWrap w:val="0"/>
                  <w:vAlign w:val="center"/>
                </w:tcPr>
                <w:p w14:paraId="0D2056F4">
                  <w:pPr>
                    <w:adjustRightInd w:val="0"/>
                    <w:snapToGrid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化粪池</w:t>
                  </w:r>
                </w:p>
              </w:tc>
              <w:tc>
                <w:tcPr>
                  <w:tcW w:w="447" w:type="pct"/>
                  <w:vMerge w:val="restart"/>
                  <w:tcBorders>
                    <w:tl2br w:val="nil"/>
                    <w:tr2bl w:val="nil"/>
                  </w:tcBorders>
                  <w:noWrap w:val="0"/>
                  <w:vAlign w:val="center"/>
                </w:tcPr>
                <w:p w14:paraId="37BE7BFB">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360</w:t>
                  </w:r>
                </w:p>
              </w:tc>
              <w:tc>
                <w:tcPr>
                  <w:tcW w:w="526" w:type="pct"/>
                  <w:tcBorders>
                    <w:tl2br w:val="nil"/>
                    <w:tr2bl w:val="nil"/>
                  </w:tcBorders>
                  <w:noWrap w:val="0"/>
                  <w:vAlign w:val="center"/>
                </w:tcPr>
                <w:p w14:paraId="38EA11A3">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7～8</w:t>
                  </w:r>
                </w:p>
              </w:tc>
              <w:tc>
                <w:tcPr>
                  <w:tcW w:w="737" w:type="pct"/>
                  <w:tcBorders>
                    <w:tl2br w:val="nil"/>
                    <w:tr2bl w:val="nil"/>
                  </w:tcBorders>
                  <w:noWrap w:val="0"/>
                  <w:vAlign w:val="center"/>
                </w:tcPr>
                <w:p w14:paraId="641B347F">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737" w:type="pct"/>
                  <w:vMerge w:val="restart"/>
                  <w:tcBorders>
                    <w:tl2br w:val="nil"/>
                    <w:tr2bl w:val="nil"/>
                  </w:tcBorders>
                  <w:noWrap w:val="0"/>
                  <w:vAlign w:val="center"/>
                </w:tcPr>
                <w:p w14:paraId="4E1103CA">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由环卫部门定期清运</w:t>
                  </w:r>
                </w:p>
              </w:tc>
            </w:tr>
            <w:tr w14:paraId="0B0E6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71B5BABC">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eastAsia="宋体"/>
                      <w:color w:val="auto"/>
                      <w:lang w:val="en-US" w:eastAsia="zh-CN"/>
                    </w:rPr>
                  </w:pPr>
                </w:p>
              </w:tc>
              <w:tc>
                <w:tcPr>
                  <w:tcW w:w="483" w:type="pct"/>
                  <w:vMerge w:val="continue"/>
                  <w:tcBorders>
                    <w:tl2br w:val="nil"/>
                    <w:tr2bl w:val="nil"/>
                  </w:tcBorders>
                  <w:noWrap w:val="0"/>
                  <w:vAlign w:val="center"/>
                </w:tcPr>
                <w:p w14:paraId="07B36494">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358" w:type="pct"/>
                  <w:tcBorders>
                    <w:tl2br w:val="nil"/>
                    <w:tr2bl w:val="nil"/>
                  </w:tcBorders>
                  <w:noWrap w:val="0"/>
                  <w:vAlign w:val="center"/>
                </w:tcPr>
                <w:p w14:paraId="4C2AD8C0">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COD</w:t>
                  </w:r>
                </w:p>
              </w:tc>
              <w:tc>
                <w:tcPr>
                  <w:tcW w:w="526" w:type="pct"/>
                  <w:tcBorders>
                    <w:tl2br w:val="nil"/>
                    <w:tr2bl w:val="nil"/>
                  </w:tcBorders>
                  <w:noWrap w:val="0"/>
                  <w:vAlign w:val="center"/>
                </w:tcPr>
                <w:p w14:paraId="69F11C68">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350</w:t>
                  </w:r>
                </w:p>
              </w:tc>
              <w:tc>
                <w:tcPr>
                  <w:tcW w:w="446" w:type="pct"/>
                  <w:tcBorders>
                    <w:tl2br w:val="nil"/>
                    <w:tr2bl w:val="nil"/>
                  </w:tcBorders>
                  <w:noWrap w:val="0"/>
                  <w:vAlign w:val="center"/>
                </w:tcPr>
                <w:p w14:paraId="7E0DD5F9">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0.126</w:t>
                  </w:r>
                </w:p>
              </w:tc>
              <w:tc>
                <w:tcPr>
                  <w:tcW w:w="375" w:type="pct"/>
                  <w:vMerge w:val="continue"/>
                  <w:tcBorders>
                    <w:tl2br w:val="nil"/>
                    <w:tr2bl w:val="nil"/>
                  </w:tcBorders>
                  <w:noWrap w:val="0"/>
                  <w:vAlign w:val="center"/>
                </w:tcPr>
                <w:p w14:paraId="26095B79">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47" w:type="pct"/>
                  <w:vMerge w:val="continue"/>
                  <w:tcBorders>
                    <w:tl2br w:val="nil"/>
                    <w:tr2bl w:val="nil"/>
                  </w:tcBorders>
                  <w:noWrap w:val="0"/>
                  <w:vAlign w:val="center"/>
                </w:tcPr>
                <w:p w14:paraId="496C919D">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rPr>
                  </w:pPr>
                </w:p>
              </w:tc>
              <w:tc>
                <w:tcPr>
                  <w:tcW w:w="526" w:type="pct"/>
                  <w:tcBorders>
                    <w:tl2br w:val="nil"/>
                    <w:tr2bl w:val="nil"/>
                  </w:tcBorders>
                  <w:noWrap w:val="0"/>
                  <w:vAlign w:val="center"/>
                </w:tcPr>
                <w:p w14:paraId="33FE6F2F">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280</w:t>
                  </w:r>
                </w:p>
              </w:tc>
              <w:tc>
                <w:tcPr>
                  <w:tcW w:w="737" w:type="pct"/>
                  <w:tcBorders>
                    <w:tl2br w:val="nil"/>
                    <w:tr2bl w:val="nil"/>
                  </w:tcBorders>
                  <w:noWrap w:val="0"/>
                  <w:vAlign w:val="center"/>
                </w:tcPr>
                <w:p w14:paraId="09A16175">
                  <w:pPr>
                    <w:keepNext w:val="0"/>
                    <w:keepLines w:val="0"/>
                    <w:widowControl/>
                    <w:suppressLineNumbers w:val="0"/>
                    <w:jc w:val="center"/>
                    <w:textAlignment w:val="center"/>
                    <w:rPr>
                      <w:rFonts w:hint="default" w:ascii="Times New Roman" w:hAnsi="Times New Roman"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0.1008</w:t>
                  </w:r>
                </w:p>
              </w:tc>
              <w:tc>
                <w:tcPr>
                  <w:tcW w:w="737" w:type="pct"/>
                  <w:vMerge w:val="continue"/>
                  <w:tcBorders>
                    <w:tl2br w:val="nil"/>
                    <w:tr2bl w:val="nil"/>
                  </w:tcBorders>
                  <w:noWrap w:val="0"/>
                  <w:vAlign w:val="center"/>
                </w:tcPr>
                <w:p w14:paraId="040928A4">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2AA72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08062551">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83" w:type="pct"/>
                  <w:vMerge w:val="continue"/>
                  <w:tcBorders>
                    <w:tl2br w:val="nil"/>
                    <w:tr2bl w:val="nil"/>
                  </w:tcBorders>
                  <w:noWrap w:val="0"/>
                  <w:vAlign w:val="center"/>
                </w:tcPr>
                <w:p w14:paraId="43917A60">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358" w:type="pct"/>
                  <w:tcBorders>
                    <w:tl2br w:val="nil"/>
                    <w:tr2bl w:val="nil"/>
                  </w:tcBorders>
                  <w:noWrap w:val="0"/>
                  <w:vAlign w:val="center"/>
                </w:tcPr>
                <w:p w14:paraId="56191DC9">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BOD</w:t>
                  </w:r>
                  <w:r>
                    <w:rPr>
                      <w:rFonts w:hint="eastAsia" w:ascii="Times New Roman" w:hAnsi="Times New Roman" w:eastAsia="宋体" w:cs="Times New Roman"/>
                      <w:color w:val="auto"/>
                      <w:vertAlign w:val="subscript"/>
                      <w:lang w:val="en-US" w:eastAsia="zh-CN"/>
                    </w:rPr>
                    <w:t>5</w:t>
                  </w:r>
                </w:p>
              </w:tc>
              <w:tc>
                <w:tcPr>
                  <w:tcW w:w="526" w:type="pct"/>
                  <w:tcBorders>
                    <w:tl2br w:val="nil"/>
                    <w:tr2bl w:val="nil"/>
                  </w:tcBorders>
                  <w:noWrap w:val="0"/>
                  <w:vAlign w:val="center"/>
                </w:tcPr>
                <w:p w14:paraId="0BB1BDCF">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200</w:t>
                  </w:r>
                </w:p>
              </w:tc>
              <w:tc>
                <w:tcPr>
                  <w:tcW w:w="446" w:type="pct"/>
                  <w:tcBorders>
                    <w:tl2br w:val="nil"/>
                    <w:tr2bl w:val="nil"/>
                  </w:tcBorders>
                  <w:noWrap w:val="0"/>
                  <w:vAlign w:val="center"/>
                </w:tcPr>
                <w:p w14:paraId="4FBF22FD">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0.072</w:t>
                  </w:r>
                </w:p>
              </w:tc>
              <w:tc>
                <w:tcPr>
                  <w:tcW w:w="375" w:type="pct"/>
                  <w:vMerge w:val="continue"/>
                  <w:tcBorders>
                    <w:tl2br w:val="nil"/>
                    <w:tr2bl w:val="nil"/>
                  </w:tcBorders>
                  <w:noWrap w:val="0"/>
                  <w:vAlign w:val="center"/>
                </w:tcPr>
                <w:p w14:paraId="2FAA2FEF">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47" w:type="pct"/>
                  <w:vMerge w:val="continue"/>
                  <w:tcBorders>
                    <w:tl2br w:val="nil"/>
                    <w:tr2bl w:val="nil"/>
                  </w:tcBorders>
                  <w:noWrap w:val="0"/>
                  <w:vAlign w:val="center"/>
                </w:tcPr>
                <w:p w14:paraId="65AEDC4B">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rPr>
                  </w:pPr>
                </w:p>
              </w:tc>
              <w:tc>
                <w:tcPr>
                  <w:tcW w:w="526" w:type="pct"/>
                  <w:tcBorders>
                    <w:tl2br w:val="nil"/>
                    <w:tr2bl w:val="nil"/>
                  </w:tcBorders>
                  <w:noWrap w:val="0"/>
                  <w:vAlign w:val="center"/>
                </w:tcPr>
                <w:p w14:paraId="716D5DCC">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150</w:t>
                  </w:r>
                </w:p>
              </w:tc>
              <w:tc>
                <w:tcPr>
                  <w:tcW w:w="737" w:type="pct"/>
                  <w:tcBorders>
                    <w:tl2br w:val="nil"/>
                    <w:tr2bl w:val="nil"/>
                  </w:tcBorders>
                  <w:noWrap w:val="0"/>
                  <w:vAlign w:val="center"/>
                </w:tcPr>
                <w:p w14:paraId="3BAD130F">
                  <w:pPr>
                    <w:keepNext w:val="0"/>
                    <w:keepLines w:val="0"/>
                    <w:widowControl/>
                    <w:suppressLineNumbers w:val="0"/>
                    <w:jc w:val="center"/>
                    <w:textAlignment w:val="center"/>
                    <w:rPr>
                      <w:rFonts w:hint="default" w:ascii="Times New Roman" w:hAnsi="Times New Roman"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0.054</w:t>
                  </w:r>
                </w:p>
              </w:tc>
              <w:tc>
                <w:tcPr>
                  <w:tcW w:w="737" w:type="pct"/>
                  <w:vMerge w:val="continue"/>
                  <w:tcBorders>
                    <w:tl2br w:val="nil"/>
                    <w:tr2bl w:val="nil"/>
                  </w:tcBorders>
                  <w:noWrap w:val="0"/>
                  <w:vAlign w:val="center"/>
                </w:tcPr>
                <w:p w14:paraId="7A691125">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6F5CB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0031A5B2">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83" w:type="pct"/>
                  <w:vMerge w:val="continue"/>
                  <w:tcBorders>
                    <w:tl2br w:val="nil"/>
                    <w:tr2bl w:val="nil"/>
                  </w:tcBorders>
                  <w:noWrap w:val="0"/>
                  <w:vAlign w:val="center"/>
                </w:tcPr>
                <w:p w14:paraId="40D4831A">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358" w:type="pct"/>
                  <w:tcBorders>
                    <w:tl2br w:val="nil"/>
                    <w:tr2bl w:val="nil"/>
                  </w:tcBorders>
                  <w:noWrap w:val="0"/>
                  <w:vAlign w:val="center"/>
                </w:tcPr>
                <w:p w14:paraId="07FB1522">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NH</w:t>
                  </w:r>
                  <w:r>
                    <w:rPr>
                      <w:rFonts w:hint="eastAsia" w:ascii="Times New Roman" w:hAnsi="Times New Roman" w:eastAsia="宋体" w:cs="Times New Roman"/>
                      <w:color w:val="auto"/>
                      <w:vertAlign w:val="subscript"/>
                      <w:lang w:val="en-US" w:eastAsia="zh-CN"/>
                    </w:rPr>
                    <w:t>3</w:t>
                  </w:r>
                  <w:r>
                    <w:rPr>
                      <w:rFonts w:hint="eastAsia" w:ascii="Times New Roman" w:hAnsi="Times New Roman" w:eastAsia="宋体" w:cs="Times New Roman"/>
                      <w:color w:val="auto"/>
                      <w:lang w:val="en-US" w:eastAsia="zh-CN"/>
                    </w:rPr>
                    <w:t>-N</w:t>
                  </w:r>
                </w:p>
              </w:tc>
              <w:tc>
                <w:tcPr>
                  <w:tcW w:w="526" w:type="pct"/>
                  <w:tcBorders>
                    <w:tl2br w:val="nil"/>
                    <w:tr2bl w:val="nil"/>
                  </w:tcBorders>
                  <w:noWrap w:val="0"/>
                  <w:vAlign w:val="center"/>
                </w:tcPr>
                <w:p w14:paraId="43577275">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w:t>
                  </w:r>
                </w:p>
              </w:tc>
              <w:tc>
                <w:tcPr>
                  <w:tcW w:w="446" w:type="pct"/>
                  <w:tcBorders>
                    <w:tl2br w:val="nil"/>
                    <w:tr2bl w:val="nil"/>
                  </w:tcBorders>
                  <w:noWrap w:val="0"/>
                  <w:vAlign w:val="center"/>
                </w:tcPr>
                <w:p w14:paraId="6B94078D">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0.0108</w:t>
                  </w:r>
                </w:p>
              </w:tc>
              <w:tc>
                <w:tcPr>
                  <w:tcW w:w="375" w:type="pct"/>
                  <w:vMerge w:val="continue"/>
                  <w:tcBorders>
                    <w:tl2br w:val="nil"/>
                    <w:tr2bl w:val="nil"/>
                  </w:tcBorders>
                  <w:noWrap w:val="0"/>
                  <w:vAlign w:val="center"/>
                </w:tcPr>
                <w:p w14:paraId="17FB3E96">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47" w:type="pct"/>
                  <w:vMerge w:val="continue"/>
                  <w:tcBorders>
                    <w:tl2br w:val="nil"/>
                    <w:tr2bl w:val="nil"/>
                  </w:tcBorders>
                  <w:noWrap w:val="0"/>
                  <w:vAlign w:val="center"/>
                </w:tcPr>
                <w:p w14:paraId="496770A7">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rPr>
                  </w:pPr>
                </w:p>
              </w:tc>
              <w:tc>
                <w:tcPr>
                  <w:tcW w:w="526" w:type="pct"/>
                  <w:tcBorders>
                    <w:tl2br w:val="nil"/>
                    <w:tr2bl w:val="nil"/>
                  </w:tcBorders>
                  <w:noWrap w:val="0"/>
                  <w:vAlign w:val="center"/>
                </w:tcPr>
                <w:p w14:paraId="0611C0D6">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30</w:t>
                  </w:r>
                </w:p>
              </w:tc>
              <w:tc>
                <w:tcPr>
                  <w:tcW w:w="737" w:type="pct"/>
                  <w:tcBorders>
                    <w:tl2br w:val="nil"/>
                    <w:tr2bl w:val="nil"/>
                  </w:tcBorders>
                  <w:noWrap w:val="0"/>
                  <w:vAlign w:val="center"/>
                </w:tcPr>
                <w:p w14:paraId="7DD3731E">
                  <w:pPr>
                    <w:keepNext w:val="0"/>
                    <w:keepLines w:val="0"/>
                    <w:widowControl/>
                    <w:suppressLineNumbers w:val="0"/>
                    <w:jc w:val="center"/>
                    <w:textAlignment w:val="center"/>
                    <w:rPr>
                      <w:rFonts w:hint="default" w:ascii="Times New Roman" w:hAnsi="Times New Roman"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0.0108</w:t>
                  </w:r>
                </w:p>
              </w:tc>
              <w:tc>
                <w:tcPr>
                  <w:tcW w:w="737" w:type="pct"/>
                  <w:vMerge w:val="continue"/>
                  <w:tcBorders>
                    <w:tl2br w:val="nil"/>
                    <w:tr2bl w:val="nil"/>
                  </w:tcBorders>
                  <w:noWrap w:val="0"/>
                  <w:vAlign w:val="center"/>
                </w:tcPr>
                <w:p w14:paraId="5B27E3E1">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0AD55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42E043AF">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83" w:type="pct"/>
                  <w:vMerge w:val="continue"/>
                  <w:tcBorders>
                    <w:tl2br w:val="nil"/>
                    <w:tr2bl w:val="nil"/>
                  </w:tcBorders>
                  <w:noWrap w:val="0"/>
                  <w:vAlign w:val="center"/>
                </w:tcPr>
                <w:p w14:paraId="3BA50B49">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358" w:type="pct"/>
                  <w:tcBorders>
                    <w:tl2br w:val="nil"/>
                    <w:tr2bl w:val="nil"/>
                  </w:tcBorders>
                  <w:noWrap w:val="0"/>
                  <w:vAlign w:val="center"/>
                </w:tcPr>
                <w:p w14:paraId="415A3482">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SS</w:t>
                  </w:r>
                </w:p>
              </w:tc>
              <w:tc>
                <w:tcPr>
                  <w:tcW w:w="526" w:type="pct"/>
                  <w:tcBorders>
                    <w:tl2br w:val="nil"/>
                    <w:tr2bl w:val="nil"/>
                  </w:tcBorders>
                  <w:noWrap w:val="0"/>
                  <w:vAlign w:val="center"/>
                </w:tcPr>
                <w:p w14:paraId="1C7C81E8">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300</w:t>
                  </w:r>
                </w:p>
              </w:tc>
              <w:tc>
                <w:tcPr>
                  <w:tcW w:w="446" w:type="pct"/>
                  <w:tcBorders>
                    <w:tl2br w:val="nil"/>
                    <w:tr2bl w:val="nil"/>
                  </w:tcBorders>
                  <w:noWrap w:val="0"/>
                  <w:vAlign w:val="center"/>
                </w:tcPr>
                <w:p w14:paraId="4FB4FB20">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375" w:type="pct"/>
                  <w:vMerge w:val="continue"/>
                  <w:tcBorders>
                    <w:tl2br w:val="nil"/>
                    <w:tr2bl w:val="nil"/>
                  </w:tcBorders>
                  <w:noWrap w:val="0"/>
                  <w:vAlign w:val="center"/>
                </w:tcPr>
                <w:p w14:paraId="339591D4">
                  <w:pPr>
                    <w:pStyle w:val="95"/>
                    <w:keepNext w:val="0"/>
                    <w:keepLines w:val="0"/>
                    <w:pageBreakBefore w:val="0"/>
                    <w:widowControl w:val="0"/>
                    <w:kinsoku/>
                    <w:wordWrap/>
                    <w:overflowPunct/>
                    <w:topLinePunct w:val="0"/>
                    <w:autoSpaceDE/>
                    <w:autoSpaceDN/>
                    <w:bidi w:val="0"/>
                    <w:adjustRightInd w:val="0"/>
                    <w:snapToGrid w:val="0"/>
                    <w:textAlignment w:val="auto"/>
                    <w:rPr>
                      <w:rFonts w:hint="default"/>
                      <w:color w:val="auto"/>
                    </w:rPr>
                  </w:pPr>
                </w:p>
              </w:tc>
              <w:tc>
                <w:tcPr>
                  <w:tcW w:w="447" w:type="pct"/>
                  <w:vMerge w:val="continue"/>
                  <w:tcBorders>
                    <w:tl2br w:val="nil"/>
                    <w:tr2bl w:val="nil"/>
                  </w:tcBorders>
                  <w:noWrap w:val="0"/>
                  <w:vAlign w:val="center"/>
                </w:tcPr>
                <w:p w14:paraId="789FB8A7">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cs="Times New Roman"/>
                      <w:color w:val="auto"/>
                    </w:rPr>
                  </w:pPr>
                </w:p>
              </w:tc>
              <w:tc>
                <w:tcPr>
                  <w:tcW w:w="526" w:type="pct"/>
                  <w:tcBorders>
                    <w:tl2br w:val="nil"/>
                    <w:tr2bl w:val="nil"/>
                  </w:tcBorders>
                  <w:noWrap w:val="0"/>
                  <w:vAlign w:val="center"/>
                </w:tcPr>
                <w:p w14:paraId="41AD162B">
                  <w:pPr>
                    <w:pStyle w:val="95"/>
                    <w:keepNext w:val="0"/>
                    <w:keepLines w:val="0"/>
                    <w:pageBreakBefore w:val="0"/>
                    <w:widowControl w:val="0"/>
                    <w:kinsoku/>
                    <w:wordWrap/>
                    <w:overflowPunct/>
                    <w:topLinePunct w:val="0"/>
                    <w:autoSpaceDE/>
                    <w:autoSpaceDN/>
                    <w:bidi w:val="0"/>
                    <w:adjustRightInd w:val="0"/>
                    <w:snapToGrid w:val="0"/>
                    <w:spacing w:after="0"/>
                    <w:ind w:firstLine="0" w:firstLineChars="0"/>
                    <w:textAlignment w:val="auto"/>
                    <w:rPr>
                      <w:rFonts w:hint="default" w:ascii="Times New Roman" w:hAnsi="Times New Roman" w:eastAsia="微软雅黑" w:cs="Times New Roman"/>
                      <w:color w:val="auto"/>
                      <w:lang w:val="en-US" w:eastAsia="zh-CN"/>
                    </w:rPr>
                  </w:pPr>
                  <w:r>
                    <w:rPr>
                      <w:rFonts w:hint="eastAsia" w:ascii="Times New Roman" w:hAnsi="Times New Roman" w:cs="Times New Roman"/>
                      <w:color w:val="auto"/>
                      <w:lang w:val="en-US" w:eastAsia="zh-CN"/>
                    </w:rPr>
                    <w:t>250</w:t>
                  </w:r>
                </w:p>
              </w:tc>
              <w:tc>
                <w:tcPr>
                  <w:tcW w:w="737" w:type="pct"/>
                  <w:tcBorders>
                    <w:tl2br w:val="nil"/>
                    <w:tr2bl w:val="nil"/>
                  </w:tcBorders>
                  <w:noWrap w:val="0"/>
                  <w:vAlign w:val="center"/>
                </w:tcPr>
                <w:p w14:paraId="771F7F68">
                  <w:pPr>
                    <w:keepNext w:val="0"/>
                    <w:keepLines w:val="0"/>
                    <w:widowControl/>
                    <w:suppressLineNumbers w:val="0"/>
                    <w:jc w:val="center"/>
                    <w:textAlignment w:val="center"/>
                    <w:rPr>
                      <w:rFonts w:hint="default" w:ascii="Times New Roman" w:hAnsi="Times New Roman" w:cs="Times New Roman"/>
                      <w:color w:val="auto"/>
                    </w:rPr>
                  </w:pPr>
                  <w:r>
                    <w:rPr>
                      <w:rFonts w:hint="default" w:ascii="Times New Roman" w:hAnsi="Times New Roman" w:eastAsia="宋体" w:cs="Times New Roman"/>
                      <w:i w:val="0"/>
                      <w:iCs w:val="0"/>
                      <w:color w:val="000000"/>
                      <w:kern w:val="0"/>
                      <w:sz w:val="21"/>
                      <w:szCs w:val="21"/>
                      <w:u w:val="none"/>
                      <w:lang w:val="en-US" w:eastAsia="zh-CN" w:bidi="ar"/>
                    </w:rPr>
                    <w:t>0.09</w:t>
                  </w:r>
                </w:p>
              </w:tc>
              <w:tc>
                <w:tcPr>
                  <w:tcW w:w="737" w:type="pct"/>
                  <w:vMerge w:val="continue"/>
                  <w:tcBorders>
                    <w:tl2br w:val="nil"/>
                    <w:tr2bl w:val="nil"/>
                  </w:tcBorders>
                  <w:noWrap w:val="0"/>
                  <w:vAlign w:val="center"/>
                </w:tcPr>
                <w:p w14:paraId="27EAD815">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76339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restart"/>
                  <w:tcBorders>
                    <w:tl2br w:val="nil"/>
                    <w:tr2bl w:val="nil"/>
                  </w:tcBorders>
                  <w:noWrap w:val="0"/>
                  <w:vAlign w:val="center"/>
                </w:tcPr>
                <w:p w14:paraId="3BDCD299">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洗丝</w:t>
                  </w:r>
                  <w:r>
                    <w:rPr>
                      <w:rFonts w:hint="eastAsia" w:ascii="Times New Roman" w:hAnsi="Times New Roman" w:eastAsia="宋体" w:cs="Times New Roman"/>
                      <w:color w:val="auto"/>
                      <w:kern w:val="2"/>
                      <w:sz w:val="21"/>
                      <w:szCs w:val="24"/>
                      <w:lang w:val="en-US" w:eastAsia="zh-CN" w:bidi="ar-SA"/>
                    </w:rPr>
                    <w:t>废水</w:t>
                  </w:r>
                </w:p>
              </w:tc>
              <w:tc>
                <w:tcPr>
                  <w:tcW w:w="483" w:type="pct"/>
                  <w:vMerge w:val="restart"/>
                  <w:tcBorders>
                    <w:tl2br w:val="nil"/>
                    <w:tr2bl w:val="nil"/>
                  </w:tcBorders>
                  <w:noWrap w:val="0"/>
                  <w:vAlign w:val="center"/>
                </w:tcPr>
                <w:p w14:paraId="10021013">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245.76</w:t>
                  </w:r>
                </w:p>
              </w:tc>
              <w:tc>
                <w:tcPr>
                  <w:tcW w:w="358" w:type="pct"/>
                  <w:tcBorders>
                    <w:tl2br w:val="nil"/>
                    <w:tr2bl w:val="nil"/>
                  </w:tcBorders>
                  <w:noWrap w:val="0"/>
                  <w:vAlign w:val="center"/>
                </w:tcPr>
                <w:p w14:paraId="4A4EE287">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COD</w:t>
                  </w:r>
                </w:p>
              </w:tc>
              <w:tc>
                <w:tcPr>
                  <w:tcW w:w="526" w:type="pct"/>
                  <w:tcBorders>
                    <w:tl2br w:val="nil"/>
                    <w:tr2bl w:val="nil"/>
                  </w:tcBorders>
                  <w:noWrap w:val="0"/>
                  <w:vAlign w:val="center"/>
                </w:tcPr>
                <w:p w14:paraId="6CFC9D4D">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40</w:t>
                  </w:r>
                </w:p>
              </w:tc>
              <w:tc>
                <w:tcPr>
                  <w:tcW w:w="446" w:type="pct"/>
                  <w:tcBorders>
                    <w:tl2br w:val="nil"/>
                    <w:tr2bl w:val="nil"/>
                  </w:tcBorders>
                  <w:noWrap w:val="0"/>
                  <w:vAlign w:val="center"/>
                </w:tcPr>
                <w:p w14:paraId="28AF9550">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0.086</w:t>
                  </w:r>
                </w:p>
              </w:tc>
              <w:tc>
                <w:tcPr>
                  <w:tcW w:w="375" w:type="pct"/>
                  <w:vMerge w:val="restart"/>
                  <w:tcBorders>
                    <w:tl2br w:val="nil"/>
                    <w:tr2bl w:val="nil"/>
                  </w:tcBorders>
                  <w:noWrap w:val="0"/>
                  <w:vAlign w:val="center"/>
                </w:tcPr>
                <w:p w14:paraId="01876620">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沉淀池</w:t>
                  </w:r>
                </w:p>
              </w:tc>
              <w:tc>
                <w:tcPr>
                  <w:tcW w:w="447" w:type="pct"/>
                  <w:vMerge w:val="restart"/>
                  <w:tcBorders>
                    <w:tl2br w:val="nil"/>
                    <w:tr2bl w:val="nil"/>
                  </w:tcBorders>
                  <w:noWrap w:val="0"/>
                  <w:vAlign w:val="center"/>
                </w:tcPr>
                <w:p w14:paraId="37D6B115">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245.76</w:t>
                  </w:r>
                </w:p>
              </w:tc>
              <w:tc>
                <w:tcPr>
                  <w:tcW w:w="526" w:type="pct"/>
                  <w:tcBorders>
                    <w:tl2br w:val="nil"/>
                    <w:tr2bl w:val="nil"/>
                  </w:tcBorders>
                  <w:shd w:val="clear" w:color="auto" w:fill="auto"/>
                  <w:noWrap w:val="0"/>
                  <w:vAlign w:val="center"/>
                </w:tcPr>
                <w:p w14:paraId="0EA92BDC">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737" w:type="pct"/>
                  <w:tcBorders>
                    <w:tl2br w:val="nil"/>
                    <w:tr2bl w:val="nil"/>
                  </w:tcBorders>
                  <w:shd w:val="clear" w:color="auto" w:fill="auto"/>
                  <w:noWrap w:val="0"/>
                  <w:vAlign w:val="center"/>
                </w:tcPr>
                <w:p w14:paraId="0DD6A25E">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0.0098</w:t>
                  </w:r>
                </w:p>
              </w:tc>
              <w:tc>
                <w:tcPr>
                  <w:tcW w:w="737" w:type="pct"/>
                  <w:vMerge w:val="restart"/>
                  <w:tcBorders>
                    <w:tl2br w:val="nil"/>
                    <w:tr2bl w:val="nil"/>
                  </w:tcBorders>
                  <w:shd w:val="clear" w:color="auto" w:fill="auto"/>
                  <w:noWrap w:val="0"/>
                  <w:vAlign w:val="center"/>
                </w:tcPr>
                <w:p w14:paraId="71D6587B">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回用</w:t>
                  </w:r>
                </w:p>
              </w:tc>
            </w:tr>
            <w:tr w14:paraId="7A16E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1D8AA87A">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83" w:type="pct"/>
                  <w:vMerge w:val="continue"/>
                  <w:tcBorders>
                    <w:tl2br w:val="nil"/>
                    <w:tr2bl w:val="nil"/>
                  </w:tcBorders>
                  <w:noWrap w:val="0"/>
                  <w:vAlign w:val="center"/>
                </w:tcPr>
                <w:p w14:paraId="200288A4">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358" w:type="pct"/>
                  <w:tcBorders>
                    <w:tl2br w:val="nil"/>
                    <w:tr2bl w:val="nil"/>
                  </w:tcBorders>
                  <w:noWrap w:val="0"/>
                  <w:vAlign w:val="center"/>
                </w:tcPr>
                <w:p w14:paraId="2782F2C9">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SS</w:t>
                  </w:r>
                </w:p>
              </w:tc>
              <w:tc>
                <w:tcPr>
                  <w:tcW w:w="526" w:type="pct"/>
                  <w:tcBorders>
                    <w:tl2br w:val="nil"/>
                    <w:tr2bl w:val="nil"/>
                  </w:tcBorders>
                  <w:noWrap w:val="0"/>
                  <w:vAlign w:val="center"/>
                </w:tcPr>
                <w:p w14:paraId="381CBF44">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200</w:t>
                  </w:r>
                </w:p>
              </w:tc>
              <w:tc>
                <w:tcPr>
                  <w:tcW w:w="446" w:type="pct"/>
                  <w:tcBorders>
                    <w:tl2br w:val="nil"/>
                    <w:tr2bl w:val="nil"/>
                  </w:tcBorders>
                  <w:noWrap w:val="0"/>
                  <w:vAlign w:val="center"/>
                </w:tcPr>
                <w:p w14:paraId="05F9E9B8">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0.0492</w:t>
                  </w:r>
                </w:p>
              </w:tc>
              <w:tc>
                <w:tcPr>
                  <w:tcW w:w="375" w:type="pct"/>
                  <w:vMerge w:val="continue"/>
                  <w:tcBorders>
                    <w:tl2br w:val="nil"/>
                    <w:tr2bl w:val="nil"/>
                  </w:tcBorders>
                  <w:noWrap w:val="0"/>
                  <w:vAlign w:val="center"/>
                </w:tcPr>
                <w:p w14:paraId="401AA4AC">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47" w:type="pct"/>
                  <w:vMerge w:val="continue"/>
                  <w:tcBorders>
                    <w:tl2br w:val="nil"/>
                    <w:tr2bl w:val="nil"/>
                  </w:tcBorders>
                  <w:noWrap w:val="0"/>
                  <w:vAlign w:val="center"/>
                </w:tcPr>
                <w:p w14:paraId="1558CAE8">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526" w:type="pct"/>
                  <w:tcBorders>
                    <w:tl2br w:val="nil"/>
                    <w:tr2bl w:val="nil"/>
                  </w:tcBorders>
                  <w:noWrap w:val="0"/>
                  <w:vAlign w:val="center"/>
                </w:tcPr>
                <w:p w14:paraId="2F7378D0">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37" w:type="pct"/>
                  <w:tcBorders>
                    <w:tl2br w:val="nil"/>
                    <w:tr2bl w:val="nil"/>
                  </w:tcBorders>
                  <w:noWrap w:val="0"/>
                  <w:vAlign w:val="center"/>
                </w:tcPr>
                <w:p w14:paraId="3FE00154">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0.012</w:t>
                  </w:r>
                  <w:r>
                    <w:rPr>
                      <w:rFonts w:hint="eastAsia" w:cs="Times New Roman"/>
                      <w:i w:val="0"/>
                      <w:iCs w:val="0"/>
                      <w:color w:val="000000"/>
                      <w:kern w:val="0"/>
                      <w:sz w:val="21"/>
                      <w:szCs w:val="21"/>
                      <w:u w:val="none"/>
                      <w:lang w:val="en-US" w:eastAsia="zh-CN" w:bidi="ar"/>
                    </w:rPr>
                    <w:t>3</w:t>
                  </w:r>
                </w:p>
              </w:tc>
              <w:tc>
                <w:tcPr>
                  <w:tcW w:w="737" w:type="pct"/>
                  <w:vMerge w:val="continue"/>
                  <w:tcBorders>
                    <w:tl2br w:val="nil"/>
                    <w:tr2bl w:val="nil"/>
                  </w:tcBorders>
                  <w:noWrap w:val="0"/>
                  <w:vAlign w:val="center"/>
                </w:tcPr>
                <w:p w14:paraId="50E4A1DC">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579C3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713F168B">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83" w:type="pct"/>
                  <w:vMerge w:val="continue"/>
                  <w:tcBorders>
                    <w:tl2br w:val="nil"/>
                    <w:tr2bl w:val="nil"/>
                  </w:tcBorders>
                  <w:noWrap w:val="0"/>
                  <w:vAlign w:val="center"/>
                </w:tcPr>
                <w:p w14:paraId="453B8E66">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358" w:type="pct"/>
                  <w:tcBorders>
                    <w:tl2br w:val="nil"/>
                    <w:tr2bl w:val="nil"/>
                  </w:tcBorders>
                  <w:noWrap w:val="0"/>
                  <w:vAlign w:val="center"/>
                </w:tcPr>
                <w:p w14:paraId="716CD95C">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NH</w:t>
                  </w:r>
                  <w:r>
                    <w:rPr>
                      <w:rFonts w:hint="eastAsia" w:ascii="Times New Roman" w:hAnsi="Times New Roman" w:eastAsia="宋体" w:cs="Times New Roman"/>
                      <w:color w:val="auto"/>
                      <w:vertAlign w:val="subscript"/>
                      <w:lang w:val="en-US" w:eastAsia="zh-CN"/>
                    </w:rPr>
                    <w:t>3</w:t>
                  </w:r>
                  <w:r>
                    <w:rPr>
                      <w:rFonts w:hint="eastAsia" w:ascii="Times New Roman" w:hAnsi="Times New Roman" w:eastAsia="宋体" w:cs="Times New Roman"/>
                      <w:color w:val="auto"/>
                      <w:lang w:val="en-US" w:eastAsia="zh-CN"/>
                    </w:rPr>
                    <w:t>-N</w:t>
                  </w:r>
                </w:p>
              </w:tc>
              <w:tc>
                <w:tcPr>
                  <w:tcW w:w="526" w:type="pct"/>
                  <w:tcBorders>
                    <w:tl2br w:val="nil"/>
                    <w:tr2bl w:val="nil"/>
                  </w:tcBorders>
                  <w:noWrap w:val="0"/>
                  <w:vAlign w:val="center"/>
                </w:tcPr>
                <w:p w14:paraId="6B5C7026">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5</w:t>
                  </w:r>
                </w:p>
              </w:tc>
              <w:tc>
                <w:tcPr>
                  <w:tcW w:w="446" w:type="pct"/>
                  <w:tcBorders>
                    <w:tl2br w:val="nil"/>
                    <w:tr2bl w:val="nil"/>
                  </w:tcBorders>
                  <w:noWrap w:val="0"/>
                  <w:vAlign w:val="center"/>
                </w:tcPr>
                <w:p w14:paraId="03080F27">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0.0061</w:t>
                  </w:r>
                </w:p>
              </w:tc>
              <w:tc>
                <w:tcPr>
                  <w:tcW w:w="375" w:type="pct"/>
                  <w:vMerge w:val="continue"/>
                  <w:tcBorders>
                    <w:tl2br w:val="nil"/>
                    <w:tr2bl w:val="nil"/>
                  </w:tcBorders>
                  <w:noWrap w:val="0"/>
                  <w:vAlign w:val="center"/>
                </w:tcPr>
                <w:p w14:paraId="4A7DD439">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47" w:type="pct"/>
                  <w:vMerge w:val="continue"/>
                  <w:tcBorders>
                    <w:tl2br w:val="nil"/>
                    <w:tr2bl w:val="nil"/>
                  </w:tcBorders>
                  <w:noWrap w:val="0"/>
                  <w:vAlign w:val="center"/>
                </w:tcPr>
                <w:p w14:paraId="7882B31B">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526" w:type="pct"/>
                  <w:tcBorders>
                    <w:tl2br w:val="nil"/>
                    <w:tr2bl w:val="nil"/>
                  </w:tcBorders>
                  <w:noWrap w:val="0"/>
                  <w:vAlign w:val="center"/>
                </w:tcPr>
                <w:p w14:paraId="7766E443">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37" w:type="pct"/>
                  <w:tcBorders>
                    <w:tl2br w:val="nil"/>
                    <w:tr2bl w:val="nil"/>
                  </w:tcBorders>
                  <w:noWrap w:val="0"/>
                  <w:vAlign w:val="center"/>
                </w:tcPr>
                <w:p w14:paraId="2B3C4802">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0.0012</w:t>
                  </w:r>
                </w:p>
              </w:tc>
              <w:tc>
                <w:tcPr>
                  <w:tcW w:w="737" w:type="pct"/>
                  <w:vMerge w:val="continue"/>
                  <w:tcBorders>
                    <w:tl2br w:val="nil"/>
                    <w:tr2bl w:val="nil"/>
                  </w:tcBorders>
                  <w:noWrap w:val="0"/>
                  <w:vAlign w:val="center"/>
                </w:tcPr>
                <w:p w14:paraId="5C399299">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2AA47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restart"/>
                  <w:tcBorders>
                    <w:tl2br w:val="nil"/>
                    <w:tr2bl w:val="nil"/>
                  </w:tcBorders>
                  <w:noWrap w:val="0"/>
                  <w:vAlign w:val="center"/>
                </w:tcPr>
                <w:p w14:paraId="5F4549A6">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甩干废水</w:t>
                  </w:r>
                </w:p>
              </w:tc>
              <w:tc>
                <w:tcPr>
                  <w:tcW w:w="483" w:type="pct"/>
                  <w:vMerge w:val="restart"/>
                  <w:tcBorders>
                    <w:tl2br w:val="nil"/>
                    <w:tr2bl w:val="nil"/>
                  </w:tcBorders>
                  <w:noWrap w:val="0"/>
                  <w:vAlign w:val="center"/>
                </w:tcPr>
                <w:p w14:paraId="05F7BD20">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61.44</w:t>
                  </w:r>
                </w:p>
              </w:tc>
              <w:tc>
                <w:tcPr>
                  <w:tcW w:w="358" w:type="pct"/>
                  <w:tcBorders>
                    <w:tl2br w:val="nil"/>
                    <w:tr2bl w:val="nil"/>
                  </w:tcBorders>
                  <w:noWrap w:val="0"/>
                  <w:vAlign w:val="center"/>
                </w:tcPr>
                <w:p w14:paraId="34F0DABF">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COD</w:t>
                  </w:r>
                </w:p>
              </w:tc>
              <w:tc>
                <w:tcPr>
                  <w:tcW w:w="526" w:type="pct"/>
                  <w:tcBorders>
                    <w:tl2br w:val="nil"/>
                    <w:tr2bl w:val="nil"/>
                  </w:tcBorders>
                  <w:noWrap w:val="0"/>
                  <w:vAlign w:val="center"/>
                </w:tcPr>
                <w:p w14:paraId="71C4CD82">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40</w:t>
                  </w:r>
                </w:p>
              </w:tc>
              <w:tc>
                <w:tcPr>
                  <w:tcW w:w="446" w:type="pct"/>
                  <w:tcBorders>
                    <w:tl2br w:val="nil"/>
                    <w:tr2bl w:val="nil"/>
                  </w:tcBorders>
                  <w:noWrap w:val="0"/>
                  <w:vAlign w:val="center"/>
                </w:tcPr>
                <w:p w14:paraId="710AAE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0.0215</w:t>
                  </w:r>
                </w:p>
              </w:tc>
              <w:tc>
                <w:tcPr>
                  <w:tcW w:w="375" w:type="pct"/>
                  <w:vMerge w:val="restart"/>
                  <w:tcBorders>
                    <w:tl2br w:val="nil"/>
                    <w:tr2bl w:val="nil"/>
                  </w:tcBorders>
                  <w:noWrap w:val="0"/>
                  <w:vAlign w:val="center"/>
                </w:tcPr>
                <w:p w14:paraId="1590B98B">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沉淀池</w:t>
                  </w:r>
                </w:p>
              </w:tc>
              <w:tc>
                <w:tcPr>
                  <w:tcW w:w="447" w:type="pct"/>
                  <w:vMerge w:val="restart"/>
                  <w:tcBorders>
                    <w:tl2br w:val="nil"/>
                    <w:tr2bl w:val="nil"/>
                  </w:tcBorders>
                  <w:noWrap w:val="0"/>
                  <w:vAlign w:val="center"/>
                </w:tcPr>
                <w:p w14:paraId="66D802D9">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61.44</w:t>
                  </w:r>
                </w:p>
              </w:tc>
              <w:tc>
                <w:tcPr>
                  <w:tcW w:w="526" w:type="pct"/>
                  <w:tcBorders>
                    <w:tl2br w:val="nil"/>
                    <w:tr2bl w:val="nil"/>
                  </w:tcBorders>
                  <w:noWrap w:val="0"/>
                  <w:vAlign w:val="center"/>
                </w:tcPr>
                <w:p w14:paraId="0FD5E9BB">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737" w:type="pct"/>
                  <w:tcBorders>
                    <w:tl2br w:val="nil"/>
                    <w:tr2bl w:val="nil"/>
                  </w:tcBorders>
                  <w:noWrap w:val="0"/>
                  <w:vAlign w:val="center"/>
                </w:tcPr>
                <w:p w14:paraId="23833A34">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0.0025</w:t>
                  </w:r>
                </w:p>
              </w:tc>
              <w:tc>
                <w:tcPr>
                  <w:tcW w:w="737" w:type="pct"/>
                  <w:vMerge w:val="restart"/>
                  <w:tcBorders>
                    <w:tl2br w:val="nil"/>
                    <w:tr2bl w:val="nil"/>
                  </w:tcBorders>
                  <w:noWrap w:val="0"/>
                  <w:vAlign w:val="center"/>
                </w:tcPr>
                <w:p w14:paraId="3CB2EB42">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回用</w:t>
                  </w:r>
                </w:p>
              </w:tc>
            </w:tr>
            <w:tr w14:paraId="088DE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403E4A57">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83" w:type="pct"/>
                  <w:vMerge w:val="continue"/>
                  <w:tcBorders>
                    <w:tl2br w:val="nil"/>
                    <w:tr2bl w:val="nil"/>
                  </w:tcBorders>
                  <w:noWrap w:val="0"/>
                  <w:vAlign w:val="center"/>
                </w:tcPr>
                <w:p w14:paraId="0E4BD8A9">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358" w:type="pct"/>
                  <w:tcBorders>
                    <w:tl2br w:val="nil"/>
                    <w:tr2bl w:val="nil"/>
                  </w:tcBorders>
                  <w:noWrap w:val="0"/>
                  <w:vAlign w:val="center"/>
                </w:tcPr>
                <w:p w14:paraId="48F390E4">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SS</w:t>
                  </w:r>
                </w:p>
              </w:tc>
              <w:tc>
                <w:tcPr>
                  <w:tcW w:w="526" w:type="pct"/>
                  <w:tcBorders>
                    <w:tl2br w:val="nil"/>
                    <w:tr2bl w:val="nil"/>
                  </w:tcBorders>
                  <w:noWrap w:val="0"/>
                  <w:vAlign w:val="center"/>
                </w:tcPr>
                <w:p w14:paraId="1C4112F7">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200</w:t>
                  </w:r>
                </w:p>
              </w:tc>
              <w:tc>
                <w:tcPr>
                  <w:tcW w:w="446" w:type="pct"/>
                  <w:tcBorders>
                    <w:tl2br w:val="nil"/>
                    <w:tr2bl w:val="nil"/>
                  </w:tcBorders>
                  <w:noWrap w:val="0"/>
                  <w:vAlign w:val="center"/>
                </w:tcPr>
                <w:p w14:paraId="255A9A0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0.0123</w:t>
                  </w:r>
                </w:p>
              </w:tc>
              <w:tc>
                <w:tcPr>
                  <w:tcW w:w="375" w:type="pct"/>
                  <w:vMerge w:val="continue"/>
                  <w:tcBorders>
                    <w:tl2br w:val="nil"/>
                    <w:tr2bl w:val="nil"/>
                  </w:tcBorders>
                  <w:noWrap w:val="0"/>
                  <w:vAlign w:val="center"/>
                </w:tcPr>
                <w:p w14:paraId="47B2000B">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47" w:type="pct"/>
                  <w:vMerge w:val="continue"/>
                  <w:tcBorders>
                    <w:tl2br w:val="nil"/>
                    <w:tr2bl w:val="nil"/>
                  </w:tcBorders>
                  <w:noWrap w:val="0"/>
                  <w:vAlign w:val="center"/>
                </w:tcPr>
                <w:p w14:paraId="0229F9D0">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526" w:type="pct"/>
                  <w:tcBorders>
                    <w:tl2br w:val="nil"/>
                    <w:tr2bl w:val="nil"/>
                  </w:tcBorders>
                  <w:noWrap w:val="0"/>
                  <w:vAlign w:val="center"/>
                </w:tcPr>
                <w:p w14:paraId="1C5E821C">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37" w:type="pct"/>
                  <w:tcBorders>
                    <w:tl2br w:val="nil"/>
                    <w:tr2bl w:val="nil"/>
                  </w:tcBorders>
                  <w:noWrap w:val="0"/>
                  <w:vAlign w:val="center"/>
                </w:tcPr>
                <w:p w14:paraId="61E44BB0">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0.003</w:t>
                  </w:r>
                  <w:r>
                    <w:rPr>
                      <w:rFonts w:hint="eastAsia" w:cs="Times New Roman"/>
                      <w:i w:val="0"/>
                      <w:iCs w:val="0"/>
                      <w:color w:val="000000"/>
                      <w:kern w:val="0"/>
                      <w:sz w:val="21"/>
                      <w:szCs w:val="21"/>
                      <w:u w:val="none"/>
                      <w:lang w:val="en-US" w:eastAsia="zh-CN" w:bidi="ar"/>
                    </w:rPr>
                    <w:t>1</w:t>
                  </w:r>
                </w:p>
              </w:tc>
              <w:tc>
                <w:tcPr>
                  <w:tcW w:w="737" w:type="pct"/>
                  <w:vMerge w:val="continue"/>
                  <w:tcBorders>
                    <w:tl2br w:val="nil"/>
                    <w:tr2bl w:val="nil"/>
                  </w:tcBorders>
                  <w:noWrap w:val="0"/>
                  <w:vAlign w:val="center"/>
                </w:tcPr>
                <w:p w14:paraId="358565A4">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00626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2DEE40C3">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83" w:type="pct"/>
                  <w:vMerge w:val="continue"/>
                  <w:tcBorders>
                    <w:tl2br w:val="nil"/>
                    <w:tr2bl w:val="nil"/>
                  </w:tcBorders>
                  <w:noWrap w:val="0"/>
                  <w:vAlign w:val="center"/>
                </w:tcPr>
                <w:p w14:paraId="194E0E33">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358" w:type="pct"/>
                  <w:tcBorders>
                    <w:tl2br w:val="nil"/>
                    <w:tr2bl w:val="nil"/>
                  </w:tcBorders>
                  <w:noWrap w:val="0"/>
                  <w:vAlign w:val="center"/>
                </w:tcPr>
                <w:p w14:paraId="6E6AA8AF">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NH</w:t>
                  </w:r>
                  <w:r>
                    <w:rPr>
                      <w:rFonts w:hint="eastAsia" w:ascii="Times New Roman" w:hAnsi="Times New Roman" w:eastAsia="宋体" w:cs="Times New Roman"/>
                      <w:color w:val="auto"/>
                      <w:vertAlign w:val="subscript"/>
                      <w:lang w:val="en-US" w:eastAsia="zh-CN"/>
                    </w:rPr>
                    <w:t>3</w:t>
                  </w:r>
                  <w:r>
                    <w:rPr>
                      <w:rFonts w:hint="eastAsia" w:ascii="Times New Roman" w:hAnsi="Times New Roman" w:eastAsia="宋体" w:cs="Times New Roman"/>
                      <w:color w:val="auto"/>
                      <w:lang w:val="en-US" w:eastAsia="zh-CN"/>
                    </w:rPr>
                    <w:t>-N</w:t>
                  </w:r>
                </w:p>
              </w:tc>
              <w:tc>
                <w:tcPr>
                  <w:tcW w:w="526" w:type="pct"/>
                  <w:tcBorders>
                    <w:tl2br w:val="nil"/>
                    <w:tr2bl w:val="nil"/>
                  </w:tcBorders>
                  <w:noWrap w:val="0"/>
                  <w:vAlign w:val="center"/>
                </w:tcPr>
                <w:p w14:paraId="70653EFE">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5</w:t>
                  </w:r>
                </w:p>
              </w:tc>
              <w:tc>
                <w:tcPr>
                  <w:tcW w:w="446" w:type="pct"/>
                  <w:tcBorders>
                    <w:tl2br w:val="nil"/>
                    <w:tr2bl w:val="nil"/>
                  </w:tcBorders>
                  <w:noWrap w:val="0"/>
                  <w:vAlign w:val="center"/>
                </w:tcPr>
                <w:p w14:paraId="3A7EA1F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0.0015</w:t>
                  </w:r>
                </w:p>
              </w:tc>
              <w:tc>
                <w:tcPr>
                  <w:tcW w:w="375" w:type="pct"/>
                  <w:vMerge w:val="continue"/>
                  <w:tcBorders>
                    <w:tl2br w:val="nil"/>
                    <w:tr2bl w:val="nil"/>
                  </w:tcBorders>
                  <w:noWrap w:val="0"/>
                  <w:vAlign w:val="center"/>
                </w:tcPr>
                <w:p w14:paraId="07B01C10">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47" w:type="pct"/>
                  <w:vMerge w:val="continue"/>
                  <w:tcBorders>
                    <w:tl2br w:val="nil"/>
                    <w:tr2bl w:val="nil"/>
                  </w:tcBorders>
                  <w:noWrap w:val="0"/>
                  <w:vAlign w:val="center"/>
                </w:tcPr>
                <w:p w14:paraId="09C9908B">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526" w:type="pct"/>
                  <w:tcBorders>
                    <w:tl2br w:val="nil"/>
                    <w:tr2bl w:val="nil"/>
                  </w:tcBorders>
                  <w:noWrap w:val="0"/>
                  <w:vAlign w:val="center"/>
                </w:tcPr>
                <w:p w14:paraId="69BAF60D">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737" w:type="pct"/>
                  <w:tcBorders>
                    <w:tl2br w:val="nil"/>
                    <w:tr2bl w:val="nil"/>
                  </w:tcBorders>
                  <w:noWrap w:val="0"/>
                  <w:vAlign w:val="center"/>
                </w:tcPr>
                <w:p w14:paraId="5DB20875">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0.0003</w:t>
                  </w:r>
                </w:p>
              </w:tc>
              <w:tc>
                <w:tcPr>
                  <w:tcW w:w="737" w:type="pct"/>
                  <w:vMerge w:val="continue"/>
                  <w:tcBorders>
                    <w:tl2br w:val="nil"/>
                    <w:tr2bl w:val="nil"/>
                  </w:tcBorders>
                  <w:noWrap w:val="0"/>
                  <w:vAlign w:val="center"/>
                </w:tcPr>
                <w:p w14:paraId="2594E396">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4A462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restart"/>
                  <w:tcBorders>
                    <w:tl2br w:val="nil"/>
                    <w:tr2bl w:val="nil"/>
                  </w:tcBorders>
                  <w:noWrap w:val="0"/>
                  <w:vAlign w:val="center"/>
                </w:tcPr>
                <w:p w14:paraId="749319EA">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纺丝组件清洗废水</w:t>
                  </w:r>
                </w:p>
              </w:tc>
              <w:tc>
                <w:tcPr>
                  <w:tcW w:w="483" w:type="pct"/>
                  <w:vMerge w:val="restart"/>
                  <w:tcBorders>
                    <w:tl2br w:val="nil"/>
                    <w:tr2bl w:val="nil"/>
                  </w:tcBorders>
                  <w:noWrap w:val="0"/>
                  <w:vAlign w:val="center"/>
                </w:tcPr>
                <w:p w14:paraId="02EB7F81">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14.4</w:t>
                  </w:r>
                </w:p>
              </w:tc>
              <w:tc>
                <w:tcPr>
                  <w:tcW w:w="358" w:type="pct"/>
                  <w:tcBorders>
                    <w:tl2br w:val="nil"/>
                    <w:tr2bl w:val="nil"/>
                  </w:tcBorders>
                  <w:shd w:val="clear" w:color="auto" w:fill="auto"/>
                  <w:noWrap w:val="0"/>
                  <w:vAlign w:val="center"/>
                </w:tcPr>
                <w:p w14:paraId="765CF6A7">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COD</w:t>
                  </w:r>
                </w:p>
              </w:tc>
              <w:tc>
                <w:tcPr>
                  <w:tcW w:w="526" w:type="pct"/>
                  <w:tcBorders>
                    <w:tl2br w:val="nil"/>
                    <w:tr2bl w:val="nil"/>
                  </w:tcBorders>
                  <w:noWrap w:val="0"/>
                  <w:vAlign w:val="center"/>
                </w:tcPr>
                <w:p w14:paraId="0702C68A">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35</w:t>
                  </w:r>
                </w:p>
              </w:tc>
              <w:tc>
                <w:tcPr>
                  <w:tcW w:w="446" w:type="pct"/>
                  <w:tcBorders>
                    <w:tl2br w:val="nil"/>
                    <w:tr2bl w:val="nil"/>
                  </w:tcBorders>
                  <w:noWrap w:val="0"/>
                  <w:vAlign w:val="center"/>
                </w:tcPr>
                <w:p w14:paraId="668C87E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0.06144</w:t>
                  </w:r>
                </w:p>
              </w:tc>
              <w:tc>
                <w:tcPr>
                  <w:tcW w:w="375" w:type="pct"/>
                  <w:vMerge w:val="restart"/>
                  <w:tcBorders>
                    <w:tl2br w:val="nil"/>
                    <w:tr2bl w:val="nil"/>
                  </w:tcBorders>
                  <w:noWrap w:val="0"/>
                  <w:vAlign w:val="center"/>
                </w:tcPr>
                <w:p w14:paraId="41F69F72">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沉淀池</w:t>
                  </w:r>
                </w:p>
              </w:tc>
              <w:tc>
                <w:tcPr>
                  <w:tcW w:w="447" w:type="pct"/>
                  <w:vMerge w:val="restart"/>
                  <w:tcBorders>
                    <w:tl2br w:val="nil"/>
                    <w:tr2bl w:val="nil"/>
                  </w:tcBorders>
                  <w:noWrap w:val="0"/>
                  <w:vAlign w:val="center"/>
                </w:tcPr>
                <w:p w14:paraId="71DF1193">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eastAsia="宋体" w:cs="Times New Roman"/>
                      <w:color w:val="auto"/>
                      <w:kern w:val="2"/>
                      <w:sz w:val="21"/>
                      <w:szCs w:val="24"/>
                      <w:lang w:val="en-US" w:eastAsia="zh-CN" w:bidi="ar-SA"/>
                    </w:rPr>
                    <w:t>14.4</w:t>
                  </w:r>
                </w:p>
              </w:tc>
              <w:tc>
                <w:tcPr>
                  <w:tcW w:w="526" w:type="pct"/>
                  <w:tcBorders>
                    <w:tl2br w:val="nil"/>
                    <w:tr2bl w:val="nil"/>
                  </w:tcBorders>
                  <w:noWrap w:val="0"/>
                  <w:vAlign w:val="center"/>
                </w:tcPr>
                <w:p w14:paraId="5BEA163F">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737" w:type="pct"/>
                  <w:tcBorders>
                    <w:tl2br w:val="nil"/>
                    <w:tr2bl w:val="nil"/>
                  </w:tcBorders>
                  <w:noWrap w:val="0"/>
                  <w:vAlign w:val="center"/>
                </w:tcPr>
                <w:p w14:paraId="0DC964A3">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0.0005</w:t>
                  </w:r>
                </w:p>
              </w:tc>
              <w:tc>
                <w:tcPr>
                  <w:tcW w:w="737" w:type="pct"/>
                  <w:vMerge w:val="restart"/>
                  <w:tcBorders>
                    <w:tl2br w:val="nil"/>
                    <w:tr2bl w:val="nil"/>
                  </w:tcBorders>
                  <w:noWrap w:val="0"/>
                  <w:vAlign w:val="center"/>
                </w:tcPr>
                <w:p w14:paraId="15CAE85A">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回用</w:t>
                  </w:r>
                </w:p>
              </w:tc>
            </w:tr>
            <w:tr w14:paraId="13251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26C59B02">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83" w:type="pct"/>
                  <w:vMerge w:val="continue"/>
                  <w:tcBorders>
                    <w:tl2br w:val="nil"/>
                    <w:tr2bl w:val="nil"/>
                  </w:tcBorders>
                  <w:noWrap w:val="0"/>
                  <w:vAlign w:val="center"/>
                </w:tcPr>
                <w:p w14:paraId="1CF0F208">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358" w:type="pct"/>
                  <w:tcBorders>
                    <w:tl2br w:val="nil"/>
                    <w:tr2bl w:val="nil"/>
                  </w:tcBorders>
                  <w:shd w:val="clear" w:color="auto" w:fill="auto"/>
                  <w:noWrap w:val="0"/>
                  <w:vAlign w:val="center"/>
                </w:tcPr>
                <w:p w14:paraId="5E772176">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SS</w:t>
                  </w:r>
                </w:p>
              </w:tc>
              <w:tc>
                <w:tcPr>
                  <w:tcW w:w="526" w:type="pct"/>
                  <w:tcBorders>
                    <w:tl2br w:val="nil"/>
                    <w:tr2bl w:val="nil"/>
                  </w:tcBorders>
                  <w:noWrap w:val="0"/>
                  <w:vAlign w:val="center"/>
                </w:tcPr>
                <w:p w14:paraId="0A4DD20C">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200</w:t>
                  </w:r>
                </w:p>
              </w:tc>
              <w:tc>
                <w:tcPr>
                  <w:tcW w:w="446" w:type="pct"/>
                  <w:tcBorders>
                    <w:tl2br w:val="nil"/>
                    <w:tr2bl w:val="nil"/>
                  </w:tcBorders>
                  <w:noWrap w:val="0"/>
                  <w:vAlign w:val="center"/>
                </w:tcPr>
                <w:p w14:paraId="407876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0.00144</w:t>
                  </w:r>
                </w:p>
              </w:tc>
              <w:tc>
                <w:tcPr>
                  <w:tcW w:w="375" w:type="pct"/>
                  <w:vMerge w:val="continue"/>
                  <w:tcBorders>
                    <w:tl2br w:val="nil"/>
                    <w:tr2bl w:val="nil"/>
                  </w:tcBorders>
                  <w:noWrap w:val="0"/>
                  <w:vAlign w:val="center"/>
                </w:tcPr>
                <w:p w14:paraId="5BCF3C82">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47" w:type="pct"/>
                  <w:vMerge w:val="continue"/>
                  <w:tcBorders>
                    <w:tl2br w:val="nil"/>
                    <w:tr2bl w:val="nil"/>
                  </w:tcBorders>
                  <w:noWrap w:val="0"/>
                  <w:vAlign w:val="center"/>
                </w:tcPr>
                <w:p w14:paraId="6605086D">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526" w:type="pct"/>
                  <w:tcBorders>
                    <w:tl2br w:val="nil"/>
                    <w:tr2bl w:val="nil"/>
                  </w:tcBorders>
                  <w:noWrap w:val="0"/>
                  <w:vAlign w:val="center"/>
                </w:tcPr>
                <w:p w14:paraId="3834ABA9">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37" w:type="pct"/>
                  <w:tcBorders>
                    <w:tl2br w:val="nil"/>
                    <w:tr2bl w:val="nil"/>
                  </w:tcBorders>
                  <w:noWrap w:val="0"/>
                  <w:vAlign w:val="center"/>
                </w:tcPr>
                <w:p w14:paraId="63ED2350">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0.0007</w:t>
                  </w:r>
                </w:p>
              </w:tc>
              <w:tc>
                <w:tcPr>
                  <w:tcW w:w="737" w:type="pct"/>
                  <w:vMerge w:val="continue"/>
                  <w:tcBorders>
                    <w:tl2br w:val="nil"/>
                    <w:tr2bl w:val="nil"/>
                  </w:tcBorders>
                  <w:noWrap w:val="0"/>
                  <w:vAlign w:val="center"/>
                </w:tcPr>
                <w:p w14:paraId="2A1D8B30">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r w14:paraId="48960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60" w:type="pct"/>
                  <w:vMerge w:val="continue"/>
                  <w:tcBorders>
                    <w:tl2br w:val="nil"/>
                    <w:tr2bl w:val="nil"/>
                  </w:tcBorders>
                  <w:noWrap w:val="0"/>
                  <w:vAlign w:val="center"/>
                </w:tcPr>
                <w:p w14:paraId="1C8B9B06">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83" w:type="pct"/>
                  <w:vMerge w:val="continue"/>
                  <w:tcBorders>
                    <w:tl2br w:val="nil"/>
                    <w:tr2bl w:val="nil"/>
                  </w:tcBorders>
                  <w:noWrap w:val="0"/>
                  <w:vAlign w:val="center"/>
                </w:tcPr>
                <w:p w14:paraId="0AF970F6">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358" w:type="pct"/>
                  <w:tcBorders>
                    <w:tl2br w:val="nil"/>
                    <w:tr2bl w:val="nil"/>
                  </w:tcBorders>
                  <w:shd w:val="clear" w:color="auto" w:fill="auto"/>
                  <w:noWrap w:val="0"/>
                  <w:vAlign w:val="center"/>
                </w:tcPr>
                <w:p w14:paraId="529313E8">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lang w:val="en-US" w:eastAsia="zh-CN"/>
                    </w:rPr>
                    <w:t>NH</w:t>
                  </w:r>
                  <w:r>
                    <w:rPr>
                      <w:rFonts w:hint="eastAsia" w:ascii="Times New Roman" w:hAnsi="Times New Roman" w:eastAsia="宋体" w:cs="Times New Roman"/>
                      <w:color w:val="auto"/>
                      <w:vertAlign w:val="subscript"/>
                      <w:lang w:val="en-US" w:eastAsia="zh-CN"/>
                    </w:rPr>
                    <w:t>3</w:t>
                  </w:r>
                  <w:r>
                    <w:rPr>
                      <w:rFonts w:hint="eastAsia" w:ascii="Times New Roman" w:hAnsi="Times New Roman" w:eastAsia="宋体" w:cs="Times New Roman"/>
                      <w:color w:val="auto"/>
                      <w:lang w:val="en-US" w:eastAsia="zh-CN"/>
                    </w:rPr>
                    <w:t>-N</w:t>
                  </w:r>
                </w:p>
              </w:tc>
              <w:tc>
                <w:tcPr>
                  <w:tcW w:w="526" w:type="pct"/>
                  <w:tcBorders>
                    <w:tl2br w:val="nil"/>
                    <w:tr2bl w:val="nil"/>
                  </w:tcBorders>
                  <w:shd w:val="clear" w:color="auto" w:fill="auto"/>
                  <w:noWrap w:val="0"/>
                  <w:vAlign w:val="center"/>
                </w:tcPr>
                <w:p w14:paraId="6B7403E8">
                  <w:pPr>
                    <w:keepNext w:val="0"/>
                    <w:keepLines w:val="0"/>
                    <w:pageBreakBefore w:val="0"/>
                    <w:kinsoku/>
                    <w:wordWrap/>
                    <w:overflowPunct/>
                    <w:topLinePunct w:val="0"/>
                    <w:autoSpaceDE/>
                    <w:autoSpaceDN/>
                    <w:bidi w:val="0"/>
                    <w:adjustRightInd w:val="0"/>
                    <w:snapToGrid w:val="0"/>
                    <w:spacing w:beforeAutospacing="0"/>
                    <w:ind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4</w:t>
                  </w:r>
                </w:p>
              </w:tc>
              <w:tc>
                <w:tcPr>
                  <w:tcW w:w="446" w:type="pct"/>
                  <w:tcBorders>
                    <w:tl2br w:val="nil"/>
                    <w:tr2bl w:val="nil"/>
                  </w:tcBorders>
                  <w:noWrap w:val="0"/>
                  <w:vAlign w:val="center"/>
                </w:tcPr>
                <w:p w14:paraId="1AFC65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0.00288</w:t>
                  </w:r>
                </w:p>
              </w:tc>
              <w:tc>
                <w:tcPr>
                  <w:tcW w:w="375" w:type="pct"/>
                  <w:vMerge w:val="continue"/>
                  <w:tcBorders>
                    <w:tl2br w:val="nil"/>
                    <w:tr2bl w:val="nil"/>
                  </w:tcBorders>
                  <w:noWrap w:val="0"/>
                  <w:vAlign w:val="center"/>
                </w:tcPr>
                <w:p w14:paraId="1EDD7232">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447" w:type="pct"/>
                  <w:vMerge w:val="continue"/>
                  <w:tcBorders>
                    <w:tl2br w:val="nil"/>
                    <w:tr2bl w:val="nil"/>
                  </w:tcBorders>
                  <w:noWrap w:val="0"/>
                  <w:vAlign w:val="center"/>
                </w:tcPr>
                <w:p w14:paraId="4AB7C941">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c>
                <w:tcPr>
                  <w:tcW w:w="526" w:type="pct"/>
                  <w:tcBorders>
                    <w:tl2br w:val="nil"/>
                    <w:tr2bl w:val="nil"/>
                  </w:tcBorders>
                  <w:noWrap w:val="0"/>
                  <w:vAlign w:val="center"/>
                </w:tcPr>
                <w:p w14:paraId="53F8E843">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737" w:type="pct"/>
                  <w:tcBorders>
                    <w:tl2br w:val="nil"/>
                    <w:tr2bl w:val="nil"/>
                  </w:tcBorders>
                  <w:noWrap w:val="0"/>
                  <w:vAlign w:val="center"/>
                </w:tcPr>
                <w:p w14:paraId="40150407">
                  <w:pPr>
                    <w:keepNext w:val="0"/>
                    <w:keepLines w:val="0"/>
                    <w:widowControl/>
                    <w:suppressLineNumbers w:val="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0.00006</w:t>
                  </w:r>
                </w:p>
              </w:tc>
              <w:tc>
                <w:tcPr>
                  <w:tcW w:w="737" w:type="pct"/>
                  <w:vMerge w:val="continue"/>
                  <w:tcBorders>
                    <w:tl2br w:val="nil"/>
                    <w:tr2bl w:val="nil"/>
                  </w:tcBorders>
                  <w:noWrap w:val="0"/>
                  <w:vAlign w:val="center"/>
                </w:tcPr>
                <w:p w14:paraId="6A465D98">
                  <w:pPr>
                    <w:pStyle w:val="95"/>
                    <w:keepNext w:val="0"/>
                    <w:keepLines w:val="0"/>
                    <w:pageBreakBefore w:val="0"/>
                    <w:widowControl w:val="0"/>
                    <w:kinsoku/>
                    <w:wordWrap/>
                    <w:overflowPunct/>
                    <w:topLinePunct w:val="0"/>
                    <w:autoSpaceDE/>
                    <w:autoSpaceDN/>
                    <w:bidi w:val="0"/>
                    <w:adjustRightInd w:val="0"/>
                    <w:snapToGrid w:val="0"/>
                    <w:spacing w:before="0" w:beforeAutospacing="0" w:after="0"/>
                    <w:ind w:firstLine="0" w:firstLineChars="0"/>
                    <w:textAlignment w:val="auto"/>
                    <w:rPr>
                      <w:rFonts w:hint="default" w:ascii="Times New Roman" w:hAnsi="Times New Roman" w:eastAsia="宋体" w:cs="Times New Roman"/>
                      <w:color w:val="auto"/>
                      <w:kern w:val="2"/>
                      <w:sz w:val="21"/>
                      <w:szCs w:val="24"/>
                      <w:lang w:val="en-US" w:eastAsia="zh-CN" w:bidi="ar-SA"/>
                    </w:rPr>
                  </w:pPr>
                </w:p>
              </w:tc>
            </w:tr>
          </w:tbl>
          <w:p w14:paraId="7FBA94B0">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3、</w:t>
            </w:r>
            <w:r>
              <w:rPr>
                <w:rFonts w:hint="eastAsia" w:eastAsia="黑体" w:cs="Times New Roman"/>
                <w:b w:val="0"/>
                <w:bCs w:val="0"/>
                <w:color w:val="auto"/>
                <w:sz w:val="24"/>
                <w:szCs w:val="24"/>
                <w:highlight w:val="none"/>
                <w:lang w:val="en-US" w:eastAsia="zh-CN"/>
              </w:rPr>
              <w:t>沉淀池处理及废水回用、不外排</w:t>
            </w:r>
            <w:r>
              <w:rPr>
                <w:rFonts w:hint="eastAsia" w:ascii="Times New Roman" w:hAnsi="Times New Roman" w:eastAsia="黑体" w:cs="Times New Roman"/>
                <w:b w:val="0"/>
                <w:bCs w:val="0"/>
                <w:color w:val="auto"/>
                <w:sz w:val="24"/>
                <w:szCs w:val="24"/>
                <w:highlight w:val="none"/>
                <w:lang w:val="en-US" w:eastAsia="zh-CN"/>
              </w:rPr>
              <w:t>可行性分析</w:t>
            </w:r>
          </w:p>
          <w:p w14:paraId="62A5EEA1">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b w:val="0"/>
                <w:bCs w:val="0"/>
                <w:color w:val="auto"/>
                <w:sz w:val="24"/>
                <w:szCs w:val="24"/>
                <w:highlight w:val="none"/>
                <w:lang w:val="en-US" w:eastAsia="zh-CN"/>
              </w:rPr>
              <w:t>本项目在营运期产生的生产废水包括</w:t>
            </w:r>
            <w:r>
              <w:rPr>
                <w:rFonts w:hint="eastAsia" w:ascii="Times New Roman" w:hAnsi="Times New Roman" w:eastAsia="宋体" w:cs="Times New Roman"/>
                <w:b w:val="0"/>
                <w:bCs w:val="0"/>
                <w:color w:val="auto"/>
                <w:sz w:val="24"/>
                <w:szCs w:val="24"/>
                <w:highlight w:val="none"/>
                <w:lang w:val="en-US" w:eastAsia="zh-CN"/>
              </w:rPr>
              <w:t>洗丝</w:t>
            </w:r>
            <w:r>
              <w:rPr>
                <w:rFonts w:hint="eastAsia" w:cs="Times New Roman"/>
                <w:color w:val="auto"/>
                <w:kern w:val="2"/>
                <w:sz w:val="24"/>
                <w:szCs w:val="22"/>
                <w:lang w:val="en-US" w:eastAsia="zh-CN" w:bidi="ar-SA"/>
              </w:rPr>
              <w:t>废水、甩干废水、纺丝组件清洗废水，洗丝废水、甩干废水经沉淀池处理后回用于洗丝工序，纺丝组件清洗废水经沉淀池处理后回用于纺丝组件清洗，洗丝用水、纺丝组件清洗用水对水质要求不高。因此，此部分水可回用，不外排。</w:t>
            </w:r>
            <w:r>
              <w:rPr>
                <w:rFonts w:hint="default" w:ascii="Times New Roman" w:hAnsi="Times New Roman" w:eastAsia="宋体" w:cs="Times New Roman"/>
                <w:b w:val="0"/>
                <w:bCs w:val="0"/>
                <w:color w:val="auto"/>
                <w:sz w:val="24"/>
                <w:szCs w:val="24"/>
                <w:highlight w:val="none"/>
                <w:lang w:val="en-US" w:eastAsia="zh-CN"/>
              </w:rPr>
              <w:t>本项目共产生废水</w:t>
            </w:r>
            <w:r>
              <w:rPr>
                <w:rFonts w:hint="eastAsia" w:ascii="Times New Roman" w:hAnsi="Times New Roman" w:eastAsia="宋体" w:cs="Times New Roman"/>
                <w:b w:val="0"/>
                <w:bCs w:val="0"/>
                <w:color w:val="auto"/>
                <w:sz w:val="24"/>
                <w:szCs w:val="24"/>
                <w:highlight w:val="none"/>
                <w:lang w:val="en-US" w:eastAsia="zh-CN"/>
              </w:rPr>
              <w:t>321.6</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/a（0.0</w:t>
            </w:r>
            <w:r>
              <w:rPr>
                <w:rFonts w:hint="eastAsia" w:ascii="Times New Roman" w:hAnsi="Times New Roman" w:eastAsia="宋体" w:cs="Times New Roman"/>
                <w:b w:val="0"/>
                <w:bCs w:val="0"/>
                <w:color w:val="auto"/>
                <w:sz w:val="24"/>
                <w:szCs w:val="24"/>
                <w:highlight w:val="none"/>
                <w:lang w:val="en-US" w:eastAsia="zh-CN"/>
              </w:rPr>
              <w:t>447</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/h），厂内污水处理系统的处理规模为0.5m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/h</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可满足拟建工程的需求。</w:t>
            </w:r>
            <w:r>
              <w:rPr>
                <w:rFonts w:hint="eastAsia" w:ascii="Times New Roman" w:hAnsi="Times New Roman" w:eastAsia="宋体" w:cs="Times New Roman"/>
                <w:b w:val="0"/>
                <w:bCs w:val="0"/>
                <w:color w:val="auto"/>
                <w:sz w:val="24"/>
                <w:szCs w:val="24"/>
                <w:highlight w:val="none"/>
                <w:lang w:val="en-US" w:eastAsia="zh-CN"/>
              </w:rPr>
              <w:t>厂区沉淀池水处理工艺为</w:t>
            </w:r>
            <w:r>
              <w:rPr>
                <w:rFonts w:hint="default" w:ascii="Times New Roman" w:hAnsi="Times New Roman" w:eastAsia="宋体" w:cs="Times New Roman"/>
                <w:b w:val="0"/>
                <w:bCs w:val="0"/>
                <w:color w:val="auto"/>
                <w:sz w:val="24"/>
                <w:szCs w:val="24"/>
                <w:highlight w:val="none"/>
                <w:lang w:val="en-US" w:eastAsia="zh-CN"/>
              </w:rPr>
              <w:t>絮凝沉淀，</w:t>
            </w:r>
            <w:r>
              <w:rPr>
                <w:rFonts w:hint="eastAsia" w:ascii="Times New Roman" w:hAnsi="Times New Roman" w:eastAsia="宋体" w:cs="Times New Roman"/>
                <w:b w:val="0"/>
                <w:bCs w:val="0"/>
                <w:color w:val="auto"/>
                <w:sz w:val="24"/>
                <w:szCs w:val="24"/>
                <w:highlight w:val="none"/>
                <w:lang w:val="en-US" w:eastAsia="zh-CN"/>
              </w:rPr>
              <w:t>处理后水质满足</w:t>
            </w:r>
            <w:r>
              <w:rPr>
                <w:rFonts w:hint="default" w:ascii="Times New Roman" w:hAnsi="Times New Roman" w:eastAsia="宋体" w:cs="Times New Roman"/>
                <w:b w:val="0"/>
                <w:bCs w:val="0"/>
                <w:color w:val="auto"/>
                <w:sz w:val="24"/>
                <w:szCs w:val="24"/>
                <w:highlight w:val="none"/>
                <w:lang w:val="en-US" w:eastAsia="zh-CN"/>
              </w:rPr>
              <w:t>满足《城市污水再生利用 工业用水水质》（</w:t>
            </w:r>
            <w:r>
              <w:rPr>
                <w:rFonts w:hint="default" w:ascii="Times New Roman" w:hAnsi="Times New Roman" w:eastAsia="宋体" w:cs="Times New Roman"/>
                <w:color w:val="auto"/>
                <w:kern w:val="2"/>
                <w:sz w:val="24"/>
                <w:szCs w:val="22"/>
                <w:lang w:val="en-US" w:eastAsia="zh-CN" w:bidi="ar-SA"/>
              </w:rPr>
              <w:t>GB/T 19923-2024）表1中</w:t>
            </w:r>
            <w:r>
              <w:rPr>
                <w:rFonts w:hint="eastAsia" w:ascii="Times New Roman" w:hAnsi="Times New Roman" w:eastAsia="宋体" w:cs="Times New Roman"/>
                <w:color w:val="auto"/>
                <w:kern w:val="2"/>
                <w:sz w:val="24"/>
                <w:szCs w:val="22"/>
                <w:lang w:val="en-US" w:eastAsia="zh-CN" w:bidi="ar-SA"/>
              </w:rPr>
              <w:t>工艺用水</w:t>
            </w:r>
            <w:r>
              <w:rPr>
                <w:rFonts w:hint="default" w:ascii="Times New Roman" w:hAnsi="Times New Roman" w:eastAsia="宋体" w:cs="Times New Roman"/>
                <w:color w:val="auto"/>
                <w:kern w:val="2"/>
                <w:sz w:val="24"/>
                <w:szCs w:val="22"/>
                <w:lang w:val="en-US" w:eastAsia="zh-CN" w:bidi="ar-SA"/>
              </w:rPr>
              <w:t>限值要求。</w:t>
            </w:r>
          </w:p>
          <w:p w14:paraId="1BCB0EE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工艺流程简述：</w:t>
            </w:r>
          </w:p>
          <w:p w14:paraId="0A88C8F0">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废水进入沉淀池，投</w:t>
            </w:r>
            <w:r>
              <w:rPr>
                <w:rFonts w:hint="eastAsia" w:ascii="Times New Roman" w:hAnsi="Times New Roman" w:eastAsia="宋体" w:cs="Times New Roman"/>
                <w:b w:val="0"/>
                <w:bCs w:val="0"/>
                <w:color w:val="auto"/>
                <w:sz w:val="24"/>
                <w:szCs w:val="24"/>
                <w:highlight w:val="none"/>
                <w:lang w:val="en-US" w:eastAsia="zh-CN"/>
              </w:rPr>
              <w:t>加</w:t>
            </w:r>
            <w:r>
              <w:rPr>
                <w:rFonts w:hint="default" w:ascii="Times New Roman" w:hAnsi="Times New Roman" w:eastAsia="宋体" w:cs="Times New Roman"/>
                <w:b w:val="0"/>
                <w:bCs w:val="0"/>
                <w:color w:val="auto"/>
                <w:sz w:val="24"/>
                <w:szCs w:val="24"/>
                <w:highlight w:val="none"/>
                <w:lang w:val="en-US" w:eastAsia="zh-CN"/>
              </w:rPr>
              <w:t>PAC（聚合氯化铝）</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PAM（聚丙烯酰胺）</w:t>
            </w:r>
            <w:r>
              <w:rPr>
                <w:rFonts w:hint="eastAsia" w:ascii="Arial" w:hAnsi="Arial" w:eastAsia="宋体" w:cs="Arial"/>
                <w:i w:val="0"/>
                <w:iCs w:val="0"/>
                <w:caps w:val="0"/>
                <w:color w:val="333333"/>
                <w:spacing w:val="0"/>
                <w:sz w:val="24"/>
                <w:szCs w:val="24"/>
                <w:shd w:val="clear" w:fill="FFFFFF"/>
                <w:lang w:eastAsia="zh-CN"/>
              </w:rPr>
              <w:t>，</w:t>
            </w:r>
            <w:r>
              <w:rPr>
                <w:rFonts w:hint="eastAsia" w:ascii="Arial" w:hAnsi="Arial" w:eastAsia="宋体" w:cs="Arial"/>
                <w:i w:val="0"/>
                <w:iCs w:val="0"/>
                <w:caps w:val="0"/>
                <w:color w:val="333333"/>
                <w:spacing w:val="0"/>
                <w:sz w:val="24"/>
                <w:szCs w:val="24"/>
                <w:shd w:val="clear" w:fill="FFFFFF"/>
                <w:lang w:val="en-US" w:eastAsia="zh-CN"/>
              </w:rPr>
              <w:t>废水</w:t>
            </w:r>
            <w:r>
              <w:rPr>
                <w:rFonts w:hint="eastAsia" w:ascii="Times New Roman" w:hAnsi="Times New Roman" w:eastAsia="宋体" w:cs="Times New Roman"/>
                <w:color w:val="auto"/>
                <w:sz w:val="24"/>
                <w:szCs w:val="24"/>
                <w:highlight w:val="none"/>
                <w:lang w:val="en-US" w:eastAsia="zh-CN"/>
              </w:rPr>
              <w:t>与药剂充分混合，形成的沉淀物在高分子絮凝剂的吸附架桥作用下形成较大的沉淀花从水中析出。沉淀池</w:t>
            </w:r>
            <w:r>
              <w:rPr>
                <w:rFonts w:ascii="Arial" w:hAnsi="Arial" w:eastAsia="Arial" w:cs="Arial"/>
                <w:i w:val="0"/>
                <w:iCs w:val="0"/>
                <w:caps w:val="0"/>
                <w:color w:val="333333"/>
                <w:spacing w:val="0"/>
                <w:sz w:val="24"/>
                <w:szCs w:val="24"/>
                <w:shd w:val="clear" w:fill="FFFFFF"/>
              </w:rPr>
              <w:t>采用斜管沉淀池，表面负荷</w:t>
            </w:r>
            <w:r>
              <w:rPr>
                <w:rFonts w:hint="eastAsia" w:ascii="Arial" w:hAnsi="Arial" w:eastAsia="宋体" w:cs="Arial"/>
                <w:i w:val="0"/>
                <w:iCs w:val="0"/>
                <w:caps w:val="0"/>
                <w:color w:val="333333"/>
                <w:spacing w:val="0"/>
                <w:sz w:val="24"/>
                <w:szCs w:val="24"/>
                <w:shd w:val="clear" w:fill="FFFFFF"/>
                <w:lang w:val="en-US" w:eastAsia="zh-CN"/>
              </w:rPr>
              <w:t>定量</w:t>
            </w:r>
            <w:r>
              <w:rPr>
                <w:rFonts w:ascii="Arial" w:hAnsi="Arial" w:eastAsia="Arial" w:cs="Arial"/>
                <w:i w:val="0"/>
                <w:iCs w:val="0"/>
                <w:caps w:val="0"/>
                <w:color w:val="333333"/>
                <w:spacing w:val="0"/>
                <w:sz w:val="24"/>
                <w:szCs w:val="24"/>
                <w:shd w:val="clear" w:fill="FFFFFF"/>
              </w:rPr>
              <w:t>控制</w:t>
            </w:r>
            <w:r>
              <w:rPr>
                <w:rFonts w:hint="eastAsia" w:ascii="Times New Roman" w:hAnsi="Times New Roman" w:eastAsia="宋体" w:cs="Times New Roman"/>
                <w:color w:val="auto"/>
                <w:sz w:val="24"/>
                <w:szCs w:val="24"/>
                <w:highlight w:val="none"/>
                <w:lang w:val="en-US" w:eastAsia="zh-CN"/>
              </w:rPr>
              <w:t>，沉淀时间30-40分钟，通过斜管拦截磨尖粉尘、煅烧灰等细颗粒，</w:t>
            </w:r>
            <w:r>
              <w:rPr>
                <w:rFonts w:ascii="Arial" w:hAnsi="Arial" w:eastAsia="Arial" w:cs="Arial"/>
                <w:i w:val="0"/>
                <w:iCs w:val="0"/>
                <w:caps w:val="0"/>
                <w:color w:val="333333"/>
                <w:spacing w:val="0"/>
                <w:sz w:val="24"/>
                <w:szCs w:val="24"/>
                <w:shd w:val="clear" w:fill="FFFFFF"/>
              </w:rPr>
              <w:t>底部设置栅条刮泥机，</w:t>
            </w:r>
            <w:r>
              <w:rPr>
                <w:rFonts w:hint="eastAsia" w:ascii="Times New Roman" w:hAnsi="Times New Roman" w:eastAsia="宋体" w:cs="Times New Roman"/>
                <w:color w:val="auto"/>
                <w:sz w:val="24"/>
                <w:szCs w:val="24"/>
                <w:highlight w:val="none"/>
                <w:lang w:val="en-US" w:eastAsia="zh-CN"/>
              </w:rPr>
              <w:t>污泥定期清理，部分污泥可回流至混凝区增强絮凝效果，回流比约为5%。</w:t>
            </w:r>
          </w:p>
          <w:p w14:paraId="3764B5B0">
            <w:pPr>
              <w:pStyle w:val="130"/>
              <w:keepNext w:val="0"/>
              <w:keepLines w:val="0"/>
              <w:pageBreakBefore w:val="0"/>
              <w:widowControl w:val="0"/>
              <w:kinsoku/>
              <w:wordWrap/>
              <w:overflowPunct/>
              <w:topLinePunct w:val="0"/>
              <w:autoSpaceDE/>
              <w:autoSpaceDN/>
              <w:bidi w:val="0"/>
              <w:adjustRightInd/>
              <w:snapToGrid/>
              <w:spacing w:before="47" w:line="360" w:lineRule="auto"/>
              <w:ind w:left="107" w:right="77" w:firstLine="484"/>
              <w:textAlignment w:val="auto"/>
              <w:rPr>
                <w:rFonts w:hint="default" w:ascii="宋体" w:hAnsi="宋体" w:eastAsia="宋体" w:cs="Times New Roman"/>
                <w:color w:val="auto"/>
                <w:kern w:val="2"/>
                <w:sz w:val="24"/>
                <w:szCs w:val="22"/>
                <w:lang w:val="en-US" w:eastAsia="zh-CN" w:bidi="ar-SA"/>
              </w:rPr>
            </w:pPr>
            <w:r>
              <w:rPr>
                <w:rFonts w:hint="eastAsia" w:ascii="Times New Roman" w:hAnsi="Times New Roman" w:eastAsia="宋体" w:cs="Times New Roman"/>
                <w:color w:val="auto"/>
                <w:kern w:val="2"/>
                <w:sz w:val="24"/>
                <w:szCs w:val="24"/>
                <w:lang w:val="en-US" w:eastAsia="zh-CN" w:bidi="ar-SA"/>
              </w:rPr>
              <w:t>本项目</w:t>
            </w:r>
            <w:r>
              <w:rPr>
                <w:rFonts w:hint="eastAsia" w:ascii="Times New Roman" w:hAnsi="Times New Roman" w:eastAsia="宋体" w:cs="Times New Roman"/>
                <w:b w:val="0"/>
                <w:bCs w:val="0"/>
                <w:color w:val="auto"/>
                <w:sz w:val="24"/>
                <w:szCs w:val="24"/>
                <w:highlight w:val="none"/>
                <w:lang w:val="en-US" w:eastAsia="zh-CN"/>
              </w:rPr>
              <w:t>洗丝</w:t>
            </w:r>
            <w:r>
              <w:rPr>
                <w:rFonts w:hint="eastAsia" w:cs="Times New Roman"/>
                <w:color w:val="auto"/>
                <w:kern w:val="2"/>
                <w:sz w:val="24"/>
                <w:szCs w:val="22"/>
                <w:lang w:val="en-US" w:eastAsia="zh-CN" w:bidi="ar-SA"/>
              </w:rPr>
              <w:t>废水、甩干废水、纺丝组件清洗废水</w:t>
            </w:r>
            <w:r>
              <w:rPr>
                <w:rFonts w:hint="eastAsia" w:ascii="Times New Roman" w:hAnsi="Times New Roman" w:eastAsia="宋体" w:cs="Times New Roman"/>
                <w:color w:val="auto"/>
                <w:kern w:val="2"/>
                <w:sz w:val="24"/>
                <w:szCs w:val="24"/>
                <w:lang w:val="en-US" w:eastAsia="zh-CN" w:bidi="ar-SA"/>
              </w:rPr>
              <w:t>主要污染物为悬浮物、COD、氨氮等，</w:t>
            </w:r>
            <w:r>
              <w:rPr>
                <w:rFonts w:hint="eastAsia" w:ascii="Segoe UI" w:hAnsi="Segoe UI" w:cs="Segoe UI"/>
                <w:i w:val="0"/>
                <w:iCs w:val="0"/>
                <w:caps w:val="0"/>
                <w:color w:val="404040"/>
                <w:spacing w:val="0"/>
                <w:sz w:val="24"/>
                <w:szCs w:val="24"/>
                <w:lang w:val="en-US" w:eastAsia="zh-CN"/>
              </w:rPr>
              <w:t>絮凝沉淀通过向水中投加絮凝剂</w:t>
            </w:r>
            <w:r>
              <w:rPr>
                <w:rFonts w:ascii="Segoe UI" w:hAnsi="Segoe UI" w:eastAsia="Segoe UI" w:cs="Segoe UI"/>
                <w:i w:val="0"/>
                <w:iCs w:val="0"/>
                <w:caps w:val="0"/>
                <w:color w:val="404040"/>
                <w:spacing w:val="0"/>
                <w:sz w:val="24"/>
                <w:szCs w:val="24"/>
              </w:rPr>
              <w:t>使悬浮物和金属氢氧化物形成较大絮体，通过沉淀分离</w:t>
            </w:r>
            <w:r>
              <w:rPr>
                <w:rFonts w:hint="eastAsia" w:ascii="Segoe UI" w:hAnsi="Segoe UI" w:cs="Segoe UI"/>
                <w:i w:val="0"/>
                <w:iCs w:val="0"/>
                <w:caps w:val="0"/>
                <w:color w:val="404040"/>
                <w:spacing w:val="0"/>
                <w:sz w:val="24"/>
                <w:szCs w:val="24"/>
                <w:lang w:eastAsia="zh-CN"/>
              </w:rPr>
              <w:t>，</w:t>
            </w:r>
            <w:r>
              <w:rPr>
                <w:rFonts w:hint="eastAsia" w:ascii="Segoe UI" w:hAnsi="Segoe UI" w:cs="Segoe UI"/>
                <w:i w:val="0"/>
                <w:iCs w:val="0"/>
                <w:caps w:val="0"/>
                <w:color w:val="404040"/>
                <w:spacing w:val="0"/>
                <w:sz w:val="24"/>
                <w:szCs w:val="24"/>
                <w:lang w:val="en-US" w:eastAsia="zh-CN"/>
              </w:rPr>
              <w:t>反应后的</w:t>
            </w:r>
            <w:r>
              <w:rPr>
                <w:rFonts w:hint="eastAsia" w:ascii="Times New Roman" w:hAnsi="Times New Roman" w:eastAsia="宋体" w:cs="Times New Roman"/>
                <w:color w:val="auto"/>
                <w:sz w:val="24"/>
                <w:szCs w:val="24"/>
                <w:highlight w:val="none"/>
                <w:lang w:val="en-US" w:eastAsia="zh-CN"/>
              </w:rPr>
              <w:t>泥液，由隔膜泵打至压滤机进行压滤，实现泥</w:t>
            </w:r>
            <w:r>
              <w:rPr>
                <w:rFonts w:hint="eastAsia" w:ascii="Times New Roman" w:hAnsi="Times New Roman" w:eastAsia="宋体" w:cs="Times New Roman"/>
                <w:color w:val="auto"/>
                <w:kern w:val="2"/>
                <w:sz w:val="24"/>
                <w:szCs w:val="24"/>
                <w:lang w:val="en-US" w:eastAsia="zh-CN" w:bidi="ar-SA"/>
              </w:rPr>
              <w:t>水分离。污泥作为危险废物，交给有资质的单位处置。根据表4-6可知，经絮凝沉淀处理后的废水水质能够满足《城市污水再生利用 工业用水水质》（GB/T 19923-2024）表1中</w:t>
            </w:r>
            <w:r>
              <w:rPr>
                <w:rFonts w:hint="eastAsia" w:ascii="宋体" w:hAnsi="宋体" w:eastAsia="宋体" w:cs="Times New Roman"/>
                <w:color w:val="auto"/>
                <w:kern w:val="2"/>
                <w:sz w:val="24"/>
                <w:szCs w:val="22"/>
                <w:lang w:val="en-US" w:eastAsia="zh-CN" w:bidi="ar-SA"/>
              </w:rPr>
              <w:t>工艺用水</w:t>
            </w:r>
            <w:r>
              <w:rPr>
                <w:rFonts w:hint="default" w:ascii="宋体" w:hAnsi="宋体" w:eastAsia="宋体" w:cs="Times New Roman"/>
                <w:color w:val="auto"/>
                <w:kern w:val="2"/>
                <w:sz w:val="24"/>
                <w:szCs w:val="22"/>
                <w:lang w:val="en-US" w:eastAsia="zh-CN" w:bidi="ar-SA"/>
              </w:rPr>
              <w:t>的限值要求</w:t>
            </w:r>
            <w:r>
              <w:rPr>
                <w:rFonts w:hint="eastAsia" w:ascii="宋体" w:hAnsi="宋体" w:eastAsia="宋体" w:cs="Times New Roman"/>
                <w:color w:val="auto"/>
                <w:kern w:val="2"/>
                <w:sz w:val="24"/>
                <w:szCs w:val="22"/>
                <w:lang w:val="en-US" w:eastAsia="zh-CN" w:bidi="ar-SA"/>
              </w:rPr>
              <w:t>。</w:t>
            </w:r>
          </w:p>
          <w:p w14:paraId="3AAF8F2B">
            <w:pPr>
              <w:pStyle w:val="130"/>
              <w:keepNext w:val="0"/>
              <w:keepLines w:val="0"/>
              <w:pageBreakBefore w:val="0"/>
              <w:widowControl w:val="0"/>
              <w:kinsoku/>
              <w:wordWrap/>
              <w:overflowPunct/>
              <w:topLinePunct w:val="0"/>
              <w:autoSpaceDE/>
              <w:autoSpaceDN/>
              <w:bidi w:val="0"/>
              <w:adjustRightInd/>
              <w:snapToGrid/>
              <w:spacing w:before="47" w:line="360" w:lineRule="auto"/>
              <w:ind w:left="107" w:right="77" w:firstLine="484"/>
              <w:textAlignment w:val="auto"/>
              <w:rPr>
                <w:rFonts w:hint="default" w:ascii="宋体" w:hAnsi="宋体" w:eastAsia="宋体" w:cs="Times New Roman"/>
                <w:color w:val="auto"/>
                <w:kern w:val="2"/>
                <w:sz w:val="24"/>
                <w:szCs w:val="22"/>
                <w:lang w:val="en-US" w:eastAsia="zh-CN" w:bidi="ar-SA"/>
              </w:rPr>
            </w:pPr>
            <w:r>
              <w:rPr>
                <w:rFonts w:hint="default" w:ascii="宋体" w:hAnsi="宋体" w:eastAsia="宋体" w:cs="Times New Roman"/>
                <w:color w:val="auto"/>
                <w:kern w:val="2"/>
                <w:sz w:val="24"/>
                <w:szCs w:val="22"/>
                <w:lang w:val="en-US" w:eastAsia="zh-CN" w:bidi="ar-SA"/>
              </w:rPr>
              <w:t>厂内</w:t>
            </w:r>
            <w:r>
              <w:rPr>
                <w:rFonts w:hint="eastAsia" w:ascii="宋体" w:hAnsi="宋体" w:eastAsia="宋体" w:cs="Times New Roman"/>
                <w:color w:val="auto"/>
                <w:kern w:val="2"/>
                <w:sz w:val="24"/>
                <w:szCs w:val="22"/>
                <w:lang w:val="en-US" w:eastAsia="zh-CN" w:bidi="ar-SA"/>
              </w:rPr>
              <w:t>沉淀池处理</w:t>
            </w:r>
            <w:r>
              <w:rPr>
                <w:rFonts w:hint="default" w:ascii="宋体" w:hAnsi="宋体" w:eastAsia="宋体" w:cs="Times New Roman"/>
                <w:color w:val="auto"/>
                <w:kern w:val="2"/>
                <w:sz w:val="24"/>
                <w:szCs w:val="22"/>
                <w:lang w:val="en-US" w:eastAsia="zh-CN" w:bidi="ar-SA"/>
              </w:rPr>
              <w:t>工艺如下图所示。</w:t>
            </w:r>
          </w:p>
          <w:p w14:paraId="4F25A645">
            <w:pPr>
              <w:pStyle w:val="130"/>
              <w:spacing w:before="47" w:line="378" w:lineRule="auto"/>
              <w:ind w:left="107" w:right="77" w:firstLine="484"/>
              <w:rPr>
                <w:color w:val="auto"/>
                <w:position w:val="-62"/>
              </w:rPr>
            </w:pPr>
            <w:r>
              <w:rPr>
                <w:color w:val="auto"/>
                <w:position w:val="-62"/>
              </w:rPr>
              <w:object>
                <v:shape id="_x0000_i1034" o:spt="75" type="#_x0000_t75" style="height:203.2pt;width:359.55pt;" o:ole="t" filled="f" o:preferrelative="t" stroked="f" coordsize="21600,21600">
                  <v:path/>
                  <v:fill on="f" focussize="0,0"/>
                  <v:stroke on="f"/>
                  <v:imagedata r:id="rId23" o:title=""/>
                  <o:lock v:ext="edit" aspectratio="f"/>
                  <w10:wrap type="none"/>
                  <w10:anchorlock/>
                </v:shape>
                <o:OLEObject Type="Embed" ProgID="Visio.Drawing.11" ShapeID="_x0000_i1034" DrawAspect="Content" ObjectID="_1468075734" r:id="rId22">
                  <o:LockedField>false</o:LockedField>
                </o:OLEObject>
              </w:object>
            </w:r>
          </w:p>
          <w:p w14:paraId="04B52687">
            <w:pPr>
              <w:pStyle w:val="13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position w:val="-62"/>
              </w:rPr>
            </w:pPr>
            <w:r>
              <w:rPr>
                <w:b/>
                <w:bCs/>
                <w:color w:val="auto"/>
                <w:spacing w:val="-4"/>
              </w:rPr>
              <w:t>图</w:t>
            </w:r>
            <w:r>
              <w:rPr>
                <w:rFonts w:ascii="Times New Roman" w:hAnsi="Times New Roman" w:eastAsia="Times New Roman" w:cs="Times New Roman"/>
                <w:b/>
                <w:bCs/>
                <w:color w:val="auto"/>
                <w:spacing w:val="-4"/>
              </w:rPr>
              <w:t xml:space="preserve">4-1 </w:t>
            </w:r>
            <w:r>
              <w:rPr>
                <w:b/>
                <w:bCs/>
                <w:color w:val="auto"/>
                <w:spacing w:val="-4"/>
              </w:rPr>
              <w:t>污水处理工艺流程图</w:t>
            </w:r>
          </w:p>
          <w:p w14:paraId="0DFC90A9">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4</w:t>
            </w:r>
            <w:r>
              <w:rPr>
                <w:rFonts w:hint="eastAsia" w:ascii="Times New Roman" w:hAnsi="Times New Roman" w:eastAsia="黑体" w:cs="Times New Roman"/>
                <w:b w:val="0"/>
                <w:bCs w:val="0"/>
                <w:color w:val="auto"/>
                <w:sz w:val="24"/>
                <w:szCs w:val="24"/>
                <w:highlight w:val="none"/>
                <w:lang w:val="en-US" w:eastAsia="zh-CN"/>
              </w:rPr>
              <w:t>、</w:t>
            </w:r>
            <w:r>
              <w:rPr>
                <w:rFonts w:hint="eastAsia" w:eastAsia="黑体" w:cs="Times New Roman"/>
                <w:b w:val="0"/>
                <w:bCs w:val="0"/>
                <w:color w:val="auto"/>
                <w:sz w:val="24"/>
                <w:szCs w:val="24"/>
                <w:highlight w:val="none"/>
                <w:lang w:val="en-US" w:eastAsia="zh-CN"/>
              </w:rPr>
              <w:t>废水处理</w:t>
            </w:r>
            <w:r>
              <w:rPr>
                <w:rFonts w:hint="eastAsia" w:ascii="Times New Roman" w:hAnsi="Times New Roman" w:eastAsia="黑体" w:cs="Times New Roman"/>
                <w:b w:val="0"/>
                <w:bCs w:val="0"/>
                <w:color w:val="auto"/>
                <w:sz w:val="24"/>
                <w:szCs w:val="24"/>
                <w:highlight w:val="none"/>
                <w:lang w:val="en-US" w:eastAsia="zh-CN"/>
              </w:rPr>
              <w:t>可行性分析</w:t>
            </w:r>
          </w:p>
          <w:p w14:paraId="1D7FE4B3">
            <w:pPr>
              <w:spacing w:line="360" w:lineRule="auto"/>
              <w:ind w:firstLine="480"/>
              <w:rPr>
                <w:rFonts w:hint="default"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（1）生活污水处理</w:t>
            </w:r>
          </w:p>
          <w:p w14:paraId="4564817F">
            <w:pPr>
              <w:spacing w:line="360" w:lineRule="auto"/>
              <w:ind w:firstLine="480"/>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化粪池是一种利用沉淀和厌氧发酵的原理，去除污水中悬浮性有机物的处理设施，属于初级的过渡性污水处理构筑物。污水进入化粪池经过12~24h的沉淀，可去除50%~60%的悬浮物。沉淀下来的污泥经过3个月以上的厌氧发酵分解，使污泥中的有机物分解成稳定的无机物，易腐败的生污泥转化为稳定的熟污泥，改变了污泥的结构，降低了污泥的含水率。定期将污泥清掏外运，填埋或用作肥料。本项目职工生活污水中的COD、SS和氨氮浓度分别约为400mg/L、300mg/L和30mg/L，可生化性好，经化粪池处理后，可实现资源化利用，由环卫部门定期清运。</w:t>
            </w:r>
          </w:p>
          <w:p w14:paraId="6F24BBCF">
            <w:pPr>
              <w:spacing w:line="360" w:lineRule="auto"/>
              <w:ind w:firstLine="480"/>
              <w:rPr>
                <w:rFonts w:hint="default"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（2）生产废水处理</w:t>
            </w:r>
          </w:p>
          <w:p w14:paraId="39A3B826">
            <w:pPr>
              <w:spacing w:line="360" w:lineRule="auto"/>
              <w:ind w:firstLine="480"/>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项目生产废水排入沉淀池进行处理，根据《排污许可证申请与核发技术规范 化学纤维制造业》（HJ1102—2020）和《排污许可证申请与核发技术规范 橡胶和塑料制品工业》（HJ1122-2020），</w:t>
            </w:r>
            <w:r>
              <w:rPr>
                <w:rFonts w:hint="eastAsia" w:ascii="Times New Roman" w:hAnsi="Times New Roman" w:eastAsia="宋体" w:cs="Times New Roman"/>
                <w:b w:val="0"/>
                <w:bCs w:val="0"/>
                <w:color w:val="auto"/>
                <w:sz w:val="24"/>
                <w:szCs w:val="24"/>
                <w:highlight w:val="none"/>
                <w:lang w:val="en-US" w:eastAsia="zh-CN"/>
              </w:rPr>
              <w:t>污水处理采用沉淀为可行性技术。因此，本项目</w:t>
            </w:r>
            <w:r>
              <w:rPr>
                <w:rFonts w:hint="eastAsia" w:cs="Times New Roman"/>
                <w:b w:val="0"/>
                <w:bCs w:val="0"/>
                <w:color w:val="auto"/>
                <w:sz w:val="24"/>
                <w:szCs w:val="24"/>
                <w:highlight w:val="none"/>
                <w:lang w:val="en-US" w:eastAsia="zh-CN"/>
              </w:rPr>
              <w:t>生产</w:t>
            </w:r>
            <w:r>
              <w:rPr>
                <w:rFonts w:hint="eastAsia" w:ascii="Times New Roman" w:hAnsi="Times New Roman" w:eastAsia="宋体" w:cs="Times New Roman"/>
                <w:b w:val="0"/>
                <w:bCs w:val="0"/>
                <w:color w:val="auto"/>
                <w:sz w:val="24"/>
                <w:szCs w:val="24"/>
                <w:highlight w:val="none"/>
                <w:lang w:val="en-US" w:eastAsia="zh-CN"/>
              </w:rPr>
              <w:t>废水采用沉淀处理可行。</w:t>
            </w:r>
          </w:p>
          <w:p w14:paraId="1CFCA58D">
            <w:pPr>
              <w:spacing w:line="360" w:lineRule="auto"/>
              <w:ind w:firstLine="480"/>
              <w:rPr>
                <w:rFonts w:hint="eastAsia" w:ascii="Times New Roman" w:hAnsi="Times New Roman" w:eastAsia="宋体" w:cs="Times New Roman"/>
                <w:color w:val="auto"/>
                <w:sz w:val="24"/>
                <w:highlight w:val="none"/>
                <w:lang w:eastAsia="zh-CN"/>
              </w:rPr>
            </w:pPr>
            <w:r>
              <w:rPr>
                <w:rFonts w:hint="eastAsia" w:cs="Times New Roman"/>
                <w:b w:val="0"/>
                <w:bCs w:val="0"/>
                <w:color w:val="auto"/>
                <w:sz w:val="24"/>
                <w:szCs w:val="24"/>
                <w:highlight w:val="none"/>
                <w:lang w:val="en-US" w:eastAsia="zh-CN"/>
              </w:rPr>
              <w:t>综上所述，本项目废水处理方式可行。</w:t>
            </w:r>
            <w:r>
              <w:rPr>
                <w:rFonts w:hint="eastAsia" w:ascii="Times New Roman" w:hAnsi="Times New Roman" w:eastAsia="宋体" w:cs="Times New Roman"/>
                <w:color w:val="auto"/>
                <w:sz w:val="24"/>
                <w:highlight w:val="none"/>
                <w:lang w:val="en-US" w:eastAsia="zh-CN"/>
              </w:rPr>
              <w:t>本项目营运期间产生的废水对周边地表水环境的影响较小</w:t>
            </w:r>
            <w:r>
              <w:rPr>
                <w:rFonts w:hint="eastAsia" w:ascii="Times New Roman" w:hAnsi="Times New Roman" w:eastAsia="宋体" w:cs="Times New Roman"/>
                <w:color w:val="auto"/>
                <w:sz w:val="24"/>
                <w:highlight w:val="none"/>
                <w:lang w:eastAsia="zh-CN"/>
              </w:rPr>
              <w:t>。</w:t>
            </w:r>
          </w:p>
          <w:p w14:paraId="2BCFA18F">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三</w:t>
            </w:r>
            <w:r>
              <w:rPr>
                <w:rFonts w:hint="default" w:ascii="Times New Roman" w:hAnsi="Times New Roman" w:eastAsia="黑体" w:cs="Times New Roman"/>
                <w:b w:val="0"/>
                <w:bCs w:val="0"/>
                <w:color w:val="auto"/>
                <w:sz w:val="24"/>
                <w:szCs w:val="24"/>
                <w:highlight w:val="none"/>
                <w:lang w:val="en-US" w:eastAsia="zh-CN"/>
              </w:rPr>
              <w:t>、噪声</w:t>
            </w:r>
          </w:p>
          <w:p w14:paraId="14D47D54">
            <w:pPr>
              <w:keepNext w:val="0"/>
              <w:keepLines w:val="0"/>
              <w:pageBreakBefore w:val="0"/>
              <w:kinsoku/>
              <w:wordWrap/>
              <w:overflowPunct/>
              <w:topLinePunct w:val="0"/>
              <w:bidi w:val="0"/>
              <w:adjustRightInd w:val="0"/>
              <w:snapToGrid w:val="0"/>
              <w:spacing w:line="360" w:lineRule="auto"/>
              <w:ind w:left="0" w:leftChars="0" w:right="0" w:rightChars="0" w:firstLine="480" w:firstLineChars="200"/>
              <w:jc w:val="both"/>
              <w:textAlignment w:val="auto"/>
              <w:rPr>
                <w:rFonts w:hint="default" w:ascii="Times New Roman" w:hAnsi="Times New Roman" w:cs="Times New Roman"/>
                <w:color w:val="auto"/>
                <w:kern w:val="0"/>
                <w:sz w:val="24"/>
                <w:highlight w:val="none"/>
                <w:lang w:eastAsia="zh-CN"/>
              </w:rPr>
            </w:pPr>
            <w:r>
              <w:rPr>
                <w:rFonts w:hint="eastAsia" w:ascii="Times New Roman" w:hAnsi="Times New Roman" w:eastAsia="黑体" w:cs="Times New Roman"/>
                <w:b w:val="0"/>
                <w:bCs w:val="0"/>
                <w:color w:val="auto"/>
                <w:sz w:val="24"/>
                <w:szCs w:val="24"/>
                <w:highlight w:val="none"/>
                <w:lang w:val="en-US" w:eastAsia="zh-CN"/>
              </w:rPr>
              <w:t>1、噪声环境影响分析</w:t>
            </w:r>
          </w:p>
          <w:p w14:paraId="05DB003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本项目噪声源主要为</w:t>
            </w:r>
            <w:r>
              <w:rPr>
                <w:rFonts w:hint="eastAsia" w:cs="Times New Roman"/>
                <w:color w:val="auto"/>
                <w:sz w:val="24"/>
                <w:highlight w:val="none"/>
                <w:lang w:val="en-US" w:eastAsia="zh-CN"/>
              </w:rPr>
              <w:t>螺杆挤出机、侧吹风装置</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真空清洗炉</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辫子织机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压花机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剪裁机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断毛机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揉丝机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热风循环烘干箱</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离心甩干机</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无梭机</w:t>
            </w:r>
            <w:r>
              <w:rPr>
                <w:rFonts w:hint="eastAsia" w:ascii="Times New Roman" w:hAnsi="Times New Roman" w:eastAsia="宋体" w:cs="Times New Roman"/>
                <w:color w:val="auto"/>
                <w:sz w:val="24"/>
                <w:highlight w:val="none"/>
                <w:lang w:val="en-US" w:eastAsia="zh-CN"/>
              </w:rPr>
              <w:t>等设备加工过程中产生的噪声，其声压级约在</w:t>
            </w:r>
            <w:r>
              <w:rPr>
                <w:rFonts w:hint="eastAsia" w:cs="Times New Roman"/>
                <w:color w:val="auto"/>
                <w:sz w:val="24"/>
                <w:highlight w:val="none"/>
                <w:lang w:val="en-US" w:eastAsia="zh-CN"/>
              </w:rPr>
              <w:t>60</w:t>
            </w:r>
            <w:r>
              <w:rPr>
                <w:rFonts w:hint="eastAsia" w:ascii="Times New Roman" w:hAnsi="Times New Roman" w:eastAsia="宋体" w:cs="Times New Roman"/>
                <w:color w:val="auto"/>
                <w:sz w:val="24"/>
                <w:highlight w:val="none"/>
                <w:lang w:val="en-US" w:eastAsia="zh-CN"/>
              </w:rPr>
              <w:t>-90dB（A）之间。</w:t>
            </w:r>
          </w:p>
          <w:p w14:paraId="7ABC4F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采取的噪声治理措施为：</w:t>
            </w:r>
          </w:p>
          <w:p w14:paraId="1ED975A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（1）对噪声设备进行合理布局，对有强声源的车间，做成封闭式维护结构；</w:t>
            </w:r>
          </w:p>
          <w:p w14:paraId="0A4794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（2）利用墙壁，对噪声进行不同程度的隔绝和吸收，尽可能屏蔽声源；</w:t>
            </w:r>
          </w:p>
          <w:p w14:paraId="3241F72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（3）在保证生产工艺的同时选用低噪声设备；</w:t>
            </w:r>
          </w:p>
          <w:p w14:paraId="3EF9329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（4）采取必要的隔声、吸声、减振等措施，生产车间采用隔声门窗；</w:t>
            </w:r>
          </w:p>
          <w:p w14:paraId="0A0F200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（5）在厂区四周种植能够隔音降噪的高大树种，如毛白杨、圆柏、雪松等。</w:t>
            </w:r>
          </w:p>
          <w:p w14:paraId="62DE231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采用设备隔振、减振可减少10-20 dB（A）的噪声级，周边厂房墙隔声可达到10-20 dB（A）的隔音量，本项目设备设置了基础的减振措施，设备均设置在厂房内采用厂房隔声，噪声治理措施效果见下表。</w:t>
            </w:r>
          </w:p>
          <w:p w14:paraId="7DCEFED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left"/>
              <w:textAlignment w:val="auto"/>
              <w:rPr>
                <w:rFonts w:hint="eastAsia" w:cs="Times New Roman"/>
                <w:color w:val="auto"/>
                <w:sz w:val="21"/>
                <w:szCs w:val="21"/>
                <w:highlight w:val="none"/>
                <w:lang w:val="en-US" w:eastAsia="zh-CN"/>
              </w:rPr>
            </w:pPr>
          </w:p>
        </w:tc>
      </w:tr>
    </w:tbl>
    <w:p w14:paraId="0D10FAF9">
      <w:pPr>
        <w:adjustRightInd w:val="0"/>
        <w:snapToGrid w:val="0"/>
        <w:jc w:val="center"/>
        <w:rPr>
          <w:rFonts w:hint="eastAsia" w:ascii="黑体" w:hAnsi="黑体" w:eastAsia="黑体" w:cs="黑体"/>
          <w:bCs/>
          <w:color w:val="auto"/>
          <w:sz w:val="24"/>
          <w:szCs w:val="24"/>
          <w:highlight w:val="none"/>
        </w:rPr>
        <w:sectPr>
          <w:pgSz w:w="11907" w:h="16840"/>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7"/>
        <w:tblW w:w="510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3"/>
        <w:gridCol w:w="13361"/>
      </w:tblGrid>
      <w:tr w14:paraId="0D57BE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31" w:hRule="atLeast"/>
          <w:jc w:val="center"/>
        </w:trPr>
        <w:tc>
          <w:tcPr>
            <w:tcW w:w="177" w:type="pct"/>
            <w:tcMar>
              <w:left w:w="28" w:type="dxa"/>
              <w:right w:w="28" w:type="dxa"/>
            </w:tcMar>
            <w:vAlign w:val="center"/>
          </w:tcPr>
          <w:p w14:paraId="2560AE4C">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运营</w:t>
            </w:r>
          </w:p>
          <w:p w14:paraId="505B38E4">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期环</w:t>
            </w:r>
          </w:p>
          <w:p w14:paraId="146B2FFB">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境影</w:t>
            </w:r>
          </w:p>
          <w:p w14:paraId="67AE02E0">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响和</w:t>
            </w:r>
          </w:p>
          <w:p w14:paraId="3A756533">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保护</w:t>
            </w:r>
          </w:p>
          <w:p w14:paraId="342C477C">
            <w:pPr>
              <w:adjustRightInd w:val="0"/>
              <w:snapToGrid w:val="0"/>
              <w:jc w:val="center"/>
              <w:rPr>
                <w:rFonts w:hint="default" w:ascii="Times New Roman" w:hAnsi="Times New Roman" w:cs="Times New Roman"/>
                <w:b/>
                <w:bCs/>
                <w:color w:val="auto"/>
                <w:kern w:val="0"/>
                <w:sz w:val="24"/>
                <w:szCs w:val="24"/>
                <w:highlight w:val="none"/>
              </w:rPr>
            </w:pPr>
            <w:r>
              <w:rPr>
                <w:rFonts w:hint="eastAsia" w:ascii="黑体" w:hAnsi="黑体" w:eastAsia="黑体" w:cs="黑体"/>
                <w:bCs/>
                <w:color w:val="auto"/>
                <w:sz w:val="24"/>
                <w:szCs w:val="24"/>
                <w:highlight w:val="none"/>
              </w:rPr>
              <w:t>措施</w:t>
            </w:r>
          </w:p>
        </w:tc>
        <w:tc>
          <w:tcPr>
            <w:tcW w:w="4822" w:type="pct"/>
          </w:tcPr>
          <w:p w14:paraId="273862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zh-CN" w:eastAsia="zh-CN"/>
              </w:rPr>
              <w:t>-</w:t>
            </w:r>
            <w:r>
              <w:rPr>
                <w:rFonts w:hint="eastAsia" w:eastAsia="黑体" w:cs="Times New Roman"/>
                <w:b w:val="0"/>
                <w:bCs w:val="0"/>
                <w:color w:val="auto"/>
                <w:kern w:val="0"/>
                <w:sz w:val="24"/>
                <w:szCs w:val="24"/>
                <w:lang w:val="en-US" w:eastAsia="zh-CN"/>
              </w:rPr>
              <w:t>7</w:t>
            </w:r>
            <w:r>
              <w:rPr>
                <w:rFonts w:hint="eastAsia" w:ascii="Times New Roman" w:hAnsi="Times New Roman" w:eastAsia="黑体" w:cs="Times New Roman"/>
                <w:b w:val="0"/>
                <w:bCs w:val="0"/>
                <w:color w:val="auto"/>
                <w:kern w:val="0"/>
                <w:sz w:val="24"/>
                <w:szCs w:val="24"/>
                <w:lang w:val="zh-CN" w:eastAsia="zh-CN"/>
              </w:rPr>
              <w:t xml:space="preserve"> 项目设备主要噪声源强调查清单</w:t>
            </w:r>
            <w:r>
              <w:rPr>
                <w:rFonts w:hint="eastAsia" w:eastAsia="黑体" w:cs="Times New Roman"/>
                <w:b w:val="0"/>
                <w:bCs w:val="0"/>
                <w:color w:val="auto"/>
                <w:kern w:val="0"/>
                <w:sz w:val="24"/>
                <w:szCs w:val="24"/>
                <w:lang w:val="zh-CN" w:eastAsia="zh-CN"/>
              </w:rPr>
              <w:t>（室内声源）</w:t>
            </w:r>
          </w:p>
          <w:tbl>
            <w:tblPr>
              <w:tblStyle w:val="27"/>
              <w:tblW w:w="4983"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379"/>
              <w:gridCol w:w="1034"/>
              <w:gridCol w:w="911"/>
              <w:gridCol w:w="712"/>
              <w:gridCol w:w="704"/>
              <w:gridCol w:w="464"/>
              <w:gridCol w:w="464"/>
              <w:gridCol w:w="424"/>
              <w:gridCol w:w="380"/>
              <w:gridCol w:w="380"/>
              <w:gridCol w:w="380"/>
              <w:gridCol w:w="388"/>
              <w:gridCol w:w="506"/>
              <w:gridCol w:w="506"/>
              <w:gridCol w:w="506"/>
              <w:gridCol w:w="511"/>
              <w:gridCol w:w="875"/>
              <w:gridCol w:w="880"/>
              <w:gridCol w:w="506"/>
              <w:gridCol w:w="589"/>
              <w:gridCol w:w="589"/>
              <w:gridCol w:w="592"/>
              <w:gridCol w:w="416"/>
            </w:tblGrid>
            <w:tr w14:paraId="2EC37B0A">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79" w:hRule="atLeast"/>
              </w:trPr>
              <w:tc>
                <w:tcPr>
                  <w:tcW w:w="144" w:type="pct"/>
                  <w:vMerge w:val="restart"/>
                  <w:tcBorders>
                    <w:top w:val="single" w:color="auto" w:sz="4" w:space="0"/>
                    <w:left w:val="single" w:color="auto" w:sz="0" w:space="0"/>
                    <w:bottom w:val="single" w:color="auto" w:sz="4" w:space="0"/>
                    <w:right w:val="single" w:color="auto" w:sz="4" w:space="0"/>
                    <w:tl2br w:val="nil"/>
                    <w:tr2bl w:val="nil"/>
                  </w:tcBorders>
                  <w:noWrap w:val="0"/>
                  <w:vAlign w:val="center"/>
                </w:tcPr>
                <w:p w14:paraId="0E5D82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序号</w:t>
                  </w:r>
                </w:p>
              </w:tc>
              <w:tc>
                <w:tcPr>
                  <w:tcW w:w="394"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8825A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zh-CN" w:eastAsia="zh-CN"/>
                    </w:rPr>
                    <w:t>声源名称</w:t>
                  </w:r>
                  <w:r>
                    <w:rPr>
                      <w:rFonts w:hint="default" w:ascii="Times New Roman" w:hAnsi="Times New Roman" w:eastAsia="宋体" w:cs="Times New Roman"/>
                      <w:i w:val="0"/>
                      <w:iCs w:val="0"/>
                      <w:color w:val="auto"/>
                      <w:sz w:val="21"/>
                      <w:szCs w:val="21"/>
                      <w:highlight w:val="none"/>
                      <w:u w:val="none"/>
                      <w:lang w:val="en-US" w:eastAsia="zh-CN"/>
                    </w:rPr>
                    <w:t xml:space="preserve">                                          </w:t>
                  </w:r>
                </w:p>
              </w:tc>
              <w:tc>
                <w:tcPr>
                  <w:tcW w:w="347"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DE58D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型号</w:t>
                  </w:r>
                </w:p>
              </w:tc>
              <w:tc>
                <w:tcPr>
                  <w:tcW w:w="271"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6945C6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声功率级</w:t>
                  </w:r>
                  <w:r>
                    <w:rPr>
                      <w:rFonts w:hint="default" w:ascii="Times New Roman" w:hAnsi="Times New Roman" w:eastAsia="宋体" w:cs="Times New Roman"/>
                      <w:i w:val="0"/>
                      <w:iCs w:val="0"/>
                      <w:color w:val="auto"/>
                      <w:sz w:val="21"/>
                      <w:szCs w:val="21"/>
                      <w:highlight w:val="none"/>
                      <w:u w:val="none"/>
                      <w:lang w:val="en-US" w:eastAsia="zh-CN"/>
                    </w:rPr>
                    <w:t>/dB（A）</w:t>
                  </w:r>
                </w:p>
              </w:tc>
              <w:tc>
                <w:tcPr>
                  <w:tcW w:w="268"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7CD76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声源控制措施</w:t>
                  </w:r>
                </w:p>
              </w:tc>
              <w:tc>
                <w:tcPr>
                  <w:tcW w:w="516" w:type="pct"/>
                  <w:gridSpan w:val="3"/>
                  <w:tcBorders>
                    <w:top w:val="single" w:color="auto" w:sz="4" w:space="0"/>
                    <w:left w:val="single" w:color="auto" w:sz="4" w:space="0"/>
                    <w:bottom w:val="single" w:color="auto" w:sz="4" w:space="0"/>
                    <w:right w:val="single" w:color="auto" w:sz="4" w:space="0"/>
                    <w:tl2br w:val="nil"/>
                    <w:tr2bl w:val="nil"/>
                  </w:tcBorders>
                  <w:noWrap w:val="0"/>
                  <w:vAlign w:val="center"/>
                </w:tcPr>
                <w:p w14:paraId="561C2F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空间相对位置</w:t>
                  </w:r>
                  <w:r>
                    <w:rPr>
                      <w:rFonts w:hint="default" w:ascii="Times New Roman" w:hAnsi="Times New Roman" w:eastAsia="宋体" w:cs="Times New Roman"/>
                      <w:i w:val="0"/>
                      <w:iCs w:val="0"/>
                      <w:color w:val="auto"/>
                      <w:sz w:val="21"/>
                      <w:szCs w:val="21"/>
                      <w:highlight w:val="none"/>
                      <w:u w:val="none"/>
                      <w:lang w:val="en-US" w:eastAsia="zh-CN"/>
                    </w:rPr>
                    <w:t>/m</w:t>
                  </w:r>
                </w:p>
              </w:tc>
              <w:tc>
                <w:tcPr>
                  <w:tcW w:w="583"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74B468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距室内边界距离</w:t>
                  </w:r>
                  <w:r>
                    <w:rPr>
                      <w:rFonts w:hint="default" w:ascii="Times New Roman" w:hAnsi="Times New Roman" w:eastAsia="宋体" w:cs="Times New Roman"/>
                      <w:i w:val="0"/>
                      <w:iCs w:val="0"/>
                      <w:color w:val="auto"/>
                      <w:sz w:val="21"/>
                      <w:szCs w:val="21"/>
                      <w:highlight w:val="none"/>
                      <w:u w:val="none"/>
                      <w:lang w:val="en-US" w:eastAsia="zh-CN"/>
                    </w:rPr>
                    <w:t>/m</w:t>
                  </w:r>
                </w:p>
              </w:tc>
              <w:tc>
                <w:tcPr>
                  <w:tcW w:w="774"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240571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室内边界声级</w:t>
                  </w:r>
                  <w:r>
                    <w:rPr>
                      <w:rFonts w:hint="default" w:ascii="Times New Roman" w:hAnsi="Times New Roman" w:eastAsia="宋体" w:cs="Times New Roman"/>
                      <w:i w:val="0"/>
                      <w:iCs w:val="0"/>
                      <w:color w:val="auto"/>
                      <w:sz w:val="21"/>
                      <w:szCs w:val="21"/>
                      <w:highlight w:val="none"/>
                      <w:u w:val="none"/>
                      <w:lang w:val="en-US" w:eastAsia="zh-CN"/>
                    </w:rPr>
                    <w:t>/dB（A）</w:t>
                  </w:r>
                </w:p>
              </w:tc>
              <w:tc>
                <w:tcPr>
                  <w:tcW w:w="334"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425A0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运行时段</w:t>
                  </w:r>
                </w:p>
              </w:tc>
              <w:tc>
                <w:tcPr>
                  <w:tcW w:w="335"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17975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建筑物插入损失/dB（A）</w:t>
                  </w:r>
                </w:p>
              </w:tc>
              <w:tc>
                <w:tcPr>
                  <w:tcW w:w="1027" w:type="pct"/>
                  <w:gridSpan w:val="5"/>
                  <w:tcBorders>
                    <w:top w:val="single" w:color="auto" w:sz="4" w:space="0"/>
                    <w:left w:val="single" w:color="auto" w:sz="4" w:space="0"/>
                    <w:bottom w:val="single" w:color="auto" w:sz="4" w:space="0"/>
                    <w:right w:val="single" w:color="auto" w:sz="4" w:space="0"/>
                    <w:tl2br w:val="nil"/>
                    <w:tr2bl w:val="nil"/>
                  </w:tcBorders>
                  <w:noWrap w:val="0"/>
                  <w:vAlign w:val="center"/>
                </w:tcPr>
                <w:p w14:paraId="5DB1F1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建筑物外噪声</w:t>
                  </w:r>
                </w:p>
              </w:tc>
            </w:tr>
            <w:tr w14:paraId="1AB4DED4">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26" w:hRule="atLeast"/>
              </w:trPr>
              <w:tc>
                <w:tcPr>
                  <w:tcW w:w="14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E5326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39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FAF98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34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EC967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271"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3BFC9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268"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0D9E4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177"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F2436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X</w:t>
                  </w:r>
                </w:p>
              </w:tc>
              <w:tc>
                <w:tcPr>
                  <w:tcW w:w="177"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70DF9F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Y</w:t>
                  </w:r>
                </w:p>
              </w:tc>
              <w:tc>
                <w:tcPr>
                  <w:tcW w:w="161"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96E0E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Z</w:t>
                  </w:r>
                </w:p>
              </w:tc>
              <w:tc>
                <w:tcPr>
                  <w:tcW w:w="145"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2FB894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北</w:t>
                  </w:r>
                </w:p>
              </w:tc>
              <w:tc>
                <w:tcPr>
                  <w:tcW w:w="145"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7BA87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东</w:t>
                  </w:r>
                </w:p>
              </w:tc>
              <w:tc>
                <w:tcPr>
                  <w:tcW w:w="145"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4900D8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南</w:t>
                  </w:r>
                </w:p>
              </w:tc>
              <w:tc>
                <w:tcPr>
                  <w:tcW w:w="148"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48E5D7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西</w:t>
                  </w:r>
                </w:p>
              </w:tc>
              <w:tc>
                <w:tcPr>
                  <w:tcW w:w="19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E41FC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北</w:t>
                  </w:r>
                </w:p>
              </w:tc>
              <w:tc>
                <w:tcPr>
                  <w:tcW w:w="19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18E22D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东</w:t>
                  </w:r>
                </w:p>
              </w:tc>
              <w:tc>
                <w:tcPr>
                  <w:tcW w:w="19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3FF32F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南</w:t>
                  </w:r>
                </w:p>
              </w:tc>
              <w:tc>
                <w:tcPr>
                  <w:tcW w:w="195"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555BBE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西</w:t>
                  </w:r>
                </w:p>
              </w:tc>
              <w:tc>
                <w:tcPr>
                  <w:tcW w:w="33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38E7B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33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F5802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868"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6FBE8F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声压级</w:t>
                  </w:r>
                  <w:r>
                    <w:rPr>
                      <w:rFonts w:hint="default" w:ascii="Times New Roman" w:hAnsi="Times New Roman" w:eastAsia="宋体" w:cs="Times New Roman"/>
                      <w:i w:val="0"/>
                      <w:iCs w:val="0"/>
                      <w:color w:val="auto"/>
                      <w:sz w:val="21"/>
                      <w:szCs w:val="21"/>
                      <w:highlight w:val="none"/>
                      <w:u w:val="none"/>
                      <w:lang w:val="en-US" w:eastAsia="zh-CN"/>
                    </w:rPr>
                    <w:t>/dB（A）</w:t>
                  </w:r>
                </w:p>
              </w:tc>
              <w:tc>
                <w:tcPr>
                  <w:tcW w:w="158"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0F403D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zh-CN" w:eastAsia="zh-CN"/>
                    </w:rPr>
                    <w:t>建筑物外距离</w:t>
                  </w:r>
                </w:p>
              </w:tc>
            </w:tr>
            <w:tr w14:paraId="0131C52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26" w:hRule="atLeast"/>
              </w:trPr>
              <w:tc>
                <w:tcPr>
                  <w:tcW w:w="14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5A0EF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39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00B4A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34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9F329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271"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2B84E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268"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0DD86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1F635E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CB450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61"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51BD7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4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57AF10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4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94C9C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4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43524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48"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A7AC2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9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D490B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9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4DAA5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9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5C435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9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210C1D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334"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1FB4D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335"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037AF4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0358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北</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CE09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东</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463B5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南</w:t>
                  </w:r>
                </w:p>
              </w:tc>
              <w:tc>
                <w:tcPr>
                  <w:tcW w:w="22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C41CA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zh-CN" w:eastAsia="zh-CN"/>
                    </w:rPr>
                    <w:t>西</w:t>
                  </w:r>
                </w:p>
              </w:tc>
              <w:tc>
                <w:tcPr>
                  <w:tcW w:w="158"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454E4D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r>
            <w:tr w14:paraId="34D77DE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5000" w:type="pct"/>
                  <w:gridSpan w:val="23"/>
                  <w:tcBorders>
                    <w:top w:val="single" w:color="auto" w:sz="4" w:space="0"/>
                    <w:left w:val="single" w:color="auto" w:sz="4" w:space="0"/>
                    <w:bottom w:val="single" w:color="auto" w:sz="4" w:space="0"/>
                    <w:right w:val="single" w:color="auto" w:sz="4" w:space="0"/>
                    <w:tl2br w:val="nil"/>
                    <w:tr2bl w:val="nil"/>
                  </w:tcBorders>
                  <w:noWrap w:val="0"/>
                  <w:vAlign w:val="center"/>
                </w:tcPr>
                <w:p w14:paraId="02671D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抽丝车间</w:t>
                  </w:r>
                </w:p>
              </w:tc>
            </w:tr>
            <w:tr w14:paraId="2AB9069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1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EEC1774">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w:t>
                  </w:r>
                </w:p>
              </w:tc>
              <w:tc>
                <w:tcPr>
                  <w:tcW w:w="3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01DBD2">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螺杆挤出机</w:t>
                  </w:r>
                </w:p>
              </w:tc>
              <w:tc>
                <w:tcPr>
                  <w:tcW w:w="34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69D7901">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olor w:val="auto"/>
                      <w:szCs w:val="21"/>
                      <w:highlight w:val="none"/>
                      <w:lang w:val="en-US" w:eastAsia="zh-CN"/>
                    </w:rPr>
                    <w:t>48kw</w:t>
                  </w:r>
                </w:p>
              </w:tc>
              <w:tc>
                <w:tcPr>
                  <w:tcW w:w="27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CC3058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268" w:type="pct"/>
                  <w:vMerge w:val="restart"/>
                  <w:tcBorders>
                    <w:top w:val="single" w:color="auto" w:sz="4" w:space="0"/>
                    <w:left w:val="single" w:color="auto" w:sz="4" w:space="0"/>
                    <w:right w:val="single" w:color="auto" w:sz="4" w:space="0"/>
                    <w:tl2br w:val="nil"/>
                    <w:tr2bl w:val="nil"/>
                  </w:tcBorders>
                  <w:noWrap w:val="0"/>
                  <w:vAlign w:val="center"/>
                </w:tcPr>
                <w:p w14:paraId="539F68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r>
                    <w:rPr>
                      <w:rFonts w:hint="default" w:ascii="Times New Roman" w:hAnsi="Times New Roman" w:eastAsia="宋体" w:cs="Times New Roman"/>
                      <w:i w:val="0"/>
                      <w:iCs w:val="0"/>
                      <w:color w:val="auto"/>
                      <w:sz w:val="21"/>
                      <w:szCs w:val="21"/>
                      <w:highlight w:val="none"/>
                      <w:u w:val="none"/>
                      <w:lang w:val="en-US" w:eastAsia="zh-CN"/>
                    </w:rPr>
                    <w:t>基础减振、厂房隔声</w:t>
                  </w:r>
                </w:p>
              </w:tc>
              <w:tc>
                <w:tcPr>
                  <w:tcW w:w="1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8A9AA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121C5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6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33B8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F436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1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C11945B">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439CC6B">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4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D9FB3E4">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874F3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38.63</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70419E2">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42.76</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DB4B9F">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51.93</w:t>
                  </w:r>
                </w:p>
              </w:tc>
              <w:tc>
                <w:tcPr>
                  <w:tcW w:w="19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04F9245">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60.45</w:t>
                  </w:r>
                </w:p>
              </w:tc>
              <w:tc>
                <w:tcPr>
                  <w:tcW w:w="334" w:type="pct"/>
                  <w:vMerge w:val="restart"/>
                  <w:tcBorders>
                    <w:top w:val="single" w:color="auto" w:sz="4" w:space="0"/>
                    <w:left w:val="single" w:color="auto" w:sz="4" w:space="0"/>
                    <w:right w:val="single" w:color="auto" w:sz="4" w:space="0"/>
                    <w:tl2br w:val="nil"/>
                    <w:tr2bl w:val="nil"/>
                  </w:tcBorders>
                  <w:noWrap w:val="0"/>
                  <w:vAlign w:val="center"/>
                </w:tcPr>
                <w:p w14:paraId="0A3F074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00:00~24:00</w:t>
                  </w:r>
                </w:p>
              </w:tc>
              <w:tc>
                <w:tcPr>
                  <w:tcW w:w="33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217A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79751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18.63</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48044D2">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22.76</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5132FA6">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31.93</w:t>
                  </w:r>
                </w:p>
              </w:tc>
              <w:tc>
                <w:tcPr>
                  <w:tcW w:w="22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9CB10C2">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40.45</w:t>
                  </w:r>
                </w:p>
              </w:tc>
              <w:tc>
                <w:tcPr>
                  <w:tcW w:w="15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C34C6C3">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68FFBC4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491A04">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2</w:t>
                  </w:r>
                </w:p>
              </w:tc>
              <w:tc>
                <w:tcPr>
                  <w:tcW w:w="39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8789891">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侧吹风装置</w:t>
                  </w:r>
                </w:p>
              </w:tc>
              <w:tc>
                <w:tcPr>
                  <w:tcW w:w="34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1A209C8">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14507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268" w:type="pct"/>
                  <w:vMerge w:val="continue"/>
                  <w:tcBorders>
                    <w:left w:val="single" w:color="auto" w:sz="4" w:space="0"/>
                    <w:right w:val="single" w:color="auto" w:sz="4" w:space="0"/>
                    <w:tl2br w:val="nil"/>
                    <w:tr2bl w:val="nil"/>
                  </w:tcBorders>
                  <w:noWrap w:val="0"/>
                  <w:vAlign w:val="center"/>
                </w:tcPr>
                <w:p w14:paraId="7902BB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zh-CN"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07E2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77"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0CDEF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6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5517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1F0C0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w:t>
                  </w:r>
                </w:p>
              </w:tc>
              <w:tc>
                <w:tcPr>
                  <w:tcW w:w="1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572B307">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4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7956325">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4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1445C7B">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9B466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44.37</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5BF75F1">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47.76</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7351357">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54.17</w:t>
                  </w:r>
                </w:p>
              </w:tc>
              <w:tc>
                <w:tcPr>
                  <w:tcW w:w="19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A5FC85">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65.45</w:t>
                  </w:r>
                </w:p>
              </w:tc>
              <w:tc>
                <w:tcPr>
                  <w:tcW w:w="334" w:type="pct"/>
                  <w:vMerge w:val="continue"/>
                  <w:tcBorders>
                    <w:left w:val="single" w:color="auto" w:sz="4" w:space="0"/>
                    <w:right w:val="single" w:color="auto" w:sz="4" w:space="0"/>
                    <w:tl2br w:val="nil"/>
                    <w:tr2bl w:val="nil"/>
                  </w:tcBorders>
                  <w:noWrap w:val="0"/>
                  <w:vAlign w:val="center"/>
                </w:tcPr>
                <w:p w14:paraId="1C369D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FB47B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6E0A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24.37</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66ACC42">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27.76</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E77D65">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34.17</w:t>
                  </w:r>
                </w:p>
              </w:tc>
              <w:tc>
                <w:tcPr>
                  <w:tcW w:w="22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E1D7D33">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45.45</w:t>
                  </w:r>
                </w:p>
              </w:tc>
              <w:tc>
                <w:tcPr>
                  <w:tcW w:w="15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4F640F7">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zh-CN" w:eastAsia="zh-CN"/>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3FC223A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BB01B8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3</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EB45B1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断毛机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0F6097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7CC19D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268" w:type="pct"/>
                  <w:vMerge w:val="continue"/>
                  <w:tcBorders>
                    <w:left w:val="single" w:color="auto" w:sz="4" w:space="0"/>
                    <w:right w:val="single" w:color="auto" w:sz="4" w:space="0"/>
                    <w:tl2br w:val="nil"/>
                    <w:tr2bl w:val="nil"/>
                  </w:tcBorders>
                  <w:shd w:val="clear" w:color="auto" w:fill="auto"/>
                  <w:noWrap w:val="0"/>
                  <w:vAlign w:val="center"/>
                </w:tcPr>
                <w:p w14:paraId="63F6F9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EFA159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E21E88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1E61E7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AAFF6D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3855AE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93B7CC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7F8A02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6CEDF7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48.97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D4096F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48.55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D073969">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47.04</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ACBAB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62.95</w:t>
                  </w:r>
                </w:p>
              </w:tc>
              <w:tc>
                <w:tcPr>
                  <w:tcW w:w="334" w:type="pct"/>
                  <w:vMerge w:val="continue"/>
                  <w:tcBorders>
                    <w:left w:val="single" w:color="auto" w:sz="4" w:space="0"/>
                    <w:right w:val="single" w:color="auto" w:sz="4" w:space="0"/>
                    <w:tl2br w:val="nil"/>
                    <w:tr2bl w:val="nil"/>
                  </w:tcBorders>
                  <w:shd w:val="clear" w:color="auto" w:fill="auto"/>
                  <w:noWrap w:val="0"/>
                  <w:vAlign w:val="center"/>
                </w:tcPr>
                <w:p w14:paraId="6A383BA8">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7E118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CC1A56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28.97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6BE6D5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28.55</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524508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27.04</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959663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42.95</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BE20E4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04D6B5C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DEA373">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4</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FA2158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揉丝机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432DA9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3BE89E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268" w:type="pct"/>
                  <w:vMerge w:val="continue"/>
                  <w:tcBorders>
                    <w:left w:val="single" w:color="auto" w:sz="4" w:space="0"/>
                    <w:right w:val="single" w:color="auto" w:sz="4" w:space="0"/>
                    <w:tl2br w:val="nil"/>
                    <w:tr2bl w:val="nil"/>
                  </w:tcBorders>
                  <w:noWrap w:val="0"/>
                  <w:vAlign w:val="center"/>
                </w:tcPr>
                <w:p w14:paraId="7A3F83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16A9EC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C531E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0AB809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C625BF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BCAE8D8">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9B4C9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3E6791B">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8D0104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39.42</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8522FB8">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37.76 </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8E004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36.70 </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4CEA8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58.97</w:t>
                  </w:r>
                </w:p>
              </w:tc>
              <w:tc>
                <w:tcPr>
                  <w:tcW w:w="334" w:type="pct"/>
                  <w:vMerge w:val="continue"/>
                  <w:tcBorders>
                    <w:left w:val="single" w:color="auto" w:sz="4" w:space="0"/>
                    <w:right w:val="single" w:color="auto" w:sz="4" w:space="0"/>
                    <w:tl2br w:val="nil"/>
                    <w:tr2bl w:val="nil"/>
                  </w:tcBorders>
                  <w:noWrap w:val="0"/>
                  <w:vAlign w:val="center"/>
                </w:tcPr>
                <w:p w14:paraId="63E6B8A1">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8281BE9">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62C96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19.42</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C16F91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17.76</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BE2194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16.7</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E94B05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38.97</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06AE81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7287ACF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0E3495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5</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C89381">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热风循环烘干箱</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C7C94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color w:val="auto"/>
                      <w:kern w:val="2"/>
                      <w:sz w:val="21"/>
                      <w:szCs w:val="21"/>
                      <w:lang w:val="en-US" w:eastAsia="zh-CN" w:bidi="ar-SA"/>
                    </w:rPr>
                    <w:t>15kw</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1F57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268" w:type="pct"/>
                  <w:vMerge w:val="continue"/>
                  <w:tcBorders>
                    <w:left w:val="single" w:color="auto" w:sz="4" w:space="0"/>
                    <w:right w:val="single" w:color="auto" w:sz="4" w:space="0"/>
                    <w:tl2br w:val="nil"/>
                    <w:tr2bl w:val="nil"/>
                  </w:tcBorders>
                  <w:noWrap w:val="0"/>
                  <w:vAlign w:val="center"/>
                </w:tcPr>
                <w:p w14:paraId="59DC5B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EE42C8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91B65E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BE6936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C3AEC9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29</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05F6EFE">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549156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7B1019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A5CA6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40.75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0ADA238">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43.97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ED11D1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45.91</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CE536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56.02</w:t>
                  </w:r>
                </w:p>
              </w:tc>
              <w:tc>
                <w:tcPr>
                  <w:tcW w:w="334" w:type="pct"/>
                  <w:vMerge w:val="continue"/>
                  <w:tcBorders>
                    <w:left w:val="single" w:color="auto" w:sz="4" w:space="0"/>
                    <w:right w:val="single" w:color="auto" w:sz="4" w:space="0"/>
                    <w:tl2br w:val="nil"/>
                    <w:tr2bl w:val="nil"/>
                  </w:tcBorders>
                  <w:noWrap w:val="0"/>
                  <w:vAlign w:val="center"/>
                </w:tcPr>
                <w:p w14:paraId="761EDCDC">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91F0956">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EEFBC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20.75</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F8DD1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23.97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7DF688A">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25.91</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3C1F46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36.02</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9BE45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520944F3">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14" w:hRule="atLeast"/>
              </w:trPr>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84A91A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6</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E5515B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离心甩干机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2D0F0B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zh-CN" w:eastAsia="zh-CN" w:bidi="ar-SA"/>
                    </w:rPr>
                  </w:pPr>
                  <w:r>
                    <w:rPr>
                      <w:rFonts w:hint="eastAsia" w:cs="Times New Roman"/>
                      <w:color w:val="auto"/>
                      <w:kern w:val="2"/>
                      <w:sz w:val="21"/>
                      <w:szCs w:val="21"/>
                      <w:lang w:val="en-US" w:eastAsia="zh-CN" w:bidi="ar-SA"/>
                    </w:rPr>
                    <w:t>SS753-800</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FFCBE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75</w:t>
                  </w:r>
                </w:p>
              </w:tc>
              <w:tc>
                <w:tcPr>
                  <w:tcW w:w="268" w:type="pct"/>
                  <w:vMerge w:val="continue"/>
                  <w:tcBorders>
                    <w:left w:val="single" w:color="auto" w:sz="4" w:space="0"/>
                    <w:right w:val="single" w:color="auto" w:sz="4" w:space="0"/>
                    <w:tl2br w:val="nil"/>
                    <w:tr2bl w:val="nil"/>
                  </w:tcBorders>
                  <w:noWrap w:val="0"/>
                  <w:vAlign w:val="center"/>
                </w:tcPr>
                <w:p w14:paraId="7F5B27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C2F5F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D5AD8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14523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CED04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7B9F1B8">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A97D92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2AF29D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CCFD9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71B4F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48.55 </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48403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44.11</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7A24E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62.95</w:t>
                  </w:r>
                </w:p>
              </w:tc>
              <w:tc>
                <w:tcPr>
                  <w:tcW w:w="334" w:type="pct"/>
                  <w:vMerge w:val="continue"/>
                  <w:tcBorders>
                    <w:left w:val="single" w:color="auto" w:sz="4" w:space="0"/>
                    <w:right w:val="single" w:color="auto" w:sz="4" w:space="0"/>
                    <w:tl2br w:val="nil"/>
                    <w:tr2bl w:val="nil"/>
                  </w:tcBorders>
                  <w:noWrap w:val="0"/>
                  <w:vAlign w:val="center"/>
                </w:tcPr>
                <w:p w14:paraId="0C864970">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402B8A2">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0359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35</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85FC36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28.55</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FD0EBC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24.11</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CABF09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42.95</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F9E41CB">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3840CC8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14" w:hRule="atLeast"/>
              </w:trPr>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68BDB08">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45BD3B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真空清洗炉</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D573F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cs="宋体" w:eastAsiaTheme="minorEastAsia"/>
                      <w:color w:val="auto"/>
                      <w:sz w:val="21"/>
                      <w:szCs w:val="21"/>
                      <w:highlight w:val="none"/>
                      <w:lang w:val="en-US" w:eastAsia="zh-CN"/>
                    </w:rPr>
                    <w:t>Φ600*800</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3800DC3">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70</w:t>
                  </w:r>
                </w:p>
              </w:tc>
              <w:tc>
                <w:tcPr>
                  <w:tcW w:w="268" w:type="pct"/>
                  <w:vMerge w:val="continue"/>
                  <w:tcBorders>
                    <w:left w:val="single" w:color="auto" w:sz="4" w:space="0"/>
                    <w:right w:val="single" w:color="auto" w:sz="4" w:space="0"/>
                    <w:tl2br w:val="nil"/>
                    <w:tr2bl w:val="nil"/>
                  </w:tcBorders>
                  <w:noWrap w:val="0"/>
                  <w:vAlign w:val="center"/>
                </w:tcPr>
                <w:p w14:paraId="12B280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BADB1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FCA81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8DEA3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71ACC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0E2C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527F9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4405A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A446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37.95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60E4FE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49.17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6F3244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56.02</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01C66D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47.07</w:t>
                  </w:r>
                </w:p>
              </w:tc>
              <w:tc>
                <w:tcPr>
                  <w:tcW w:w="334" w:type="pct"/>
                  <w:vMerge w:val="continue"/>
                  <w:tcBorders>
                    <w:left w:val="single" w:color="auto" w:sz="4" w:space="0"/>
                    <w:right w:val="single" w:color="auto" w:sz="4" w:space="0"/>
                    <w:tl2br w:val="nil"/>
                    <w:tr2bl w:val="nil"/>
                  </w:tcBorders>
                  <w:noWrap w:val="0"/>
                  <w:vAlign w:val="center"/>
                </w:tcPr>
                <w:p w14:paraId="6AFDE516">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B5738C1">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68E2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36.54</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58A96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34.03</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0E0FD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37.3</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D4758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49.89</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9CCAA37">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4CD6B97E">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14" w:hRule="atLeast"/>
              </w:trPr>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588FA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8</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540A9B5">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水洗槽</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4553CC8">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color w:val="auto"/>
                      <w:kern w:val="2"/>
                      <w:sz w:val="21"/>
                      <w:szCs w:val="21"/>
                      <w:lang w:val="en-US" w:eastAsia="zh-CN" w:bidi="ar-SA"/>
                    </w:rPr>
                    <w:t>1m*1.6m*0.4m</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2CDE1A6">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w:t>
                  </w:r>
                </w:p>
              </w:tc>
              <w:tc>
                <w:tcPr>
                  <w:tcW w:w="268" w:type="pct"/>
                  <w:vMerge w:val="continue"/>
                  <w:tcBorders>
                    <w:left w:val="single" w:color="auto" w:sz="4" w:space="0"/>
                    <w:right w:val="single" w:color="auto" w:sz="4" w:space="0"/>
                    <w:tl2br w:val="nil"/>
                    <w:tr2bl w:val="nil"/>
                  </w:tcBorders>
                  <w:noWrap w:val="0"/>
                  <w:vAlign w:val="center"/>
                </w:tcPr>
                <w:p w14:paraId="662CC6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ED62C6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D9EF12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1034647">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BF7073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36CF9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3D3E2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23</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80561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D1E6B28">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48.15 </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A847EA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53.41 </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34CC88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47.76</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30BD623">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52.72</w:t>
                  </w:r>
                </w:p>
              </w:tc>
              <w:tc>
                <w:tcPr>
                  <w:tcW w:w="334" w:type="pct"/>
                  <w:vMerge w:val="continue"/>
                  <w:tcBorders>
                    <w:left w:val="single" w:color="auto" w:sz="4" w:space="0"/>
                    <w:right w:val="single" w:color="auto" w:sz="4" w:space="0"/>
                    <w:tl2br w:val="nil"/>
                    <w:tr2bl w:val="nil"/>
                  </w:tcBorders>
                  <w:noWrap w:val="0"/>
                  <w:vAlign w:val="center"/>
                </w:tcPr>
                <w:p w14:paraId="6511A036">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AF25EE0">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w:t>
                  </w:r>
                </w:p>
              </w:tc>
              <w:tc>
                <w:tcPr>
                  <w:tcW w:w="506"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3F855C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28.15</w:t>
                  </w:r>
                </w:p>
              </w:tc>
              <w:tc>
                <w:tcPr>
                  <w:tcW w:w="5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609410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33.41</w:t>
                  </w:r>
                </w:p>
              </w:tc>
              <w:tc>
                <w:tcPr>
                  <w:tcW w:w="5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872F99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27.76</w:t>
                  </w:r>
                </w:p>
              </w:tc>
              <w:tc>
                <w:tcPr>
                  <w:tcW w:w="59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ECDD3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32.72</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EF77C48">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5B5162E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14" w:hRule="atLeast"/>
              </w:trPr>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DFA16F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9</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546C1A9">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水泵</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087108E">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5DA320">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75</w:t>
                  </w:r>
                </w:p>
              </w:tc>
              <w:tc>
                <w:tcPr>
                  <w:tcW w:w="268" w:type="pct"/>
                  <w:vMerge w:val="continue"/>
                  <w:tcBorders>
                    <w:left w:val="single" w:color="auto" w:sz="4" w:space="0"/>
                    <w:right w:val="single" w:color="auto" w:sz="4" w:space="0"/>
                    <w:tl2br w:val="nil"/>
                    <w:tr2bl w:val="nil"/>
                  </w:tcBorders>
                  <w:noWrap w:val="0"/>
                  <w:vAlign w:val="center"/>
                </w:tcPr>
                <w:p w14:paraId="2F3157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10C44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A83E33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5B41B3E">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EDD89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2FE896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154F09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778C3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C99F9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48.55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320DE1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53.41</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0FFBA3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47.39 </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1FB0C4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52.72 </w:t>
                  </w:r>
                </w:p>
              </w:tc>
              <w:tc>
                <w:tcPr>
                  <w:tcW w:w="334" w:type="pct"/>
                  <w:vMerge w:val="continue"/>
                  <w:tcBorders>
                    <w:left w:val="single" w:color="auto" w:sz="4" w:space="0"/>
                    <w:right w:val="single" w:color="auto" w:sz="4" w:space="0"/>
                    <w:tl2br w:val="nil"/>
                    <w:tr2bl w:val="nil"/>
                  </w:tcBorders>
                  <w:noWrap w:val="0"/>
                  <w:vAlign w:val="center"/>
                </w:tcPr>
                <w:p w14:paraId="0E05C57D">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7DEBAB8">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w:t>
                  </w:r>
                </w:p>
              </w:tc>
              <w:tc>
                <w:tcPr>
                  <w:tcW w:w="506"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43DC71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28.55</w:t>
                  </w:r>
                </w:p>
              </w:tc>
              <w:tc>
                <w:tcPr>
                  <w:tcW w:w="5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7E0397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33.41</w:t>
                  </w:r>
                </w:p>
              </w:tc>
              <w:tc>
                <w:tcPr>
                  <w:tcW w:w="589"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399C0B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27.39</w:t>
                  </w:r>
                </w:p>
              </w:tc>
              <w:tc>
                <w:tcPr>
                  <w:tcW w:w="592"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58633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32.72</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21BBB67">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10C99DC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14" w:hRule="atLeast"/>
              </w:trPr>
              <w:tc>
                <w:tcPr>
                  <w:tcW w:w="3972" w:type="pct"/>
                  <w:gridSpan w:val="18"/>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BBB65FB">
                  <w:pPr>
                    <w:keepNext w:val="0"/>
                    <w:keepLines w:val="0"/>
                    <w:widowControl/>
                    <w:suppressLineNumbers w:val="0"/>
                    <w:jc w:val="center"/>
                    <w:textAlignment w:val="center"/>
                    <w:rPr>
                      <w:rFonts w:hint="eastAsia"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室内声源叠加贡献值</w:t>
                  </w:r>
                  <w:r>
                    <w:rPr>
                      <w:rFonts w:hint="default"/>
                      <w:color w:val="auto"/>
                      <w:sz w:val="21"/>
                      <w:szCs w:val="21"/>
                      <w:lang w:val="en-US" w:eastAsia="zh-CN"/>
                    </w:rPr>
                    <w:t>（dB（A））</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F9455BE">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37.74</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CC3DDD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38.89</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B53B9D8">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40.22</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871A0C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50.08</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60380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r>
            <w:tr w14:paraId="6234F5C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5000" w:type="pct"/>
                  <w:gridSpan w:val="23"/>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21B90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综合车间</w:t>
                  </w:r>
                </w:p>
              </w:tc>
            </w:tr>
            <w:tr w14:paraId="622CE79B">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85FD1D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10</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8C5B08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辫子织机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2E2D6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9D77DC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268" w:type="pct"/>
                  <w:vMerge w:val="restart"/>
                  <w:tcBorders>
                    <w:left w:val="single" w:color="auto" w:sz="4" w:space="0"/>
                    <w:right w:val="single" w:color="auto" w:sz="4" w:space="0"/>
                    <w:tl2br w:val="nil"/>
                    <w:tr2bl w:val="nil"/>
                  </w:tcBorders>
                  <w:shd w:val="clear" w:color="auto" w:fill="auto"/>
                  <w:noWrap w:val="0"/>
                  <w:vAlign w:val="center"/>
                </w:tcPr>
                <w:p w14:paraId="6DEC78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基础减振、厂房隔声</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BB1A8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4BB504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68</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9FBEBD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2DFE57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996FC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456B5E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68</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E3B3B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95B1F6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33.97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8F1FC9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36.47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64D56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23.34</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1D1A02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334" w:type="pct"/>
                  <w:vMerge w:val="restart"/>
                  <w:tcBorders>
                    <w:left w:val="single" w:color="auto" w:sz="4" w:space="0"/>
                    <w:right w:val="single" w:color="auto" w:sz="4" w:space="0"/>
                    <w:tl2br w:val="nil"/>
                    <w:tr2bl w:val="nil"/>
                  </w:tcBorders>
                  <w:shd w:val="clear" w:color="auto" w:fill="auto"/>
                  <w:noWrap w:val="0"/>
                  <w:vAlign w:val="center"/>
                </w:tcPr>
                <w:p w14:paraId="115CE355">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00:00~24:00</w:t>
                  </w: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AE66C5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7E59BC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13.97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C9E336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16.47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D8C355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3.34</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3D6899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F99678E">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1B1D647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19EFF4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11</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5BC536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压花机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BE21208">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A0D577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268" w:type="pct"/>
                  <w:vMerge w:val="continue"/>
                  <w:tcBorders>
                    <w:left w:val="single" w:color="auto" w:sz="4" w:space="0"/>
                    <w:right w:val="single" w:color="auto" w:sz="4" w:space="0"/>
                    <w:tl2br w:val="nil"/>
                    <w:tr2bl w:val="nil"/>
                  </w:tcBorders>
                  <w:noWrap w:val="0"/>
                  <w:vAlign w:val="center"/>
                </w:tcPr>
                <w:p w14:paraId="3C9EFB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24F256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F8D23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57</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D0FD1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74E9A9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31</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99599A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B6AE6A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57</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D64C73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377A49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40.17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49CEA8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45.91</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711693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34.88</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82356F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50.91</w:t>
                  </w:r>
                </w:p>
              </w:tc>
              <w:tc>
                <w:tcPr>
                  <w:tcW w:w="334" w:type="pct"/>
                  <w:vMerge w:val="continue"/>
                  <w:tcBorders>
                    <w:left w:val="single" w:color="auto" w:sz="4" w:space="0"/>
                    <w:right w:val="single" w:color="auto" w:sz="4" w:space="0"/>
                    <w:tl2br w:val="nil"/>
                    <w:tr2bl w:val="nil"/>
                  </w:tcBorders>
                  <w:noWrap w:val="0"/>
                  <w:vAlign w:val="center"/>
                </w:tcPr>
                <w:p w14:paraId="24777731">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26B533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4525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20.17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A9F1D67">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25.91</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C4837B8">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14.88</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484016E">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30.91</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43DA4B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2DC75D0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D7CC3C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12</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1081F7F">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剪裁机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B4F1F7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A6EA38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268" w:type="pct"/>
                  <w:vMerge w:val="continue"/>
                  <w:tcBorders>
                    <w:left w:val="single" w:color="auto" w:sz="4" w:space="0"/>
                    <w:right w:val="single" w:color="auto" w:sz="4" w:space="0"/>
                    <w:tl2br w:val="nil"/>
                    <w:tr2bl w:val="nil"/>
                  </w:tcBorders>
                  <w:noWrap w:val="0"/>
                  <w:vAlign w:val="center"/>
                </w:tcPr>
                <w:p w14:paraId="12B898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F3796A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7235D5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62</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28B51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C9B81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26</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40CB04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C514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62</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6A9622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035FC8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2CF283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42.07</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AF361A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29.15</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B04733">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44.17</w:t>
                  </w:r>
                </w:p>
              </w:tc>
              <w:tc>
                <w:tcPr>
                  <w:tcW w:w="334" w:type="pct"/>
                  <w:vMerge w:val="continue"/>
                  <w:tcBorders>
                    <w:left w:val="single" w:color="auto" w:sz="4" w:space="0"/>
                    <w:right w:val="single" w:color="auto" w:sz="4" w:space="0"/>
                    <w:tl2br w:val="nil"/>
                    <w:tr2bl w:val="nil"/>
                  </w:tcBorders>
                  <w:noWrap w:val="0"/>
                  <w:vAlign w:val="center"/>
                </w:tcPr>
                <w:p w14:paraId="6A0E35D2">
                  <w:pPr>
                    <w:keepNext w:val="0"/>
                    <w:keepLines w:val="0"/>
                    <w:widowControl/>
                    <w:suppressLineNumbers w:val="0"/>
                    <w:jc w:val="center"/>
                    <w:textAlignment w:val="center"/>
                    <w:rPr>
                      <w:rFonts w:hint="eastAsia" w:ascii="Times New Roman" w:hAnsi="Times New Roman" w:eastAsia="宋体" w:cs="Times New Roman"/>
                      <w:i w:val="0"/>
                      <w:iCs w:val="0"/>
                      <w:color w:val="auto"/>
                      <w:sz w:val="21"/>
                      <w:szCs w:val="21"/>
                      <w:highlight w:val="none"/>
                      <w:u w:val="none"/>
                      <w:lang w:val="en-US" w:eastAsia="zh-CN"/>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BBCEB24">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10DB92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04E088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22.07</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BA76544">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9.15</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4279D4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24.17</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D539827">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6ED580DE">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14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5EAE3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13</w:t>
                  </w:r>
                </w:p>
              </w:tc>
              <w:tc>
                <w:tcPr>
                  <w:tcW w:w="39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5524F4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整经机</w:t>
                  </w:r>
                </w:p>
              </w:tc>
              <w:tc>
                <w:tcPr>
                  <w:tcW w:w="34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08FCA4D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w:t>
                  </w:r>
                </w:p>
              </w:tc>
              <w:tc>
                <w:tcPr>
                  <w:tcW w:w="27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0C1C06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70</w:t>
                  </w:r>
                </w:p>
              </w:tc>
              <w:tc>
                <w:tcPr>
                  <w:tcW w:w="268" w:type="pct"/>
                  <w:vMerge w:val="continue"/>
                  <w:tcBorders>
                    <w:left w:val="single" w:color="auto" w:sz="4" w:space="0"/>
                    <w:right w:val="single" w:color="auto" w:sz="4" w:space="0"/>
                    <w:tl2br w:val="nil"/>
                    <w:tr2bl w:val="nil"/>
                  </w:tcBorders>
                  <w:shd w:val="clear" w:color="auto" w:fill="auto"/>
                  <w:noWrap w:val="0"/>
                  <w:vAlign w:val="center"/>
                </w:tcPr>
                <w:p w14:paraId="1C4393A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D4597B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7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14F32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67</w:t>
                  </w:r>
                </w:p>
              </w:tc>
              <w:tc>
                <w:tcPr>
                  <w:tcW w:w="16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2FB3C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349493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FD8E6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22</w:t>
                  </w:r>
                </w:p>
              </w:tc>
              <w:tc>
                <w:tcPr>
                  <w:tcW w:w="14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3F90F5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67</w:t>
                  </w:r>
                </w:p>
              </w:tc>
              <w:tc>
                <w:tcPr>
                  <w:tcW w:w="14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3219BB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69B5B4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43.55</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1EC80F8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43.15 </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3D75558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33.47</w:t>
                  </w:r>
                </w:p>
              </w:tc>
              <w:tc>
                <w:tcPr>
                  <w:tcW w:w="19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5E62D1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60.45</w:t>
                  </w:r>
                </w:p>
              </w:tc>
              <w:tc>
                <w:tcPr>
                  <w:tcW w:w="334" w:type="pct"/>
                  <w:vMerge w:val="continue"/>
                  <w:tcBorders>
                    <w:left w:val="single" w:color="auto" w:sz="4" w:space="0"/>
                    <w:right w:val="single" w:color="auto" w:sz="4" w:space="0"/>
                    <w:tl2br w:val="nil"/>
                    <w:tr2bl w:val="nil"/>
                  </w:tcBorders>
                  <w:shd w:val="clear" w:color="auto" w:fill="auto"/>
                  <w:noWrap w:val="0"/>
                  <w:vAlign w:val="center"/>
                </w:tcPr>
                <w:p w14:paraId="30572B2D">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p>
              </w:tc>
              <w:tc>
                <w:tcPr>
                  <w:tcW w:w="335"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65945B50">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sz w:val="21"/>
                      <w:szCs w:val="21"/>
                      <w:highlight w:val="none"/>
                      <w:u w:val="none"/>
                      <w:lang w:val="en-US" w:eastAsia="zh-CN"/>
                    </w:rPr>
                    <w:t>2</w:t>
                  </w:r>
                  <w:r>
                    <w:rPr>
                      <w:rFonts w:hint="eastAsia" w:ascii="Times New Roman" w:hAnsi="Times New Roman" w:eastAsia="宋体" w:cs="Times New Roman"/>
                      <w:i w:val="0"/>
                      <w:iCs w:val="0"/>
                      <w:color w:val="auto"/>
                      <w:sz w:val="21"/>
                      <w:szCs w:val="21"/>
                      <w:highlight w:val="none"/>
                      <w:u w:val="none"/>
                      <w:lang w:val="en-US" w:eastAsia="zh-CN"/>
                    </w:rPr>
                    <w:t>0</w:t>
                  </w:r>
                </w:p>
              </w:tc>
              <w:tc>
                <w:tcPr>
                  <w:tcW w:w="193"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2834E3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23.55</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76FD18F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23.15</w:t>
                  </w:r>
                </w:p>
              </w:tc>
              <w:tc>
                <w:tcPr>
                  <w:tcW w:w="224"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467D47B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13.47</w:t>
                  </w:r>
                </w:p>
              </w:tc>
              <w:tc>
                <w:tcPr>
                  <w:tcW w:w="226"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236CBC2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40.45</w:t>
                  </w:r>
                </w:p>
              </w:tc>
              <w:tc>
                <w:tcPr>
                  <w:tcW w:w="158"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14:paraId="5FB2EC1C">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eastAsia" w:ascii="Times New Roman" w:hAnsi="Times New Roman" w:eastAsia="宋体" w:cs="Times New Roman"/>
                      <w:i w:val="0"/>
                      <w:iCs w:val="0"/>
                      <w:color w:val="auto"/>
                      <w:sz w:val="21"/>
                      <w:szCs w:val="21"/>
                      <w:highlight w:val="none"/>
                      <w:u w:val="none"/>
                      <w:lang w:val="en-US" w:eastAsia="zh-CN"/>
                    </w:rPr>
                    <w:t>1m</w:t>
                  </w:r>
                </w:p>
              </w:tc>
            </w:tr>
            <w:tr w14:paraId="6F6E9E4E">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3972" w:type="pct"/>
                  <w:gridSpan w:val="18"/>
                  <w:tcBorders>
                    <w:top w:val="single" w:color="auto" w:sz="4" w:space="0"/>
                    <w:left w:val="single" w:color="auto" w:sz="4" w:space="0"/>
                    <w:bottom w:val="single" w:color="auto" w:sz="4" w:space="0"/>
                    <w:right w:val="single" w:color="auto" w:sz="4" w:space="0"/>
                    <w:tl2br w:val="nil"/>
                    <w:tr2bl w:val="nil"/>
                  </w:tcBorders>
                  <w:noWrap w:val="0"/>
                  <w:vAlign w:val="center"/>
                </w:tcPr>
                <w:p w14:paraId="060F77C7">
                  <w:pPr>
                    <w:keepNext w:val="0"/>
                    <w:keepLines w:val="0"/>
                    <w:widowControl/>
                    <w:suppressLineNumbers w:val="0"/>
                    <w:jc w:val="center"/>
                    <w:textAlignment w:val="center"/>
                    <w:rPr>
                      <w:rFonts w:hint="default"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室内声源叠加贡献值</w:t>
                  </w:r>
                  <w:r>
                    <w:rPr>
                      <w:rFonts w:hint="default"/>
                      <w:color w:val="auto"/>
                      <w:sz w:val="21"/>
                      <w:szCs w:val="21"/>
                      <w:lang w:val="en-US" w:eastAsia="zh-CN"/>
                    </w:rPr>
                    <w:t>（dB（A））</w:t>
                  </w:r>
                </w:p>
              </w:tc>
              <w:tc>
                <w:tcPr>
                  <w:tcW w:w="19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79C3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26.04</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A74DD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29.04</w:t>
                  </w:r>
                </w:p>
              </w:tc>
              <w:tc>
                <w:tcPr>
                  <w:tcW w:w="22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CAA13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18.02</w:t>
                  </w:r>
                </w:p>
              </w:tc>
              <w:tc>
                <w:tcPr>
                  <w:tcW w:w="22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469BF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41.03</w:t>
                  </w:r>
                </w:p>
              </w:tc>
              <w:tc>
                <w:tcPr>
                  <w:tcW w:w="158"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0AFF7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w:t>
                  </w:r>
                </w:p>
              </w:tc>
            </w:tr>
          </w:tbl>
          <w:p w14:paraId="0675C26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eastAsia="黑体" w:cs="Times New Roman"/>
                <w:b w:val="0"/>
                <w:bCs w:val="0"/>
                <w:color w:val="auto"/>
                <w:kern w:val="0"/>
                <w:sz w:val="24"/>
                <w:szCs w:val="24"/>
                <w:lang w:val="zh-CN"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zh-CN" w:eastAsia="zh-CN"/>
              </w:rPr>
              <w:t>-</w:t>
            </w:r>
            <w:r>
              <w:rPr>
                <w:rFonts w:hint="eastAsia" w:eastAsia="黑体" w:cs="Times New Roman"/>
                <w:b w:val="0"/>
                <w:bCs w:val="0"/>
                <w:color w:val="auto"/>
                <w:kern w:val="0"/>
                <w:sz w:val="24"/>
                <w:szCs w:val="24"/>
                <w:lang w:val="en-US" w:eastAsia="zh-CN"/>
              </w:rPr>
              <w:t>8</w:t>
            </w:r>
            <w:r>
              <w:rPr>
                <w:rFonts w:hint="eastAsia" w:ascii="Times New Roman" w:hAnsi="Times New Roman" w:eastAsia="黑体" w:cs="Times New Roman"/>
                <w:b w:val="0"/>
                <w:bCs w:val="0"/>
                <w:color w:val="auto"/>
                <w:kern w:val="0"/>
                <w:sz w:val="24"/>
                <w:szCs w:val="24"/>
                <w:lang w:val="zh-CN" w:eastAsia="zh-CN"/>
              </w:rPr>
              <w:t xml:space="preserve"> 项目设备主要噪声源强调查清单</w:t>
            </w:r>
            <w:r>
              <w:rPr>
                <w:rFonts w:hint="eastAsia" w:eastAsia="黑体" w:cs="Times New Roman"/>
                <w:b w:val="0"/>
                <w:bCs w:val="0"/>
                <w:color w:val="auto"/>
                <w:kern w:val="0"/>
                <w:sz w:val="24"/>
                <w:szCs w:val="24"/>
                <w:lang w:val="zh-CN" w:eastAsia="zh-CN"/>
              </w:rPr>
              <w:t>（</w:t>
            </w:r>
            <w:r>
              <w:rPr>
                <w:rFonts w:hint="eastAsia" w:eastAsia="黑体" w:cs="Times New Roman"/>
                <w:b w:val="0"/>
                <w:bCs w:val="0"/>
                <w:color w:val="auto"/>
                <w:kern w:val="0"/>
                <w:sz w:val="24"/>
                <w:szCs w:val="24"/>
                <w:lang w:val="en-US" w:eastAsia="zh-CN"/>
              </w:rPr>
              <w:t>室外声源</w:t>
            </w:r>
            <w:r>
              <w:rPr>
                <w:rFonts w:hint="eastAsia" w:eastAsia="黑体" w:cs="Times New Roman"/>
                <w:b w:val="0"/>
                <w:bCs w:val="0"/>
                <w:color w:val="auto"/>
                <w:kern w:val="0"/>
                <w:sz w:val="24"/>
                <w:szCs w:val="24"/>
                <w:lang w:val="zh-CN" w:eastAsia="zh-CN"/>
              </w:rPr>
              <w:t>）</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2051"/>
              <w:gridCol w:w="1017"/>
              <w:gridCol w:w="834"/>
              <w:gridCol w:w="834"/>
              <w:gridCol w:w="834"/>
              <w:gridCol w:w="3219"/>
              <w:gridCol w:w="883"/>
              <w:gridCol w:w="1414"/>
              <w:gridCol w:w="1313"/>
            </w:tblGrid>
            <w:tr w14:paraId="31343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78" w:type="pct"/>
                  <w:vMerge w:val="restart"/>
                  <w:vAlign w:val="center"/>
                </w:tcPr>
                <w:p w14:paraId="4E7987F6">
                  <w:pPr>
                    <w:keepNext w:val="0"/>
                    <w:keepLines w:val="0"/>
                    <w:pageBreakBefore w:val="0"/>
                    <w:kinsoku/>
                    <w:wordWrap/>
                    <w:overflowPunct/>
                    <w:topLinePunct w:val="0"/>
                    <w:autoSpaceDN/>
                    <w:bidi w:val="0"/>
                    <w:adjustRightInd w:val="0"/>
                    <w:snapToGrid w:val="0"/>
                    <w:ind w:firstLine="0" w:firstLineChars="0"/>
                    <w:jc w:val="center"/>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序号</w:t>
                  </w:r>
                </w:p>
              </w:tc>
              <w:tc>
                <w:tcPr>
                  <w:tcW w:w="781" w:type="pct"/>
                  <w:vMerge w:val="restart"/>
                  <w:vAlign w:val="center"/>
                </w:tcPr>
                <w:p w14:paraId="658D0320">
                  <w:pPr>
                    <w:keepNext w:val="0"/>
                    <w:keepLines w:val="0"/>
                    <w:pageBreakBefore w:val="0"/>
                    <w:kinsoku/>
                    <w:wordWrap/>
                    <w:overflowPunct/>
                    <w:topLinePunct w:val="0"/>
                    <w:autoSpaceDN/>
                    <w:bidi w:val="0"/>
                    <w:adjustRightInd w:val="0"/>
                    <w:snapToGrid w:val="0"/>
                    <w:ind w:firstLine="0" w:firstLineChars="0"/>
                    <w:jc w:val="center"/>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声源名称</w:t>
                  </w:r>
                </w:p>
              </w:tc>
              <w:tc>
                <w:tcPr>
                  <w:tcW w:w="387" w:type="pct"/>
                  <w:vMerge w:val="restart"/>
                  <w:vAlign w:val="center"/>
                </w:tcPr>
                <w:p w14:paraId="3E5A49B3">
                  <w:pPr>
                    <w:keepNext w:val="0"/>
                    <w:keepLines w:val="0"/>
                    <w:pageBreakBefore w:val="0"/>
                    <w:kinsoku/>
                    <w:wordWrap/>
                    <w:overflowPunct/>
                    <w:topLinePunct w:val="0"/>
                    <w:autoSpaceDN/>
                    <w:bidi w:val="0"/>
                    <w:adjustRightInd w:val="0"/>
                    <w:snapToGrid w:val="0"/>
                    <w:ind w:firstLine="0" w:firstLineChars="0"/>
                    <w:jc w:val="center"/>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型号</w:t>
                  </w:r>
                </w:p>
              </w:tc>
              <w:tc>
                <w:tcPr>
                  <w:tcW w:w="952" w:type="pct"/>
                  <w:gridSpan w:val="3"/>
                  <w:vAlign w:val="center"/>
                </w:tcPr>
                <w:p w14:paraId="1A313097">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空间相对位置m</w:t>
                  </w:r>
                </w:p>
              </w:tc>
              <w:tc>
                <w:tcPr>
                  <w:tcW w:w="1225" w:type="pct"/>
                  <w:vAlign w:val="center"/>
                </w:tcPr>
                <w:p w14:paraId="39D331D1">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rPr>
                    <w:t>声源源强</w:t>
                  </w:r>
                </w:p>
              </w:tc>
              <w:tc>
                <w:tcPr>
                  <w:tcW w:w="336" w:type="pct"/>
                  <w:vMerge w:val="restart"/>
                  <w:vAlign w:val="center"/>
                </w:tcPr>
                <w:p w14:paraId="33EB2C5F">
                  <w:pPr>
                    <w:keepNext w:val="0"/>
                    <w:keepLines w:val="0"/>
                    <w:pageBreakBefore w:val="0"/>
                    <w:kinsoku/>
                    <w:wordWrap/>
                    <w:overflowPunct/>
                    <w:topLinePunct w:val="0"/>
                    <w:autoSpaceDN/>
                    <w:bidi w:val="0"/>
                    <w:adjustRightInd w:val="0"/>
                    <w:snapToGrid w:val="0"/>
                    <w:ind w:firstLine="0" w:firstLineChars="0"/>
                    <w:jc w:val="center"/>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数量</w:t>
                  </w:r>
                </w:p>
              </w:tc>
              <w:tc>
                <w:tcPr>
                  <w:tcW w:w="538" w:type="pct"/>
                  <w:vMerge w:val="restart"/>
                  <w:vAlign w:val="center"/>
                </w:tcPr>
                <w:p w14:paraId="0D8521F6">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 w:val="21"/>
                      <w:szCs w:val="21"/>
                    </w:rPr>
                    <w:t>声源控制措施</w:t>
                  </w:r>
                </w:p>
              </w:tc>
              <w:tc>
                <w:tcPr>
                  <w:tcW w:w="500" w:type="pct"/>
                  <w:vMerge w:val="restart"/>
                  <w:vAlign w:val="center"/>
                </w:tcPr>
                <w:p w14:paraId="1D50E41D">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 w:val="21"/>
                      <w:szCs w:val="21"/>
                    </w:rPr>
                    <w:t>运行时段</w:t>
                  </w:r>
                </w:p>
              </w:tc>
            </w:tr>
            <w:tr w14:paraId="5718B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78" w:type="pct"/>
                  <w:vMerge w:val="continue"/>
                  <w:vAlign w:val="center"/>
                </w:tcPr>
                <w:p w14:paraId="229D5527">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p>
              </w:tc>
              <w:tc>
                <w:tcPr>
                  <w:tcW w:w="781" w:type="pct"/>
                  <w:vMerge w:val="continue"/>
                  <w:vAlign w:val="center"/>
                </w:tcPr>
                <w:p w14:paraId="0CCF31A9">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p>
              </w:tc>
              <w:tc>
                <w:tcPr>
                  <w:tcW w:w="387" w:type="pct"/>
                  <w:vMerge w:val="continue"/>
                  <w:vAlign w:val="center"/>
                </w:tcPr>
                <w:p w14:paraId="46C81A89">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p>
              </w:tc>
              <w:tc>
                <w:tcPr>
                  <w:tcW w:w="317" w:type="pct"/>
                  <w:vAlign w:val="center"/>
                </w:tcPr>
                <w:p w14:paraId="012BB523">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X</w:t>
                  </w:r>
                </w:p>
              </w:tc>
              <w:tc>
                <w:tcPr>
                  <w:tcW w:w="317" w:type="pct"/>
                  <w:vAlign w:val="center"/>
                </w:tcPr>
                <w:p w14:paraId="617700C2">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Y</w:t>
                  </w:r>
                </w:p>
              </w:tc>
              <w:tc>
                <w:tcPr>
                  <w:tcW w:w="317" w:type="pct"/>
                  <w:vAlign w:val="center"/>
                </w:tcPr>
                <w:p w14:paraId="36FE6F2B">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Z</w:t>
                  </w:r>
                </w:p>
              </w:tc>
              <w:tc>
                <w:tcPr>
                  <w:tcW w:w="1225" w:type="pct"/>
                  <w:vAlign w:val="center"/>
                </w:tcPr>
                <w:p w14:paraId="7DF426D5">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rPr>
                    <w:t>声功率级dB(A)</w:t>
                  </w:r>
                </w:p>
              </w:tc>
              <w:tc>
                <w:tcPr>
                  <w:tcW w:w="336" w:type="pct"/>
                  <w:vMerge w:val="continue"/>
                  <w:vAlign w:val="center"/>
                </w:tcPr>
                <w:p w14:paraId="6F76A93E">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p>
              </w:tc>
              <w:tc>
                <w:tcPr>
                  <w:tcW w:w="538" w:type="pct"/>
                  <w:vMerge w:val="continue"/>
                  <w:vAlign w:val="center"/>
                </w:tcPr>
                <w:p w14:paraId="3C03BCA6">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p>
              </w:tc>
              <w:tc>
                <w:tcPr>
                  <w:tcW w:w="500" w:type="pct"/>
                  <w:vMerge w:val="continue"/>
                  <w:vAlign w:val="center"/>
                </w:tcPr>
                <w:p w14:paraId="53FDBAB6">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p>
              </w:tc>
            </w:tr>
            <w:tr w14:paraId="5335E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78" w:type="pct"/>
                  <w:vAlign w:val="center"/>
                </w:tcPr>
                <w:p w14:paraId="0BC73A8C">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w:t>
                  </w:r>
                </w:p>
              </w:tc>
              <w:tc>
                <w:tcPr>
                  <w:tcW w:w="781" w:type="pct"/>
                  <w:vAlign w:val="center"/>
                </w:tcPr>
                <w:p w14:paraId="1628C143">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风机</w:t>
                  </w:r>
                </w:p>
              </w:tc>
              <w:tc>
                <w:tcPr>
                  <w:tcW w:w="387" w:type="pct"/>
                  <w:vAlign w:val="center"/>
                </w:tcPr>
                <w:p w14:paraId="4BAB7D4C">
                  <w:pPr>
                    <w:keepNext w:val="0"/>
                    <w:keepLines w:val="0"/>
                    <w:pageBreakBefore w:val="0"/>
                    <w:kinsoku/>
                    <w:wordWrap/>
                    <w:overflowPunct/>
                    <w:topLinePunct w:val="0"/>
                    <w:autoSpaceDN/>
                    <w:bidi w:val="0"/>
                    <w:adjustRightInd w:val="0"/>
                    <w:snapToGrid w:val="0"/>
                    <w:ind w:firstLine="0" w:firstLineChars="0"/>
                    <w:jc w:val="center"/>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w:t>
                  </w:r>
                </w:p>
              </w:tc>
              <w:tc>
                <w:tcPr>
                  <w:tcW w:w="317" w:type="pct"/>
                  <w:vAlign w:val="center"/>
                </w:tcPr>
                <w:p w14:paraId="6546DB29">
                  <w:pPr>
                    <w:keepNext w:val="0"/>
                    <w:keepLines w:val="0"/>
                    <w:widowControl/>
                    <w:suppressLineNumbers w:val="0"/>
                    <w:jc w:val="center"/>
                    <w:textAlignment w:val="center"/>
                    <w:rPr>
                      <w:rFonts w:hint="default" w:ascii="Times New Roman" w:hAnsi="Times New Roman" w:eastAsia="宋体" w:cs="宋体"/>
                      <w:i w:val="0"/>
                      <w:iCs w:val="0"/>
                      <w:color w:val="auto"/>
                      <w:kern w:val="2"/>
                      <w:sz w:val="21"/>
                      <w:szCs w:val="21"/>
                      <w:highlight w:val="none"/>
                      <w:u w:val="none"/>
                      <w:lang w:val="en-US" w:eastAsia="zh-CN" w:bidi="ar-SA"/>
                    </w:rPr>
                  </w:pPr>
                  <w:r>
                    <w:rPr>
                      <w:rFonts w:hint="eastAsia" w:cs="宋体"/>
                      <w:i w:val="0"/>
                      <w:iCs w:val="0"/>
                      <w:color w:val="auto"/>
                      <w:kern w:val="2"/>
                      <w:sz w:val="21"/>
                      <w:szCs w:val="21"/>
                      <w:highlight w:val="none"/>
                      <w:u w:val="none"/>
                      <w:lang w:val="en-US" w:eastAsia="zh-CN" w:bidi="ar-SA"/>
                    </w:rPr>
                    <w:t>19</w:t>
                  </w:r>
                </w:p>
              </w:tc>
              <w:tc>
                <w:tcPr>
                  <w:tcW w:w="317" w:type="pct"/>
                  <w:vAlign w:val="center"/>
                </w:tcPr>
                <w:p w14:paraId="6B5B0E3F">
                  <w:pPr>
                    <w:keepNext w:val="0"/>
                    <w:keepLines w:val="0"/>
                    <w:widowControl/>
                    <w:suppressLineNumbers w:val="0"/>
                    <w:jc w:val="center"/>
                    <w:textAlignment w:val="center"/>
                    <w:rPr>
                      <w:rFonts w:hint="default" w:ascii="Times New Roman" w:hAnsi="Times New Roman" w:eastAsia="宋体" w:cs="宋体"/>
                      <w:i w:val="0"/>
                      <w:iCs w:val="0"/>
                      <w:color w:val="auto"/>
                      <w:kern w:val="2"/>
                      <w:sz w:val="21"/>
                      <w:szCs w:val="21"/>
                      <w:highlight w:val="none"/>
                      <w:u w:val="none"/>
                      <w:lang w:val="en-US" w:eastAsia="zh-CN" w:bidi="ar-SA"/>
                    </w:rPr>
                  </w:pPr>
                  <w:r>
                    <w:rPr>
                      <w:rFonts w:hint="eastAsia" w:cs="宋体"/>
                      <w:i w:val="0"/>
                      <w:iCs w:val="0"/>
                      <w:color w:val="auto"/>
                      <w:kern w:val="2"/>
                      <w:sz w:val="21"/>
                      <w:szCs w:val="21"/>
                      <w:highlight w:val="none"/>
                      <w:u w:val="none"/>
                      <w:lang w:val="en-US" w:eastAsia="zh-CN" w:bidi="ar-SA"/>
                    </w:rPr>
                    <w:t>13</w:t>
                  </w:r>
                </w:p>
              </w:tc>
              <w:tc>
                <w:tcPr>
                  <w:tcW w:w="317" w:type="pct"/>
                  <w:vAlign w:val="center"/>
                </w:tcPr>
                <w:p w14:paraId="38938851">
                  <w:pPr>
                    <w:keepNext w:val="0"/>
                    <w:keepLines w:val="0"/>
                    <w:widowControl/>
                    <w:suppressLineNumbers w:val="0"/>
                    <w:jc w:val="center"/>
                    <w:textAlignment w:val="center"/>
                    <w:rPr>
                      <w:rFonts w:hint="default" w:ascii="Times New Roman" w:hAnsi="Times New Roman" w:eastAsia="宋体" w:cs="宋体"/>
                      <w:i w:val="0"/>
                      <w:iCs w:val="0"/>
                      <w:color w:val="auto"/>
                      <w:kern w:val="2"/>
                      <w:sz w:val="21"/>
                      <w:szCs w:val="21"/>
                      <w:highlight w:val="none"/>
                      <w:u w:val="none"/>
                      <w:lang w:val="en-US" w:eastAsia="zh-CN" w:bidi="ar-SA"/>
                    </w:rPr>
                  </w:pPr>
                  <w:r>
                    <w:rPr>
                      <w:rFonts w:hint="eastAsia" w:ascii="Times New Roman" w:hAnsi="Times New Roman" w:eastAsia="宋体" w:cs="宋体"/>
                      <w:i w:val="0"/>
                      <w:iCs w:val="0"/>
                      <w:color w:val="auto"/>
                      <w:kern w:val="2"/>
                      <w:sz w:val="21"/>
                      <w:szCs w:val="21"/>
                      <w:highlight w:val="none"/>
                      <w:u w:val="none"/>
                      <w:lang w:val="en-US" w:eastAsia="zh-CN" w:bidi="ar-SA"/>
                    </w:rPr>
                    <w:t>1</w:t>
                  </w:r>
                </w:p>
              </w:tc>
              <w:tc>
                <w:tcPr>
                  <w:tcW w:w="1225" w:type="pct"/>
                  <w:vAlign w:val="center"/>
                </w:tcPr>
                <w:p w14:paraId="77DBE56C">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65</w:t>
                  </w:r>
                  <w:r>
                    <w:rPr>
                      <w:rFonts w:hint="default" w:ascii="Times New Roman" w:hAnsi="Times New Roman" w:eastAsia="宋体" w:cs="宋体"/>
                      <w:b w:val="0"/>
                      <w:bCs/>
                      <w:color w:val="auto"/>
                      <w:sz w:val="21"/>
                      <w:szCs w:val="21"/>
                      <w:lang w:val="en-US" w:eastAsia="zh-CN"/>
                    </w:rPr>
                    <w:t>（隔音减震后噪声级）</w:t>
                  </w:r>
                </w:p>
              </w:tc>
              <w:tc>
                <w:tcPr>
                  <w:tcW w:w="336" w:type="pct"/>
                  <w:vAlign w:val="center"/>
                </w:tcPr>
                <w:p w14:paraId="6A9644B3">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w:t>
                  </w:r>
                </w:p>
              </w:tc>
              <w:tc>
                <w:tcPr>
                  <w:tcW w:w="538" w:type="pct"/>
                  <w:vMerge w:val="restart"/>
                  <w:vAlign w:val="center"/>
                </w:tcPr>
                <w:p w14:paraId="53EB3613">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default" w:ascii="Times New Roman" w:hAnsi="Times New Roman" w:eastAsia="宋体" w:cs="宋体"/>
                      <w:b w:val="0"/>
                      <w:bCs/>
                      <w:color w:val="auto"/>
                      <w:sz w:val="21"/>
                      <w:szCs w:val="21"/>
                      <w:lang w:val="en-US" w:eastAsia="zh-CN"/>
                    </w:rPr>
                    <w:t>低噪声设备</w:t>
                  </w:r>
                  <w:r>
                    <w:rPr>
                      <w:rFonts w:hint="eastAsia" w:ascii="Times New Roman" w:hAnsi="Times New Roman" w:eastAsia="宋体" w:cs="宋体"/>
                      <w:b w:val="0"/>
                      <w:bCs/>
                      <w:color w:val="auto"/>
                      <w:sz w:val="21"/>
                      <w:szCs w:val="21"/>
                      <w:lang w:val="en-US" w:eastAsia="zh-CN"/>
                    </w:rPr>
                    <w:t>、</w:t>
                  </w:r>
                  <w:r>
                    <w:rPr>
                      <w:rFonts w:hint="default" w:ascii="Times New Roman" w:hAnsi="Times New Roman" w:eastAsia="宋体" w:cs="宋体"/>
                      <w:b w:val="0"/>
                      <w:bCs/>
                      <w:color w:val="auto"/>
                      <w:sz w:val="21"/>
                      <w:szCs w:val="21"/>
                      <w:lang w:val="en-US" w:eastAsia="zh-CN"/>
                    </w:rPr>
                    <w:t>基础减振</w:t>
                  </w:r>
                </w:p>
              </w:tc>
              <w:tc>
                <w:tcPr>
                  <w:tcW w:w="500" w:type="pct"/>
                  <w:vMerge w:val="restart"/>
                  <w:vAlign w:val="center"/>
                </w:tcPr>
                <w:p w14:paraId="154823FD">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r>
                    <w:rPr>
                      <w:rFonts w:hint="eastAsia" w:ascii="Times New Roman" w:hAnsi="Times New Roman" w:eastAsia="宋体" w:cs="Times New Roman"/>
                      <w:i w:val="0"/>
                      <w:iCs w:val="0"/>
                      <w:color w:val="auto"/>
                      <w:sz w:val="21"/>
                      <w:szCs w:val="21"/>
                      <w:highlight w:val="none"/>
                      <w:u w:val="none"/>
                      <w:lang w:val="en-US" w:eastAsia="zh-CN"/>
                    </w:rPr>
                    <w:t>00:00~24:00</w:t>
                  </w:r>
                </w:p>
              </w:tc>
            </w:tr>
            <w:tr w14:paraId="608C8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78" w:type="pct"/>
                  <w:vAlign w:val="center"/>
                </w:tcPr>
                <w:p w14:paraId="79133182">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2</w:t>
                  </w:r>
                </w:p>
              </w:tc>
              <w:tc>
                <w:tcPr>
                  <w:tcW w:w="781" w:type="pct"/>
                  <w:vAlign w:val="center"/>
                </w:tcPr>
                <w:p w14:paraId="408C451E">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风机</w:t>
                  </w:r>
                </w:p>
              </w:tc>
              <w:tc>
                <w:tcPr>
                  <w:tcW w:w="387" w:type="pct"/>
                  <w:vAlign w:val="center"/>
                </w:tcPr>
                <w:p w14:paraId="3914B695">
                  <w:pPr>
                    <w:keepNext w:val="0"/>
                    <w:keepLines w:val="0"/>
                    <w:pageBreakBefore w:val="0"/>
                    <w:kinsoku/>
                    <w:wordWrap/>
                    <w:overflowPunct/>
                    <w:topLinePunct w:val="0"/>
                    <w:autoSpaceDN/>
                    <w:bidi w:val="0"/>
                    <w:adjustRightInd w:val="0"/>
                    <w:snapToGrid w:val="0"/>
                    <w:ind w:firstLine="0" w:firstLineChars="0"/>
                    <w:jc w:val="center"/>
                    <w:rPr>
                      <w:rFonts w:hint="default" w:ascii="宋体" w:hAnsi="宋体" w:eastAsia="宋体" w:cs="宋体"/>
                      <w:b w:val="0"/>
                      <w:bCs/>
                      <w:color w:val="auto"/>
                      <w:sz w:val="21"/>
                      <w:szCs w:val="21"/>
                      <w:lang w:val="en-US" w:eastAsia="zh-CN"/>
                    </w:rPr>
                  </w:pPr>
                  <w:r>
                    <w:rPr>
                      <w:rFonts w:hint="eastAsia" w:ascii="宋体" w:hAnsi="宋体" w:cs="宋体"/>
                      <w:b w:val="0"/>
                      <w:bCs/>
                      <w:color w:val="auto"/>
                      <w:sz w:val="21"/>
                      <w:szCs w:val="21"/>
                      <w:lang w:val="en-US" w:eastAsia="zh-CN"/>
                    </w:rPr>
                    <w:t>/</w:t>
                  </w:r>
                </w:p>
              </w:tc>
              <w:tc>
                <w:tcPr>
                  <w:tcW w:w="317" w:type="pct"/>
                  <w:vAlign w:val="center"/>
                </w:tcPr>
                <w:p w14:paraId="662C9762">
                  <w:pPr>
                    <w:keepNext w:val="0"/>
                    <w:keepLines w:val="0"/>
                    <w:widowControl/>
                    <w:suppressLineNumbers w:val="0"/>
                    <w:jc w:val="center"/>
                    <w:textAlignment w:val="center"/>
                    <w:rPr>
                      <w:rFonts w:hint="default" w:cs="宋体"/>
                      <w:i w:val="0"/>
                      <w:iCs w:val="0"/>
                      <w:color w:val="auto"/>
                      <w:kern w:val="2"/>
                      <w:sz w:val="21"/>
                      <w:szCs w:val="21"/>
                      <w:highlight w:val="none"/>
                      <w:u w:val="none"/>
                      <w:lang w:val="en-US" w:eastAsia="zh-CN" w:bidi="ar-SA"/>
                    </w:rPr>
                  </w:pPr>
                  <w:r>
                    <w:rPr>
                      <w:rFonts w:hint="eastAsia" w:cs="宋体"/>
                      <w:i w:val="0"/>
                      <w:iCs w:val="0"/>
                      <w:color w:val="auto"/>
                      <w:kern w:val="2"/>
                      <w:sz w:val="21"/>
                      <w:szCs w:val="21"/>
                      <w:highlight w:val="none"/>
                      <w:u w:val="none"/>
                      <w:lang w:val="en-US" w:eastAsia="zh-CN" w:bidi="ar-SA"/>
                    </w:rPr>
                    <w:t>19</w:t>
                  </w:r>
                </w:p>
              </w:tc>
              <w:tc>
                <w:tcPr>
                  <w:tcW w:w="317" w:type="pct"/>
                  <w:vAlign w:val="center"/>
                </w:tcPr>
                <w:p w14:paraId="71167D29">
                  <w:pPr>
                    <w:keepNext w:val="0"/>
                    <w:keepLines w:val="0"/>
                    <w:widowControl/>
                    <w:suppressLineNumbers w:val="0"/>
                    <w:jc w:val="center"/>
                    <w:textAlignment w:val="center"/>
                    <w:rPr>
                      <w:rFonts w:hint="default" w:cs="宋体"/>
                      <w:i w:val="0"/>
                      <w:iCs w:val="0"/>
                      <w:color w:val="auto"/>
                      <w:kern w:val="2"/>
                      <w:sz w:val="21"/>
                      <w:szCs w:val="21"/>
                      <w:highlight w:val="none"/>
                      <w:u w:val="none"/>
                      <w:lang w:val="en-US" w:eastAsia="zh-CN" w:bidi="ar-SA"/>
                    </w:rPr>
                  </w:pPr>
                  <w:r>
                    <w:rPr>
                      <w:rFonts w:hint="eastAsia" w:cs="宋体"/>
                      <w:i w:val="0"/>
                      <w:iCs w:val="0"/>
                      <w:color w:val="auto"/>
                      <w:kern w:val="2"/>
                      <w:sz w:val="21"/>
                      <w:szCs w:val="21"/>
                      <w:highlight w:val="none"/>
                      <w:u w:val="none"/>
                      <w:lang w:val="en-US" w:eastAsia="zh-CN" w:bidi="ar-SA"/>
                    </w:rPr>
                    <w:t>5</w:t>
                  </w:r>
                </w:p>
              </w:tc>
              <w:tc>
                <w:tcPr>
                  <w:tcW w:w="317" w:type="pct"/>
                  <w:vAlign w:val="center"/>
                </w:tcPr>
                <w:p w14:paraId="0F4A84A9">
                  <w:pPr>
                    <w:keepNext w:val="0"/>
                    <w:keepLines w:val="0"/>
                    <w:widowControl/>
                    <w:suppressLineNumbers w:val="0"/>
                    <w:jc w:val="center"/>
                    <w:textAlignment w:val="center"/>
                    <w:rPr>
                      <w:rFonts w:hint="default" w:ascii="Times New Roman" w:hAnsi="Times New Roman" w:eastAsia="宋体" w:cs="宋体"/>
                      <w:i w:val="0"/>
                      <w:iCs w:val="0"/>
                      <w:color w:val="auto"/>
                      <w:kern w:val="2"/>
                      <w:sz w:val="21"/>
                      <w:szCs w:val="21"/>
                      <w:highlight w:val="none"/>
                      <w:u w:val="none"/>
                      <w:lang w:val="en-US" w:eastAsia="zh-CN" w:bidi="ar-SA"/>
                    </w:rPr>
                  </w:pPr>
                  <w:r>
                    <w:rPr>
                      <w:rFonts w:hint="eastAsia" w:cs="宋体"/>
                      <w:i w:val="0"/>
                      <w:iCs w:val="0"/>
                      <w:color w:val="auto"/>
                      <w:kern w:val="2"/>
                      <w:sz w:val="21"/>
                      <w:szCs w:val="21"/>
                      <w:highlight w:val="none"/>
                      <w:u w:val="none"/>
                      <w:lang w:val="en-US" w:eastAsia="zh-CN" w:bidi="ar-SA"/>
                    </w:rPr>
                    <w:t>1</w:t>
                  </w:r>
                </w:p>
              </w:tc>
              <w:tc>
                <w:tcPr>
                  <w:tcW w:w="1225" w:type="pct"/>
                  <w:vAlign w:val="center"/>
                </w:tcPr>
                <w:p w14:paraId="18759198">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65</w:t>
                  </w:r>
                  <w:r>
                    <w:rPr>
                      <w:rFonts w:hint="default" w:ascii="Times New Roman" w:hAnsi="Times New Roman" w:eastAsia="宋体" w:cs="宋体"/>
                      <w:b w:val="0"/>
                      <w:bCs/>
                      <w:color w:val="auto"/>
                      <w:sz w:val="21"/>
                      <w:szCs w:val="21"/>
                      <w:lang w:val="en-US" w:eastAsia="zh-CN"/>
                    </w:rPr>
                    <w:t>（隔音减震后噪声级）</w:t>
                  </w:r>
                </w:p>
              </w:tc>
              <w:tc>
                <w:tcPr>
                  <w:tcW w:w="336" w:type="pct"/>
                  <w:vAlign w:val="center"/>
                </w:tcPr>
                <w:p w14:paraId="6099553F">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w:t>
                  </w:r>
                </w:p>
              </w:tc>
              <w:tc>
                <w:tcPr>
                  <w:tcW w:w="538" w:type="pct"/>
                  <w:vMerge w:val="continue"/>
                  <w:vAlign w:val="center"/>
                </w:tcPr>
                <w:p w14:paraId="5503D1A8">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color w:val="auto"/>
                      <w:kern w:val="21"/>
                      <w:sz w:val="21"/>
                      <w:szCs w:val="21"/>
                      <w:highlight w:val="none"/>
                      <w:lang w:val="en-US" w:eastAsia="zh-CN"/>
                    </w:rPr>
                  </w:pPr>
                </w:p>
              </w:tc>
              <w:tc>
                <w:tcPr>
                  <w:tcW w:w="500" w:type="pct"/>
                  <w:vMerge w:val="continue"/>
                  <w:vAlign w:val="center"/>
                </w:tcPr>
                <w:p w14:paraId="4FF03C18">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Times New Roman"/>
                      <w:i w:val="0"/>
                      <w:iCs w:val="0"/>
                      <w:color w:val="auto"/>
                      <w:sz w:val="21"/>
                      <w:szCs w:val="21"/>
                      <w:highlight w:val="none"/>
                      <w:u w:val="none"/>
                      <w:lang w:val="en-US" w:eastAsia="zh-CN"/>
                    </w:rPr>
                  </w:pPr>
                </w:p>
              </w:tc>
            </w:tr>
          </w:tbl>
          <w:p w14:paraId="029E5B61">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center"/>
              <w:textAlignment w:val="auto"/>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kern w:val="0"/>
                <w:sz w:val="24"/>
                <w:szCs w:val="24"/>
                <w:lang w:val="zh-CN" w:eastAsia="zh-CN"/>
              </w:rPr>
              <w:t>表</w:t>
            </w:r>
            <w:r>
              <w:rPr>
                <w:rFonts w:hint="eastAsia" w:ascii="Times New Roman" w:hAnsi="Times New Roman" w:eastAsia="黑体" w:cs="Times New Roman"/>
                <w:b w:val="0"/>
                <w:bCs w:val="0"/>
                <w:color w:val="auto"/>
                <w:kern w:val="0"/>
                <w:sz w:val="24"/>
                <w:szCs w:val="24"/>
                <w:lang w:val="en-US" w:eastAsia="zh-CN"/>
              </w:rPr>
              <w:t>4</w:t>
            </w:r>
            <w:r>
              <w:rPr>
                <w:rFonts w:hint="eastAsia" w:ascii="Times New Roman" w:hAnsi="Times New Roman" w:eastAsia="黑体" w:cs="Times New Roman"/>
                <w:b w:val="0"/>
                <w:bCs w:val="0"/>
                <w:color w:val="auto"/>
                <w:kern w:val="0"/>
                <w:sz w:val="24"/>
                <w:szCs w:val="24"/>
                <w:lang w:val="zh-CN" w:eastAsia="zh-CN"/>
              </w:rPr>
              <w:t>-</w:t>
            </w:r>
            <w:r>
              <w:rPr>
                <w:rFonts w:hint="eastAsia" w:eastAsia="黑体" w:cs="Times New Roman"/>
                <w:b w:val="0"/>
                <w:bCs w:val="0"/>
                <w:color w:val="auto"/>
                <w:kern w:val="0"/>
                <w:sz w:val="24"/>
                <w:szCs w:val="24"/>
                <w:lang w:val="en-US" w:eastAsia="zh-CN"/>
              </w:rPr>
              <w:t>9</w:t>
            </w:r>
            <w:r>
              <w:rPr>
                <w:rFonts w:hint="eastAsia" w:ascii="Times New Roman" w:hAnsi="Times New Roman" w:eastAsia="黑体" w:cs="Times New Roman"/>
                <w:b w:val="0"/>
                <w:bCs w:val="0"/>
                <w:color w:val="auto"/>
                <w:kern w:val="0"/>
                <w:sz w:val="24"/>
                <w:szCs w:val="24"/>
                <w:lang w:val="zh-CN" w:eastAsia="zh-CN"/>
              </w:rPr>
              <w:t xml:space="preserve"> 项目</w:t>
            </w:r>
            <w:r>
              <w:rPr>
                <w:rFonts w:hint="eastAsia" w:eastAsia="黑体" w:cs="Times New Roman"/>
                <w:b w:val="0"/>
                <w:bCs w:val="0"/>
                <w:color w:val="auto"/>
                <w:kern w:val="0"/>
                <w:sz w:val="24"/>
                <w:szCs w:val="24"/>
                <w:lang w:val="en-US" w:eastAsia="zh-CN"/>
              </w:rPr>
              <w:t>厂界噪声预测结果</w:t>
            </w:r>
          </w:p>
          <w:tbl>
            <w:tblPr>
              <w:tblStyle w:val="27"/>
              <w:tblW w:w="4965" w:type="pct"/>
              <w:jc w:val="center"/>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966"/>
              <w:gridCol w:w="1552"/>
              <w:gridCol w:w="1301"/>
              <w:gridCol w:w="1301"/>
              <w:gridCol w:w="1301"/>
              <w:gridCol w:w="1348"/>
              <w:gridCol w:w="1301"/>
              <w:gridCol w:w="1301"/>
              <w:gridCol w:w="1301"/>
              <w:gridCol w:w="1363"/>
            </w:tblGrid>
            <w:tr w14:paraId="2A084BF6">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0" w:type="pct"/>
                  <w:vMerge w:val="restart"/>
                  <w:tcBorders>
                    <w:top w:val="single" w:color="auto" w:sz="4" w:space="0"/>
                  </w:tcBorders>
                  <w:noWrap w:val="0"/>
                  <w:tcMar>
                    <w:top w:w="0" w:type="dxa"/>
                    <w:left w:w="28" w:type="dxa"/>
                    <w:bottom w:w="0" w:type="dxa"/>
                    <w:right w:w="28" w:type="dxa"/>
                  </w:tcMar>
                  <w:vAlign w:val="center"/>
                </w:tcPr>
                <w:p w14:paraId="3AE7DE87">
                  <w:pPr>
                    <w:spacing w:line="320" w:lineRule="exact"/>
                    <w:jc w:val="center"/>
                    <w:rPr>
                      <w:rFonts w:hint="eastAsia" w:ascii="Times New Roman" w:hAnsi="Times New Roman" w:eastAsia="宋体" w:cs="宋体"/>
                      <w:b w:val="0"/>
                      <w:bCs w:val="0"/>
                      <w:color w:val="auto"/>
                      <w:sz w:val="21"/>
                      <w:highlight w:val="none"/>
                      <w:lang w:val="en-US" w:eastAsia="zh-CN"/>
                    </w:rPr>
                  </w:pPr>
                  <w:r>
                    <w:rPr>
                      <w:rFonts w:hint="eastAsia" w:ascii="Times New Roman" w:hAnsi="Times New Roman" w:cs="宋体"/>
                      <w:b w:val="0"/>
                      <w:bCs w:val="0"/>
                      <w:color w:val="auto"/>
                      <w:sz w:val="21"/>
                      <w:highlight w:val="none"/>
                      <w:lang w:val="en-US" w:eastAsia="zh-CN"/>
                    </w:rPr>
                    <w:t>序号</w:t>
                  </w:r>
                </w:p>
              </w:tc>
              <w:tc>
                <w:tcPr>
                  <w:tcW w:w="595" w:type="pct"/>
                  <w:vMerge w:val="restart"/>
                  <w:tcBorders>
                    <w:top w:val="single" w:color="auto" w:sz="4" w:space="0"/>
                  </w:tcBorders>
                  <w:noWrap w:val="0"/>
                  <w:tcMar>
                    <w:top w:w="0" w:type="dxa"/>
                    <w:left w:w="28" w:type="dxa"/>
                    <w:bottom w:w="0" w:type="dxa"/>
                    <w:right w:w="28" w:type="dxa"/>
                  </w:tcMar>
                  <w:vAlign w:val="center"/>
                </w:tcPr>
                <w:p w14:paraId="302265D5">
                  <w:pPr>
                    <w:spacing w:line="320" w:lineRule="exact"/>
                    <w:jc w:val="center"/>
                    <w:rPr>
                      <w:rFonts w:hint="eastAsia" w:ascii="Times New Roman" w:hAnsi="Times New Roman" w:eastAsia="宋体" w:cs="宋体"/>
                      <w:b w:val="0"/>
                      <w:bCs w:val="0"/>
                      <w:color w:val="auto"/>
                      <w:sz w:val="21"/>
                      <w:highlight w:val="none"/>
                      <w:lang w:val="en-US" w:eastAsia="zh-CN"/>
                    </w:rPr>
                  </w:pPr>
                  <w:r>
                    <w:rPr>
                      <w:rFonts w:hint="eastAsia" w:ascii="Times New Roman" w:hAnsi="Times New Roman" w:cs="宋体"/>
                      <w:b w:val="0"/>
                      <w:bCs w:val="0"/>
                      <w:color w:val="auto"/>
                      <w:sz w:val="21"/>
                      <w:highlight w:val="none"/>
                      <w:lang w:val="en-US" w:eastAsia="zh-CN"/>
                    </w:rPr>
                    <w:t>噪声源</w:t>
                  </w:r>
                </w:p>
              </w:tc>
              <w:tc>
                <w:tcPr>
                  <w:tcW w:w="2014" w:type="pct"/>
                  <w:gridSpan w:val="4"/>
                  <w:tcBorders>
                    <w:top w:val="single" w:color="auto" w:sz="4" w:space="0"/>
                    <w:bottom w:val="single" w:color="auto" w:sz="4" w:space="0"/>
                  </w:tcBorders>
                  <w:noWrap w:val="0"/>
                  <w:tcMar>
                    <w:top w:w="0" w:type="dxa"/>
                    <w:left w:w="28" w:type="dxa"/>
                    <w:bottom w:w="0" w:type="dxa"/>
                    <w:right w:w="28" w:type="dxa"/>
                  </w:tcMar>
                  <w:vAlign w:val="center"/>
                </w:tcPr>
                <w:p w14:paraId="061A81FA">
                  <w:pPr>
                    <w:spacing w:line="320" w:lineRule="exact"/>
                    <w:jc w:val="center"/>
                    <w:rPr>
                      <w:rFonts w:hint="eastAsia" w:ascii="Times New Roman" w:hAnsi="Times New Roman" w:eastAsia="宋体" w:cs="宋体"/>
                      <w:b w:val="0"/>
                      <w:bCs w:val="0"/>
                      <w:color w:val="auto"/>
                      <w:sz w:val="21"/>
                      <w:highlight w:val="none"/>
                      <w:lang w:val="en-US" w:eastAsia="zh-CN"/>
                    </w:rPr>
                  </w:pPr>
                  <w:r>
                    <w:rPr>
                      <w:rFonts w:hint="default" w:ascii="Times New Roman" w:hAnsi="Times New Roman" w:eastAsia="宋体" w:cs="宋体"/>
                      <w:b w:val="0"/>
                      <w:bCs w:val="0"/>
                      <w:color w:val="auto"/>
                      <w:sz w:val="21"/>
                      <w:highlight w:val="none"/>
                      <w:lang w:val="en-US" w:eastAsia="zh-CN"/>
                    </w:rPr>
                    <w:t>建筑物外噪声声压级dB（A）</w:t>
                  </w:r>
                </w:p>
              </w:tc>
              <w:tc>
                <w:tcPr>
                  <w:tcW w:w="2020" w:type="pct"/>
                  <w:gridSpan w:val="4"/>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607FBD79">
                  <w:pPr>
                    <w:spacing w:line="320" w:lineRule="exact"/>
                    <w:jc w:val="center"/>
                    <w:rPr>
                      <w:rFonts w:hint="eastAsia" w:ascii="Times New Roman" w:hAnsi="Times New Roman" w:eastAsia="宋体" w:cs="宋体"/>
                      <w:b w:val="0"/>
                      <w:bCs w:val="0"/>
                      <w:color w:val="auto"/>
                      <w:sz w:val="21"/>
                      <w:highlight w:val="none"/>
                      <w:lang w:eastAsia="zh-CN"/>
                    </w:rPr>
                  </w:pPr>
                  <w:r>
                    <w:rPr>
                      <w:rFonts w:hint="default" w:ascii="Times New Roman" w:hAnsi="Times New Roman" w:eastAsia="宋体" w:cs="宋体"/>
                      <w:b w:val="0"/>
                      <w:bCs w:val="0"/>
                      <w:color w:val="auto"/>
                      <w:sz w:val="21"/>
                      <w:highlight w:val="none"/>
                      <w:lang w:val="en-US" w:eastAsia="zh-CN"/>
                    </w:rPr>
                    <w:t>与厂界距离（m）</w:t>
                  </w:r>
                </w:p>
              </w:tc>
            </w:tr>
            <w:tr w14:paraId="51ADDFF6">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0" w:type="pct"/>
                  <w:vMerge w:val="continue"/>
                  <w:tcBorders>
                    <w:bottom w:val="single" w:color="auto" w:sz="4" w:space="0"/>
                  </w:tcBorders>
                  <w:noWrap w:val="0"/>
                  <w:tcMar>
                    <w:top w:w="0" w:type="dxa"/>
                    <w:left w:w="28" w:type="dxa"/>
                    <w:bottom w:w="0" w:type="dxa"/>
                    <w:right w:w="28" w:type="dxa"/>
                  </w:tcMar>
                  <w:vAlign w:val="center"/>
                </w:tcPr>
                <w:p w14:paraId="2999F6E7">
                  <w:pPr>
                    <w:spacing w:line="320" w:lineRule="exact"/>
                    <w:jc w:val="center"/>
                    <w:rPr>
                      <w:rFonts w:hint="default" w:ascii="Times New Roman" w:hAnsi="Times New Roman" w:cs="宋体"/>
                      <w:b w:val="0"/>
                      <w:bCs w:val="0"/>
                      <w:color w:val="auto"/>
                      <w:sz w:val="21"/>
                      <w:highlight w:val="none"/>
                      <w:lang w:val="en-US" w:eastAsia="zh-CN"/>
                    </w:rPr>
                  </w:pPr>
                </w:p>
              </w:tc>
              <w:tc>
                <w:tcPr>
                  <w:tcW w:w="595" w:type="pct"/>
                  <w:vMerge w:val="continue"/>
                  <w:tcBorders>
                    <w:bottom w:val="single" w:color="auto" w:sz="4" w:space="0"/>
                  </w:tcBorders>
                  <w:noWrap w:val="0"/>
                  <w:tcMar>
                    <w:top w:w="0" w:type="dxa"/>
                    <w:left w:w="28" w:type="dxa"/>
                    <w:bottom w:w="0" w:type="dxa"/>
                    <w:right w:w="28" w:type="dxa"/>
                  </w:tcMar>
                  <w:vAlign w:val="center"/>
                </w:tcPr>
                <w:p w14:paraId="79133C69">
                  <w:pPr>
                    <w:spacing w:line="320" w:lineRule="exact"/>
                    <w:jc w:val="center"/>
                    <w:rPr>
                      <w:rFonts w:hint="default" w:ascii="Times New Roman" w:hAnsi="Times New Roman" w:cs="宋体"/>
                      <w:b w:val="0"/>
                      <w:bCs w:val="0"/>
                      <w:color w:val="auto"/>
                      <w:sz w:val="21"/>
                      <w:highlight w:val="none"/>
                      <w:lang w:val="en-US" w:eastAsia="zh-CN"/>
                    </w:rPr>
                  </w:pPr>
                </w:p>
              </w:tc>
              <w:tc>
                <w:tcPr>
                  <w:tcW w:w="499"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55E7A55F">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kern w:val="2"/>
                      <w:sz w:val="21"/>
                      <w:szCs w:val="21"/>
                      <w:lang w:val="en-US" w:eastAsia="zh-CN" w:bidi="ar-SA"/>
                    </w:rPr>
                  </w:pPr>
                  <w:r>
                    <w:rPr>
                      <w:rFonts w:hint="eastAsia" w:ascii="Times New Roman" w:hAnsi="Times New Roman" w:eastAsia="宋体" w:cs="宋体"/>
                      <w:b w:val="0"/>
                      <w:bCs/>
                      <w:color w:val="auto"/>
                      <w:sz w:val="21"/>
                      <w:szCs w:val="21"/>
                      <w:lang w:val="en-US" w:eastAsia="zh-CN"/>
                    </w:rPr>
                    <w:t>北</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F902667">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kern w:val="2"/>
                      <w:sz w:val="21"/>
                      <w:szCs w:val="21"/>
                      <w:lang w:val="en-US" w:eastAsia="zh-CN" w:bidi="ar-SA"/>
                    </w:rPr>
                  </w:pPr>
                  <w:r>
                    <w:rPr>
                      <w:rFonts w:hint="eastAsia" w:ascii="Times New Roman" w:hAnsi="Times New Roman" w:eastAsia="宋体" w:cs="宋体"/>
                      <w:b w:val="0"/>
                      <w:bCs/>
                      <w:color w:val="auto"/>
                      <w:sz w:val="21"/>
                      <w:szCs w:val="21"/>
                      <w:lang w:val="en-US" w:eastAsia="zh-CN"/>
                    </w:rPr>
                    <w:t>东</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06E5E696">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kern w:val="2"/>
                      <w:sz w:val="21"/>
                      <w:szCs w:val="21"/>
                      <w:lang w:val="en-US" w:eastAsia="zh-CN" w:bidi="ar-SA"/>
                    </w:rPr>
                  </w:pPr>
                  <w:r>
                    <w:rPr>
                      <w:rFonts w:hint="eastAsia" w:ascii="Times New Roman" w:hAnsi="Times New Roman" w:eastAsia="宋体" w:cs="宋体"/>
                      <w:b w:val="0"/>
                      <w:bCs/>
                      <w:color w:val="auto"/>
                      <w:sz w:val="21"/>
                      <w:szCs w:val="21"/>
                      <w:lang w:val="en-US" w:eastAsia="zh-CN"/>
                    </w:rPr>
                    <w:t>南</w:t>
                  </w:r>
                </w:p>
              </w:tc>
              <w:tc>
                <w:tcPr>
                  <w:tcW w:w="517" w:type="pct"/>
                  <w:tcBorders>
                    <w:top w:val="single" w:color="auto" w:sz="4" w:space="0"/>
                    <w:bottom w:val="single" w:color="auto" w:sz="4" w:space="0"/>
                  </w:tcBorders>
                  <w:noWrap w:val="0"/>
                  <w:tcMar>
                    <w:top w:w="0" w:type="dxa"/>
                    <w:left w:w="28" w:type="dxa"/>
                    <w:bottom w:w="0" w:type="dxa"/>
                    <w:right w:w="28" w:type="dxa"/>
                  </w:tcMar>
                  <w:vAlign w:val="center"/>
                </w:tcPr>
                <w:p w14:paraId="12AAB384">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kern w:val="2"/>
                      <w:sz w:val="21"/>
                      <w:szCs w:val="21"/>
                      <w:lang w:val="en-US" w:eastAsia="zh-CN" w:bidi="ar-SA"/>
                    </w:rPr>
                  </w:pPr>
                  <w:r>
                    <w:rPr>
                      <w:rFonts w:hint="eastAsia" w:ascii="Times New Roman" w:hAnsi="Times New Roman" w:eastAsia="宋体" w:cs="宋体"/>
                      <w:b w:val="0"/>
                      <w:bCs/>
                      <w:color w:val="auto"/>
                      <w:sz w:val="21"/>
                      <w:szCs w:val="21"/>
                      <w:lang w:val="en-US" w:eastAsia="zh-CN"/>
                    </w:rPr>
                    <w:t>西</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398FCE63">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val="0"/>
                      <w:color w:val="auto"/>
                      <w:sz w:val="21"/>
                      <w:highlight w:val="none"/>
                      <w:lang w:eastAsia="zh-CN"/>
                    </w:rPr>
                  </w:pPr>
                  <w:r>
                    <w:rPr>
                      <w:rFonts w:hint="eastAsia" w:ascii="Times New Roman" w:hAnsi="Times New Roman" w:eastAsia="宋体" w:cs="宋体"/>
                      <w:b w:val="0"/>
                      <w:bCs/>
                      <w:color w:val="auto"/>
                      <w:sz w:val="21"/>
                      <w:szCs w:val="21"/>
                      <w:lang w:val="en-US" w:eastAsia="zh-CN"/>
                    </w:rPr>
                    <w:t>北</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6C39A27E">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val="0"/>
                      <w:color w:val="auto"/>
                      <w:sz w:val="21"/>
                      <w:highlight w:val="none"/>
                      <w:lang w:eastAsia="zh-CN"/>
                    </w:rPr>
                  </w:pPr>
                  <w:r>
                    <w:rPr>
                      <w:rFonts w:hint="eastAsia" w:ascii="Times New Roman" w:hAnsi="Times New Roman" w:eastAsia="宋体" w:cs="宋体"/>
                      <w:b w:val="0"/>
                      <w:bCs/>
                      <w:color w:val="auto"/>
                      <w:sz w:val="21"/>
                      <w:szCs w:val="21"/>
                      <w:lang w:val="en-US" w:eastAsia="zh-CN"/>
                    </w:rPr>
                    <w:t>东</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0730DFE4">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val="0"/>
                      <w:color w:val="auto"/>
                      <w:sz w:val="21"/>
                      <w:highlight w:val="none"/>
                      <w:lang w:eastAsia="zh-CN"/>
                    </w:rPr>
                  </w:pPr>
                  <w:r>
                    <w:rPr>
                      <w:rFonts w:hint="eastAsia" w:ascii="Times New Roman" w:hAnsi="Times New Roman" w:eastAsia="宋体" w:cs="宋体"/>
                      <w:b w:val="0"/>
                      <w:bCs/>
                      <w:color w:val="auto"/>
                      <w:sz w:val="21"/>
                      <w:szCs w:val="21"/>
                      <w:lang w:val="en-US" w:eastAsia="zh-CN"/>
                    </w:rPr>
                    <w:t>南</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1553C655">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val="0"/>
                      <w:color w:val="auto"/>
                      <w:sz w:val="21"/>
                      <w:highlight w:val="none"/>
                      <w:lang w:eastAsia="zh-CN"/>
                    </w:rPr>
                  </w:pPr>
                  <w:r>
                    <w:rPr>
                      <w:rFonts w:hint="eastAsia" w:ascii="Times New Roman" w:hAnsi="Times New Roman" w:eastAsia="宋体" w:cs="宋体"/>
                      <w:b w:val="0"/>
                      <w:bCs/>
                      <w:color w:val="auto"/>
                      <w:sz w:val="21"/>
                      <w:szCs w:val="21"/>
                      <w:lang w:val="en-US" w:eastAsia="zh-CN"/>
                    </w:rPr>
                    <w:t>西</w:t>
                  </w:r>
                </w:p>
              </w:tc>
            </w:tr>
            <w:tr w14:paraId="061BE4D3">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5000" w:type="pct"/>
                  <w:gridSpan w:val="10"/>
                  <w:tcBorders>
                    <w:bottom w:val="single" w:color="auto" w:sz="4" w:space="0"/>
                    <w:right w:val="single" w:color="auto" w:sz="4" w:space="0"/>
                  </w:tcBorders>
                  <w:noWrap w:val="0"/>
                  <w:tcMar>
                    <w:top w:w="0" w:type="dxa"/>
                    <w:left w:w="28" w:type="dxa"/>
                    <w:bottom w:w="0" w:type="dxa"/>
                    <w:right w:w="28" w:type="dxa"/>
                  </w:tcMar>
                  <w:vAlign w:val="center"/>
                </w:tcPr>
                <w:p w14:paraId="313297BF">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室内噪声源</w:t>
                  </w:r>
                </w:p>
              </w:tc>
            </w:tr>
            <w:tr w14:paraId="067D88B7">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0" w:type="pct"/>
                  <w:tcBorders>
                    <w:top w:val="single" w:color="auto" w:sz="4" w:space="0"/>
                    <w:bottom w:val="single" w:color="auto" w:sz="4" w:space="0"/>
                  </w:tcBorders>
                  <w:noWrap w:val="0"/>
                  <w:tcMar>
                    <w:top w:w="0" w:type="dxa"/>
                    <w:left w:w="28" w:type="dxa"/>
                    <w:bottom w:w="0" w:type="dxa"/>
                    <w:right w:w="28" w:type="dxa"/>
                  </w:tcMar>
                  <w:vAlign w:val="center"/>
                </w:tcPr>
                <w:p w14:paraId="78DB5A29">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w:t>
                  </w:r>
                </w:p>
              </w:tc>
              <w:tc>
                <w:tcPr>
                  <w:tcW w:w="595" w:type="pct"/>
                  <w:tcBorders>
                    <w:top w:val="single" w:color="auto" w:sz="4" w:space="0"/>
                    <w:bottom w:val="single" w:color="auto" w:sz="4" w:space="0"/>
                  </w:tcBorders>
                  <w:noWrap w:val="0"/>
                  <w:tcMar>
                    <w:top w:w="0" w:type="dxa"/>
                    <w:left w:w="28" w:type="dxa"/>
                    <w:bottom w:w="0" w:type="dxa"/>
                    <w:right w:w="28" w:type="dxa"/>
                  </w:tcMar>
                  <w:vAlign w:val="center"/>
                </w:tcPr>
                <w:p w14:paraId="6F245FC0">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抽丝车间</w:t>
                  </w:r>
                </w:p>
              </w:tc>
              <w:tc>
                <w:tcPr>
                  <w:tcW w:w="1301" w:type="dxa"/>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2916CD22">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37.74</w:t>
                  </w:r>
                </w:p>
              </w:tc>
              <w:tc>
                <w:tcPr>
                  <w:tcW w:w="1301" w:type="dxa"/>
                  <w:tcBorders>
                    <w:top w:val="single" w:color="auto" w:sz="4" w:space="0"/>
                    <w:bottom w:val="single" w:color="auto" w:sz="4" w:space="0"/>
                  </w:tcBorders>
                  <w:noWrap w:val="0"/>
                  <w:tcMar>
                    <w:top w:w="0" w:type="dxa"/>
                    <w:left w:w="28" w:type="dxa"/>
                    <w:bottom w:w="0" w:type="dxa"/>
                    <w:right w:w="28" w:type="dxa"/>
                  </w:tcMar>
                  <w:vAlign w:val="center"/>
                </w:tcPr>
                <w:p w14:paraId="4482B3F7">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38.89</w:t>
                  </w:r>
                </w:p>
              </w:tc>
              <w:tc>
                <w:tcPr>
                  <w:tcW w:w="1301" w:type="dxa"/>
                  <w:tcBorders>
                    <w:top w:val="single" w:color="auto" w:sz="4" w:space="0"/>
                    <w:bottom w:val="single" w:color="auto" w:sz="4" w:space="0"/>
                  </w:tcBorders>
                  <w:noWrap w:val="0"/>
                  <w:tcMar>
                    <w:top w:w="0" w:type="dxa"/>
                    <w:left w:w="28" w:type="dxa"/>
                    <w:bottom w:w="0" w:type="dxa"/>
                    <w:right w:w="28" w:type="dxa"/>
                  </w:tcMar>
                  <w:vAlign w:val="center"/>
                </w:tcPr>
                <w:p w14:paraId="0ECD6E20">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40.22</w:t>
                  </w:r>
                </w:p>
              </w:tc>
              <w:tc>
                <w:tcPr>
                  <w:tcW w:w="1348" w:type="dxa"/>
                  <w:tcBorders>
                    <w:top w:val="single" w:color="auto" w:sz="4" w:space="0"/>
                    <w:bottom w:val="single" w:color="auto" w:sz="4" w:space="0"/>
                  </w:tcBorders>
                  <w:noWrap w:val="0"/>
                  <w:tcMar>
                    <w:top w:w="0" w:type="dxa"/>
                    <w:left w:w="28" w:type="dxa"/>
                    <w:bottom w:w="0" w:type="dxa"/>
                    <w:right w:w="28" w:type="dxa"/>
                  </w:tcMar>
                  <w:vAlign w:val="center"/>
                </w:tcPr>
                <w:p w14:paraId="13D3AEDA">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50.08</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FA253E2">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46</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D1C0EFB">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14</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BF32256">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18</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7ED132EA">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8</w:t>
                  </w:r>
                </w:p>
              </w:tc>
            </w:tr>
            <w:tr w14:paraId="7136FEDC">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979" w:type="pct"/>
                  <w:gridSpan w:val="6"/>
                  <w:tcBorders>
                    <w:top w:val="single" w:color="auto" w:sz="4" w:space="0"/>
                    <w:bottom w:val="single" w:color="auto" w:sz="4" w:space="0"/>
                  </w:tcBorders>
                  <w:noWrap w:val="0"/>
                  <w:tcMar>
                    <w:top w:w="0" w:type="dxa"/>
                    <w:left w:w="28" w:type="dxa"/>
                    <w:bottom w:w="0" w:type="dxa"/>
                    <w:right w:w="28" w:type="dxa"/>
                  </w:tcMar>
                  <w:vAlign w:val="center"/>
                </w:tcPr>
                <w:p w14:paraId="21BB0134">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default" w:ascii="Times New Roman" w:hAnsi="Times New Roman" w:eastAsia="宋体" w:cs="宋体"/>
                      <w:b w:val="0"/>
                      <w:bCs/>
                      <w:color w:val="auto"/>
                      <w:sz w:val="21"/>
                      <w:szCs w:val="21"/>
                      <w:lang w:val="en-US" w:eastAsia="zh-CN"/>
                    </w:rPr>
                    <w:t>厂界贡献值（dB（A））</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5A60CF47">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4.48</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11FB789">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15.96</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77A2334B">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15.11</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703327CA">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32.01</w:t>
                  </w:r>
                </w:p>
              </w:tc>
            </w:tr>
            <w:tr w14:paraId="7B975F9D">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0" w:type="pct"/>
                  <w:tcBorders>
                    <w:top w:val="single" w:color="auto" w:sz="4" w:space="0"/>
                    <w:bottom w:val="single" w:color="auto" w:sz="4" w:space="0"/>
                  </w:tcBorders>
                  <w:noWrap w:val="0"/>
                  <w:tcMar>
                    <w:top w:w="0" w:type="dxa"/>
                    <w:left w:w="28" w:type="dxa"/>
                    <w:bottom w:w="0" w:type="dxa"/>
                    <w:right w:w="28" w:type="dxa"/>
                  </w:tcMar>
                  <w:vAlign w:val="center"/>
                </w:tcPr>
                <w:p w14:paraId="5AADF174">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2</w:t>
                  </w:r>
                </w:p>
              </w:tc>
              <w:tc>
                <w:tcPr>
                  <w:tcW w:w="595" w:type="pct"/>
                  <w:tcBorders>
                    <w:top w:val="single" w:color="auto" w:sz="4" w:space="0"/>
                    <w:bottom w:val="single" w:color="auto" w:sz="4" w:space="0"/>
                  </w:tcBorders>
                  <w:noWrap w:val="0"/>
                  <w:tcMar>
                    <w:top w:w="0" w:type="dxa"/>
                    <w:left w:w="28" w:type="dxa"/>
                    <w:bottom w:w="0" w:type="dxa"/>
                    <w:right w:w="28" w:type="dxa"/>
                  </w:tcMar>
                  <w:vAlign w:val="center"/>
                </w:tcPr>
                <w:p w14:paraId="17B34AE6">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综合车间</w:t>
                  </w:r>
                </w:p>
              </w:tc>
              <w:tc>
                <w:tcPr>
                  <w:tcW w:w="1301" w:type="dxa"/>
                  <w:tcBorders>
                    <w:top w:val="single" w:color="auto" w:sz="4" w:space="0"/>
                    <w:bottom w:val="single" w:color="auto" w:sz="4" w:space="0"/>
                  </w:tcBorders>
                  <w:noWrap w:val="0"/>
                  <w:tcMar>
                    <w:top w:w="0" w:type="dxa"/>
                    <w:left w:w="28" w:type="dxa"/>
                    <w:bottom w:w="0" w:type="dxa"/>
                    <w:right w:w="28" w:type="dxa"/>
                  </w:tcMar>
                  <w:vAlign w:val="center"/>
                </w:tcPr>
                <w:p w14:paraId="152DBB74">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Times New Roman"/>
                      <w:i w:val="0"/>
                      <w:iCs w:val="0"/>
                      <w:color w:val="auto"/>
                      <w:sz w:val="21"/>
                      <w:szCs w:val="21"/>
                      <w:highlight w:val="none"/>
                      <w:u w:val="none"/>
                      <w:lang w:val="en-US" w:eastAsia="zh-CN"/>
                    </w:rPr>
                    <w:t>26.04</w:t>
                  </w:r>
                </w:p>
              </w:tc>
              <w:tc>
                <w:tcPr>
                  <w:tcW w:w="1301" w:type="dxa"/>
                  <w:tcBorders>
                    <w:top w:val="single" w:color="auto" w:sz="4" w:space="0"/>
                    <w:bottom w:val="single" w:color="auto" w:sz="4" w:space="0"/>
                  </w:tcBorders>
                  <w:noWrap w:val="0"/>
                  <w:tcMar>
                    <w:top w:w="0" w:type="dxa"/>
                    <w:left w:w="28" w:type="dxa"/>
                    <w:bottom w:w="0" w:type="dxa"/>
                    <w:right w:w="28" w:type="dxa"/>
                  </w:tcMar>
                  <w:vAlign w:val="center"/>
                </w:tcPr>
                <w:p w14:paraId="02AFED02">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Times New Roman"/>
                      <w:i w:val="0"/>
                      <w:iCs w:val="0"/>
                      <w:color w:val="auto"/>
                      <w:sz w:val="21"/>
                      <w:szCs w:val="21"/>
                      <w:highlight w:val="none"/>
                      <w:u w:val="none"/>
                      <w:lang w:val="en-US" w:eastAsia="zh-CN"/>
                    </w:rPr>
                    <w:t>29.04</w:t>
                  </w:r>
                </w:p>
              </w:tc>
              <w:tc>
                <w:tcPr>
                  <w:tcW w:w="1301" w:type="dxa"/>
                  <w:tcBorders>
                    <w:top w:val="single" w:color="auto" w:sz="4" w:space="0"/>
                    <w:bottom w:val="single" w:color="auto" w:sz="4" w:space="0"/>
                  </w:tcBorders>
                  <w:noWrap w:val="0"/>
                  <w:tcMar>
                    <w:top w:w="0" w:type="dxa"/>
                    <w:left w:w="28" w:type="dxa"/>
                    <w:bottom w:w="0" w:type="dxa"/>
                    <w:right w:w="28" w:type="dxa"/>
                  </w:tcMar>
                  <w:vAlign w:val="center"/>
                </w:tcPr>
                <w:p w14:paraId="3CBEE33B">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Times New Roman"/>
                      <w:i w:val="0"/>
                      <w:iCs w:val="0"/>
                      <w:color w:val="auto"/>
                      <w:sz w:val="21"/>
                      <w:szCs w:val="21"/>
                      <w:highlight w:val="none"/>
                      <w:u w:val="none"/>
                      <w:lang w:val="en-US" w:eastAsia="zh-CN"/>
                    </w:rPr>
                    <w:t>18.02</w:t>
                  </w:r>
                </w:p>
              </w:tc>
              <w:tc>
                <w:tcPr>
                  <w:tcW w:w="1348" w:type="dxa"/>
                  <w:tcBorders>
                    <w:top w:val="single" w:color="auto" w:sz="4" w:space="0"/>
                    <w:bottom w:val="single" w:color="auto" w:sz="4" w:space="0"/>
                  </w:tcBorders>
                  <w:noWrap w:val="0"/>
                  <w:tcMar>
                    <w:top w:w="0" w:type="dxa"/>
                    <w:left w:w="28" w:type="dxa"/>
                    <w:bottom w:w="0" w:type="dxa"/>
                    <w:right w:w="28" w:type="dxa"/>
                  </w:tcMar>
                  <w:vAlign w:val="center"/>
                </w:tcPr>
                <w:p w14:paraId="44145C2D">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ascii="Times New Roman" w:hAnsi="Times New Roman" w:eastAsia="宋体" w:cs="Times New Roman"/>
                      <w:i w:val="0"/>
                      <w:iCs w:val="0"/>
                      <w:color w:val="auto"/>
                      <w:sz w:val="21"/>
                      <w:szCs w:val="21"/>
                      <w:highlight w:val="none"/>
                      <w:u w:val="none"/>
                      <w:lang w:val="en-US" w:eastAsia="zh-CN"/>
                    </w:rPr>
                    <w:t>41.03</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37B51872">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3</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083CEF25">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14</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08355BBA">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71</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298C4321">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3</w:t>
                  </w:r>
                </w:p>
              </w:tc>
            </w:tr>
            <w:tr w14:paraId="0C8D33DA">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979" w:type="pct"/>
                  <w:gridSpan w:val="6"/>
                  <w:tcBorders>
                    <w:top w:val="single" w:color="auto" w:sz="4" w:space="0"/>
                    <w:bottom w:val="single" w:color="auto" w:sz="4" w:space="0"/>
                  </w:tcBorders>
                  <w:noWrap w:val="0"/>
                  <w:tcMar>
                    <w:top w:w="0" w:type="dxa"/>
                    <w:left w:w="28" w:type="dxa"/>
                    <w:bottom w:w="0" w:type="dxa"/>
                    <w:right w:w="28" w:type="dxa"/>
                  </w:tcMar>
                  <w:vAlign w:val="center"/>
                </w:tcPr>
                <w:p w14:paraId="1289E475">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宋体"/>
                      <w:b w:val="0"/>
                      <w:bCs/>
                      <w:color w:val="auto"/>
                      <w:sz w:val="21"/>
                      <w:szCs w:val="21"/>
                      <w:lang w:val="en-US" w:eastAsia="zh-CN"/>
                    </w:rPr>
                  </w:pPr>
                  <w:r>
                    <w:rPr>
                      <w:rFonts w:hint="default" w:ascii="Times New Roman" w:hAnsi="Times New Roman" w:eastAsia="宋体" w:cs="宋体"/>
                      <w:b w:val="0"/>
                      <w:bCs/>
                      <w:color w:val="auto"/>
                      <w:sz w:val="21"/>
                      <w:szCs w:val="21"/>
                      <w:lang w:val="en-US" w:eastAsia="zh-CN"/>
                    </w:rPr>
                    <w:t>厂界贡献值（dB（A））</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32D6417D">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16.49</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3229DDCD">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6.11</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59081765">
                  <w:pPr>
                    <w:keepNext w:val="0"/>
                    <w:keepLines w:val="0"/>
                    <w:widowControl/>
                    <w:suppressLineNumbers w:val="0"/>
                    <w:jc w:val="center"/>
                    <w:textAlignment w:val="center"/>
                    <w:rPr>
                      <w:rFonts w:hint="default" w:ascii="Times New Roman" w:hAnsi="Times New Roman" w:eastAsia="宋体" w:cs="宋体"/>
                      <w:b w:val="0"/>
                      <w:bCs/>
                      <w:color w:val="auto"/>
                      <w:sz w:val="21"/>
                      <w:szCs w:val="21"/>
                      <w:lang w:val="en-US" w:eastAsia="zh-CN"/>
                    </w:rPr>
                  </w:pPr>
                  <w:r>
                    <w:rPr>
                      <w:rFonts w:hint="eastAsia" w:cs="宋体"/>
                      <w:b w:val="0"/>
                      <w:bCs/>
                      <w:color w:val="auto"/>
                      <w:sz w:val="21"/>
                      <w:szCs w:val="21"/>
                      <w:lang w:val="en-US" w:eastAsia="zh-CN"/>
                    </w:rPr>
                    <w:t>0</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0F33B802">
                  <w:pPr>
                    <w:keepNext w:val="0"/>
                    <w:keepLines w:val="0"/>
                    <w:widowControl/>
                    <w:suppressLineNumbers w:val="0"/>
                    <w:jc w:val="center"/>
                    <w:textAlignment w:val="center"/>
                    <w:rPr>
                      <w:rFonts w:hint="eastAsia" w:ascii="Times New Roman" w:hAnsi="Times New Roman" w:eastAsia="宋体" w:cs="宋体"/>
                      <w:b w:val="0"/>
                      <w:bCs/>
                      <w:color w:val="auto"/>
                      <w:sz w:val="21"/>
                      <w:szCs w:val="21"/>
                      <w:lang w:val="en-US" w:eastAsia="zh-CN"/>
                    </w:rPr>
                  </w:pPr>
                  <w:r>
                    <w:rPr>
                      <w:rFonts w:hint="eastAsia" w:ascii="Times New Roman" w:hAnsi="Times New Roman" w:eastAsia="宋体" w:cs="宋体"/>
                      <w:b w:val="0"/>
                      <w:bCs/>
                      <w:color w:val="auto"/>
                      <w:sz w:val="21"/>
                      <w:szCs w:val="21"/>
                      <w:lang w:val="en-US" w:eastAsia="zh-CN"/>
                    </w:rPr>
                    <w:t>31.48</w:t>
                  </w:r>
                </w:p>
              </w:tc>
            </w:tr>
            <w:tr w14:paraId="6810719C">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5000" w:type="pct"/>
                  <w:gridSpan w:val="10"/>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2B86ED34">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室外噪声源</w:t>
                  </w:r>
                </w:p>
              </w:tc>
            </w:tr>
            <w:tr w14:paraId="3525CD0F">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0" w:type="pct"/>
                  <w:tcBorders>
                    <w:top w:val="single" w:color="auto" w:sz="4" w:space="0"/>
                    <w:bottom w:val="single" w:color="auto" w:sz="4" w:space="0"/>
                  </w:tcBorders>
                  <w:noWrap w:val="0"/>
                  <w:tcMar>
                    <w:top w:w="0" w:type="dxa"/>
                    <w:left w:w="28" w:type="dxa"/>
                    <w:bottom w:w="0" w:type="dxa"/>
                    <w:right w:w="28" w:type="dxa"/>
                  </w:tcMar>
                  <w:vAlign w:val="center"/>
                </w:tcPr>
                <w:p w14:paraId="7D2C654C">
                  <w:pPr>
                    <w:keepNext w:val="0"/>
                    <w:keepLines w:val="0"/>
                    <w:pageBreakBefore w:val="0"/>
                    <w:kinsoku/>
                    <w:wordWrap/>
                    <w:overflowPunct/>
                    <w:topLinePunct w:val="0"/>
                    <w:autoSpaceDN/>
                    <w:bidi w:val="0"/>
                    <w:adjustRightInd w:val="0"/>
                    <w:snapToGrid w:val="0"/>
                    <w:ind w:firstLine="0" w:firstLineChars="0"/>
                    <w:jc w:val="center"/>
                    <w:rPr>
                      <w:rFonts w:hint="default" w:cs="宋体"/>
                      <w:b w:val="0"/>
                      <w:bCs/>
                      <w:color w:val="auto"/>
                      <w:sz w:val="21"/>
                      <w:szCs w:val="21"/>
                      <w:lang w:val="en-US" w:eastAsia="zh-CN"/>
                    </w:rPr>
                  </w:pPr>
                  <w:r>
                    <w:rPr>
                      <w:rFonts w:hint="eastAsia" w:cs="宋体"/>
                      <w:b w:val="0"/>
                      <w:bCs/>
                      <w:color w:val="auto"/>
                      <w:sz w:val="21"/>
                      <w:szCs w:val="21"/>
                      <w:lang w:val="en-US" w:eastAsia="zh-CN"/>
                    </w:rPr>
                    <w:t>1</w:t>
                  </w:r>
                </w:p>
              </w:tc>
              <w:tc>
                <w:tcPr>
                  <w:tcW w:w="595" w:type="pct"/>
                  <w:tcBorders>
                    <w:top w:val="single" w:color="auto" w:sz="4" w:space="0"/>
                    <w:bottom w:val="single" w:color="auto" w:sz="4" w:space="0"/>
                  </w:tcBorders>
                  <w:shd w:val="clear" w:color="auto" w:fill="auto"/>
                  <w:noWrap w:val="0"/>
                  <w:tcMar>
                    <w:top w:w="0" w:type="dxa"/>
                    <w:left w:w="28" w:type="dxa"/>
                    <w:bottom w:w="0" w:type="dxa"/>
                    <w:right w:w="28" w:type="dxa"/>
                  </w:tcMar>
                  <w:vAlign w:val="center"/>
                </w:tcPr>
                <w:p w14:paraId="5F9DFEB2">
                  <w:pPr>
                    <w:keepNext w:val="0"/>
                    <w:keepLines w:val="0"/>
                    <w:pageBreakBefore w:val="0"/>
                    <w:kinsoku/>
                    <w:wordWrap/>
                    <w:overflowPunct/>
                    <w:topLinePunct w:val="0"/>
                    <w:autoSpaceDN/>
                    <w:bidi w:val="0"/>
                    <w:adjustRightInd w:val="0"/>
                    <w:snapToGrid w:val="0"/>
                    <w:ind w:firstLine="0" w:firstLineChars="0"/>
                    <w:jc w:val="center"/>
                    <w:rPr>
                      <w:rFonts w:hint="eastAsia" w:cs="宋体"/>
                      <w:b w:val="0"/>
                      <w:bCs/>
                      <w:color w:val="auto"/>
                      <w:sz w:val="21"/>
                      <w:szCs w:val="21"/>
                      <w:lang w:val="en-US" w:eastAsia="zh-CN"/>
                    </w:rPr>
                  </w:pPr>
                  <w:r>
                    <w:rPr>
                      <w:rFonts w:hint="eastAsia" w:cs="宋体"/>
                      <w:b w:val="0"/>
                      <w:bCs/>
                      <w:color w:val="auto"/>
                      <w:sz w:val="21"/>
                      <w:szCs w:val="21"/>
                      <w:lang w:val="en-US" w:eastAsia="zh-CN"/>
                    </w:rPr>
                    <w:t>风机</w:t>
                  </w:r>
                </w:p>
              </w:tc>
              <w:tc>
                <w:tcPr>
                  <w:tcW w:w="2014" w:type="pct"/>
                  <w:gridSpan w:val="4"/>
                  <w:tcBorders>
                    <w:top w:val="single" w:color="auto" w:sz="4" w:space="0"/>
                    <w:bottom w:val="single" w:color="auto" w:sz="4" w:space="0"/>
                  </w:tcBorders>
                  <w:noWrap w:val="0"/>
                  <w:tcMar>
                    <w:top w:w="0" w:type="dxa"/>
                    <w:left w:w="28" w:type="dxa"/>
                    <w:bottom w:w="0" w:type="dxa"/>
                    <w:right w:w="28" w:type="dxa"/>
                  </w:tcMar>
                  <w:vAlign w:val="center"/>
                </w:tcPr>
                <w:p w14:paraId="30B39C4D">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sz w:val="21"/>
                      <w:szCs w:val="21"/>
                      <w:lang w:val="en-US" w:eastAsia="zh-CN"/>
                    </w:rPr>
                  </w:pPr>
                  <w:r>
                    <w:rPr>
                      <w:rFonts w:hint="eastAsia"/>
                      <w:color w:val="auto"/>
                      <w:lang w:val="en-US" w:eastAsia="zh-CN"/>
                    </w:rPr>
                    <w:t>65</w:t>
                  </w:r>
                  <w:r>
                    <w:rPr>
                      <w:rFonts w:hint="default"/>
                      <w:color w:val="auto"/>
                      <w:lang w:val="en-US" w:eastAsia="zh-CN"/>
                    </w:rPr>
                    <w:t>（隔音减震后噪声级）</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2AF030A9">
                  <w:pPr>
                    <w:ind w:left="-105" w:leftChars="-50" w:right="-105" w:rightChars="-50"/>
                    <w:jc w:val="center"/>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100</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3188224">
                  <w:pPr>
                    <w:spacing w:line="240" w:lineRule="auto"/>
                    <w:ind w:left="0" w:leftChars="0" w:right="0" w:rightChars="0" w:firstLine="0" w:firstLineChars="0"/>
                    <w:jc w:val="center"/>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11</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A394AC3">
                  <w:pPr>
                    <w:spacing w:line="240" w:lineRule="auto"/>
                    <w:ind w:left="0" w:leftChars="0" w:right="0" w:rightChars="0" w:firstLine="0" w:firstLineChars="0"/>
                    <w:jc w:val="center"/>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13</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44EFF3BF">
                  <w:pPr>
                    <w:spacing w:line="240" w:lineRule="auto"/>
                    <w:ind w:left="0" w:leftChars="0" w:right="0" w:rightChars="0" w:firstLine="0" w:firstLineChars="0"/>
                    <w:jc w:val="center"/>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19</w:t>
                  </w:r>
                </w:p>
              </w:tc>
            </w:tr>
            <w:tr w14:paraId="7F044804">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370" w:type="pct"/>
                  <w:tcBorders>
                    <w:top w:val="single" w:color="auto" w:sz="4" w:space="0"/>
                    <w:bottom w:val="single" w:color="auto" w:sz="4" w:space="0"/>
                  </w:tcBorders>
                  <w:noWrap w:val="0"/>
                  <w:tcMar>
                    <w:top w:w="0" w:type="dxa"/>
                    <w:left w:w="28" w:type="dxa"/>
                    <w:bottom w:w="0" w:type="dxa"/>
                    <w:right w:w="28" w:type="dxa"/>
                  </w:tcMar>
                  <w:vAlign w:val="center"/>
                </w:tcPr>
                <w:p w14:paraId="09EFA35A">
                  <w:pPr>
                    <w:keepNext w:val="0"/>
                    <w:keepLines w:val="0"/>
                    <w:pageBreakBefore w:val="0"/>
                    <w:kinsoku/>
                    <w:wordWrap/>
                    <w:overflowPunct/>
                    <w:topLinePunct w:val="0"/>
                    <w:autoSpaceDN/>
                    <w:bidi w:val="0"/>
                    <w:adjustRightInd w:val="0"/>
                    <w:snapToGrid w:val="0"/>
                    <w:ind w:firstLine="0" w:firstLineChars="0"/>
                    <w:jc w:val="center"/>
                    <w:rPr>
                      <w:rFonts w:hint="default" w:cs="宋体"/>
                      <w:b w:val="0"/>
                      <w:bCs/>
                      <w:color w:val="auto"/>
                      <w:sz w:val="21"/>
                      <w:szCs w:val="21"/>
                      <w:lang w:val="en-US" w:eastAsia="zh-CN"/>
                    </w:rPr>
                  </w:pPr>
                  <w:r>
                    <w:rPr>
                      <w:rFonts w:hint="eastAsia" w:cs="宋体"/>
                      <w:b w:val="0"/>
                      <w:bCs/>
                      <w:color w:val="auto"/>
                      <w:sz w:val="21"/>
                      <w:szCs w:val="21"/>
                      <w:lang w:val="en-US" w:eastAsia="zh-CN"/>
                    </w:rPr>
                    <w:t>2</w:t>
                  </w:r>
                </w:p>
              </w:tc>
              <w:tc>
                <w:tcPr>
                  <w:tcW w:w="595" w:type="pct"/>
                  <w:tcBorders>
                    <w:top w:val="single" w:color="auto" w:sz="4" w:space="0"/>
                    <w:bottom w:val="single" w:color="auto" w:sz="4" w:space="0"/>
                  </w:tcBorders>
                  <w:shd w:val="clear" w:color="auto" w:fill="auto"/>
                  <w:noWrap w:val="0"/>
                  <w:tcMar>
                    <w:top w:w="0" w:type="dxa"/>
                    <w:left w:w="28" w:type="dxa"/>
                    <w:bottom w:w="0" w:type="dxa"/>
                    <w:right w:w="28" w:type="dxa"/>
                  </w:tcMar>
                  <w:vAlign w:val="center"/>
                </w:tcPr>
                <w:p w14:paraId="4FD910EC">
                  <w:pPr>
                    <w:keepNext w:val="0"/>
                    <w:keepLines w:val="0"/>
                    <w:pageBreakBefore w:val="0"/>
                    <w:kinsoku/>
                    <w:wordWrap/>
                    <w:overflowPunct/>
                    <w:topLinePunct w:val="0"/>
                    <w:autoSpaceDN/>
                    <w:bidi w:val="0"/>
                    <w:adjustRightInd w:val="0"/>
                    <w:snapToGrid w:val="0"/>
                    <w:ind w:firstLine="0" w:firstLineChars="0"/>
                    <w:jc w:val="center"/>
                    <w:rPr>
                      <w:rFonts w:hint="eastAsia" w:cs="宋体"/>
                      <w:b w:val="0"/>
                      <w:bCs/>
                      <w:color w:val="auto"/>
                      <w:sz w:val="21"/>
                      <w:szCs w:val="21"/>
                      <w:lang w:val="en-US" w:eastAsia="zh-CN"/>
                    </w:rPr>
                  </w:pPr>
                  <w:r>
                    <w:rPr>
                      <w:rFonts w:hint="eastAsia" w:cs="宋体"/>
                      <w:b w:val="0"/>
                      <w:bCs/>
                      <w:color w:val="auto"/>
                      <w:sz w:val="21"/>
                      <w:szCs w:val="21"/>
                      <w:lang w:val="en-US" w:eastAsia="zh-CN"/>
                    </w:rPr>
                    <w:t>风机</w:t>
                  </w:r>
                </w:p>
              </w:tc>
              <w:tc>
                <w:tcPr>
                  <w:tcW w:w="2014" w:type="pct"/>
                  <w:gridSpan w:val="4"/>
                  <w:tcBorders>
                    <w:top w:val="single" w:color="auto" w:sz="4" w:space="0"/>
                    <w:bottom w:val="single" w:color="auto" w:sz="4" w:space="0"/>
                  </w:tcBorders>
                  <w:shd w:val="clear" w:color="auto" w:fill="auto"/>
                  <w:noWrap w:val="0"/>
                  <w:tcMar>
                    <w:top w:w="0" w:type="dxa"/>
                    <w:left w:w="28" w:type="dxa"/>
                    <w:bottom w:w="0" w:type="dxa"/>
                    <w:right w:w="28" w:type="dxa"/>
                  </w:tcMar>
                  <w:vAlign w:val="center"/>
                </w:tcPr>
                <w:p w14:paraId="6EF942A9">
                  <w:pPr>
                    <w:keepNext w:val="0"/>
                    <w:keepLines w:val="0"/>
                    <w:pageBreakBefore w:val="0"/>
                    <w:kinsoku/>
                    <w:wordWrap/>
                    <w:overflowPunct/>
                    <w:topLinePunct w:val="0"/>
                    <w:autoSpaceDN/>
                    <w:bidi w:val="0"/>
                    <w:adjustRightInd w:val="0"/>
                    <w:snapToGrid w:val="0"/>
                    <w:ind w:firstLine="0" w:firstLineChars="0"/>
                    <w:jc w:val="center"/>
                    <w:rPr>
                      <w:rFonts w:hint="eastAsia" w:ascii="宋体" w:hAnsi="宋体" w:eastAsia="宋体" w:cs="宋体"/>
                      <w:b w:val="0"/>
                      <w:bCs/>
                      <w:color w:val="auto"/>
                      <w:kern w:val="2"/>
                      <w:sz w:val="21"/>
                      <w:szCs w:val="21"/>
                      <w:lang w:val="en-US" w:eastAsia="zh-CN" w:bidi="ar-SA"/>
                    </w:rPr>
                  </w:pPr>
                  <w:r>
                    <w:rPr>
                      <w:rFonts w:hint="eastAsia"/>
                      <w:color w:val="auto"/>
                      <w:lang w:val="en-US" w:eastAsia="zh-CN"/>
                    </w:rPr>
                    <w:t>65</w:t>
                  </w:r>
                  <w:r>
                    <w:rPr>
                      <w:rFonts w:hint="default"/>
                      <w:color w:val="auto"/>
                      <w:lang w:val="en-US" w:eastAsia="zh-CN"/>
                    </w:rPr>
                    <w:t>（隔音减震后噪声级）</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25DB1D28">
                  <w:pPr>
                    <w:ind w:left="-105" w:leftChars="-50" w:right="-105" w:rightChars="-50"/>
                    <w:jc w:val="center"/>
                    <w:rPr>
                      <w:rFonts w:hint="default" w:cs="Times New Roman"/>
                      <w:b w:val="0"/>
                      <w:bCs/>
                      <w:color w:val="auto"/>
                      <w:sz w:val="21"/>
                      <w:szCs w:val="21"/>
                      <w:lang w:val="en-US" w:eastAsia="zh-CN"/>
                    </w:rPr>
                  </w:pPr>
                  <w:r>
                    <w:rPr>
                      <w:rFonts w:hint="eastAsia" w:cs="Times New Roman"/>
                      <w:b w:val="0"/>
                      <w:bCs/>
                      <w:color w:val="auto"/>
                      <w:sz w:val="21"/>
                      <w:szCs w:val="21"/>
                      <w:lang w:val="en-US" w:eastAsia="zh-CN"/>
                    </w:rPr>
                    <w:t>108</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72E06475">
                  <w:pPr>
                    <w:spacing w:line="240" w:lineRule="auto"/>
                    <w:ind w:left="0" w:leftChars="0" w:right="0" w:rightChars="0" w:firstLine="0" w:firstLineChars="0"/>
                    <w:jc w:val="center"/>
                    <w:rPr>
                      <w:rFonts w:hint="eastAsia" w:cs="Times New Roman"/>
                      <w:b w:val="0"/>
                      <w:bCs/>
                      <w:color w:val="auto"/>
                      <w:sz w:val="21"/>
                      <w:szCs w:val="21"/>
                      <w:lang w:val="en-US" w:eastAsia="zh-CN"/>
                    </w:rPr>
                  </w:pPr>
                  <w:r>
                    <w:rPr>
                      <w:rFonts w:hint="eastAsia" w:cs="Times New Roman"/>
                      <w:b w:val="0"/>
                      <w:bCs/>
                      <w:color w:val="auto"/>
                      <w:sz w:val="21"/>
                      <w:szCs w:val="21"/>
                      <w:lang w:val="en-US" w:eastAsia="zh-CN"/>
                    </w:rPr>
                    <w:t>11</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7B367298">
                  <w:pPr>
                    <w:spacing w:line="240" w:lineRule="auto"/>
                    <w:ind w:left="0" w:leftChars="0" w:right="0" w:rightChars="0" w:firstLine="0" w:firstLineChars="0"/>
                    <w:jc w:val="center"/>
                    <w:rPr>
                      <w:rFonts w:hint="default" w:cs="Times New Roman"/>
                      <w:b w:val="0"/>
                      <w:bCs/>
                      <w:color w:val="auto"/>
                      <w:sz w:val="21"/>
                      <w:szCs w:val="21"/>
                      <w:lang w:val="en-US" w:eastAsia="zh-CN"/>
                    </w:rPr>
                  </w:pPr>
                  <w:r>
                    <w:rPr>
                      <w:rFonts w:hint="eastAsia" w:cs="Times New Roman"/>
                      <w:b w:val="0"/>
                      <w:bCs/>
                      <w:color w:val="auto"/>
                      <w:sz w:val="21"/>
                      <w:szCs w:val="21"/>
                      <w:lang w:val="en-US" w:eastAsia="zh-CN"/>
                    </w:rPr>
                    <w:t>5</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42374FFD">
                  <w:pPr>
                    <w:spacing w:line="240" w:lineRule="auto"/>
                    <w:ind w:left="0" w:leftChars="0" w:right="0" w:rightChars="0" w:firstLine="0" w:firstLineChars="0"/>
                    <w:jc w:val="center"/>
                    <w:rPr>
                      <w:rFonts w:hint="eastAsia" w:cs="Times New Roman"/>
                      <w:b w:val="0"/>
                      <w:bCs/>
                      <w:color w:val="auto"/>
                      <w:sz w:val="21"/>
                      <w:szCs w:val="21"/>
                      <w:lang w:val="en-US" w:eastAsia="zh-CN"/>
                    </w:rPr>
                  </w:pPr>
                  <w:r>
                    <w:rPr>
                      <w:rFonts w:hint="eastAsia" w:cs="Times New Roman"/>
                      <w:b w:val="0"/>
                      <w:bCs/>
                      <w:color w:val="auto"/>
                      <w:sz w:val="21"/>
                      <w:szCs w:val="21"/>
                      <w:lang w:val="en-US" w:eastAsia="zh-CN"/>
                    </w:rPr>
                    <w:t>19</w:t>
                  </w:r>
                </w:p>
              </w:tc>
            </w:tr>
            <w:tr w14:paraId="2A740072">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52" w:hRule="atLeast"/>
                <w:jc w:val="center"/>
              </w:trPr>
              <w:tc>
                <w:tcPr>
                  <w:tcW w:w="2979" w:type="pct"/>
                  <w:gridSpan w:val="6"/>
                  <w:tcBorders>
                    <w:top w:val="single" w:color="auto" w:sz="4" w:space="0"/>
                    <w:bottom w:val="single" w:color="auto" w:sz="4" w:space="0"/>
                  </w:tcBorders>
                  <w:noWrap w:val="0"/>
                  <w:tcMar>
                    <w:top w:w="0" w:type="dxa"/>
                    <w:left w:w="28" w:type="dxa"/>
                    <w:bottom w:w="0" w:type="dxa"/>
                    <w:right w:w="28" w:type="dxa"/>
                  </w:tcMar>
                  <w:vAlign w:val="center"/>
                </w:tcPr>
                <w:p w14:paraId="7253D6F7">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default" w:ascii="Times New Roman" w:hAnsi="Times New Roman" w:eastAsia="宋体" w:cs="宋体"/>
                      <w:b w:val="0"/>
                      <w:bCs/>
                      <w:color w:val="auto"/>
                      <w:sz w:val="21"/>
                      <w:szCs w:val="21"/>
                      <w:lang w:val="en-US" w:eastAsia="zh-CN"/>
                    </w:rPr>
                    <w:t>室外声源厂界贡献值（dB（A））</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164A3BD9">
                  <w:pPr>
                    <w:ind w:left="-105" w:leftChars="-50" w:right="-105" w:rightChars="-50"/>
                    <w:jc w:val="center"/>
                    <w:rPr>
                      <w:rFonts w:hint="default" w:ascii="Times New Roman" w:hAnsi="Times New Roman" w:cs="Times New Roman"/>
                      <w:color w:val="auto"/>
                      <w:lang w:val="en-US" w:eastAsia="zh-CN"/>
                    </w:rPr>
                  </w:pPr>
                  <w:r>
                    <w:rPr>
                      <w:rFonts w:hint="eastAsia" w:cs="Times New Roman"/>
                      <w:color w:val="auto"/>
                      <w:lang w:val="en-US" w:eastAsia="zh-CN"/>
                    </w:rPr>
                    <w:t>35.45</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0E5A7287">
                  <w:pPr>
                    <w:spacing w:line="240" w:lineRule="auto"/>
                    <w:ind w:left="0" w:leftChars="0" w:right="0" w:righ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44.17</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14FF9DC2">
                  <w:pPr>
                    <w:spacing w:line="240" w:lineRule="auto"/>
                    <w:ind w:left="0" w:leftChars="0" w:right="0" w:righ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42.72</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1507E0C9">
                  <w:pPr>
                    <w:spacing w:line="240" w:lineRule="auto"/>
                    <w:ind w:left="0" w:leftChars="0" w:right="0" w:righ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39.42</w:t>
                  </w:r>
                </w:p>
              </w:tc>
            </w:tr>
            <w:tr w14:paraId="4B686DD2">
              <w:tblPrEx>
                <w:tblBorders>
                  <w:top w:val="single" w:color="auto" w:sz="8" w:space="0"/>
                  <w:left w:val="single" w:color="auto" w:sz="4"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425" w:hRule="atLeast"/>
                <w:jc w:val="center"/>
              </w:trPr>
              <w:tc>
                <w:tcPr>
                  <w:tcW w:w="2979" w:type="pct"/>
                  <w:gridSpan w:val="6"/>
                  <w:tcBorders>
                    <w:top w:val="single" w:color="auto" w:sz="4" w:space="0"/>
                    <w:bottom w:val="single" w:color="auto" w:sz="4" w:space="0"/>
                  </w:tcBorders>
                  <w:noWrap w:val="0"/>
                  <w:tcMar>
                    <w:top w:w="0" w:type="dxa"/>
                    <w:left w:w="28" w:type="dxa"/>
                    <w:bottom w:w="0" w:type="dxa"/>
                    <w:right w:w="28" w:type="dxa"/>
                  </w:tcMar>
                  <w:vAlign w:val="center"/>
                </w:tcPr>
                <w:p w14:paraId="4EE99E42">
                  <w:pPr>
                    <w:keepNext w:val="0"/>
                    <w:keepLines w:val="0"/>
                    <w:pageBreakBefore w:val="0"/>
                    <w:kinsoku/>
                    <w:wordWrap/>
                    <w:overflowPunct/>
                    <w:topLinePunct w:val="0"/>
                    <w:autoSpaceDN/>
                    <w:bidi w:val="0"/>
                    <w:adjustRightInd w:val="0"/>
                    <w:snapToGrid w:val="0"/>
                    <w:ind w:firstLine="0" w:firstLineChars="0"/>
                    <w:jc w:val="center"/>
                    <w:rPr>
                      <w:rFonts w:hint="eastAsia" w:ascii="Times New Roman" w:hAnsi="Times New Roman" w:eastAsia="宋体" w:cs="宋体"/>
                      <w:b w:val="0"/>
                      <w:bCs/>
                      <w:color w:val="auto"/>
                      <w:sz w:val="21"/>
                      <w:szCs w:val="21"/>
                      <w:lang w:val="en-US" w:eastAsia="zh-CN"/>
                    </w:rPr>
                  </w:pPr>
                  <w:r>
                    <w:rPr>
                      <w:rFonts w:hint="default" w:ascii="Times New Roman" w:hAnsi="Times New Roman" w:eastAsia="宋体" w:cs="宋体"/>
                      <w:b w:val="0"/>
                      <w:bCs/>
                      <w:color w:val="auto"/>
                      <w:sz w:val="21"/>
                      <w:szCs w:val="21"/>
                      <w:lang w:val="en-US" w:eastAsia="zh-CN"/>
                    </w:rPr>
                    <w:t>叠加厂界贡献值（dB（A））</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24FE47B8">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35.51</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44763107">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44.1</w:t>
                  </w:r>
                  <w:r>
                    <w:rPr>
                      <w:rFonts w:hint="eastAsia" w:cs="Times New Roman"/>
                      <w:b w:val="0"/>
                      <w:bCs/>
                      <w:color w:val="auto"/>
                      <w:sz w:val="21"/>
                      <w:szCs w:val="21"/>
                      <w:lang w:val="en-US" w:eastAsia="zh-CN"/>
                    </w:rPr>
                    <w:t>8</w:t>
                  </w:r>
                </w:p>
              </w:tc>
              <w:tc>
                <w:tcPr>
                  <w:tcW w:w="499" w:type="pct"/>
                  <w:tcBorders>
                    <w:top w:val="single" w:color="auto" w:sz="4" w:space="0"/>
                    <w:bottom w:val="single" w:color="auto" w:sz="4" w:space="0"/>
                  </w:tcBorders>
                  <w:noWrap w:val="0"/>
                  <w:tcMar>
                    <w:top w:w="0" w:type="dxa"/>
                    <w:left w:w="28" w:type="dxa"/>
                    <w:bottom w:w="0" w:type="dxa"/>
                    <w:right w:w="28" w:type="dxa"/>
                  </w:tcMar>
                  <w:vAlign w:val="center"/>
                </w:tcPr>
                <w:p w14:paraId="1DC651A0">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42.7</w:t>
                  </w:r>
                  <w:r>
                    <w:rPr>
                      <w:rFonts w:hint="eastAsia" w:cs="Times New Roman"/>
                      <w:b w:val="0"/>
                      <w:bCs/>
                      <w:color w:val="auto"/>
                      <w:sz w:val="21"/>
                      <w:szCs w:val="21"/>
                      <w:lang w:val="en-US" w:eastAsia="zh-CN"/>
                    </w:rPr>
                    <w:t>3</w:t>
                  </w:r>
                </w:p>
              </w:tc>
              <w:tc>
                <w:tcPr>
                  <w:tcW w:w="522" w:type="pct"/>
                  <w:tcBorders>
                    <w:top w:val="single" w:color="auto" w:sz="4" w:space="0"/>
                    <w:bottom w:val="single" w:color="auto" w:sz="4" w:space="0"/>
                    <w:right w:val="single" w:color="auto" w:sz="4" w:space="0"/>
                  </w:tcBorders>
                  <w:noWrap w:val="0"/>
                  <w:tcMar>
                    <w:top w:w="0" w:type="dxa"/>
                    <w:left w:w="28" w:type="dxa"/>
                    <w:bottom w:w="0" w:type="dxa"/>
                    <w:right w:w="28" w:type="dxa"/>
                  </w:tcMar>
                  <w:vAlign w:val="center"/>
                </w:tcPr>
                <w:p w14:paraId="7EACA91C">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40.7</w:t>
                  </w:r>
                </w:p>
              </w:tc>
            </w:tr>
          </w:tbl>
          <w:p w14:paraId="19B1B24C">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2</w:t>
            </w:r>
            <w:r>
              <w:rPr>
                <w:rFonts w:hint="eastAsia" w:ascii="Times New Roman" w:hAnsi="Times New Roman" w:eastAsia="黑体" w:cs="Times New Roman"/>
                <w:b w:val="0"/>
                <w:bCs w:val="0"/>
                <w:color w:val="auto"/>
                <w:sz w:val="24"/>
                <w:szCs w:val="24"/>
                <w:highlight w:val="none"/>
                <w:lang w:val="en-US" w:eastAsia="zh-CN"/>
              </w:rPr>
              <w:t>、</w:t>
            </w:r>
            <w:r>
              <w:rPr>
                <w:rFonts w:hint="default" w:ascii="Times New Roman" w:hAnsi="Times New Roman" w:eastAsia="黑体" w:cs="Times New Roman"/>
                <w:b w:val="0"/>
                <w:bCs w:val="0"/>
                <w:color w:val="auto"/>
                <w:sz w:val="24"/>
                <w:szCs w:val="24"/>
                <w:highlight w:val="none"/>
                <w:lang w:val="en-US" w:eastAsia="zh-CN"/>
              </w:rPr>
              <w:t>声环境影响分析</w:t>
            </w:r>
          </w:p>
          <w:p w14:paraId="0BF90109">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本次评价采用《环境影响评价技术导则-声环境》（HJ</w:t>
            </w:r>
            <w:r>
              <w:rPr>
                <w:rFonts w:hint="eastAsia" w:ascii="Times New Roman" w:hAnsi="Times New Roman" w:cs="Times New Roman"/>
                <w:color w:val="auto"/>
                <w:highlight w:val="none"/>
                <w:lang w:val="en-US" w:eastAsia="zh-CN"/>
              </w:rPr>
              <w:t>2.4-2021</w:t>
            </w:r>
            <w:r>
              <w:rPr>
                <w:rFonts w:hint="default" w:ascii="Times New Roman" w:hAnsi="Times New Roman" w:cs="Times New Roman"/>
                <w:color w:val="auto"/>
                <w:highlight w:val="none"/>
              </w:rPr>
              <w:t>）中推荐的模式进行预测，用A声级计算，模式如下：</w:t>
            </w:r>
          </w:p>
          <w:p w14:paraId="3B7CB177">
            <w:pPr>
              <w:numPr>
                <w:ilvl w:val="0"/>
                <w:numId w:val="6"/>
              </w:numPr>
              <w:spacing w:line="360" w:lineRule="auto"/>
              <w:ind w:firstLine="540" w:firstLineChars="22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室内声源在预测点的声压级</w:t>
            </w:r>
          </w:p>
          <w:p w14:paraId="1CCFD0F0">
            <w:pPr>
              <w:spacing w:line="360" w:lineRule="auto"/>
              <w:ind w:firstLine="540" w:firstLineChars="225"/>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①</w:t>
            </w:r>
            <w:r>
              <w:rPr>
                <w:rFonts w:hint="default" w:ascii="Times New Roman" w:hAnsi="Times New Roman" w:cs="Times New Roman"/>
                <w:color w:val="auto"/>
                <w:sz w:val="24"/>
                <w:highlight w:val="none"/>
              </w:rPr>
              <w:t>首先计算某个室内声源在靠近围护结构处的声压级：</w:t>
            </w:r>
          </w:p>
          <w:p w14:paraId="55C5D9E5">
            <w:pPr>
              <w:spacing w:line="360" w:lineRule="auto"/>
              <w:ind w:firstLine="1528" w:firstLineChars="637"/>
              <w:jc w:val="left"/>
              <w:rPr>
                <w:rFonts w:hint="default" w:ascii="Times New Roman" w:hAnsi="Times New Roman" w:cs="Times New Roman"/>
                <w:color w:val="auto"/>
                <w:sz w:val="24"/>
                <w:highlight w:val="none"/>
                <w:lang w:val="fr-FR"/>
              </w:rPr>
            </w:pPr>
            <w:r>
              <w:rPr>
                <w:rFonts w:hint="default" w:ascii="Times New Roman" w:hAnsi="Times New Roman" w:cs="Times New Roman"/>
                <w:color w:val="auto"/>
                <w:sz w:val="24"/>
                <w:highlight w:val="none"/>
                <w:lang w:val="fr-FR"/>
              </w:rPr>
              <w:t>Li=Lw+10lg(Q/4</w:t>
            </w:r>
            <w:r>
              <w:rPr>
                <w:rFonts w:hint="default" w:ascii="Times New Roman" w:hAnsi="Times New Roman" w:cs="Times New Roman"/>
                <w:color w:val="auto"/>
                <w:sz w:val="24"/>
                <w:highlight w:val="none"/>
              </w:rPr>
              <w:t>π</w:t>
            </w:r>
            <w:r>
              <w:rPr>
                <w:rFonts w:hint="default" w:ascii="Times New Roman" w:hAnsi="Times New Roman" w:cs="Times New Roman"/>
                <w:color w:val="auto"/>
                <w:sz w:val="24"/>
                <w:highlight w:val="none"/>
                <w:lang w:val="fr-FR"/>
              </w:rPr>
              <w:t>r</w:t>
            </w:r>
            <w:r>
              <w:rPr>
                <w:rFonts w:hint="default" w:ascii="Times New Roman" w:hAnsi="Times New Roman" w:cs="Times New Roman"/>
                <w:color w:val="auto"/>
                <w:sz w:val="24"/>
                <w:highlight w:val="none"/>
                <w:vertAlign w:val="subscript"/>
                <w:lang w:val="fr-FR"/>
              </w:rPr>
              <w:t>i</w:t>
            </w:r>
            <w:r>
              <w:rPr>
                <w:rFonts w:hint="default" w:ascii="Times New Roman" w:hAnsi="Times New Roman" w:cs="Times New Roman"/>
                <w:color w:val="auto"/>
                <w:sz w:val="24"/>
                <w:highlight w:val="none"/>
                <w:vertAlign w:val="superscript"/>
                <w:lang w:val="fr-FR"/>
              </w:rPr>
              <w:t>2</w:t>
            </w:r>
            <w:r>
              <w:rPr>
                <w:rFonts w:hint="default" w:ascii="Times New Roman" w:hAnsi="Times New Roman" w:cs="Times New Roman"/>
                <w:color w:val="auto"/>
                <w:sz w:val="24"/>
                <w:highlight w:val="none"/>
                <w:lang w:val="fr-FR"/>
              </w:rPr>
              <w:t>+4/R)</w:t>
            </w:r>
          </w:p>
          <w:p w14:paraId="745E3D55">
            <w:pPr>
              <w:spacing w:line="360" w:lineRule="auto"/>
              <w:ind w:firstLine="540" w:firstLineChars="22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式中：Li－某个室内声源在靠近围护结构处的声压级，dB(A)；</w:t>
            </w:r>
          </w:p>
          <w:p w14:paraId="39A17E6A">
            <w:pPr>
              <w:spacing w:line="360" w:lineRule="auto"/>
              <w:ind w:firstLine="1260" w:firstLineChars="52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Lw－某个声源的声功率级，dB；</w:t>
            </w:r>
          </w:p>
          <w:p w14:paraId="3BBF581D">
            <w:pPr>
              <w:spacing w:line="360" w:lineRule="auto"/>
              <w:ind w:firstLine="1260" w:firstLineChars="52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－某个声源与靠近围护结构处的距离，m；</w:t>
            </w:r>
          </w:p>
          <w:p w14:paraId="5AB3FFC6">
            <w:pPr>
              <w:spacing w:line="360" w:lineRule="auto"/>
              <w:ind w:firstLine="1260" w:firstLineChars="525"/>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R－房间常数；</w:t>
            </w:r>
          </w:p>
          <w:p w14:paraId="4B328B25">
            <w:pPr>
              <w:spacing w:line="360" w:lineRule="auto"/>
              <w:ind w:firstLine="1260" w:firstLineChars="525"/>
              <w:jc w:val="left"/>
              <w:rPr>
                <w:rFonts w:hint="eastAsia"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Q－方向性因子。</w:t>
            </w:r>
          </w:p>
          <w:p w14:paraId="3D53845F">
            <w:pPr>
              <w:spacing w:line="360" w:lineRule="auto"/>
              <w:ind w:firstLine="540" w:firstLineChars="225"/>
              <w:jc w:val="left"/>
              <w:rPr>
                <w:rFonts w:hint="eastAsia"/>
                <w:lang w:val="en-US" w:eastAsia="zh-CN"/>
              </w:rPr>
            </w:pPr>
            <w:r>
              <w:rPr>
                <w:rFonts w:hint="eastAsia" w:ascii="Times New Roman" w:hAnsi="Times New Roman" w:cs="Times New Roman"/>
                <w:color w:val="auto"/>
                <w:sz w:val="24"/>
                <w:highlight w:val="none"/>
                <w:lang w:eastAsia="zh-CN"/>
              </w:rPr>
              <w:t>②</w:t>
            </w:r>
            <w:r>
              <w:rPr>
                <w:rFonts w:hint="default" w:ascii="Times New Roman" w:hAnsi="Times New Roman" w:cs="Times New Roman"/>
                <w:color w:val="auto"/>
                <w:sz w:val="24"/>
                <w:highlight w:val="none"/>
              </w:rPr>
              <w:t>计算所有室内声源在靠近围护结构处产生的总声压级：</w:t>
            </w:r>
          </w:p>
        </w:tc>
      </w:tr>
    </w:tbl>
    <w:p w14:paraId="48DE95AB">
      <w:pPr>
        <w:adjustRightInd w:val="0"/>
        <w:snapToGrid w:val="0"/>
        <w:spacing w:line="360" w:lineRule="auto"/>
        <w:rPr>
          <w:rFonts w:hint="default" w:ascii="Times New Roman" w:hAnsi="Times New Roman" w:cs="Times New Roman"/>
          <w:b/>
          <w:color w:val="auto"/>
          <w:kern w:val="0"/>
          <w:sz w:val="28"/>
          <w:szCs w:val="28"/>
          <w:highlight w:val="none"/>
        </w:rPr>
        <w:sectPr>
          <w:pgSz w:w="16840" w:h="11907"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7"/>
        <w:tblW w:w="505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
        <w:gridCol w:w="10284"/>
      </w:tblGrid>
      <w:tr w14:paraId="3E43F1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265" w:type="pct"/>
            <w:noWrap w:val="0"/>
            <w:tcMar>
              <w:left w:w="28" w:type="dxa"/>
              <w:right w:w="28" w:type="dxa"/>
            </w:tcMar>
            <w:vAlign w:val="center"/>
          </w:tcPr>
          <w:p w14:paraId="7348BE60">
            <w:pPr>
              <w:adjustRightInd w:val="0"/>
              <w:snapToGrid w:val="0"/>
              <w:jc w:val="center"/>
              <w:rPr>
                <w:rFonts w:hint="default" w:ascii="Times New Roman" w:hAnsi="Times New Roman" w:cs="Times New Roman"/>
                <w:bCs/>
                <w:color w:val="auto"/>
                <w:sz w:val="21"/>
                <w:szCs w:val="21"/>
                <w:highlight w:val="none"/>
              </w:rPr>
            </w:pPr>
          </w:p>
        </w:tc>
        <w:tc>
          <w:tcPr>
            <w:tcW w:w="4734" w:type="pct"/>
            <w:noWrap w:val="0"/>
            <w:vAlign w:val="center"/>
          </w:tcPr>
          <w:p w14:paraId="4FCD9371">
            <w:pPr>
              <w:spacing w:line="360" w:lineRule="auto"/>
              <w:ind w:firstLine="1528" w:firstLineChars="637"/>
              <w:jc w:val="left"/>
              <w:rPr>
                <w:rFonts w:hint="eastAsia"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val="fr-FR"/>
              </w:rPr>
              <w:t>L1（T）=10lg[∑10</w:t>
            </w:r>
            <w:r>
              <w:rPr>
                <w:rFonts w:hint="default" w:ascii="Times New Roman" w:hAnsi="Times New Roman" w:cs="Times New Roman"/>
                <w:color w:val="auto"/>
                <w:sz w:val="24"/>
                <w:highlight w:val="none"/>
                <w:vertAlign w:val="superscript"/>
                <w:lang w:val="fr-FR"/>
              </w:rPr>
              <w:t>0.1LA(r)</w:t>
            </w:r>
            <w:r>
              <w:rPr>
                <w:rFonts w:hint="default" w:ascii="Times New Roman" w:hAnsi="Times New Roman" w:cs="Times New Roman"/>
                <w:color w:val="auto"/>
                <w:sz w:val="24"/>
                <w:highlight w:val="none"/>
                <w:lang w:val="fr-FR"/>
              </w:rPr>
              <w:t>]</w:t>
            </w:r>
          </w:p>
          <w:p w14:paraId="1EC5F282">
            <w:pPr>
              <w:spacing w:line="360" w:lineRule="auto"/>
              <w:ind w:firstLine="540" w:firstLineChars="225"/>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③</w:t>
            </w:r>
            <w:r>
              <w:rPr>
                <w:rFonts w:hint="default" w:ascii="Times New Roman" w:hAnsi="Times New Roman" w:cs="Times New Roman"/>
                <w:color w:val="auto"/>
                <w:sz w:val="24"/>
                <w:highlight w:val="none"/>
              </w:rPr>
              <w:t>计算室外靠近围护结构处的声压级：</w:t>
            </w:r>
          </w:p>
          <w:p w14:paraId="42CCAC69">
            <w:pPr>
              <w:spacing w:line="360" w:lineRule="auto"/>
              <w:ind w:firstLine="1528" w:firstLineChars="637"/>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（T）= L1（T）－（TL+6）</w:t>
            </w:r>
          </w:p>
          <w:p w14:paraId="1D8C2658">
            <w:pPr>
              <w:spacing w:line="360" w:lineRule="auto"/>
              <w:ind w:firstLine="540" w:firstLineChars="225"/>
              <w:jc w:val="left"/>
              <w:rPr>
                <w:rFonts w:hint="eastAsia"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式中：TL－厂房平均隔声量，dB(A)。</w:t>
            </w:r>
          </w:p>
          <w:p w14:paraId="54F399A7">
            <w:pPr>
              <w:spacing w:line="360" w:lineRule="auto"/>
              <w:ind w:firstLine="540" w:firstLineChars="225"/>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④</w:t>
            </w:r>
            <w:r>
              <w:rPr>
                <w:rFonts w:hint="default" w:ascii="Times New Roman" w:hAnsi="Times New Roman" w:cs="Times New Roman"/>
                <w:color w:val="auto"/>
                <w:sz w:val="24"/>
                <w:highlight w:val="none"/>
              </w:rPr>
              <w:t>将室外声级L</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（T）和透声面积换算成等效的室外声源，计算出等效声源的声功率级Lw：</w:t>
            </w:r>
          </w:p>
          <w:p w14:paraId="245F893C">
            <w:pPr>
              <w:spacing w:line="360" w:lineRule="auto"/>
              <w:ind w:firstLine="1528" w:firstLineChars="637"/>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 L</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（T）+10lgS</w:t>
            </w:r>
          </w:p>
          <w:p w14:paraId="432713B2">
            <w:pPr>
              <w:spacing w:line="360" w:lineRule="auto"/>
              <w:ind w:firstLine="480" w:firstLineChars="200"/>
              <w:jc w:val="left"/>
              <w:rPr>
                <w:rFonts w:hint="eastAsia"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式中：S－透声面积，m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p>
          <w:p w14:paraId="026323C9">
            <w:pPr>
              <w:spacing w:line="360" w:lineRule="auto"/>
              <w:ind w:firstLine="480" w:firstLineChars="20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参数确定</w:t>
            </w:r>
          </w:p>
          <w:p w14:paraId="7372860B">
            <w:pPr>
              <w:spacing w:line="360" w:lineRule="auto"/>
              <w:ind w:firstLine="480" w:firstLineChars="20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①</w:t>
            </w:r>
            <w:r>
              <w:rPr>
                <w:rFonts w:hint="default" w:ascii="Times New Roman" w:hAnsi="Times New Roman" w:cs="Times New Roman"/>
                <w:color w:val="auto"/>
                <w:sz w:val="24"/>
                <w:highlight w:val="none"/>
              </w:rPr>
              <w:t>TL：门窗关闭时取20dB(A)；开启时取15dB(A)；无门窗墙体取25dB(A)；室外声源取0。</w:t>
            </w:r>
          </w:p>
          <w:p w14:paraId="7E7399A6">
            <w:pPr>
              <w:spacing w:line="360" w:lineRule="auto"/>
              <w:ind w:firstLine="480" w:firstLineChars="20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②</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vertAlign w:val="subscript"/>
              </w:rPr>
              <w:t>diⅣ</w:t>
            </w:r>
            <w:r>
              <w:rPr>
                <w:rFonts w:hint="default" w:ascii="Times New Roman" w:hAnsi="Times New Roman" w:cs="Times New Roman"/>
                <w:color w:val="auto"/>
                <w:sz w:val="24"/>
                <w:highlight w:val="none"/>
              </w:rPr>
              <w:t>：对于点声源，A</w:t>
            </w:r>
            <w:r>
              <w:rPr>
                <w:rFonts w:hint="default" w:ascii="Times New Roman" w:hAnsi="Times New Roman" w:cs="Times New Roman"/>
                <w:color w:val="auto"/>
                <w:sz w:val="24"/>
                <w:highlight w:val="none"/>
                <w:vertAlign w:val="subscript"/>
              </w:rPr>
              <w:t>diⅣ</w:t>
            </w:r>
            <w:r>
              <w:rPr>
                <w:rFonts w:hint="default" w:ascii="Times New Roman" w:hAnsi="Times New Roman" w:cs="Times New Roman"/>
                <w:color w:val="auto"/>
                <w:sz w:val="24"/>
                <w:highlight w:val="none"/>
              </w:rPr>
              <w:t>=20lg(r/r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w:t>
            </w:r>
          </w:p>
          <w:p w14:paraId="26422D7C">
            <w:pPr>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对于有限长（L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）线声源：当r&gt;L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且r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&gt;L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时，A</w:t>
            </w:r>
            <w:r>
              <w:rPr>
                <w:rFonts w:hint="default" w:ascii="Times New Roman" w:hAnsi="Times New Roman" w:cs="Times New Roman"/>
                <w:color w:val="auto"/>
                <w:sz w:val="24"/>
                <w:highlight w:val="none"/>
                <w:vertAlign w:val="subscript"/>
              </w:rPr>
              <w:t>diⅣ</w:t>
            </w:r>
            <w:r>
              <w:rPr>
                <w:rFonts w:hint="default" w:ascii="Times New Roman" w:hAnsi="Times New Roman" w:cs="Times New Roman"/>
                <w:color w:val="auto"/>
                <w:sz w:val="24"/>
                <w:highlight w:val="none"/>
              </w:rPr>
              <w:t>=20lg(r/r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w:t>
            </w:r>
          </w:p>
          <w:p w14:paraId="7630B978">
            <w:pPr>
              <w:spacing w:line="360" w:lineRule="auto"/>
              <w:ind w:firstLine="3360" w:firstLineChars="14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当r&lt;L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/3且r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&lt;L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/3时，A</w:t>
            </w:r>
            <w:r>
              <w:rPr>
                <w:rFonts w:hint="default" w:ascii="Times New Roman" w:hAnsi="Times New Roman" w:cs="Times New Roman"/>
                <w:color w:val="auto"/>
                <w:sz w:val="24"/>
                <w:highlight w:val="none"/>
                <w:vertAlign w:val="subscript"/>
              </w:rPr>
              <w:t>diⅣ</w:t>
            </w:r>
            <w:r>
              <w:rPr>
                <w:rFonts w:hint="default" w:ascii="Times New Roman" w:hAnsi="Times New Roman" w:cs="Times New Roman"/>
                <w:color w:val="auto"/>
                <w:sz w:val="24"/>
                <w:highlight w:val="none"/>
              </w:rPr>
              <w:t>=10lg(r/r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w:t>
            </w:r>
          </w:p>
          <w:p w14:paraId="111D85AF">
            <w:pPr>
              <w:spacing w:line="360" w:lineRule="auto"/>
              <w:ind w:firstLine="3360" w:firstLineChars="14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/3&lt;r&lt;L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且L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/3&lt;r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&lt;L</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时，A</w:t>
            </w:r>
            <w:r>
              <w:rPr>
                <w:rFonts w:hint="default" w:ascii="Times New Roman" w:hAnsi="Times New Roman" w:cs="Times New Roman"/>
                <w:color w:val="auto"/>
                <w:sz w:val="24"/>
                <w:highlight w:val="none"/>
                <w:vertAlign w:val="subscript"/>
              </w:rPr>
              <w:t>diⅣ</w:t>
            </w:r>
            <w:r>
              <w:rPr>
                <w:rFonts w:hint="default" w:ascii="Times New Roman" w:hAnsi="Times New Roman" w:cs="Times New Roman"/>
                <w:color w:val="auto"/>
                <w:sz w:val="24"/>
                <w:highlight w:val="none"/>
              </w:rPr>
              <w:t>=15lg(r/r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w:t>
            </w:r>
          </w:p>
          <w:p w14:paraId="00710FD1">
            <w:pPr>
              <w:spacing w:line="360" w:lineRule="auto"/>
              <w:ind w:firstLine="480" w:firstLineChars="200"/>
              <w:jc w:val="left"/>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eastAsia="zh-CN"/>
              </w:rPr>
              <w:t>③</w:t>
            </w:r>
            <w:r>
              <w:rPr>
                <w:rFonts w:hint="default" w:ascii="Times New Roman" w:hAnsi="Times New Roman" w:cs="Times New Roman"/>
                <w:color w:val="auto"/>
                <w:sz w:val="24"/>
                <w:highlight w:val="none"/>
              </w:rPr>
              <w:t>其它类型的衰减忽略不计。</w:t>
            </w:r>
          </w:p>
          <w:p w14:paraId="073ED324">
            <w:pPr>
              <w:adjustRightInd w:val="0"/>
              <w:snapToGrid w:val="0"/>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经预测，各厂界噪声值见下表：</w:t>
            </w:r>
          </w:p>
          <w:p w14:paraId="4D9D5A2E">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Times New Roman" w:hAnsi="Times New Roman" w:eastAsia="黑体" w:cs="Times New Roman"/>
                <w:color w:val="auto"/>
                <w:kern w:val="0"/>
                <w:sz w:val="24"/>
                <w:lang w:val="en-US" w:eastAsia="zh-CN"/>
              </w:rPr>
            </w:pPr>
            <w:r>
              <w:rPr>
                <w:rFonts w:hint="default" w:ascii="Times New Roman" w:hAnsi="Times New Roman" w:eastAsia="黑体" w:cs="Times New Roman"/>
                <w:color w:val="auto"/>
                <w:kern w:val="0"/>
                <w:sz w:val="24"/>
                <w:lang w:val="en-US" w:eastAsia="zh-CN"/>
              </w:rPr>
              <w:t>表4-</w:t>
            </w:r>
            <w:r>
              <w:rPr>
                <w:rFonts w:hint="eastAsia" w:eastAsia="黑体" w:cs="Times New Roman"/>
                <w:color w:val="auto"/>
                <w:kern w:val="0"/>
                <w:sz w:val="24"/>
                <w:lang w:val="en-US" w:eastAsia="zh-CN"/>
              </w:rPr>
              <w:t>10</w:t>
            </w:r>
            <w:r>
              <w:rPr>
                <w:rFonts w:hint="default" w:ascii="Times New Roman" w:hAnsi="Times New Roman" w:eastAsia="黑体" w:cs="Times New Roman"/>
                <w:color w:val="auto"/>
                <w:kern w:val="0"/>
                <w:sz w:val="24"/>
                <w:lang w:val="en-US" w:eastAsia="zh-CN"/>
              </w:rPr>
              <w:t xml:space="preserve"> </w:t>
            </w:r>
            <w:r>
              <w:rPr>
                <w:rFonts w:hint="eastAsia" w:ascii="Times New Roman" w:hAnsi="Times New Roman" w:eastAsia="黑体" w:cs="Times New Roman"/>
                <w:b w:val="0"/>
                <w:bCs w:val="0"/>
                <w:color w:val="auto"/>
                <w:kern w:val="0"/>
                <w:sz w:val="24"/>
                <w:szCs w:val="24"/>
                <w:highlight w:val="none"/>
                <w:lang w:val="en-US" w:eastAsia="zh-CN"/>
              </w:rPr>
              <w:t>厂界噪声</w:t>
            </w:r>
            <w:r>
              <w:rPr>
                <w:rFonts w:hint="default" w:ascii="Times New Roman" w:hAnsi="Times New Roman" w:eastAsia="黑体" w:cs="Times New Roman"/>
                <w:color w:val="auto"/>
                <w:kern w:val="0"/>
                <w:sz w:val="24"/>
                <w:lang w:val="en-US" w:eastAsia="zh-CN"/>
              </w:rPr>
              <w:t>评价结果</w:t>
            </w:r>
          </w:p>
          <w:tbl>
            <w:tblPr>
              <w:tblStyle w:val="27"/>
              <w:tblW w:w="499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652"/>
              <w:gridCol w:w="1429"/>
              <w:gridCol w:w="1413"/>
              <w:gridCol w:w="1467"/>
              <w:gridCol w:w="1361"/>
              <w:gridCol w:w="1361"/>
              <w:gridCol w:w="1364"/>
            </w:tblGrid>
            <w:tr w14:paraId="0C8E4C8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2" w:type="pct"/>
                  <w:vMerge w:val="restart"/>
                  <w:tcBorders>
                    <w:tl2br w:val="nil"/>
                    <w:tr2bl w:val="nil"/>
                  </w:tcBorders>
                  <w:noWrap w:val="0"/>
                  <w:vAlign w:val="center"/>
                </w:tcPr>
                <w:p w14:paraId="16EC2702">
                  <w:pPr>
                    <w:spacing w:line="240" w:lineRule="exact"/>
                    <w:ind w:left="0" w:leftChars="0" w:right="0" w:rightChars="0" w:firstLine="0" w:firstLineChars="0"/>
                    <w:jc w:val="center"/>
                    <w:rPr>
                      <w:rFonts w:hint="default"/>
                      <w:color w:val="auto"/>
                    </w:rPr>
                  </w:pPr>
                  <w:r>
                    <w:rPr>
                      <w:rFonts w:hint="default"/>
                      <w:color w:val="auto"/>
                    </w:rPr>
                    <w:t>预测点位</w:t>
                  </w:r>
                </w:p>
              </w:tc>
              <w:tc>
                <w:tcPr>
                  <w:tcW w:w="2144" w:type="pct"/>
                  <w:gridSpan w:val="3"/>
                  <w:tcBorders>
                    <w:tl2br w:val="nil"/>
                    <w:tr2bl w:val="nil"/>
                  </w:tcBorders>
                  <w:noWrap w:val="0"/>
                  <w:vAlign w:val="center"/>
                </w:tcPr>
                <w:p w14:paraId="43731982">
                  <w:pPr>
                    <w:spacing w:line="240" w:lineRule="exact"/>
                    <w:ind w:left="0" w:leftChars="0" w:right="0" w:rightChars="0" w:firstLine="0" w:firstLineChars="0"/>
                    <w:jc w:val="center"/>
                    <w:rPr>
                      <w:rFonts w:hint="default"/>
                      <w:color w:val="auto"/>
                      <w:lang w:val="en-US" w:eastAsia="zh-CN"/>
                    </w:rPr>
                  </w:pPr>
                  <w:r>
                    <w:rPr>
                      <w:rFonts w:hint="default"/>
                      <w:color w:val="auto"/>
                      <w:lang w:val="en-US" w:eastAsia="zh-CN"/>
                    </w:rPr>
                    <w:t>昼间dB（A）</w:t>
                  </w:r>
                </w:p>
              </w:tc>
              <w:tc>
                <w:tcPr>
                  <w:tcW w:w="2032" w:type="pct"/>
                  <w:gridSpan w:val="3"/>
                  <w:tcBorders>
                    <w:tl2br w:val="nil"/>
                    <w:tr2bl w:val="nil"/>
                  </w:tcBorders>
                  <w:noWrap w:val="0"/>
                  <w:vAlign w:val="center"/>
                </w:tcPr>
                <w:p w14:paraId="4AB1C086">
                  <w:pPr>
                    <w:spacing w:line="240" w:lineRule="exact"/>
                    <w:ind w:left="0" w:leftChars="0" w:right="0" w:rightChars="0" w:firstLine="0" w:firstLineChars="0"/>
                    <w:jc w:val="center"/>
                    <w:rPr>
                      <w:rFonts w:hint="default"/>
                      <w:color w:val="auto"/>
                      <w:lang w:val="en-US" w:eastAsia="zh-CN"/>
                    </w:rPr>
                  </w:pPr>
                  <w:r>
                    <w:rPr>
                      <w:rFonts w:hint="eastAsia"/>
                      <w:color w:val="auto"/>
                      <w:lang w:val="en-US" w:eastAsia="zh-CN"/>
                    </w:rPr>
                    <w:t>夜间</w:t>
                  </w:r>
                  <w:r>
                    <w:rPr>
                      <w:rFonts w:hint="default"/>
                      <w:color w:val="auto"/>
                      <w:lang w:val="en-US" w:eastAsia="zh-CN"/>
                    </w:rPr>
                    <w:t>dB（A）</w:t>
                  </w:r>
                </w:p>
              </w:tc>
            </w:tr>
            <w:tr w14:paraId="6B12178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2" w:type="pct"/>
                  <w:vMerge w:val="continue"/>
                  <w:tcBorders>
                    <w:tl2br w:val="nil"/>
                    <w:tr2bl w:val="nil"/>
                  </w:tcBorders>
                  <w:noWrap w:val="0"/>
                  <w:vAlign w:val="center"/>
                </w:tcPr>
                <w:p w14:paraId="3CFE6A24">
                  <w:pPr>
                    <w:spacing w:line="240" w:lineRule="exact"/>
                    <w:ind w:left="0" w:leftChars="0" w:right="0" w:rightChars="0" w:firstLine="0" w:firstLineChars="0"/>
                    <w:jc w:val="center"/>
                    <w:rPr>
                      <w:rFonts w:hint="default"/>
                      <w:color w:val="auto"/>
                    </w:rPr>
                  </w:pPr>
                </w:p>
              </w:tc>
              <w:tc>
                <w:tcPr>
                  <w:tcW w:w="711" w:type="pct"/>
                  <w:tcBorders>
                    <w:tl2br w:val="nil"/>
                    <w:tr2bl w:val="nil"/>
                  </w:tcBorders>
                  <w:noWrap w:val="0"/>
                  <w:vAlign w:val="center"/>
                </w:tcPr>
                <w:p w14:paraId="005B8B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贡献值</w:t>
                  </w:r>
                </w:p>
              </w:tc>
              <w:tc>
                <w:tcPr>
                  <w:tcW w:w="703" w:type="pct"/>
                  <w:tcBorders>
                    <w:tl2br w:val="nil"/>
                    <w:tr2bl w:val="nil"/>
                  </w:tcBorders>
                  <w:noWrap w:val="0"/>
                  <w:vAlign w:val="center"/>
                </w:tcPr>
                <w:p w14:paraId="0D5E13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标准值</w:t>
                  </w:r>
                </w:p>
              </w:tc>
              <w:tc>
                <w:tcPr>
                  <w:tcW w:w="730" w:type="pct"/>
                  <w:tcBorders>
                    <w:tl2br w:val="nil"/>
                    <w:tr2bl w:val="nil"/>
                  </w:tcBorders>
                  <w:noWrap w:val="0"/>
                  <w:vAlign w:val="center"/>
                </w:tcPr>
                <w:p w14:paraId="3ACA40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超标值</w:t>
                  </w:r>
                </w:p>
              </w:tc>
              <w:tc>
                <w:tcPr>
                  <w:tcW w:w="677" w:type="pct"/>
                  <w:tcBorders>
                    <w:tl2br w:val="nil"/>
                    <w:tr2bl w:val="nil"/>
                  </w:tcBorders>
                  <w:shd w:val="clear" w:color="auto" w:fill="auto"/>
                  <w:noWrap w:val="0"/>
                  <w:vAlign w:val="center"/>
                </w:tcPr>
                <w:p w14:paraId="0C34CD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贡献值</w:t>
                  </w:r>
                </w:p>
              </w:tc>
              <w:tc>
                <w:tcPr>
                  <w:tcW w:w="677" w:type="pct"/>
                  <w:tcBorders>
                    <w:tl2br w:val="nil"/>
                    <w:tr2bl w:val="nil"/>
                  </w:tcBorders>
                  <w:shd w:val="clear" w:color="auto" w:fill="auto"/>
                  <w:noWrap w:val="0"/>
                  <w:vAlign w:val="center"/>
                </w:tcPr>
                <w:p w14:paraId="5A2ADB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标准值</w:t>
                  </w:r>
                </w:p>
              </w:tc>
              <w:tc>
                <w:tcPr>
                  <w:tcW w:w="678" w:type="pct"/>
                  <w:tcBorders>
                    <w:tl2br w:val="nil"/>
                    <w:tr2bl w:val="nil"/>
                  </w:tcBorders>
                  <w:shd w:val="clear" w:color="auto" w:fill="auto"/>
                  <w:noWrap w:val="0"/>
                  <w:vAlign w:val="center"/>
                </w:tcPr>
                <w:p w14:paraId="19872A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超标值</w:t>
                  </w:r>
                </w:p>
              </w:tc>
            </w:tr>
            <w:tr w14:paraId="6E7764CD">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2" w:type="pct"/>
                  <w:tcBorders>
                    <w:tl2br w:val="nil"/>
                    <w:tr2bl w:val="nil"/>
                  </w:tcBorders>
                  <w:noWrap w:val="0"/>
                  <w:vAlign w:val="center"/>
                </w:tcPr>
                <w:p w14:paraId="6E0CEADA">
                  <w:pPr>
                    <w:spacing w:line="240" w:lineRule="exact"/>
                    <w:ind w:left="0" w:leftChars="0" w:right="0" w:rightChars="0" w:firstLine="0" w:firstLineChars="0"/>
                    <w:jc w:val="center"/>
                    <w:rPr>
                      <w:rFonts w:hint="default"/>
                      <w:color w:val="auto"/>
                    </w:rPr>
                  </w:pPr>
                  <w:r>
                    <w:rPr>
                      <w:rFonts w:hint="default"/>
                      <w:color w:val="auto"/>
                      <w:lang w:val="en-US" w:eastAsia="zh-CN"/>
                    </w:rPr>
                    <w:t>1</w:t>
                  </w:r>
                  <w:r>
                    <w:rPr>
                      <w:rFonts w:hint="default"/>
                      <w:color w:val="auto"/>
                    </w:rPr>
                    <w:t>#</w:t>
                  </w:r>
                  <w:r>
                    <w:rPr>
                      <w:rFonts w:hint="eastAsia"/>
                      <w:color w:val="auto"/>
                      <w:lang w:eastAsia="zh-CN"/>
                    </w:rPr>
                    <w:t>北</w:t>
                  </w:r>
                  <w:r>
                    <w:rPr>
                      <w:rFonts w:hint="default"/>
                      <w:color w:val="auto"/>
                    </w:rPr>
                    <w:t>厂界</w:t>
                  </w:r>
                </w:p>
              </w:tc>
              <w:tc>
                <w:tcPr>
                  <w:tcW w:w="1190" w:type="dxa"/>
                  <w:tcBorders>
                    <w:tl2br w:val="nil"/>
                    <w:tr2bl w:val="nil"/>
                  </w:tcBorders>
                  <w:noWrap w:val="0"/>
                  <w:vAlign w:val="center"/>
                </w:tcPr>
                <w:p w14:paraId="1CBACA2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35.51</w:t>
                  </w:r>
                </w:p>
              </w:tc>
              <w:tc>
                <w:tcPr>
                  <w:tcW w:w="1176" w:type="dxa"/>
                  <w:tcBorders>
                    <w:tl2br w:val="nil"/>
                    <w:tr2bl w:val="nil"/>
                  </w:tcBorders>
                  <w:noWrap w:val="0"/>
                  <w:vAlign w:val="center"/>
                </w:tcPr>
                <w:p w14:paraId="4BBCF15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225" w:type="dxa"/>
                  <w:tcBorders>
                    <w:tl2br w:val="nil"/>
                    <w:tr2bl w:val="nil"/>
                  </w:tcBorders>
                  <w:noWrap w:val="0"/>
                  <w:vAlign w:val="center"/>
                </w:tcPr>
                <w:p w14:paraId="567CEC5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-24.49</w:t>
                  </w:r>
                </w:p>
              </w:tc>
              <w:tc>
                <w:tcPr>
                  <w:tcW w:w="1136" w:type="dxa"/>
                  <w:tcBorders>
                    <w:tl2br w:val="nil"/>
                    <w:tr2bl w:val="nil"/>
                  </w:tcBorders>
                  <w:shd w:val="clear" w:color="auto" w:fill="auto"/>
                  <w:noWrap w:val="0"/>
                  <w:vAlign w:val="center"/>
                </w:tcPr>
                <w:p w14:paraId="47833604">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35.51</w:t>
                  </w:r>
                </w:p>
              </w:tc>
              <w:tc>
                <w:tcPr>
                  <w:tcW w:w="1133" w:type="dxa"/>
                  <w:tcBorders>
                    <w:tl2br w:val="nil"/>
                    <w:tr2bl w:val="nil"/>
                  </w:tcBorders>
                  <w:noWrap w:val="0"/>
                  <w:vAlign w:val="center"/>
                </w:tcPr>
                <w:p w14:paraId="115C949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1139" w:type="dxa"/>
                  <w:tcBorders>
                    <w:tl2br w:val="nil"/>
                    <w:tr2bl w:val="nil"/>
                  </w:tcBorders>
                  <w:noWrap w:val="0"/>
                  <w:vAlign w:val="center"/>
                </w:tcPr>
                <w:p w14:paraId="3E5B65A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-14.49</w:t>
                  </w:r>
                </w:p>
              </w:tc>
            </w:tr>
            <w:tr w14:paraId="21442B1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2" w:type="pct"/>
                  <w:tcBorders>
                    <w:tl2br w:val="nil"/>
                    <w:tr2bl w:val="nil"/>
                  </w:tcBorders>
                  <w:noWrap w:val="0"/>
                  <w:vAlign w:val="center"/>
                </w:tcPr>
                <w:p w14:paraId="10B3CEAE">
                  <w:pPr>
                    <w:spacing w:line="240" w:lineRule="exact"/>
                    <w:ind w:left="0" w:leftChars="0" w:right="0" w:rightChars="0" w:firstLine="0" w:firstLineChars="0"/>
                    <w:jc w:val="center"/>
                    <w:rPr>
                      <w:rFonts w:hint="default"/>
                      <w:color w:val="auto"/>
                    </w:rPr>
                  </w:pPr>
                  <w:r>
                    <w:rPr>
                      <w:rFonts w:hint="default"/>
                      <w:color w:val="auto"/>
                      <w:lang w:val="en-US" w:eastAsia="zh-CN"/>
                    </w:rPr>
                    <w:t>2</w:t>
                  </w:r>
                  <w:r>
                    <w:rPr>
                      <w:rFonts w:hint="default"/>
                      <w:color w:val="auto"/>
                    </w:rPr>
                    <w:t>#</w:t>
                  </w:r>
                  <w:r>
                    <w:rPr>
                      <w:rFonts w:hint="eastAsia"/>
                      <w:color w:val="auto"/>
                      <w:lang w:eastAsia="zh-CN"/>
                    </w:rPr>
                    <w:t>东</w:t>
                  </w:r>
                  <w:r>
                    <w:rPr>
                      <w:rFonts w:hint="default"/>
                      <w:color w:val="auto"/>
                    </w:rPr>
                    <w:t>厂界</w:t>
                  </w:r>
                </w:p>
              </w:tc>
              <w:tc>
                <w:tcPr>
                  <w:tcW w:w="1190" w:type="dxa"/>
                  <w:tcBorders>
                    <w:tl2br w:val="nil"/>
                    <w:tr2bl w:val="nil"/>
                  </w:tcBorders>
                  <w:noWrap w:val="0"/>
                  <w:vAlign w:val="center"/>
                </w:tcPr>
                <w:p w14:paraId="41D558A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44.18</w:t>
                  </w:r>
                </w:p>
              </w:tc>
              <w:tc>
                <w:tcPr>
                  <w:tcW w:w="1176" w:type="dxa"/>
                  <w:tcBorders>
                    <w:tl2br w:val="nil"/>
                    <w:tr2bl w:val="nil"/>
                  </w:tcBorders>
                  <w:noWrap w:val="0"/>
                  <w:vAlign w:val="center"/>
                </w:tcPr>
                <w:p w14:paraId="51FC2E3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225" w:type="dxa"/>
                  <w:tcBorders>
                    <w:tl2br w:val="nil"/>
                    <w:tr2bl w:val="nil"/>
                  </w:tcBorders>
                  <w:noWrap w:val="0"/>
                  <w:vAlign w:val="center"/>
                </w:tcPr>
                <w:p w14:paraId="14B3C41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-15.82</w:t>
                  </w:r>
                </w:p>
              </w:tc>
              <w:tc>
                <w:tcPr>
                  <w:tcW w:w="1136" w:type="dxa"/>
                  <w:tcBorders>
                    <w:tl2br w:val="nil"/>
                    <w:tr2bl w:val="nil"/>
                  </w:tcBorders>
                  <w:shd w:val="clear" w:color="auto" w:fill="auto"/>
                  <w:noWrap w:val="0"/>
                  <w:vAlign w:val="center"/>
                </w:tcPr>
                <w:p w14:paraId="62AAAD07">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44.18</w:t>
                  </w:r>
                </w:p>
              </w:tc>
              <w:tc>
                <w:tcPr>
                  <w:tcW w:w="1133" w:type="dxa"/>
                  <w:tcBorders>
                    <w:tl2br w:val="nil"/>
                    <w:tr2bl w:val="nil"/>
                  </w:tcBorders>
                  <w:noWrap w:val="0"/>
                  <w:vAlign w:val="center"/>
                </w:tcPr>
                <w:p w14:paraId="649AC3D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1139" w:type="dxa"/>
                  <w:tcBorders>
                    <w:tl2br w:val="nil"/>
                    <w:tr2bl w:val="nil"/>
                  </w:tcBorders>
                  <w:noWrap w:val="0"/>
                  <w:vAlign w:val="center"/>
                </w:tcPr>
                <w:p w14:paraId="154C5E6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-5.82</w:t>
                  </w:r>
                </w:p>
              </w:tc>
            </w:tr>
            <w:tr w14:paraId="7737FB2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2" w:type="pct"/>
                  <w:tcBorders>
                    <w:tl2br w:val="nil"/>
                    <w:tr2bl w:val="nil"/>
                  </w:tcBorders>
                  <w:noWrap w:val="0"/>
                  <w:vAlign w:val="center"/>
                </w:tcPr>
                <w:p w14:paraId="2A5E2D3C">
                  <w:pPr>
                    <w:spacing w:line="240" w:lineRule="exact"/>
                    <w:ind w:left="0" w:leftChars="0" w:right="0" w:rightChars="0" w:firstLine="0" w:firstLineChars="0"/>
                    <w:jc w:val="center"/>
                    <w:rPr>
                      <w:rFonts w:hint="default"/>
                      <w:color w:val="auto"/>
                    </w:rPr>
                  </w:pPr>
                  <w:r>
                    <w:rPr>
                      <w:rFonts w:hint="default"/>
                      <w:color w:val="auto"/>
                      <w:lang w:val="en-US" w:eastAsia="zh-CN"/>
                    </w:rPr>
                    <w:t>3</w:t>
                  </w:r>
                  <w:r>
                    <w:rPr>
                      <w:rFonts w:hint="default"/>
                      <w:color w:val="auto"/>
                    </w:rPr>
                    <w:t>#</w:t>
                  </w:r>
                  <w:r>
                    <w:rPr>
                      <w:rFonts w:hint="eastAsia"/>
                      <w:color w:val="auto"/>
                      <w:lang w:val="en-US" w:eastAsia="zh-CN"/>
                    </w:rPr>
                    <w:t>南</w:t>
                  </w:r>
                  <w:r>
                    <w:rPr>
                      <w:rFonts w:hint="default"/>
                      <w:color w:val="auto"/>
                    </w:rPr>
                    <w:t>厂界</w:t>
                  </w:r>
                </w:p>
              </w:tc>
              <w:tc>
                <w:tcPr>
                  <w:tcW w:w="1190" w:type="dxa"/>
                  <w:tcBorders>
                    <w:tl2br w:val="nil"/>
                    <w:tr2bl w:val="nil"/>
                  </w:tcBorders>
                  <w:noWrap w:val="0"/>
                  <w:vAlign w:val="center"/>
                </w:tcPr>
                <w:p w14:paraId="1917E38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42.73</w:t>
                  </w:r>
                </w:p>
              </w:tc>
              <w:tc>
                <w:tcPr>
                  <w:tcW w:w="1176" w:type="dxa"/>
                  <w:tcBorders>
                    <w:tl2br w:val="nil"/>
                    <w:tr2bl w:val="nil"/>
                  </w:tcBorders>
                  <w:noWrap w:val="0"/>
                  <w:vAlign w:val="center"/>
                </w:tcPr>
                <w:p w14:paraId="56435AE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225" w:type="dxa"/>
                  <w:tcBorders>
                    <w:tl2br w:val="nil"/>
                    <w:tr2bl w:val="nil"/>
                  </w:tcBorders>
                  <w:noWrap w:val="0"/>
                  <w:vAlign w:val="center"/>
                </w:tcPr>
                <w:p w14:paraId="308CE80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-17.27</w:t>
                  </w:r>
                </w:p>
              </w:tc>
              <w:tc>
                <w:tcPr>
                  <w:tcW w:w="1136" w:type="dxa"/>
                  <w:tcBorders>
                    <w:tl2br w:val="nil"/>
                    <w:tr2bl w:val="nil"/>
                  </w:tcBorders>
                  <w:shd w:val="clear" w:color="auto" w:fill="auto"/>
                  <w:noWrap w:val="0"/>
                  <w:vAlign w:val="center"/>
                </w:tcPr>
                <w:p w14:paraId="60DC22BB">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42.73</w:t>
                  </w:r>
                </w:p>
              </w:tc>
              <w:tc>
                <w:tcPr>
                  <w:tcW w:w="1133" w:type="dxa"/>
                  <w:tcBorders>
                    <w:tl2br w:val="nil"/>
                    <w:tr2bl w:val="nil"/>
                  </w:tcBorders>
                  <w:noWrap w:val="0"/>
                  <w:vAlign w:val="center"/>
                </w:tcPr>
                <w:p w14:paraId="7712ADB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1139" w:type="dxa"/>
                  <w:tcBorders>
                    <w:tl2br w:val="nil"/>
                    <w:tr2bl w:val="nil"/>
                  </w:tcBorders>
                  <w:noWrap w:val="0"/>
                  <w:vAlign w:val="center"/>
                </w:tcPr>
                <w:p w14:paraId="0C18ABA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-7.27</w:t>
                  </w:r>
                </w:p>
              </w:tc>
            </w:tr>
            <w:tr w14:paraId="0A34354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2" w:type="pct"/>
                  <w:tcBorders>
                    <w:tl2br w:val="nil"/>
                    <w:tr2bl w:val="nil"/>
                  </w:tcBorders>
                  <w:noWrap w:val="0"/>
                  <w:vAlign w:val="center"/>
                </w:tcPr>
                <w:p w14:paraId="60E8C5E0">
                  <w:pPr>
                    <w:spacing w:line="240" w:lineRule="exact"/>
                    <w:ind w:left="0" w:leftChars="0" w:right="0" w:rightChars="0" w:firstLine="0" w:firstLineChars="0"/>
                    <w:jc w:val="center"/>
                    <w:rPr>
                      <w:rFonts w:hint="default"/>
                      <w:color w:val="auto"/>
                    </w:rPr>
                  </w:pPr>
                  <w:r>
                    <w:rPr>
                      <w:rFonts w:hint="default"/>
                      <w:color w:val="auto"/>
                      <w:lang w:val="en-US" w:eastAsia="zh-CN"/>
                    </w:rPr>
                    <w:t>4</w:t>
                  </w:r>
                  <w:r>
                    <w:rPr>
                      <w:rFonts w:hint="default"/>
                      <w:color w:val="auto"/>
                    </w:rPr>
                    <w:t>#</w:t>
                  </w:r>
                  <w:r>
                    <w:rPr>
                      <w:rFonts w:hint="eastAsia"/>
                      <w:color w:val="auto"/>
                      <w:lang w:val="en-US" w:eastAsia="zh-CN"/>
                    </w:rPr>
                    <w:t>西</w:t>
                  </w:r>
                  <w:r>
                    <w:rPr>
                      <w:rFonts w:hint="default"/>
                      <w:color w:val="auto"/>
                    </w:rPr>
                    <w:t>厂界</w:t>
                  </w:r>
                </w:p>
              </w:tc>
              <w:tc>
                <w:tcPr>
                  <w:tcW w:w="1190" w:type="dxa"/>
                  <w:tcBorders>
                    <w:tl2br w:val="nil"/>
                    <w:tr2bl w:val="nil"/>
                  </w:tcBorders>
                  <w:noWrap w:val="0"/>
                  <w:vAlign w:val="center"/>
                </w:tcPr>
                <w:p w14:paraId="3A467D9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40.7</w:t>
                  </w:r>
                </w:p>
              </w:tc>
              <w:tc>
                <w:tcPr>
                  <w:tcW w:w="1176" w:type="dxa"/>
                  <w:tcBorders>
                    <w:tl2br w:val="nil"/>
                    <w:tr2bl w:val="nil"/>
                  </w:tcBorders>
                  <w:noWrap w:val="0"/>
                  <w:vAlign w:val="center"/>
                </w:tcPr>
                <w:p w14:paraId="7F67EC3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225" w:type="dxa"/>
                  <w:tcBorders>
                    <w:tl2br w:val="nil"/>
                    <w:tr2bl w:val="nil"/>
                  </w:tcBorders>
                  <w:noWrap w:val="0"/>
                  <w:vAlign w:val="center"/>
                </w:tcPr>
                <w:p w14:paraId="6A80D69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-19.3</w:t>
                  </w:r>
                </w:p>
              </w:tc>
              <w:tc>
                <w:tcPr>
                  <w:tcW w:w="1136" w:type="dxa"/>
                  <w:tcBorders>
                    <w:tl2br w:val="nil"/>
                    <w:tr2bl w:val="nil"/>
                  </w:tcBorders>
                  <w:shd w:val="clear" w:color="auto" w:fill="auto"/>
                  <w:noWrap w:val="0"/>
                  <w:vAlign w:val="center"/>
                </w:tcPr>
                <w:p w14:paraId="1B19A8E8">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40.7</w:t>
                  </w:r>
                </w:p>
              </w:tc>
              <w:tc>
                <w:tcPr>
                  <w:tcW w:w="1133" w:type="dxa"/>
                  <w:tcBorders>
                    <w:tl2br w:val="nil"/>
                    <w:tr2bl w:val="nil"/>
                  </w:tcBorders>
                  <w:noWrap w:val="0"/>
                  <w:vAlign w:val="center"/>
                </w:tcPr>
                <w:p w14:paraId="088C1B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1139" w:type="dxa"/>
                  <w:tcBorders>
                    <w:tl2br w:val="nil"/>
                    <w:tr2bl w:val="nil"/>
                  </w:tcBorders>
                  <w:noWrap w:val="0"/>
                  <w:vAlign w:val="center"/>
                </w:tcPr>
                <w:p w14:paraId="11DBBB8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-9.3</w:t>
                  </w:r>
                </w:p>
              </w:tc>
            </w:tr>
          </w:tbl>
          <w:p w14:paraId="44DBF1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由预测结果可以看出，项目四个厂界昼间噪声均可达到《</w:t>
            </w:r>
            <w:r>
              <w:rPr>
                <w:rFonts w:hint="eastAsia" w:ascii="Times New Roman" w:hAnsi="Times New Roman" w:eastAsia="宋体" w:cs="Times New Roman"/>
                <w:color w:val="auto"/>
                <w:sz w:val="24"/>
                <w:highlight w:val="none"/>
                <w:lang w:val="zh-CN" w:eastAsia="zh-CN"/>
              </w:rPr>
              <w:t>工业企业厂界环境噪声排放标准</w:t>
            </w:r>
            <w:r>
              <w:rPr>
                <w:rFonts w:hint="default" w:ascii="Times New Roman" w:hAnsi="Times New Roman" w:eastAsia="宋体" w:cs="Times New Roman"/>
                <w:color w:val="auto"/>
                <w:sz w:val="24"/>
                <w:highlight w:val="none"/>
              </w:rPr>
              <w:t>》（GB12348-2008）</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类标准要求，项目投产后对区域声环境的影响较小</w:t>
            </w:r>
            <w:r>
              <w:rPr>
                <w:rFonts w:hint="eastAsia" w:ascii="Times New Roman" w:hAnsi="Times New Roman" w:eastAsia="宋体" w:cs="Times New Roman"/>
                <w:color w:val="auto"/>
                <w:sz w:val="24"/>
                <w:highlight w:val="none"/>
                <w:lang w:eastAsia="zh-CN"/>
              </w:rPr>
              <w:t>。</w:t>
            </w:r>
          </w:p>
          <w:p w14:paraId="428E122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lang w:val="en-US" w:eastAsia="zh-CN"/>
              </w:rPr>
              <w:t>山东尚石</w:t>
            </w:r>
            <w:r>
              <w:rPr>
                <w:rFonts w:hint="eastAsia" w:ascii="Times New Roman" w:hAnsi="Times New Roman" w:eastAsia="宋体" w:cs="Times New Roman"/>
                <w:color w:val="auto"/>
                <w:sz w:val="24"/>
                <w:highlight w:val="none"/>
                <w:lang w:val="en-US" w:eastAsia="zh-CN"/>
              </w:rPr>
              <w:t>民通</w:t>
            </w:r>
            <w:r>
              <w:rPr>
                <w:rFonts w:hint="default" w:ascii="Times New Roman" w:hAnsi="Times New Roman" w:eastAsia="宋体" w:cs="Times New Roman"/>
                <w:color w:val="auto"/>
                <w:sz w:val="24"/>
                <w:highlight w:val="none"/>
                <w:lang w:val="en-US" w:eastAsia="zh-CN"/>
              </w:rPr>
              <w:t>环境检测有限公司</w:t>
            </w:r>
            <w:r>
              <w:rPr>
                <w:rFonts w:hint="eastAsia" w:ascii="Times New Roman" w:hAnsi="Times New Roman" w:eastAsia="宋体" w:cs="Times New Roman"/>
                <w:color w:val="auto"/>
                <w:sz w:val="24"/>
                <w:highlight w:val="none"/>
                <w:lang w:val="en-US" w:eastAsia="zh-CN"/>
              </w:rPr>
              <w:t>2025年6月27日出具的编号为尚石检字（2025）第06311号的检测报告，</w:t>
            </w:r>
            <w:r>
              <w:rPr>
                <w:rFonts w:hint="eastAsia" w:cs="Times New Roman"/>
                <w:color w:val="auto"/>
                <w:sz w:val="24"/>
                <w:highlight w:val="none"/>
                <w:lang w:val="en-US" w:eastAsia="zh-CN"/>
              </w:rPr>
              <w:t>见附件11。</w:t>
            </w:r>
            <w:r>
              <w:rPr>
                <w:rFonts w:hint="eastAsia" w:ascii="Times New Roman" w:hAnsi="Times New Roman" w:eastAsia="宋体" w:cs="Times New Roman"/>
                <w:color w:val="auto"/>
                <w:sz w:val="24"/>
                <w:highlight w:val="none"/>
                <w:lang w:val="en-US" w:eastAsia="zh-CN"/>
              </w:rPr>
              <w:t>前瓜峪村噪声现状值见下表。</w:t>
            </w:r>
          </w:p>
          <w:p w14:paraId="0E3BAF3C">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lang w:val="en-US" w:eastAsia="zh-CN"/>
              </w:rPr>
            </w:pPr>
            <w:r>
              <w:rPr>
                <w:rFonts w:hint="default" w:ascii="Times New Roman" w:hAnsi="Times New Roman" w:eastAsia="黑体" w:cs="Times New Roman"/>
                <w:color w:val="auto"/>
                <w:kern w:val="0"/>
                <w:sz w:val="24"/>
                <w:lang w:val="en-US" w:eastAsia="zh-CN"/>
              </w:rPr>
              <w:t>表4-</w:t>
            </w:r>
            <w:r>
              <w:rPr>
                <w:rFonts w:hint="eastAsia" w:eastAsia="黑体" w:cs="Times New Roman"/>
                <w:color w:val="auto"/>
                <w:kern w:val="0"/>
                <w:sz w:val="24"/>
                <w:lang w:val="en-US" w:eastAsia="zh-CN"/>
              </w:rPr>
              <w:t>11</w:t>
            </w:r>
            <w:r>
              <w:rPr>
                <w:rFonts w:hint="default" w:ascii="Times New Roman" w:hAnsi="Times New Roman" w:eastAsia="黑体" w:cs="Times New Roman"/>
                <w:color w:val="auto"/>
                <w:kern w:val="0"/>
                <w:sz w:val="24"/>
                <w:lang w:val="en-US" w:eastAsia="zh-CN"/>
              </w:rPr>
              <w:t xml:space="preserve"> </w:t>
            </w:r>
            <w:r>
              <w:rPr>
                <w:rFonts w:hint="eastAsia" w:eastAsia="黑体" w:cs="Times New Roman"/>
                <w:b w:val="0"/>
                <w:bCs w:val="0"/>
                <w:color w:val="auto"/>
                <w:kern w:val="0"/>
                <w:sz w:val="24"/>
                <w:szCs w:val="24"/>
                <w:highlight w:val="none"/>
                <w:lang w:val="en-US" w:eastAsia="zh-CN"/>
              </w:rPr>
              <w:t>敏感目标噪声预测结果及达标分析</w:t>
            </w:r>
          </w:p>
          <w:tbl>
            <w:tblPr>
              <w:tblStyle w:val="28"/>
              <w:tblW w:w="100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1797"/>
              <w:gridCol w:w="1517"/>
              <w:gridCol w:w="1433"/>
              <w:gridCol w:w="2133"/>
              <w:gridCol w:w="1965"/>
            </w:tblGrid>
            <w:tr w14:paraId="4FA6FA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3" w:type="dxa"/>
                  <w:tcBorders>
                    <w:tl2br w:val="nil"/>
                    <w:tr2bl w:val="nil"/>
                  </w:tcBorders>
                  <w:noWrap w:val="0"/>
                  <w:vAlign w:val="center"/>
                </w:tcPr>
                <w:p w14:paraId="08DABEC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检测点位</w:t>
                  </w:r>
                </w:p>
              </w:tc>
              <w:tc>
                <w:tcPr>
                  <w:tcW w:w="1797" w:type="dxa"/>
                  <w:tcBorders>
                    <w:tl2br w:val="nil"/>
                    <w:tr2bl w:val="nil"/>
                  </w:tcBorders>
                  <w:noWrap w:val="0"/>
                  <w:vAlign w:val="center"/>
                </w:tcPr>
                <w:p w14:paraId="74C8A28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检测项目</w:t>
                  </w:r>
                </w:p>
              </w:tc>
              <w:tc>
                <w:tcPr>
                  <w:tcW w:w="1517" w:type="dxa"/>
                  <w:tcBorders>
                    <w:tl2br w:val="nil"/>
                    <w:tr2bl w:val="nil"/>
                  </w:tcBorders>
                  <w:noWrap w:val="0"/>
                  <w:vAlign w:val="center"/>
                </w:tcPr>
                <w:p w14:paraId="0E172BE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检测日期</w:t>
                  </w:r>
                </w:p>
              </w:tc>
              <w:tc>
                <w:tcPr>
                  <w:tcW w:w="1433" w:type="dxa"/>
                  <w:tcBorders>
                    <w:tl2br w:val="nil"/>
                    <w:tr2bl w:val="nil"/>
                  </w:tcBorders>
                  <w:noWrap w:val="0"/>
                  <w:vAlign w:val="center"/>
                </w:tcPr>
                <w:p w14:paraId="327F669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检测时间</w:t>
                  </w:r>
                </w:p>
              </w:tc>
              <w:tc>
                <w:tcPr>
                  <w:tcW w:w="2133" w:type="dxa"/>
                  <w:tcBorders>
                    <w:tl2br w:val="nil"/>
                    <w:tr2bl w:val="nil"/>
                  </w:tcBorders>
                  <w:noWrap w:val="0"/>
                  <w:vAlign w:val="center"/>
                </w:tcPr>
                <w:p w14:paraId="095603B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检测</w:t>
                  </w:r>
                  <w:r>
                    <w:rPr>
                      <w:rFonts w:hint="eastAsia" w:ascii="Times New Roman" w:hAnsi="Times New Roman" w:eastAsia="宋体" w:cs="Times New Roman"/>
                      <w:i w:val="0"/>
                      <w:iCs w:val="0"/>
                      <w:color w:val="000000"/>
                      <w:kern w:val="0"/>
                      <w:sz w:val="21"/>
                      <w:szCs w:val="21"/>
                      <w:u w:val="none"/>
                      <w:lang w:val="en-US" w:eastAsia="zh-CN" w:bidi="ar"/>
                    </w:rPr>
                    <w:t>结果</w:t>
                  </w:r>
                  <w:r>
                    <w:rPr>
                      <w:rFonts w:hint="default" w:ascii="Times New Roman" w:hAnsi="Times New Roman" w:eastAsia="宋体" w:cs="Times New Roman"/>
                      <w:i w:val="0"/>
                      <w:iCs w:val="0"/>
                      <w:color w:val="000000"/>
                      <w:kern w:val="0"/>
                      <w:sz w:val="21"/>
                      <w:szCs w:val="21"/>
                      <w:u w:val="none"/>
                      <w:lang w:val="en-US" w:eastAsia="zh-CN" w:bidi="ar"/>
                    </w:rPr>
                    <w:t>/dB（A）</w:t>
                  </w:r>
                </w:p>
              </w:tc>
              <w:tc>
                <w:tcPr>
                  <w:tcW w:w="1965" w:type="dxa"/>
                  <w:tcBorders>
                    <w:tl2br w:val="nil"/>
                    <w:tr2bl w:val="nil"/>
                  </w:tcBorders>
                  <w:noWrap w:val="0"/>
                  <w:vAlign w:val="center"/>
                </w:tcPr>
                <w:p w14:paraId="0C75B8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达标情况</w:t>
                  </w:r>
                </w:p>
              </w:tc>
            </w:tr>
            <w:tr w14:paraId="24A87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3" w:type="dxa"/>
                  <w:vMerge w:val="restart"/>
                  <w:tcBorders>
                    <w:tl2br w:val="nil"/>
                    <w:tr2bl w:val="nil"/>
                  </w:tcBorders>
                  <w:noWrap w:val="0"/>
                  <w:vAlign w:val="center"/>
                </w:tcPr>
                <w:p w14:paraId="6A35EF3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前瓜峪村</w:t>
                  </w:r>
                </w:p>
              </w:tc>
              <w:tc>
                <w:tcPr>
                  <w:tcW w:w="1797" w:type="dxa"/>
                  <w:vMerge w:val="restart"/>
                  <w:tcBorders>
                    <w:tl2br w:val="nil"/>
                    <w:tr2bl w:val="nil"/>
                  </w:tcBorders>
                  <w:noWrap w:val="0"/>
                  <w:vAlign w:val="center"/>
                </w:tcPr>
                <w:p w14:paraId="6F625DA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声环境噪声</w:t>
                  </w:r>
                </w:p>
                <w:p w14:paraId="7A6ABB2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等效连续A声级</w:t>
                  </w:r>
                </w:p>
              </w:tc>
              <w:tc>
                <w:tcPr>
                  <w:tcW w:w="1517" w:type="dxa"/>
                  <w:vMerge w:val="restart"/>
                  <w:tcBorders>
                    <w:tl2br w:val="nil"/>
                    <w:tr2bl w:val="nil"/>
                  </w:tcBorders>
                  <w:noWrap w:val="0"/>
                  <w:vAlign w:val="center"/>
                </w:tcPr>
                <w:p w14:paraId="6625C9C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2025.06.24</w:t>
                  </w:r>
                </w:p>
              </w:tc>
              <w:tc>
                <w:tcPr>
                  <w:tcW w:w="1433" w:type="dxa"/>
                  <w:tcBorders>
                    <w:tl2br w:val="nil"/>
                    <w:tr2bl w:val="nil"/>
                  </w:tcBorders>
                  <w:noWrap w:val="0"/>
                  <w:vAlign w:val="center"/>
                </w:tcPr>
                <w:p w14:paraId="7AF0AF9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昼间</w:t>
                  </w:r>
                </w:p>
              </w:tc>
              <w:tc>
                <w:tcPr>
                  <w:tcW w:w="2133" w:type="dxa"/>
                  <w:tcBorders>
                    <w:tl2br w:val="nil"/>
                    <w:tr2bl w:val="nil"/>
                  </w:tcBorders>
                  <w:noWrap w:val="0"/>
                  <w:vAlign w:val="center"/>
                </w:tcPr>
                <w:p w14:paraId="6719FA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54.1</w:t>
                  </w:r>
                </w:p>
              </w:tc>
              <w:tc>
                <w:tcPr>
                  <w:tcW w:w="1965" w:type="dxa"/>
                  <w:tcBorders>
                    <w:tl2br w:val="nil"/>
                    <w:tr2bl w:val="nil"/>
                  </w:tcBorders>
                  <w:noWrap w:val="0"/>
                  <w:vAlign w:val="center"/>
                </w:tcPr>
                <w:p w14:paraId="28A7028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w:t>
                  </w:r>
                </w:p>
              </w:tc>
            </w:tr>
            <w:tr w14:paraId="57B60B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3" w:type="dxa"/>
                  <w:vMerge w:val="continue"/>
                  <w:tcBorders>
                    <w:tl2br w:val="nil"/>
                    <w:tr2bl w:val="nil"/>
                  </w:tcBorders>
                  <w:noWrap w:val="0"/>
                  <w:vAlign w:val="center"/>
                </w:tcPr>
                <w:p w14:paraId="2A6F781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797" w:type="dxa"/>
                  <w:vMerge w:val="continue"/>
                  <w:tcBorders>
                    <w:tl2br w:val="nil"/>
                    <w:tr2bl w:val="nil"/>
                  </w:tcBorders>
                  <w:noWrap w:val="0"/>
                  <w:vAlign w:val="center"/>
                </w:tcPr>
                <w:p w14:paraId="059E9BD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17" w:type="dxa"/>
                  <w:vMerge w:val="continue"/>
                  <w:tcBorders>
                    <w:tl2br w:val="nil"/>
                    <w:tr2bl w:val="nil"/>
                  </w:tcBorders>
                  <w:noWrap w:val="0"/>
                  <w:vAlign w:val="center"/>
                </w:tcPr>
                <w:p w14:paraId="4ED34227">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433" w:type="dxa"/>
                  <w:tcBorders>
                    <w:tl2br w:val="nil"/>
                    <w:tr2bl w:val="nil"/>
                  </w:tcBorders>
                  <w:noWrap w:val="0"/>
                  <w:vAlign w:val="center"/>
                </w:tcPr>
                <w:p w14:paraId="60141B0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夜间</w:t>
                  </w:r>
                </w:p>
              </w:tc>
              <w:tc>
                <w:tcPr>
                  <w:tcW w:w="2133" w:type="dxa"/>
                  <w:tcBorders>
                    <w:tl2br w:val="nil"/>
                    <w:tr2bl w:val="nil"/>
                  </w:tcBorders>
                  <w:noWrap w:val="0"/>
                  <w:vAlign w:val="center"/>
                </w:tcPr>
                <w:p w14:paraId="3E94D9D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46.7</w:t>
                  </w:r>
                </w:p>
              </w:tc>
              <w:tc>
                <w:tcPr>
                  <w:tcW w:w="1965" w:type="dxa"/>
                  <w:tcBorders>
                    <w:tl2br w:val="nil"/>
                    <w:tr2bl w:val="nil"/>
                  </w:tcBorders>
                  <w:noWrap w:val="0"/>
                  <w:vAlign w:val="center"/>
                </w:tcPr>
                <w:p w14:paraId="7AC865C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w:t>
                  </w:r>
                </w:p>
              </w:tc>
            </w:tr>
            <w:tr w14:paraId="6F106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3" w:type="dxa"/>
                  <w:vMerge w:val="continue"/>
                  <w:tcBorders>
                    <w:tl2br w:val="nil"/>
                    <w:tr2bl w:val="nil"/>
                  </w:tcBorders>
                  <w:noWrap w:val="0"/>
                  <w:vAlign w:val="center"/>
                </w:tcPr>
                <w:p w14:paraId="51372BD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797" w:type="dxa"/>
                  <w:vMerge w:val="continue"/>
                  <w:tcBorders>
                    <w:tl2br w:val="nil"/>
                    <w:tr2bl w:val="nil"/>
                  </w:tcBorders>
                  <w:noWrap w:val="0"/>
                  <w:vAlign w:val="center"/>
                </w:tcPr>
                <w:p w14:paraId="3431719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17" w:type="dxa"/>
                  <w:vMerge w:val="restart"/>
                  <w:tcBorders>
                    <w:tl2br w:val="nil"/>
                    <w:tr2bl w:val="nil"/>
                  </w:tcBorders>
                  <w:noWrap w:val="0"/>
                  <w:vAlign w:val="center"/>
                </w:tcPr>
                <w:p w14:paraId="5E68F04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2025.06.25</w:t>
                  </w:r>
                </w:p>
              </w:tc>
              <w:tc>
                <w:tcPr>
                  <w:tcW w:w="1433" w:type="dxa"/>
                  <w:tcBorders>
                    <w:tl2br w:val="nil"/>
                    <w:tr2bl w:val="nil"/>
                  </w:tcBorders>
                  <w:noWrap w:val="0"/>
                  <w:vAlign w:val="center"/>
                </w:tcPr>
                <w:p w14:paraId="1451AD0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昼间</w:t>
                  </w:r>
                </w:p>
              </w:tc>
              <w:tc>
                <w:tcPr>
                  <w:tcW w:w="2133" w:type="dxa"/>
                  <w:tcBorders>
                    <w:tl2br w:val="nil"/>
                    <w:tr2bl w:val="nil"/>
                  </w:tcBorders>
                  <w:noWrap w:val="0"/>
                  <w:vAlign w:val="center"/>
                </w:tcPr>
                <w:p w14:paraId="0CD6AA34">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54.8</w:t>
                  </w:r>
                </w:p>
              </w:tc>
              <w:tc>
                <w:tcPr>
                  <w:tcW w:w="1965" w:type="dxa"/>
                  <w:tcBorders>
                    <w:tl2br w:val="nil"/>
                    <w:tr2bl w:val="nil"/>
                  </w:tcBorders>
                  <w:noWrap w:val="0"/>
                  <w:vAlign w:val="center"/>
                </w:tcPr>
                <w:p w14:paraId="63C0394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w:t>
                  </w:r>
                </w:p>
              </w:tc>
            </w:tr>
            <w:tr w14:paraId="7A0718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93" w:type="dxa"/>
                  <w:vMerge w:val="continue"/>
                  <w:tcBorders>
                    <w:tl2br w:val="nil"/>
                    <w:tr2bl w:val="nil"/>
                  </w:tcBorders>
                  <w:noWrap w:val="0"/>
                  <w:vAlign w:val="center"/>
                </w:tcPr>
                <w:p w14:paraId="1F03767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797" w:type="dxa"/>
                  <w:vMerge w:val="continue"/>
                  <w:tcBorders>
                    <w:tl2br w:val="nil"/>
                    <w:tr2bl w:val="nil"/>
                  </w:tcBorders>
                  <w:noWrap w:val="0"/>
                  <w:vAlign w:val="center"/>
                </w:tcPr>
                <w:p w14:paraId="651EDAB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517" w:type="dxa"/>
                  <w:vMerge w:val="continue"/>
                  <w:tcBorders>
                    <w:tl2br w:val="nil"/>
                    <w:tr2bl w:val="nil"/>
                  </w:tcBorders>
                  <w:noWrap w:val="0"/>
                  <w:vAlign w:val="center"/>
                </w:tcPr>
                <w:p w14:paraId="325AB03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p>
              </w:tc>
              <w:tc>
                <w:tcPr>
                  <w:tcW w:w="1433" w:type="dxa"/>
                  <w:tcBorders>
                    <w:tl2br w:val="nil"/>
                    <w:tr2bl w:val="nil"/>
                  </w:tcBorders>
                  <w:noWrap w:val="0"/>
                  <w:vAlign w:val="center"/>
                </w:tcPr>
                <w:p w14:paraId="681781E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夜间</w:t>
                  </w:r>
                </w:p>
              </w:tc>
              <w:tc>
                <w:tcPr>
                  <w:tcW w:w="2133" w:type="dxa"/>
                  <w:tcBorders>
                    <w:tl2br w:val="nil"/>
                    <w:tr2bl w:val="nil"/>
                  </w:tcBorders>
                  <w:noWrap w:val="0"/>
                  <w:vAlign w:val="center"/>
                </w:tcPr>
                <w:p w14:paraId="711D077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44.1</w:t>
                  </w:r>
                </w:p>
              </w:tc>
              <w:tc>
                <w:tcPr>
                  <w:tcW w:w="1965" w:type="dxa"/>
                  <w:tcBorders>
                    <w:tl2br w:val="nil"/>
                    <w:tr2bl w:val="nil"/>
                  </w:tcBorders>
                  <w:noWrap w:val="0"/>
                  <w:vAlign w:val="center"/>
                </w:tcPr>
                <w:p w14:paraId="2FA99C5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w:t>
                  </w:r>
                </w:p>
              </w:tc>
            </w:tr>
          </w:tbl>
          <w:p w14:paraId="003793A8">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eastAsia="黑体" w:cs="Times New Roman"/>
                <w:b w:val="0"/>
                <w:bCs w:val="0"/>
                <w:color w:val="auto"/>
                <w:kern w:val="0"/>
                <w:sz w:val="24"/>
                <w:szCs w:val="24"/>
                <w:highlight w:val="none"/>
                <w:lang w:val="en-US" w:eastAsia="zh-CN"/>
              </w:rPr>
            </w:pPr>
            <w:r>
              <w:rPr>
                <w:rFonts w:hint="default" w:ascii="Times New Roman" w:hAnsi="Times New Roman" w:eastAsia="黑体" w:cs="Times New Roman"/>
                <w:color w:val="auto"/>
                <w:kern w:val="0"/>
                <w:sz w:val="24"/>
                <w:lang w:val="en-US" w:eastAsia="zh-CN"/>
              </w:rPr>
              <w:t>表4-</w:t>
            </w:r>
            <w:r>
              <w:rPr>
                <w:rFonts w:hint="eastAsia" w:eastAsia="黑体" w:cs="Times New Roman"/>
                <w:color w:val="auto"/>
                <w:kern w:val="0"/>
                <w:sz w:val="24"/>
                <w:lang w:val="en-US" w:eastAsia="zh-CN"/>
              </w:rPr>
              <w:t>12</w:t>
            </w:r>
            <w:r>
              <w:rPr>
                <w:rFonts w:hint="default" w:ascii="Times New Roman" w:hAnsi="Times New Roman" w:eastAsia="黑体" w:cs="Times New Roman"/>
                <w:color w:val="auto"/>
                <w:kern w:val="0"/>
                <w:sz w:val="24"/>
                <w:lang w:val="en-US" w:eastAsia="zh-CN"/>
              </w:rPr>
              <w:t xml:space="preserve"> </w:t>
            </w:r>
            <w:r>
              <w:rPr>
                <w:rFonts w:hint="eastAsia" w:eastAsia="黑体" w:cs="Times New Roman"/>
                <w:b w:val="0"/>
                <w:bCs w:val="0"/>
                <w:color w:val="auto"/>
                <w:kern w:val="0"/>
                <w:sz w:val="24"/>
                <w:szCs w:val="24"/>
                <w:highlight w:val="none"/>
                <w:lang w:val="en-US" w:eastAsia="zh-CN"/>
              </w:rPr>
              <w:t>敏感目标噪声预测结果及达标分析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autofit"/>
              <w:tblCellMar>
                <w:top w:w="0" w:type="dxa"/>
                <w:left w:w="108" w:type="dxa"/>
                <w:bottom w:w="0" w:type="dxa"/>
                <w:right w:w="108" w:type="dxa"/>
              </w:tblCellMar>
            </w:tblPr>
            <w:tblGrid>
              <w:gridCol w:w="686"/>
              <w:gridCol w:w="1861"/>
              <w:gridCol w:w="954"/>
              <w:gridCol w:w="911"/>
              <w:gridCol w:w="954"/>
              <w:gridCol w:w="956"/>
              <w:gridCol w:w="978"/>
              <w:gridCol w:w="911"/>
              <w:gridCol w:w="909"/>
              <w:gridCol w:w="934"/>
            </w:tblGrid>
            <w:tr w14:paraId="70CF5CC0">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341" w:type="pct"/>
                  <w:vMerge w:val="restart"/>
                  <w:tcBorders>
                    <w:tl2br w:val="nil"/>
                    <w:tr2bl w:val="nil"/>
                  </w:tcBorders>
                  <w:noWrap w:val="0"/>
                  <w:vAlign w:val="center"/>
                </w:tcPr>
                <w:p w14:paraId="085184C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序号</w:t>
                  </w:r>
                </w:p>
              </w:tc>
              <w:tc>
                <w:tcPr>
                  <w:tcW w:w="925" w:type="pct"/>
                  <w:vMerge w:val="restart"/>
                  <w:tcBorders>
                    <w:tl2br w:val="nil"/>
                    <w:tr2bl w:val="nil"/>
                  </w:tcBorders>
                  <w:noWrap w:val="0"/>
                  <w:vAlign w:val="center"/>
                </w:tcPr>
                <w:p w14:paraId="722E831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声环境保护目标名称</w:t>
                  </w:r>
                </w:p>
              </w:tc>
              <w:tc>
                <w:tcPr>
                  <w:tcW w:w="927" w:type="pct"/>
                  <w:gridSpan w:val="2"/>
                  <w:tcBorders>
                    <w:tl2br w:val="nil"/>
                    <w:tr2bl w:val="nil"/>
                  </w:tcBorders>
                  <w:noWrap w:val="0"/>
                  <w:vAlign w:val="center"/>
                </w:tcPr>
                <w:p w14:paraId="313ED9D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噪声现状值</w:t>
                  </w:r>
                  <w:r>
                    <w:rPr>
                      <w:rFonts w:hint="default" w:ascii="Times New Roman" w:hAnsi="Times New Roman" w:eastAsia="宋体" w:cs="Times New Roman"/>
                      <w:i w:val="0"/>
                      <w:iCs w:val="0"/>
                      <w:color w:val="000000"/>
                      <w:kern w:val="0"/>
                      <w:sz w:val="21"/>
                      <w:szCs w:val="21"/>
                      <w:u w:val="none"/>
                      <w:lang w:val="en-US" w:eastAsia="zh-CN" w:bidi="ar"/>
                    </w:rPr>
                    <w:t>/dB（A）</w:t>
                  </w:r>
                </w:p>
              </w:tc>
              <w:tc>
                <w:tcPr>
                  <w:tcW w:w="949" w:type="pct"/>
                  <w:gridSpan w:val="2"/>
                  <w:tcBorders>
                    <w:tl2br w:val="nil"/>
                    <w:tr2bl w:val="nil"/>
                  </w:tcBorders>
                  <w:noWrap w:val="0"/>
                  <w:vAlign w:val="center"/>
                </w:tcPr>
                <w:p w14:paraId="257F50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噪声</w:t>
                  </w:r>
                  <w:r>
                    <w:rPr>
                      <w:rFonts w:hint="eastAsia" w:ascii="Times New Roman" w:hAnsi="Times New Roman" w:eastAsia="宋体" w:cs="Times New Roman"/>
                      <w:i w:val="0"/>
                      <w:iCs w:val="0"/>
                      <w:color w:val="000000"/>
                      <w:kern w:val="0"/>
                      <w:sz w:val="21"/>
                      <w:szCs w:val="21"/>
                      <w:u w:val="none"/>
                      <w:lang w:val="en-US" w:eastAsia="zh-CN" w:bidi="ar"/>
                    </w:rPr>
                    <w:t>预测</w:t>
                  </w:r>
                  <w:r>
                    <w:rPr>
                      <w:rFonts w:hint="default" w:ascii="Times New Roman" w:hAnsi="Times New Roman" w:eastAsia="宋体" w:cs="Times New Roman"/>
                      <w:i w:val="0"/>
                      <w:iCs w:val="0"/>
                      <w:color w:val="000000"/>
                      <w:kern w:val="0"/>
                      <w:sz w:val="21"/>
                      <w:szCs w:val="21"/>
                      <w:u w:val="none"/>
                      <w:lang w:val="zh-CN" w:eastAsia="zh-CN" w:bidi="ar"/>
                    </w:rPr>
                    <w:t>值</w:t>
                  </w:r>
                  <w:r>
                    <w:rPr>
                      <w:rFonts w:hint="default" w:ascii="Times New Roman" w:hAnsi="Times New Roman" w:eastAsia="宋体" w:cs="Times New Roman"/>
                      <w:i w:val="0"/>
                      <w:iCs w:val="0"/>
                      <w:color w:val="000000"/>
                      <w:kern w:val="0"/>
                      <w:sz w:val="21"/>
                      <w:szCs w:val="21"/>
                      <w:u w:val="none"/>
                      <w:lang w:val="en-US" w:eastAsia="zh-CN" w:bidi="ar"/>
                    </w:rPr>
                    <w:t>/dB（A）</w:t>
                  </w:r>
                </w:p>
              </w:tc>
              <w:tc>
                <w:tcPr>
                  <w:tcW w:w="939" w:type="pct"/>
                  <w:gridSpan w:val="2"/>
                  <w:tcBorders>
                    <w:tl2br w:val="nil"/>
                    <w:tr2bl w:val="nil"/>
                  </w:tcBorders>
                  <w:noWrap w:val="0"/>
                  <w:vAlign w:val="center"/>
                </w:tcPr>
                <w:p w14:paraId="61ADAA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噪声标准</w:t>
                  </w:r>
                  <w:r>
                    <w:rPr>
                      <w:rFonts w:hint="default" w:ascii="Times New Roman" w:hAnsi="Times New Roman" w:eastAsia="宋体" w:cs="Times New Roman"/>
                      <w:i w:val="0"/>
                      <w:iCs w:val="0"/>
                      <w:color w:val="000000"/>
                      <w:kern w:val="0"/>
                      <w:sz w:val="21"/>
                      <w:szCs w:val="21"/>
                      <w:u w:val="none"/>
                      <w:lang w:val="en-US" w:eastAsia="zh-CN" w:bidi="ar"/>
                    </w:rPr>
                    <w:t>/dB（A）</w:t>
                  </w:r>
                </w:p>
              </w:tc>
              <w:tc>
                <w:tcPr>
                  <w:tcW w:w="916" w:type="pct"/>
                  <w:gridSpan w:val="2"/>
                  <w:tcBorders>
                    <w:tl2br w:val="nil"/>
                    <w:tr2bl w:val="nil"/>
                  </w:tcBorders>
                  <w:noWrap w:val="0"/>
                  <w:vAlign w:val="center"/>
                </w:tcPr>
                <w:p w14:paraId="3FB8365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超标和达标情况</w:t>
                  </w:r>
                </w:p>
              </w:tc>
            </w:tr>
            <w:tr w14:paraId="7FE71D70">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341" w:type="pct"/>
                  <w:vMerge w:val="continue"/>
                  <w:tcBorders>
                    <w:tl2br w:val="nil"/>
                    <w:tr2bl w:val="nil"/>
                  </w:tcBorders>
                  <w:noWrap w:val="0"/>
                  <w:vAlign w:val="center"/>
                </w:tcPr>
                <w:p w14:paraId="7BA2A7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925" w:type="pct"/>
                  <w:vMerge w:val="continue"/>
                  <w:tcBorders>
                    <w:tl2br w:val="nil"/>
                    <w:tr2bl w:val="nil"/>
                  </w:tcBorders>
                  <w:noWrap w:val="0"/>
                  <w:vAlign w:val="center"/>
                </w:tcPr>
                <w:p w14:paraId="6C911EE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p>
              </w:tc>
              <w:tc>
                <w:tcPr>
                  <w:tcW w:w="474" w:type="pct"/>
                  <w:tcBorders>
                    <w:tl2br w:val="nil"/>
                    <w:tr2bl w:val="nil"/>
                  </w:tcBorders>
                  <w:noWrap w:val="0"/>
                  <w:vAlign w:val="center"/>
                </w:tcPr>
                <w:p w14:paraId="1BDD3E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昼间</w:t>
                  </w:r>
                </w:p>
              </w:tc>
              <w:tc>
                <w:tcPr>
                  <w:tcW w:w="452" w:type="pct"/>
                  <w:tcBorders>
                    <w:tl2br w:val="nil"/>
                    <w:tr2bl w:val="nil"/>
                  </w:tcBorders>
                  <w:noWrap w:val="0"/>
                  <w:vAlign w:val="center"/>
                </w:tcPr>
                <w:p w14:paraId="3FC21C7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夜间</w:t>
                  </w:r>
                </w:p>
              </w:tc>
              <w:tc>
                <w:tcPr>
                  <w:tcW w:w="474" w:type="pct"/>
                  <w:tcBorders>
                    <w:tl2br w:val="nil"/>
                    <w:tr2bl w:val="nil"/>
                  </w:tcBorders>
                  <w:noWrap w:val="0"/>
                  <w:vAlign w:val="center"/>
                </w:tcPr>
                <w:p w14:paraId="217E2A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昼间</w:t>
                  </w:r>
                </w:p>
              </w:tc>
              <w:tc>
                <w:tcPr>
                  <w:tcW w:w="474" w:type="pct"/>
                  <w:tcBorders>
                    <w:tl2br w:val="nil"/>
                    <w:tr2bl w:val="nil"/>
                  </w:tcBorders>
                  <w:noWrap w:val="0"/>
                  <w:vAlign w:val="center"/>
                </w:tcPr>
                <w:p w14:paraId="2737762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夜间</w:t>
                  </w:r>
                </w:p>
              </w:tc>
              <w:tc>
                <w:tcPr>
                  <w:tcW w:w="486" w:type="pct"/>
                  <w:tcBorders>
                    <w:tl2br w:val="nil"/>
                    <w:tr2bl w:val="nil"/>
                  </w:tcBorders>
                  <w:noWrap w:val="0"/>
                  <w:vAlign w:val="center"/>
                </w:tcPr>
                <w:p w14:paraId="3EA3FF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昼间</w:t>
                  </w:r>
                </w:p>
              </w:tc>
              <w:tc>
                <w:tcPr>
                  <w:tcW w:w="452" w:type="pct"/>
                  <w:tcBorders>
                    <w:tl2br w:val="nil"/>
                    <w:tr2bl w:val="nil"/>
                  </w:tcBorders>
                  <w:noWrap w:val="0"/>
                  <w:vAlign w:val="center"/>
                </w:tcPr>
                <w:p w14:paraId="692B2C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夜间</w:t>
                  </w:r>
                </w:p>
              </w:tc>
              <w:tc>
                <w:tcPr>
                  <w:tcW w:w="452" w:type="pct"/>
                  <w:tcBorders>
                    <w:tl2br w:val="nil"/>
                    <w:tr2bl w:val="nil"/>
                  </w:tcBorders>
                  <w:noWrap w:val="0"/>
                  <w:vAlign w:val="center"/>
                </w:tcPr>
                <w:p w14:paraId="654C450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昼间</w:t>
                  </w:r>
                </w:p>
              </w:tc>
              <w:tc>
                <w:tcPr>
                  <w:tcW w:w="463" w:type="pct"/>
                  <w:tcBorders>
                    <w:tl2br w:val="nil"/>
                    <w:tr2bl w:val="nil"/>
                  </w:tcBorders>
                  <w:noWrap w:val="0"/>
                  <w:vAlign w:val="center"/>
                </w:tcPr>
                <w:p w14:paraId="63FC915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zh-CN" w:eastAsia="zh-CN" w:bidi="ar"/>
                    </w:rPr>
                  </w:pPr>
                  <w:r>
                    <w:rPr>
                      <w:rFonts w:hint="default" w:ascii="Times New Roman" w:hAnsi="Times New Roman" w:eastAsia="宋体" w:cs="Times New Roman"/>
                      <w:i w:val="0"/>
                      <w:iCs w:val="0"/>
                      <w:color w:val="000000"/>
                      <w:kern w:val="0"/>
                      <w:sz w:val="21"/>
                      <w:szCs w:val="21"/>
                      <w:u w:val="none"/>
                      <w:lang w:val="zh-CN" w:eastAsia="zh-CN" w:bidi="ar"/>
                    </w:rPr>
                    <w:t>夜间</w:t>
                  </w:r>
                </w:p>
              </w:tc>
            </w:tr>
            <w:tr w14:paraId="2F6F3B37">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c>
                <w:tcPr>
                  <w:tcW w:w="341" w:type="pct"/>
                  <w:tcBorders>
                    <w:tl2br w:val="nil"/>
                    <w:tr2bl w:val="nil"/>
                  </w:tcBorders>
                  <w:noWrap w:val="0"/>
                  <w:vAlign w:val="center"/>
                </w:tcPr>
                <w:p w14:paraId="557EED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w:t>
                  </w:r>
                </w:p>
              </w:tc>
              <w:tc>
                <w:tcPr>
                  <w:tcW w:w="925" w:type="pct"/>
                  <w:tcBorders>
                    <w:tl2br w:val="nil"/>
                    <w:tr2bl w:val="nil"/>
                  </w:tcBorders>
                  <w:noWrap w:val="0"/>
                  <w:vAlign w:val="center"/>
                </w:tcPr>
                <w:p w14:paraId="5526D4C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前瓜峪村</w:t>
                  </w:r>
                </w:p>
              </w:tc>
              <w:tc>
                <w:tcPr>
                  <w:tcW w:w="474" w:type="pct"/>
                  <w:tcBorders>
                    <w:tl2br w:val="nil"/>
                    <w:tr2bl w:val="nil"/>
                  </w:tcBorders>
                  <w:noWrap w:val="0"/>
                  <w:vAlign w:val="center"/>
                </w:tcPr>
                <w:p w14:paraId="6A41529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54.8</w:t>
                  </w:r>
                </w:p>
              </w:tc>
              <w:tc>
                <w:tcPr>
                  <w:tcW w:w="452" w:type="pct"/>
                  <w:tcBorders>
                    <w:tl2br w:val="nil"/>
                    <w:tr2bl w:val="nil"/>
                  </w:tcBorders>
                  <w:noWrap w:val="0"/>
                  <w:vAlign w:val="center"/>
                </w:tcPr>
                <w:p w14:paraId="071054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46.7</w:t>
                  </w:r>
                </w:p>
              </w:tc>
              <w:tc>
                <w:tcPr>
                  <w:tcW w:w="474" w:type="pct"/>
                  <w:tcBorders>
                    <w:tl2br w:val="nil"/>
                    <w:tr2bl w:val="nil"/>
                  </w:tcBorders>
                  <w:noWrap w:val="0"/>
                  <w:vAlign w:val="center"/>
                </w:tcPr>
                <w:p w14:paraId="77D2ADF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55.06</w:t>
                  </w:r>
                </w:p>
              </w:tc>
              <w:tc>
                <w:tcPr>
                  <w:tcW w:w="474" w:type="pct"/>
                  <w:tcBorders>
                    <w:tl2br w:val="nil"/>
                    <w:tr2bl w:val="nil"/>
                  </w:tcBorders>
                  <w:noWrap w:val="0"/>
                  <w:vAlign w:val="center"/>
                </w:tcPr>
                <w:p w14:paraId="05528DF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48.16</w:t>
                  </w:r>
                </w:p>
              </w:tc>
              <w:tc>
                <w:tcPr>
                  <w:tcW w:w="486" w:type="pct"/>
                  <w:tcBorders>
                    <w:tl2br w:val="nil"/>
                    <w:tr2bl w:val="nil"/>
                  </w:tcBorders>
                  <w:noWrap w:val="0"/>
                  <w:vAlign w:val="center"/>
                </w:tcPr>
                <w:p w14:paraId="44472A58">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60</w:t>
                  </w:r>
                </w:p>
              </w:tc>
              <w:tc>
                <w:tcPr>
                  <w:tcW w:w="452" w:type="pct"/>
                  <w:tcBorders>
                    <w:tl2br w:val="nil"/>
                    <w:tr2bl w:val="nil"/>
                  </w:tcBorders>
                  <w:noWrap w:val="0"/>
                  <w:vAlign w:val="center"/>
                </w:tcPr>
                <w:p w14:paraId="64E02F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50</w:t>
                  </w:r>
                </w:p>
              </w:tc>
              <w:tc>
                <w:tcPr>
                  <w:tcW w:w="452" w:type="pct"/>
                  <w:tcBorders>
                    <w:tl2br w:val="nil"/>
                    <w:tr2bl w:val="nil"/>
                  </w:tcBorders>
                  <w:noWrap w:val="0"/>
                  <w:vAlign w:val="center"/>
                </w:tcPr>
                <w:p w14:paraId="0D42EC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w:t>
                  </w:r>
                </w:p>
              </w:tc>
              <w:tc>
                <w:tcPr>
                  <w:tcW w:w="463" w:type="pct"/>
                  <w:tcBorders>
                    <w:tl2br w:val="nil"/>
                    <w:tr2bl w:val="nil"/>
                  </w:tcBorders>
                  <w:noWrap w:val="0"/>
                  <w:vAlign w:val="center"/>
                </w:tcPr>
                <w:p w14:paraId="7F12519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达标</w:t>
                  </w:r>
                </w:p>
              </w:tc>
            </w:tr>
          </w:tbl>
          <w:p w14:paraId="3C4C39BC">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宋体"/>
                <w:sz w:val="24"/>
                <w:lang w:val="en-US" w:eastAsia="zh-CN"/>
              </w:rPr>
              <w:t>经过预测，设施设备</w:t>
            </w:r>
            <w:r>
              <w:rPr>
                <w:rFonts w:hint="default" w:ascii="Times New Roman" w:hAnsi="Times New Roman" w:eastAsia="宋体" w:cs="Times New Roman"/>
                <w:color w:val="000000"/>
                <w:sz w:val="24"/>
                <w:lang w:val="en-US" w:eastAsia="zh-CN"/>
              </w:rPr>
              <w:t>采取降噪、减振措施后，再经距离衰减，</w:t>
            </w:r>
            <w:r>
              <w:rPr>
                <w:rFonts w:hint="eastAsia" w:ascii="Times New Roman" w:hAnsi="Times New Roman" w:eastAsia="宋体" w:cs="宋体"/>
                <w:sz w:val="24"/>
                <w:lang w:val="en-US" w:eastAsia="zh-CN"/>
              </w:rPr>
              <w:t>50m范围内声环境敏感目标前瓜峪村满足《声环境质量标准》（</w:t>
            </w:r>
            <w:r>
              <w:rPr>
                <w:rFonts w:hint="eastAsia" w:ascii="Times New Roman" w:hAnsi="Times New Roman"/>
                <w:bCs/>
                <w:sz w:val="24"/>
              </w:rPr>
              <w:t>GB</w:t>
            </w:r>
            <w:r>
              <w:rPr>
                <w:rFonts w:ascii="Times New Roman" w:hAnsi="Times New Roman"/>
                <w:bCs/>
                <w:sz w:val="24"/>
              </w:rPr>
              <w:t>3096-2008</w:t>
            </w:r>
            <w:r>
              <w:rPr>
                <w:rFonts w:hint="eastAsia" w:ascii="Times New Roman" w:hAnsi="Times New Roman" w:eastAsia="宋体" w:cs="宋体"/>
                <w:sz w:val="24"/>
                <w:lang w:val="en-US" w:eastAsia="zh-CN"/>
              </w:rPr>
              <w:t>）2类标准。</w:t>
            </w:r>
          </w:p>
          <w:p w14:paraId="7E48A73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本项目采取相关措施，减少对敏感目标的噪声影响，具体措施如下：</w:t>
            </w:r>
          </w:p>
          <w:p w14:paraId="02CA7B99">
            <w:pPr>
              <w:pStyle w:val="2"/>
              <w:keepNext w:val="0"/>
              <w:keepLines w:val="0"/>
              <w:pageBreakBefore w:val="0"/>
              <w:widowControl w:val="0"/>
              <w:numPr>
                <w:ilvl w:val="0"/>
                <w:numId w:val="7"/>
              </w:numPr>
              <w:kinsoku/>
              <w:wordWrap/>
              <w:overflowPunct/>
              <w:topLinePunct w:val="0"/>
              <w:autoSpaceDE/>
              <w:autoSpaceDN/>
              <w:bidi w:val="0"/>
              <w:adjustRightInd w:val="0"/>
              <w:snapToGrid w:val="0"/>
              <w:spacing w:after="0" w:line="360" w:lineRule="auto"/>
              <w:ind w:left="0" w:leftChars="0"/>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选用低噪声设备，定期维护润滑减少摩擦噪声；</w:t>
            </w:r>
          </w:p>
          <w:p w14:paraId="28D3C69F">
            <w:pPr>
              <w:pStyle w:val="2"/>
              <w:keepNext w:val="0"/>
              <w:keepLines w:val="0"/>
              <w:pageBreakBefore w:val="0"/>
              <w:widowControl w:val="0"/>
              <w:numPr>
                <w:ilvl w:val="0"/>
                <w:numId w:val="7"/>
              </w:numPr>
              <w:kinsoku/>
              <w:wordWrap/>
              <w:overflowPunct/>
              <w:topLinePunct w:val="0"/>
              <w:autoSpaceDE/>
              <w:autoSpaceDN/>
              <w:bidi w:val="0"/>
              <w:adjustRightInd w:val="0"/>
              <w:snapToGrid w:val="0"/>
              <w:spacing w:after="0" w:line="360" w:lineRule="auto"/>
              <w:ind w:left="0" w:leftChars="0"/>
              <w:textAlignment w:val="auto"/>
              <w:rPr>
                <w:rFonts w:hint="eastAsia"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高噪声设备布置在远离敏感目标区域，中间加强绿化缓冲；</w:t>
            </w:r>
          </w:p>
          <w:p w14:paraId="536271CB">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设施设备</w:t>
            </w:r>
            <w:r>
              <w:rPr>
                <w:rFonts w:hint="default" w:ascii="Times New Roman" w:hAnsi="Times New Roman" w:eastAsia="宋体" w:cs="Times New Roman"/>
                <w:color w:val="auto"/>
                <w:kern w:val="0"/>
                <w:sz w:val="24"/>
                <w:highlight w:val="none"/>
                <w:lang w:val="en-US" w:eastAsia="zh-CN"/>
              </w:rPr>
              <w:t>采取降噪、减振</w:t>
            </w:r>
            <w:r>
              <w:rPr>
                <w:rFonts w:hint="eastAsia" w:ascii="Times New Roman" w:hAnsi="Times New Roman" w:eastAsia="宋体" w:cs="Times New Roman"/>
                <w:color w:val="auto"/>
                <w:kern w:val="0"/>
                <w:sz w:val="24"/>
                <w:highlight w:val="none"/>
                <w:lang w:val="en-US" w:eastAsia="zh-CN"/>
              </w:rPr>
              <w:t>等</w:t>
            </w:r>
            <w:r>
              <w:rPr>
                <w:rFonts w:hint="default" w:ascii="Times New Roman" w:hAnsi="Times New Roman" w:eastAsia="宋体" w:cs="Times New Roman"/>
                <w:color w:val="auto"/>
                <w:kern w:val="0"/>
                <w:sz w:val="24"/>
                <w:highlight w:val="none"/>
                <w:lang w:val="en-US" w:eastAsia="zh-CN"/>
              </w:rPr>
              <w:t>措施，再经距离衰减，</w:t>
            </w:r>
            <w:r>
              <w:rPr>
                <w:rFonts w:hint="eastAsia" w:ascii="Times New Roman" w:hAnsi="Times New Roman" w:eastAsia="宋体" w:cs="Times New Roman"/>
                <w:color w:val="auto"/>
                <w:kern w:val="0"/>
                <w:sz w:val="24"/>
                <w:highlight w:val="none"/>
                <w:lang w:val="en-US" w:eastAsia="zh-CN"/>
              </w:rPr>
              <w:t>50m范围内声环境敏感目标前瓜峪村满足《声环境质量标准》（GB</w:t>
            </w:r>
            <w:r>
              <w:rPr>
                <w:rFonts w:hint="default" w:ascii="Times New Roman" w:hAnsi="Times New Roman" w:eastAsia="宋体" w:cs="Times New Roman"/>
                <w:color w:val="auto"/>
                <w:kern w:val="0"/>
                <w:sz w:val="24"/>
                <w:highlight w:val="none"/>
                <w:lang w:val="en-US" w:eastAsia="zh-CN"/>
              </w:rPr>
              <w:t>3096-2008</w:t>
            </w:r>
            <w:r>
              <w:rPr>
                <w:rFonts w:hint="eastAsia" w:ascii="Times New Roman" w:hAnsi="Times New Roman" w:eastAsia="宋体" w:cs="Times New Roman"/>
                <w:color w:val="auto"/>
                <w:kern w:val="0"/>
                <w:sz w:val="24"/>
                <w:highlight w:val="none"/>
                <w:lang w:val="en-US" w:eastAsia="zh-CN"/>
              </w:rPr>
              <w:t>）2类标准。因此，本项目在做好噪声治理措施后，设备噪声对声环境敏感目标前瓜峪村不会造成太大影响。</w:t>
            </w:r>
          </w:p>
          <w:p w14:paraId="02407758">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3</w:t>
            </w:r>
            <w:r>
              <w:rPr>
                <w:rFonts w:hint="default" w:ascii="Times New Roman" w:hAnsi="Times New Roman" w:eastAsia="黑体" w:cs="Times New Roman"/>
                <w:b w:val="0"/>
                <w:bCs w:val="0"/>
                <w:color w:val="auto"/>
                <w:sz w:val="24"/>
                <w:szCs w:val="24"/>
                <w:highlight w:val="none"/>
                <w:lang w:val="en-US" w:eastAsia="zh-CN"/>
              </w:rPr>
              <w:t>、噪声监测要求</w:t>
            </w:r>
          </w:p>
          <w:p w14:paraId="6676F07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eastAsia="zh-CN"/>
              </w:rPr>
              <w:t>根据</w:t>
            </w:r>
            <w:r>
              <w:rPr>
                <w:rFonts w:hint="default" w:ascii="Times New Roman" w:hAnsi="Times New Roman" w:eastAsia="宋体" w:cs="Times New Roman"/>
                <w:color w:val="auto"/>
                <w:kern w:val="0"/>
                <w:sz w:val="24"/>
                <w:highlight w:val="none"/>
              </w:rPr>
              <w:t>《</w:t>
            </w:r>
            <w:r>
              <w:rPr>
                <w:rFonts w:hint="eastAsia" w:ascii="Times New Roman" w:hAnsi="Times New Roman" w:eastAsia="宋体" w:cs="Times New Roman"/>
                <w:color w:val="auto"/>
                <w:kern w:val="0"/>
                <w:sz w:val="24"/>
                <w:highlight w:val="none"/>
              </w:rPr>
              <w:fldChar w:fldCharType="begin"/>
            </w:r>
            <w:r>
              <w:rPr>
                <w:rFonts w:hint="eastAsia" w:ascii="Times New Roman" w:hAnsi="Times New Roman" w:eastAsia="宋体" w:cs="Times New Roman"/>
                <w:color w:val="auto"/>
                <w:kern w:val="0"/>
                <w:sz w:val="24"/>
                <w:highlight w:val="none"/>
              </w:rPr>
              <w:instrText xml:space="preserve"> HYPERLINK "https://www.mee.gov.cn/ywgz/fgbz/bz/bzwb/pwxk/202308/W020230919349861394526.pdf" </w:instrText>
            </w:r>
            <w:r>
              <w:rPr>
                <w:rFonts w:hint="eastAsia" w:ascii="Times New Roman" w:hAnsi="Times New Roman" w:eastAsia="宋体" w:cs="Times New Roman"/>
                <w:color w:val="auto"/>
                <w:kern w:val="0"/>
                <w:sz w:val="24"/>
                <w:highlight w:val="none"/>
              </w:rPr>
              <w:fldChar w:fldCharType="separate"/>
            </w:r>
            <w:r>
              <w:rPr>
                <w:rFonts w:hint="eastAsia" w:ascii="Times New Roman" w:hAnsi="Times New Roman" w:eastAsia="宋体" w:cs="Times New Roman"/>
                <w:color w:val="auto"/>
                <w:kern w:val="0"/>
                <w:sz w:val="24"/>
                <w:highlight w:val="none"/>
              </w:rPr>
              <w:t>排污许可证申请与核发技术规范 工业噪声</w:t>
            </w:r>
            <w:r>
              <w:rPr>
                <w:rFonts w:hint="eastAsia" w:ascii="Times New Roman" w:hAnsi="Times New Roman" w:eastAsia="宋体" w:cs="Times New Roman"/>
                <w:color w:val="auto"/>
                <w:kern w:val="0"/>
                <w:sz w:val="24"/>
                <w:highlight w:val="none"/>
              </w:rPr>
              <w:fldChar w:fldCharType="end"/>
            </w:r>
            <w:r>
              <w:rPr>
                <w:rFonts w:hint="default" w:ascii="Times New Roman" w:hAnsi="Times New Roman" w:eastAsia="宋体" w:cs="Times New Roman"/>
                <w:color w:val="auto"/>
                <w:kern w:val="0"/>
                <w:sz w:val="24"/>
                <w:highlight w:val="none"/>
              </w:rPr>
              <w:t>》</w:t>
            </w:r>
            <w:r>
              <w:rPr>
                <w:rFonts w:hint="eastAsia" w:ascii="Times New Roman" w:hAnsi="Times New Roman" w:eastAsia="宋体" w:cs="Times New Roman"/>
                <w:color w:val="auto"/>
                <w:kern w:val="0"/>
                <w:sz w:val="24"/>
                <w:highlight w:val="none"/>
              </w:rPr>
              <w:t>（HJ 1301—2023）</w:t>
            </w:r>
            <w:r>
              <w:rPr>
                <w:rFonts w:hint="default" w:ascii="Times New Roman" w:hAnsi="Times New Roman" w:eastAsia="宋体" w:cs="Times New Roman"/>
                <w:color w:val="auto"/>
                <w:kern w:val="0"/>
                <w:sz w:val="24"/>
                <w:highlight w:val="none"/>
              </w:rPr>
              <w:t>要求及本项目实际情况，制定监测计划。</w:t>
            </w:r>
          </w:p>
          <w:p w14:paraId="224D9F4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ascii="Times New Roman" w:hAnsi="Times New Roman" w:eastAsia="黑体" w:cs="Times New Roman"/>
                <w:b w:val="0"/>
                <w:bCs w:val="0"/>
                <w:color w:val="auto"/>
                <w:kern w:val="0"/>
                <w:sz w:val="24"/>
                <w:szCs w:val="24"/>
                <w:highlight w:val="none"/>
                <w:lang w:val="en-US" w:eastAsia="zh-CN"/>
              </w:rPr>
              <w:t>4-</w:t>
            </w:r>
            <w:r>
              <w:rPr>
                <w:rFonts w:hint="eastAsia" w:eastAsia="黑体" w:cs="Times New Roman"/>
                <w:b w:val="0"/>
                <w:bCs w:val="0"/>
                <w:color w:val="auto"/>
                <w:kern w:val="0"/>
                <w:sz w:val="24"/>
                <w:szCs w:val="24"/>
                <w:highlight w:val="none"/>
                <w:lang w:val="en-US" w:eastAsia="zh-CN"/>
              </w:rPr>
              <w:t>12</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项目噪声监测要求信息表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3406"/>
              <w:gridCol w:w="3170"/>
              <w:gridCol w:w="1670"/>
            </w:tblGrid>
            <w:tr w14:paraId="27061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noWrap w:val="0"/>
                  <w:vAlign w:val="center"/>
                </w:tcPr>
                <w:p w14:paraId="3AC9D6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污染源类别</w:t>
                  </w:r>
                </w:p>
              </w:tc>
              <w:tc>
                <w:tcPr>
                  <w:tcW w:w="1693" w:type="pct"/>
                  <w:noWrap w:val="0"/>
                  <w:vAlign w:val="center"/>
                </w:tcPr>
                <w:p w14:paraId="7D434D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排放口编号/监测点位</w:t>
                  </w:r>
                </w:p>
              </w:tc>
              <w:tc>
                <w:tcPr>
                  <w:tcW w:w="1576" w:type="pct"/>
                  <w:noWrap w:val="0"/>
                  <w:vAlign w:val="center"/>
                </w:tcPr>
                <w:p w14:paraId="322AB6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监测因子</w:t>
                  </w:r>
                </w:p>
              </w:tc>
              <w:tc>
                <w:tcPr>
                  <w:tcW w:w="828" w:type="pct"/>
                  <w:noWrap w:val="0"/>
                  <w:vAlign w:val="center"/>
                </w:tcPr>
                <w:p w14:paraId="3EE635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监测频次</w:t>
                  </w:r>
                </w:p>
              </w:tc>
            </w:tr>
            <w:tr w14:paraId="588EA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pct"/>
                  <w:noWrap w:val="0"/>
                  <w:vAlign w:val="center"/>
                </w:tcPr>
                <w:p w14:paraId="15682D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693" w:type="pct"/>
                  <w:noWrap w:val="0"/>
                  <w:vAlign w:val="center"/>
                </w:tcPr>
                <w:p w14:paraId="62E67F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厂界四周</w:t>
                  </w:r>
                </w:p>
              </w:tc>
              <w:tc>
                <w:tcPr>
                  <w:tcW w:w="1576" w:type="pct"/>
                  <w:noWrap w:val="0"/>
                  <w:vAlign w:val="center"/>
                </w:tcPr>
                <w:p w14:paraId="620675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Leq、Lmax</w:t>
                  </w:r>
                </w:p>
              </w:tc>
              <w:tc>
                <w:tcPr>
                  <w:tcW w:w="828" w:type="pct"/>
                  <w:noWrap w:val="0"/>
                  <w:vAlign w:val="center"/>
                </w:tcPr>
                <w:p w14:paraId="097C67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r w14:paraId="7044C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72C20AB7">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备注：</w:t>
                  </w:r>
                  <w:r>
                    <w:rPr>
                      <w:rFonts w:hint="eastAsia" w:ascii="Times New Roman" w:hAnsi="Times New Roman" w:cs="Times New Roman"/>
                      <w:color w:val="auto"/>
                      <w:sz w:val="21"/>
                      <w:szCs w:val="21"/>
                      <w:highlight w:val="none"/>
                      <w:lang w:val="en-US" w:eastAsia="zh-CN"/>
                    </w:rPr>
                    <w:t>夜间频发、偶发噪声需监测最大</w:t>
                  </w:r>
                  <w:r>
                    <w:rPr>
                      <w:rFonts w:hint="default" w:ascii="Times New Roman" w:hAnsi="Times New Roman" w:cs="Times New Roman"/>
                      <w:color w:val="auto"/>
                      <w:sz w:val="21"/>
                      <w:szCs w:val="21"/>
                      <w:highlight w:val="none"/>
                      <w:lang w:val="en-US" w:eastAsia="zh-CN"/>
                    </w:rPr>
                    <w:t>A</w:t>
                  </w:r>
                  <w:r>
                    <w:rPr>
                      <w:rFonts w:hint="eastAsia" w:ascii="Times New Roman" w:hAnsi="Times New Roman" w:cs="Times New Roman"/>
                      <w:color w:val="auto"/>
                      <w:sz w:val="21"/>
                      <w:szCs w:val="21"/>
                      <w:highlight w:val="none"/>
                      <w:lang w:val="en-US" w:eastAsia="zh-CN"/>
                    </w:rPr>
                    <w:t>声级</w:t>
                  </w:r>
                  <w:r>
                    <w:rPr>
                      <w:rFonts w:hint="default" w:ascii="Times New Roman" w:hAnsi="Times New Roman" w:cs="Times New Roman"/>
                      <w:color w:val="auto"/>
                      <w:sz w:val="21"/>
                      <w:szCs w:val="21"/>
                      <w:highlight w:val="none"/>
                      <w:lang w:val="en-US" w:eastAsia="zh-CN"/>
                    </w:rPr>
                    <w:t>Lmax</w:t>
                  </w:r>
                  <w:r>
                    <w:rPr>
                      <w:rFonts w:hint="eastAsia" w:ascii="Times New Roman" w:hAnsi="Times New Roman" w:cs="Times New Roman"/>
                      <w:color w:val="auto"/>
                      <w:sz w:val="21"/>
                      <w:szCs w:val="21"/>
                      <w:highlight w:val="none"/>
                      <w:lang w:val="en-US" w:eastAsia="zh-CN"/>
                    </w:rPr>
                    <w:t>，频发噪声、偶发噪声在发生时进行监测。</w:t>
                  </w:r>
                </w:p>
              </w:tc>
            </w:tr>
          </w:tbl>
          <w:p w14:paraId="3893A98C">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建议企业采取以下措施进一步降低噪声：</w:t>
            </w:r>
          </w:p>
          <w:p w14:paraId="54B0E14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eastAsia="zh-CN"/>
              </w:rPr>
              <w:t>（</w:t>
            </w:r>
            <w:r>
              <w:rPr>
                <w:rFonts w:hint="eastAsia" w:ascii="Times New Roman" w:hAnsi="Times New Roman" w:cs="Times New Roman"/>
                <w:color w:val="auto"/>
                <w:kern w:val="0"/>
                <w:sz w:val="24"/>
                <w:highlight w:val="none"/>
                <w:lang w:val="en-US" w:eastAsia="zh-CN"/>
              </w:rPr>
              <w:t>1</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建立设备定期维护、保养的管理制度，以防止设备故障形成的非正常生产噪声，同时确保环保措施发挥最有效的功能；</w:t>
            </w:r>
          </w:p>
          <w:p w14:paraId="6599D029">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eastAsia="zh-CN"/>
              </w:rPr>
              <w:t>（</w:t>
            </w:r>
            <w:r>
              <w:rPr>
                <w:rFonts w:hint="eastAsia" w:ascii="Times New Roman" w:hAnsi="Times New Roman" w:cs="Times New Roman"/>
                <w:color w:val="auto"/>
                <w:kern w:val="0"/>
                <w:sz w:val="24"/>
                <w:highlight w:val="none"/>
                <w:lang w:val="en-US" w:eastAsia="zh-CN"/>
              </w:rPr>
              <w:t>2</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加强厂区绿化；</w:t>
            </w:r>
          </w:p>
          <w:p w14:paraId="26D4FC4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eastAsia" w:ascii="Times New Roman" w:hAnsi="Times New Roman" w:cs="Times New Roman"/>
                <w:color w:val="auto"/>
                <w:kern w:val="0"/>
                <w:sz w:val="24"/>
                <w:highlight w:val="none"/>
                <w:lang w:eastAsia="zh-CN"/>
              </w:rPr>
              <w:t>（</w:t>
            </w:r>
            <w:r>
              <w:rPr>
                <w:rFonts w:hint="eastAsia" w:ascii="Times New Roman" w:hAnsi="Times New Roman" w:cs="Times New Roman"/>
                <w:color w:val="auto"/>
                <w:kern w:val="0"/>
                <w:sz w:val="24"/>
                <w:highlight w:val="none"/>
                <w:lang w:val="en-US" w:eastAsia="zh-CN"/>
              </w:rPr>
              <w:t>3</w:t>
            </w:r>
            <w:r>
              <w:rPr>
                <w:rFonts w:hint="eastAsia"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加强生产管理和职工环保教育，要求职工正常操作设备，避免设备非正常工况下运行。</w:t>
            </w:r>
          </w:p>
          <w:p w14:paraId="74A07DF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项目采取以上措施后可以进一步有效地降低设备噪声对周围环境的影响。</w:t>
            </w:r>
          </w:p>
          <w:p w14:paraId="60A679E2">
            <w:pPr>
              <w:spacing w:line="360" w:lineRule="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四</w:t>
            </w:r>
            <w:r>
              <w:rPr>
                <w:rFonts w:hint="default" w:ascii="Times New Roman" w:hAnsi="Times New Roman" w:eastAsia="黑体" w:cs="Times New Roman"/>
                <w:color w:val="auto"/>
                <w:sz w:val="24"/>
                <w:szCs w:val="24"/>
                <w:highlight w:val="none"/>
                <w:lang w:val="en-US" w:eastAsia="zh-CN"/>
              </w:rPr>
              <w:t>、固体废物</w:t>
            </w:r>
          </w:p>
          <w:p w14:paraId="291636D2">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1、</w:t>
            </w:r>
            <w:r>
              <w:rPr>
                <w:rFonts w:hint="default" w:ascii="Times New Roman" w:hAnsi="Times New Roman" w:eastAsia="黑体" w:cs="Times New Roman"/>
                <w:b w:val="0"/>
                <w:bCs w:val="0"/>
                <w:color w:val="auto"/>
                <w:sz w:val="24"/>
                <w:szCs w:val="24"/>
                <w:highlight w:val="none"/>
                <w:lang w:val="en-US" w:eastAsia="zh-CN"/>
              </w:rPr>
              <w:t>固体废物识别及处理措施</w:t>
            </w:r>
          </w:p>
          <w:p w14:paraId="27D8250E">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本项目产生的固体废物主要是</w:t>
            </w:r>
            <w:r>
              <w:rPr>
                <w:rFonts w:hint="eastAsia" w:cs="Times New Roman"/>
                <w:color w:val="auto"/>
                <w:sz w:val="24"/>
                <w:highlight w:val="none"/>
                <w:lang w:val="en-US" w:eastAsia="zh-CN"/>
              </w:rPr>
              <w:t>废包装物</w:t>
            </w:r>
            <w:r>
              <w:rPr>
                <w:rFonts w:hint="eastAsia" w:ascii="Times New Roman" w:hAnsi="Times New Roman" w:eastAsia="宋体" w:cs="Times New Roman"/>
                <w:color w:val="auto"/>
                <w:sz w:val="24"/>
                <w:highlight w:val="none"/>
                <w:lang w:val="en-US" w:eastAsia="zh-CN"/>
              </w:rPr>
              <w:t>S1</w:t>
            </w:r>
            <w:r>
              <w:rPr>
                <w:rFonts w:hint="eastAsia" w:cs="Times New Roman"/>
                <w:color w:val="auto"/>
                <w:sz w:val="24"/>
                <w:highlight w:val="none"/>
                <w:lang w:val="en-US" w:eastAsia="zh-CN"/>
              </w:rPr>
              <w:t>；除尘器收集粉尘S2；纺丝组件清洗废渣S3；废油剂容器S4；剪裁、牵伸工序产生的碎发丝S5；废机油S6；废机油桶S7；废活性炭S8；；沉淀池污泥S9；</w:t>
            </w:r>
            <w:r>
              <w:rPr>
                <w:rFonts w:hint="default" w:ascii="Times New Roman" w:hAnsi="Times New Roman" w:eastAsia="宋体" w:cs="Times New Roman"/>
                <w:color w:val="auto"/>
                <w:sz w:val="24"/>
                <w:highlight w:val="none"/>
                <w:lang w:val="en-US" w:eastAsia="zh-CN"/>
              </w:rPr>
              <w:t>生活垃圾</w:t>
            </w:r>
            <w:r>
              <w:rPr>
                <w:rFonts w:hint="eastAsia" w:ascii="Times New Roman" w:hAnsi="Times New Roman" w:eastAsia="宋体" w:cs="Times New Roman"/>
                <w:color w:val="auto"/>
                <w:sz w:val="24"/>
                <w:highlight w:val="none"/>
                <w:lang w:val="en-US" w:eastAsia="zh-CN"/>
              </w:rPr>
              <w:t>S</w:t>
            </w:r>
            <w:r>
              <w:rPr>
                <w:rFonts w:hint="eastAsia"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w:t>
            </w:r>
          </w:p>
          <w:p w14:paraId="4F8A3D87">
            <w:pPr>
              <w:spacing w:line="360" w:lineRule="auto"/>
              <w:ind w:firstLine="480" w:firstLineChars="200"/>
              <w:rPr>
                <w:rFonts w:hint="default" w:ascii="Times New Roman" w:hAnsi="Times New Roman" w:eastAsia="宋体" w:cs="Times New Roman"/>
                <w:color w:val="auto"/>
                <w:sz w:val="24"/>
                <w:lang w:val="en-US" w:eastAsia="zh-CN"/>
              </w:rPr>
            </w:pPr>
            <w:r>
              <w:rPr>
                <w:color w:val="auto"/>
                <w:sz w:val="24"/>
              </w:rPr>
              <w:t>（1）</w:t>
            </w:r>
            <w:r>
              <w:rPr>
                <w:rFonts w:hint="eastAsia" w:cs="Times New Roman"/>
                <w:color w:val="auto"/>
                <w:sz w:val="24"/>
                <w:highlight w:val="none"/>
                <w:lang w:val="en-US" w:eastAsia="zh-CN"/>
              </w:rPr>
              <w:t>废包装物</w:t>
            </w:r>
            <w:r>
              <w:rPr>
                <w:rFonts w:hint="eastAsia" w:ascii="Times New Roman" w:hAnsi="Times New Roman" w:eastAsia="宋体" w:cs="宋体"/>
                <w:color w:val="auto"/>
                <w:sz w:val="24"/>
                <w:lang w:val="en-US" w:eastAsia="zh-CN"/>
              </w:rPr>
              <w:t>S1产生</w:t>
            </w:r>
            <w:r>
              <w:rPr>
                <w:color w:val="auto"/>
                <w:sz w:val="24"/>
              </w:rPr>
              <w:t>量为</w:t>
            </w:r>
            <w:r>
              <w:rPr>
                <w:rFonts w:hint="eastAsia"/>
                <w:color w:val="auto"/>
                <w:sz w:val="24"/>
                <w:lang w:val="en-US" w:eastAsia="zh-CN"/>
              </w:rPr>
              <w:t>5</w:t>
            </w:r>
            <w:r>
              <w:rPr>
                <w:color w:val="auto"/>
                <w:sz w:val="24"/>
              </w:rPr>
              <w:t>t/a，</w:t>
            </w:r>
            <w:r>
              <w:rPr>
                <w:rFonts w:hint="eastAsia" w:ascii="Times New Roman" w:hAnsi="Times New Roman" w:eastAsia="宋体" w:cs="Times New Roman"/>
                <w:color w:val="auto"/>
                <w:sz w:val="24"/>
                <w:lang w:eastAsia="zh-CN"/>
              </w:rPr>
              <w:t>统一收集后外售处置</w:t>
            </w:r>
            <w:r>
              <w:rPr>
                <w:rFonts w:hint="eastAsia" w:cs="Times New Roman"/>
                <w:color w:val="auto"/>
                <w:sz w:val="24"/>
                <w:lang w:eastAsia="zh-CN"/>
              </w:rPr>
              <w:t>。</w:t>
            </w:r>
          </w:p>
          <w:p w14:paraId="65EE5F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ascii="Times New Roman" w:hAnsi="Times New Roman" w:eastAsia="宋体" w:cs="Times New Roman"/>
                <w:color w:val="auto"/>
                <w:sz w:val="24"/>
              </w:rPr>
              <w:t>（2）</w:t>
            </w:r>
            <w:r>
              <w:rPr>
                <w:rFonts w:hint="default" w:ascii="Times New Roman" w:hAnsi="Times New Roman" w:eastAsia="宋体" w:cs="Times New Roman"/>
                <w:color w:val="auto"/>
                <w:sz w:val="24"/>
                <w:highlight w:val="none"/>
              </w:rPr>
              <w:t>布袋除尘器收集的粉尘量为</w:t>
            </w:r>
            <w:r>
              <w:rPr>
                <w:rFonts w:hint="eastAsia" w:cs="Times New Roman"/>
                <w:color w:val="auto"/>
                <w:sz w:val="24"/>
                <w:highlight w:val="none"/>
                <w:lang w:val="en-US" w:eastAsia="zh-CN"/>
              </w:rPr>
              <w:t>1.88</w:t>
            </w:r>
            <w:r>
              <w:rPr>
                <w:rFonts w:hint="default"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统一收集后外售处置</w:t>
            </w:r>
            <w:r>
              <w:rPr>
                <w:rFonts w:hint="default" w:ascii="Times New Roman" w:hAnsi="Times New Roman" w:eastAsia="宋体" w:cs="Times New Roman"/>
                <w:color w:val="auto"/>
                <w:sz w:val="24"/>
                <w:highlight w:val="none"/>
              </w:rPr>
              <w:t>。</w:t>
            </w:r>
          </w:p>
          <w:p w14:paraId="06A67DD0">
            <w:pPr>
              <w:spacing w:line="360" w:lineRule="auto"/>
              <w:ind w:firstLine="480" w:firstLineChars="200"/>
              <w:rPr>
                <w:color w:val="auto"/>
                <w:sz w:val="24"/>
              </w:rPr>
            </w:pPr>
            <w:r>
              <w:rPr>
                <w:color w:val="auto"/>
                <w:sz w:val="24"/>
              </w:rPr>
              <w:t>（3）</w:t>
            </w:r>
            <w:r>
              <w:rPr>
                <w:rFonts w:hint="eastAsia" w:cs="Times New Roman"/>
                <w:color w:val="auto"/>
                <w:sz w:val="24"/>
                <w:highlight w:val="none"/>
                <w:lang w:val="en-US" w:eastAsia="zh-CN"/>
              </w:rPr>
              <w:t>纺丝组件清洗废渣</w:t>
            </w:r>
            <w:r>
              <w:rPr>
                <w:rFonts w:hint="eastAsia" w:ascii="Times New Roman" w:hAnsi="Times New Roman" w:eastAsia="宋体" w:cs="宋体"/>
                <w:color w:val="auto"/>
                <w:sz w:val="24"/>
                <w:lang w:val="en-US" w:eastAsia="zh-CN"/>
              </w:rPr>
              <w:t>S3</w:t>
            </w:r>
            <w:r>
              <w:rPr>
                <w:color w:val="auto"/>
                <w:sz w:val="24"/>
              </w:rPr>
              <w:t>产生量约</w:t>
            </w:r>
            <w:r>
              <w:rPr>
                <w:rFonts w:hint="eastAsia"/>
                <w:color w:val="auto"/>
                <w:sz w:val="24"/>
                <w:lang w:val="en-US" w:eastAsia="zh-CN"/>
              </w:rPr>
              <w:t>2</w:t>
            </w:r>
            <w:r>
              <w:rPr>
                <w:color w:val="auto"/>
                <w:sz w:val="24"/>
              </w:rPr>
              <w:t>t/a</w:t>
            </w:r>
            <w:r>
              <w:rPr>
                <w:rFonts w:hint="eastAsia"/>
                <w:color w:val="auto"/>
                <w:sz w:val="24"/>
              </w:rPr>
              <w:t>，</w:t>
            </w:r>
            <w:r>
              <w:rPr>
                <w:rFonts w:hint="eastAsia" w:ascii="Times New Roman" w:hAnsi="Times New Roman" w:eastAsia="宋体" w:cs="Times New Roman"/>
                <w:color w:val="auto"/>
                <w:sz w:val="24"/>
                <w:highlight w:val="none"/>
                <w:lang w:val="en-US" w:eastAsia="zh-CN"/>
              </w:rPr>
              <w:t>由《国家危险废物名录》（2025年版）可知，属于危险废物HW</w:t>
            </w:r>
            <w:r>
              <w:rPr>
                <w:rFonts w:hint="eastAsia" w:cs="Times New Roman"/>
                <w:color w:val="auto"/>
                <w:sz w:val="24"/>
                <w:highlight w:val="none"/>
                <w:lang w:val="en-US" w:eastAsia="zh-CN"/>
              </w:rPr>
              <w:t>13</w:t>
            </w:r>
            <w:r>
              <w:rPr>
                <w:rFonts w:hint="eastAsia" w:ascii="Times New Roman" w:hAnsi="Times New Roman" w:eastAsia="宋体" w:cs="Times New Roman"/>
                <w:color w:val="auto"/>
                <w:sz w:val="24"/>
                <w:highlight w:val="none"/>
                <w:lang w:val="en-US" w:eastAsia="zh-CN"/>
              </w:rPr>
              <w:t>，危废代码：900-</w:t>
            </w:r>
            <w:r>
              <w:rPr>
                <w:rFonts w:hint="eastAsia" w:cs="Times New Roman"/>
                <w:color w:val="auto"/>
                <w:sz w:val="24"/>
                <w:highlight w:val="none"/>
                <w:lang w:val="en-US" w:eastAsia="zh-CN"/>
              </w:rPr>
              <w:t>015</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13</w:t>
            </w:r>
            <w:r>
              <w:rPr>
                <w:rFonts w:hint="eastAsia" w:ascii="Times New Roman" w:hAnsi="Times New Roman" w:eastAsia="宋体" w:cs="Times New Roman"/>
                <w:color w:val="auto"/>
                <w:sz w:val="24"/>
                <w:highlight w:val="none"/>
                <w:lang w:val="en-US" w:eastAsia="zh-CN"/>
              </w:rPr>
              <w:t>，收集后暂存于厂区危废暂存间，定期委托有资质单位处置。</w:t>
            </w:r>
          </w:p>
          <w:p w14:paraId="3F4AAA9F">
            <w:pPr>
              <w:spacing w:line="360" w:lineRule="auto"/>
              <w:ind w:firstLine="480" w:firstLineChars="200"/>
              <w:rPr>
                <w:rFonts w:hint="default" w:eastAsia="宋体"/>
                <w:color w:val="auto"/>
                <w:sz w:val="24"/>
                <w:lang w:val="en-US" w:eastAsia="zh-CN"/>
              </w:rPr>
            </w:pPr>
            <w:r>
              <w:rPr>
                <w:color w:val="auto"/>
                <w:sz w:val="24"/>
              </w:rPr>
              <w:t>（4）</w:t>
            </w:r>
            <w:r>
              <w:rPr>
                <w:rFonts w:hint="eastAsia" w:cs="Times New Roman"/>
                <w:color w:val="auto"/>
                <w:sz w:val="24"/>
                <w:highlight w:val="none"/>
                <w:lang w:val="en-US" w:eastAsia="zh-CN"/>
              </w:rPr>
              <w:t>废油剂容器S4产生量约为0.2</w:t>
            </w:r>
            <w:r>
              <w:rPr>
                <w:color w:val="auto"/>
                <w:sz w:val="24"/>
              </w:rPr>
              <w:t>t/a</w:t>
            </w:r>
            <w:r>
              <w:rPr>
                <w:rFonts w:hint="eastAsia"/>
                <w:color w:val="auto"/>
                <w:sz w:val="24"/>
              </w:rPr>
              <w:t>，</w:t>
            </w:r>
            <w:r>
              <w:rPr>
                <w:rFonts w:hint="eastAsia" w:ascii="Times New Roman" w:hAnsi="Times New Roman" w:eastAsia="宋体" w:cs="Times New Roman"/>
                <w:color w:val="auto"/>
                <w:sz w:val="24"/>
                <w:highlight w:val="none"/>
                <w:lang w:val="en-US" w:eastAsia="zh-CN"/>
              </w:rPr>
              <w:t>由《国家危险废物名录》（2025年版）可知，废机油属于危险废物HW49，危废代码：900-041-49，收集后暂存于厂区危废暂存间，定期委托有资质单位处置。</w:t>
            </w:r>
          </w:p>
          <w:p w14:paraId="50C4121A">
            <w:pPr>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hint="eastAsia" w:cs="Times New Roman"/>
                <w:color w:val="auto"/>
                <w:sz w:val="24"/>
                <w:highlight w:val="none"/>
                <w:lang w:val="en-US" w:eastAsia="zh-CN"/>
              </w:rPr>
              <w:t>剪裁、牵伸工序产生的碎发丝S5</w:t>
            </w:r>
            <w:r>
              <w:rPr>
                <w:color w:val="auto"/>
                <w:sz w:val="24"/>
              </w:rPr>
              <w:t>产生量约</w:t>
            </w:r>
            <w:r>
              <w:rPr>
                <w:rFonts w:hint="eastAsia"/>
                <w:color w:val="auto"/>
                <w:sz w:val="24"/>
                <w:lang w:val="en-US" w:eastAsia="zh-CN"/>
              </w:rPr>
              <w:t>2</w:t>
            </w:r>
            <w:r>
              <w:rPr>
                <w:color w:val="auto"/>
                <w:sz w:val="24"/>
              </w:rPr>
              <w:t>t/a</w:t>
            </w:r>
            <w:r>
              <w:rPr>
                <w:rFonts w:hint="eastAsia"/>
                <w:color w:val="auto"/>
                <w:sz w:val="24"/>
              </w:rPr>
              <w:t>，</w:t>
            </w:r>
            <w:r>
              <w:rPr>
                <w:rFonts w:hint="eastAsia" w:ascii="Times New Roman" w:hAnsi="Times New Roman" w:eastAsia="宋体" w:cs="Times New Roman"/>
                <w:color w:val="auto"/>
                <w:sz w:val="24"/>
                <w:highlight w:val="none"/>
                <w:lang w:eastAsia="zh-CN"/>
              </w:rPr>
              <w:t>统一收集后外售处置</w:t>
            </w:r>
            <w:r>
              <w:rPr>
                <w:color w:val="auto"/>
                <w:sz w:val="24"/>
              </w:rPr>
              <w:t>。</w:t>
            </w:r>
          </w:p>
          <w:p w14:paraId="1FA9EC83">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rFonts w:hint="eastAsia" w:ascii="Times New Roman" w:hAnsi="Times New Roman" w:eastAsia="宋体" w:cs="Times New Roman"/>
                <w:color w:val="auto"/>
                <w:sz w:val="24"/>
                <w:highlight w:val="none"/>
                <w:lang w:val="en-US" w:eastAsia="zh-CN"/>
              </w:rPr>
              <w:t>本项目设备维修及保养过程中会产生一定的废机油，废机油S6产生量约为0.5t/a。由《国家危险废物名录》（2025年版）可知，废机油属于危险废物HW08，危废代码：900-214-08，收集后暂存于厂区危废暂存间，定期委托有资质单位处置。</w:t>
            </w:r>
          </w:p>
          <w:p w14:paraId="150EDA51">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olor w:val="auto"/>
                <w:sz w:val="24"/>
                <w:lang w:eastAsia="zh-CN"/>
              </w:rPr>
              <w:t>（</w:t>
            </w:r>
            <w:r>
              <w:rPr>
                <w:rFonts w:hint="eastAsia"/>
                <w:color w:val="auto"/>
                <w:sz w:val="24"/>
                <w:lang w:val="en-US" w:eastAsia="zh-CN"/>
              </w:rPr>
              <w:t>7</w:t>
            </w:r>
            <w:r>
              <w:rPr>
                <w:rFonts w:hint="eastAsia"/>
                <w:color w:val="auto"/>
                <w:sz w:val="24"/>
                <w:lang w:eastAsia="zh-CN"/>
              </w:rPr>
              <w:t>）</w:t>
            </w:r>
            <w:r>
              <w:rPr>
                <w:rFonts w:hint="eastAsia" w:ascii="Times New Roman" w:hAnsi="Times New Roman" w:eastAsia="宋体" w:cs="Times New Roman"/>
                <w:color w:val="auto"/>
                <w:sz w:val="24"/>
                <w:highlight w:val="none"/>
                <w:lang w:val="en-US" w:eastAsia="zh-CN"/>
              </w:rPr>
              <w:t>本项目废机油桶S7产生量为10个/年，机油桶桶重2kg/个，则废机油桶产生量为0.02t/a。废机油桶属于危险废物HW08，危废代码为900-249-08，收集后暂存于厂区危废暂存间，定期委托有资质单位处置。</w:t>
            </w:r>
          </w:p>
          <w:p w14:paraId="57F15A6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w:t>
            </w:r>
            <w:r>
              <w:rPr>
                <w:rFonts w:hint="eastAsia" w:ascii="Times New Roman" w:hAnsi="Times New Roman" w:eastAsia="宋体" w:cs="Times New Roman"/>
                <w:color w:val="auto"/>
                <w:sz w:val="24"/>
                <w:lang w:val="en-US" w:eastAsia="zh-CN"/>
              </w:rPr>
              <w:t>8）二级活性炭装置</w:t>
            </w:r>
            <w:r>
              <w:rPr>
                <w:rFonts w:hint="default" w:ascii="Times New Roman" w:hAnsi="Times New Roman" w:eastAsia="宋体" w:cs="Times New Roman"/>
                <w:color w:val="auto"/>
                <w:sz w:val="24"/>
                <w:lang w:val="en-US" w:eastAsia="zh-CN"/>
              </w:rPr>
              <w:t>需定期更换活性炭，本项目处理VOCs过程中用到活性炭，</w:t>
            </w:r>
            <w:r>
              <w:rPr>
                <w:rFonts w:hint="eastAsia" w:ascii="Times New Roman" w:hAnsi="Times New Roman" w:eastAsia="宋体" w:cs="Times New Roman"/>
                <w:color w:val="auto"/>
                <w:sz w:val="24"/>
                <w:lang w:val="en-US" w:eastAsia="zh-CN"/>
              </w:rPr>
              <w:t>二级活性炭装置吸附效率为80%。</w:t>
            </w:r>
            <w:r>
              <w:rPr>
                <w:rFonts w:hint="eastAsia" w:cs="Times New Roman"/>
                <w:color w:val="auto"/>
                <w:sz w:val="24"/>
                <w:lang w:val="en-US" w:eastAsia="zh-CN"/>
              </w:rPr>
              <w:t>本项目配套活性炭吸附箱盛装的活性炭量为0.5t，</w:t>
            </w:r>
            <w:r>
              <w:rPr>
                <w:rFonts w:hint="eastAsia" w:ascii="Times New Roman" w:hAnsi="Times New Roman" w:eastAsia="宋体" w:cs="Times New Roman"/>
                <w:color w:val="auto"/>
                <w:sz w:val="24"/>
                <w:highlight w:val="none"/>
                <w:lang w:val="en-US" w:eastAsia="zh-CN"/>
              </w:rPr>
              <w:t>更换频次为</w:t>
            </w:r>
            <w:r>
              <w:rPr>
                <w:rFonts w:hint="eastAsia"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次/a，废活性炭产生量为</w:t>
            </w:r>
            <w:r>
              <w:rPr>
                <w:rFonts w:hint="eastAsia" w:cs="Times New Roman"/>
                <w:color w:val="auto"/>
                <w:sz w:val="24"/>
                <w:highlight w:val="none"/>
                <w:lang w:val="en-US" w:eastAsia="zh-CN"/>
              </w:rPr>
              <w:t>3.88</w:t>
            </w:r>
            <w:r>
              <w:rPr>
                <w:rFonts w:hint="eastAsia"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highlight w:val="none"/>
                <w:lang w:val="en-US" w:eastAsia="zh-CN"/>
              </w:rPr>
              <w:t>由《国家危险废物名录》（202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年版）可知，废活性炭属于危险废物，废物代码为</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HW49</w:t>
            </w:r>
            <w:r>
              <w:rPr>
                <w:rFonts w:hint="eastAsia"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lang w:val="en-US" w:eastAsia="zh-CN"/>
              </w:rPr>
              <w:t>900-039-49），收集后暂存</w:t>
            </w:r>
            <w:r>
              <w:rPr>
                <w:rFonts w:hint="eastAsia" w:ascii="Times New Roman" w:hAnsi="Times New Roman" w:eastAsia="宋体" w:cs="Times New Roman"/>
                <w:color w:val="auto"/>
                <w:sz w:val="24"/>
                <w:highlight w:val="none"/>
                <w:lang w:val="en-US" w:eastAsia="zh-CN"/>
              </w:rPr>
              <w:t>在</w:t>
            </w:r>
            <w:r>
              <w:rPr>
                <w:rFonts w:hint="default" w:ascii="Times New Roman" w:hAnsi="Times New Roman" w:eastAsia="宋体" w:cs="Times New Roman"/>
                <w:color w:val="auto"/>
                <w:sz w:val="24"/>
                <w:highlight w:val="none"/>
                <w:lang w:val="en-US" w:eastAsia="zh-CN"/>
              </w:rPr>
              <w:t>危废暂存间，委托有资质</w:t>
            </w:r>
            <w:r>
              <w:rPr>
                <w:rFonts w:hint="eastAsia"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lang w:val="en-US" w:eastAsia="zh-CN"/>
              </w:rPr>
              <w:t>单位</w:t>
            </w:r>
            <w:r>
              <w:rPr>
                <w:rFonts w:hint="eastAsia" w:ascii="Times New Roman" w:hAnsi="Times New Roman" w:eastAsia="宋体" w:cs="Times New Roman"/>
                <w:color w:val="auto"/>
                <w:sz w:val="24"/>
                <w:highlight w:val="none"/>
                <w:lang w:val="en-US" w:eastAsia="zh-CN"/>
              </w:rPr>
              <w:t>处置</w:t>
            </w:r>
            <w:r>
              <w:rPr>
                <w:rFonts w:hint="default" w:ascii="Times New Roman" w:hAnsi="Times New Roman" w:eastAsia="宋体" w:cs="Times New Roman"/>
                <w:color w:val="auto"/>
                <w:sz w:val="24"/>
                <w:highlight w:val="none"/>
                <w:lang w:val="en-US" w:eastAsia="zh-CN"/>
              </w:rPr>
              <w:t>。</w:t>
            </w:r>
          </w:p>
          <w:p w14:paraId="5747F36B">
            <w:pPr>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本项目洗丝废水、</w:t>
            </w:r>
            <w:r>
              <w:rPr>
                <w:rFonts w:hint="eastAsia" w:cs="Times New Roman"/>
                <w:color w:val="auto"/>
                <w:sz w:val="24"/>
                <w:highlight w:val="none"/>
                <w:lang w:val="en-US" w:eastAsia="zh-CN"/>
              </w:rPr>
              <w:t>甩干废水、</w:t>
            </w:r>
            <w:r>
              <w:rPr>
                <w:rFonts w:hint="eastAsia" w:ascii="Times New Roman" w:hAnsi="Times New Roman" w:eastAsia="宋体" w:cs="Times New Roman"/>
                <w:color w:val="auto"/>
                <w:sz w:val="24"/>
                <w:highlight w:val="none"/>
                <w:lang w:val="en-US" w:eastAsia="zh-CN"/>
              </w:rPr>
              <w:t>纺丝组件清洗废水通过沉淀池处理后回用，处理过程中沉淀池中产生污泥，污泥产生量约为</w:t>
            </w:r>
            <w:r>
              <w:rPr>
                <w:rFonts w:hint="eastAsia" w:cs="Times New Roman"/>
                <w:color w:val="auto"/>
                <w:sz w:val="24"/>
                <w:highlight w:val="none"/>
                <w:lang w:val="en-US" w:eastAsia="zh-CN"/>
              </w:rPr>
              <w:t>0.3</w:t>
            </w:r>
            <w:r>
              <w:rPr>
                <w:rFonts w:hint="eastAsia"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highlight w:val="none"/>
                <w:lang w:val="en-US" w:eastAsia="zh-CN"/>
              </w:rPr>
              <w:t>由《国家危险废物名录》（202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年版）可知，</w:t>
            </w:r>
            <w:r>
              <w:rPr>
                <w:rFonts w:hint="eastAsia" w:ascii="Times New Roman" w:hAnsi="Times New Roman" w:eastAsia="宋体" w:cs="Times New Roman"/>
                <w:color w:val="auto"/>
                <w:sz w:val="24"/>
                <w:highlight w:val="none"/>
                <w:lang w:val="en-US" w:eastAsia="zh-CN"/>
              </w:rPr>
              <w:t>沉淀池污泥</w:t>
            </w:r>
            <w:r>
              <w:rPr>
                <w:rFonts w:hint="default" w:ascii="Times New Roman" w:hAnsi="Times New Roman" w:eastAsia="宋体" w:cs="Times New Roman"/>
                <w:color w:val="auto"/>
                <w:sz w:val="24"/>
                <w:highlight w:val="none"/>
                <w:lang w:val="en-US" w:eastAsia="zh-CN"/>
              </w:rPr>
              <w:t>属于危险废物，废物代码为</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HW</w:t>
            </w:r>
            <w:r>
              <w:rPr>
                <w:rFonts w:hint="eastAsia" w:cs="Times New Roman"/>
                <w:color w:val="auto"/>
                <w:sz w:val="24"/>
                <w:highlight w:val="none"/>
                <w:lang w:val="en-US" w:eastAsia="zh-CN"/>
              </w:rPr>
              <w:t>18</w:t>
            </w:r>
            <w:r>
              <w:rPr>
                <w:rFonts w:hint="eastAsia" w:ascii="Times New Roman" w:hAnsi="Times New Roman" w:eastAsia="宋体" w:cs="Times New Roman"/>
                <w:color w:val="auto"/>
                <w:sz w:val="24"/>
                <w:highlight w:val="none"/>
                <w:lang w:val="en-US" w:eastAsia="zh-CN"/>
              </w:rPr>
              <w:t xml:space="preserve"> </w:t>
            </w:r>
            <w:r>
              <w:rPr>
                <w:rFonts w:hint="eastAsia" w:cs="Times New Roman"/>
                <w:color w:val="auto"/>
                <w:sz w:val="24"/>
                <w:highlight w:val="none"/>
                <w:lang w:val="en-US" w:eastAsia="zh-CN"/>
              </w:rPr>
              <w:t>772-003-18</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清理频次为2次/a，</w:t>
            </w:r>
            <w:r>
              <w:rPr>
                <w:rFonts w:hint="default" w:ascii="Times New Roman" w:hAnsi="Times New Roman" w:eastAsia="宋体" w:cs="Times New Roman"/>
                <w:color w:val="auto"/>
                <w:sz w:val="24"/>
                <w:highlight w:val="none"/>
                <w:lang w:val="en-US" w:eastAsia="zh-CN"/>
              </w:rPr>
              <w:t>收集后暂存</w:t>
            </w:r>
            <w:r>
              <w:rPr>
                <w:rFonts w:hint="eastAsia" w:ascii="Times New Roman" w:hAnsi="Times New Roman" w:eastAsia="宋体" w:cs="Times New Roman"/>
                <w:color w:val="auto"/>
                <w:sz w:val="24"/>
                <w:highlight w:val="none"/>
                <w:lang w:val="en-US" w:eastAsia="zh-CN"/>
              </w:rPr>
              <w:t>在</w:t>
            </w:r>
            <w:r>
              <w:rPr>
                <w:rFonts w:hint="default" w:ascii="Times New Roman" w:hAnsi="Times New Roman" w:eastAsia="宋体" w:cs="Times New Roman"/>
                <w:color w:val="auto"/>
                <w:sz w:val="24"/>
                <w:highlight w:val="none"/>
                <w:lang w:val="en-US" w:eastAsia="zh-CN"/>
              </w:rPr>
              <w:t>危废暂存间，委托有资质</w:t>
            </w:r>
            <w:r>
              <w:rPr>
                <w:rFonts w:hint="eastAsia"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lang w:val="en-US" w:eastAsia="zh-CN"/>
              </w:rPr>
              <w:t>单位</w:t>
            </w:r>
            <w:r>
              <w:rPr>
                <w:rFonts w:hint="eastAsia" w:ascii="Times New Roman" w:hAnsi="Times New Roman" w:eastAsia="宋体" w:cs="Times New Roman"/>
                <w:color w:val="auto"/>
                <w:sz w:val="24"/>
                <w:highlight w:val="none"/>
                <w:lang w:val="en-US" w:eastAsia="zh-CN"/>
              </w:rPr>
              <w:t>处置</w:t>
            </w:r>
            <w:r>
              <w:rPr>
                <w:rFonts w:hint="default" w:ascii="Times New Roman" w:hAnsi="Times New Roman" w:eastAsia="宋体" w:cs="Times New Roman"/>
                <w:color w:val="auto"/>
                <w:sz w:val="24"/>
                <w:highlight w:val="none"/>
                <w:lang w:val="en-US" w:eastAsia="zh-CN"/>
              </w:rPr>
              <w:t>。</w:t>
            </w:r>
          </w:p>
          <w:p w14:paraId="1E126315">
            <w:pPr>
              <w:spacing w:line="360" w:lineRule="auto"/>
              <w:ind w:firstLine="480" w:firstLineChars="200"/>
              <w:rPr>
                <w:color w:val="auto"/>
                <w:sz w:val="24"/>
              </w:rPr>
            </w:pPr>
            <w:r>
              <w:rPr>
                <w:rFonts w:hint="eastAsia" w:cs="Times New Roman"/>
                <w:color w:val="auto"/>
                <w:sz w:val="24"/>
                <w:highlight w:val="none"/>
                <w:lang w:val="en-US" w:eastAsia="zh-CN"/>
              </w:rPr>
              <w:t>（10）</w:t>
            </w:r>
            <w:r>
              <w:rPr>
                <w:rFonts w:hint="eastAsia"/>
                <w:color w:val="auto"/>
                <w:sz w:val="24"/>
                <w:lang w:eastAsia="zh-CN"/>
              </w:rPr>
              <w:t>本项目劳动定员为</w:t>
            </w:r>
            <w:r>
              <w:rPr>
                <w:rFonts w:hint="eastAsia"/>
                <w:color w:val="auto"/>
                <w:sz w:val="24"/>
                <w:lang w:val="en-US" w:eastAsia="zh-CN"/>
              </w:rPr>
              <w:t>30人，</w:t>
            </w:r>
            <w:r>
              <w:rPr>
                <w:rFonts w:ascii="Times New Roman" w:hAnsi="Times New Roman" w:cs="宋体"/>
                <w:color w:val="auto"/>
                <w:sz w:val="24"/>
              </w:rPr>
              <w:t>生活垃圾排放量按照</w:t>
            </w:r>
            <w:r>
              <w:rPr>
                <w:rFonts w:hint="eastAsia" w:ascii="Times New Roman" w:hAnsi="Times New Roman" w:cs="宋体"/>
                <w:color w:val="auto"/>
                <w:sz w:val="24"/>
                <w:lang w:val="en-US" w:eastAsia="zh-CN"/>
              </w:rPr>
              <w:t>0.5</w:t>
            </w:r>
            <w:r>
              <w:rPr>
                <w:rFonts w:ascii="Times New Roman" w:hAnsi="Times New Roman" w:cs="宋体"/>
                <w:color w:val="auto"/>
                <w:sz w:val="24"/>
              </w:rPr>
              <w:t>kg/</w:t>
            </w:r>
            <w:r>
              <w:rPr>
                <w:rFonts w:hint="eastAsia" w:ascii="Times New Roman" w:hAnsi="Times New Roman" w:cs="宋体"/>
                <w:color w:val="auto"/>
                <w:sz w:val="24"/>
              </w:rPr>
              <w:t>人.d计</w:t>
            </w:r>
            <w:r>
              <w:rPr>
                <w:rFonts w:ascii="Times New Roman" w:hAnsi="Times New Roman" w:cs="宋体"/>
                <w:color w:val="auto"/>
                <w:sz w:val="24"/>
              </w:rPr>
              <w:t>，年工作日</w:t>
            </w:r>
            <w:r>
              <w:rPr>
                <w:rFonts w:hint="eastAsia" w:ascii="Times New Roman" w:hAnsi="Times New Roman" w:cs="宋体"/>
                <w:color w:val="auto"/>
                <w:sz w:val="24"/>
              </w:rPr>
              <w:t>300天</w:t>
            </w:r>
            <w:r>
              <w:rPr>
                <w:rFonts w:hint="eastAsia"/>
                <w:color w:val="auto"/>
                <w:sz w:val="24"/>
                <w:lang w:val="en-US" w:eastAsia="zh-CN"/>
              </w:rPr>
              <w:t>，则年产生垃圾S10产生量</w:t>
            </w:r>
            <w:r>
              <w:rPr>
                <w:color w:val="auto"/>
                <w:sz w:val="24"/>
              </w:rPr>
              <w:t>约</w:t>
            </w:r>
            <w:r>
              <w:rPr>
                <w:rFonts w:hint="eastAsia"/>
                <w:color w:val="auto"/>
                <w:sz w:val="24"/>
                <w:lang w:val="en-US" w:eastAsia="zh-CN"/>
              </w:rPr>
              <w:t>为4.5</w:t>
            </w:r>
            <w:r>
              <w:rPr>
                <w:color w:val="auto"/>
                <w:sz w:val="24"/>
              </w:rPr>
              <w:t>t/a，</w:t>
            </w:r>
            <w:r>
              <w:rPr>
                <w:rFonts w:hint="eastAsia"/>
                <w:color w:val="auto"/>
                <w:sz w:val="24"/>
                <w:lang w:val="en-US" w:eastAsia="zh-CN"/>
              </w:rPr>
              <w:t>由环卫部门定期清运</w:t>
            </w:r>
            <w:r>
              <w:rPr>
                <w:color w:val="auto"/>
                <w:sz w:val="24"/>
              </w:rPr>
              <w:t>。</w:t>
            </w:r>
          </w:p>
          <w:p w14:paraId="53925D07">
            <w:pPr>
              <w:pStyle w:val="91"/>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项目固体废物识别见下表。</w:t>
            </w:r>
          </w:p>
          <w:p w14:paraId="2E39EF5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w:t>
            </w:r>
            <w:r>
              <w:rPr>
                <w:rFonts w:hint="eastAsia" w:eastAsia="黑体" w:cs="Times New Roman"/>
                <w:b w:val="0"/>
                <w:bCs w:val="0"/>
                <w:color w:val="auto"/>
                <w:kern w:val="0"/>
                <w:sz w:val="24"/>
                <w:szCs w:val="24"/>
                <w:highlight w:val="none"/>
                <w:lang w:val="en-US" w:eastAsia="zh-CN"/>
              </w:rPr>
              <w:t xml:space="preserve">13 </w:t>
            </w:r>
            <w:r>
              <w:rPr>
                <w:rFonts w:hint="default" w:ascii="Times New Roman" w:hAnsi="Times New Roman" w:eastAsia="黑体" w:cs="Times New Roman"/>
                <w:b w:val="0"/>
                <w:bCs w:val="0"/>
                <w:color w:val="auto"/>
                <w:kern w:val="0"/>
                <w:sz w:val="24"/>
                <w:szCs w:val="24"/>
                <w:highlight w:val="none"/>
                <w:lang w:val="en-US" w:eastAsia="zh-CN"/>
              </w:rPr>
              <w:t>固体废物分析结果汇总表</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1734"/>
              <w:gridCol w:w="1132"/>
              <w:gridCol w:w="686"/>
              <w:gridCol w:w="1074"/>
              <w:gridCol w:w="1299"/>
              <w:gridCol w:w="3137"/>
            </w:tblGrid>
            <w:tr w14:paraId="4EFB7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93" w:type="pct"/>
                  <w:noWrap w:val="0"/>
                  <w:tcMar>
                    <w:top w:w="0" w:type="dxa"/>
                    <w:left w:w="28" w:type="dxa"/>
                    <w:bottom w:w="0" w:type="dxa"/>
                    <w:right w:w="28" w:type="dxa"/>
                  </w:tcMar>
                  <w:vAlign w:val="center"/>
                </w:tcPr>
                <w:p w14:paraId="234EAEB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编号</w:t>
                  </w:r>
                </w:p>
              </w:tc>
              <w:tc>
                <w:tcPr>
                  <w:tcW w:w="862" w:type="pct"/>
                  <w:noWrap w:val="0"/>
                  <w:tcMar>
                    <w:top w:w="0" w:type="dxa"/>
                    <w:left w:w="28" w:type="dxa"/>
                    <w:bottom w:w="0" w:type="dxa"/>
                    <w:right w:w="28" w:type="dxa"/>
                  </w:tcMar>
                  <w:vAlign w:val="center"/>
                </w:tcPr>
                <w:p w14:paraId="4456D25C">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固体废物名称</w:t>
                  </w:r>
                </w:p>
              </w:tc>
              <w:tc>
                <w:tcPr>
                  <w:tcW w:w="563" w:type="pct"/>
                  <w:noWrap w:val="0"/>
                  <w:tcMar>
                    <w:top w:w="0" w:type="dxa"/>
                    <w:left w:w="28" w:type="dxa"/>
                    <w:bottom w:w="0" w:type="dxa"/>
                    <w:right w:w="28" w:type="dxa"/>
                  </w:tcMar>
                  <w:vAlign w:val="center"/>
                </w:tcPr>
                <w:p w14:paraId="18D7160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产生工序</w:t>
                  </w:r>
                </w:p>
              </w:tc>
              <w:tc>
                <w:tcPr>
                  <w:tcW w:w="341" w:type="pct"/>
                  <w:noWrap w:val="0"/>
                  <w:tcMar>
                    <w:top w:w="0" w:type="dxa"/>
                    <w:left w:w="28" w:type="dxa"/>
                    <w:bottom w:w="0" w:type="dxa"/>
                    <w:right w:w="28" w:type="dxa"/>
                  </w:tcMar>
                  <w:vAlign w:val="center"/>
                </w:tcPr>
                <w:p w14:paraId="36C98F6D">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形态</w:t>
                  </w:r>
                </w:p>
              </w:tc>
              <w:tc>
                <w:tcPr>
                  <w:tcW w:w="534" w:type="pct"/>
                  <w:noWrap w:val="0"/>
                  <w:tcMar>
                    <w:top w:w="0" w:type="dxa"/>
                    <w:left w:w="28" w:type="dxa"/>
                    <w:bottom w:w="0" w:type="dxa"/>
                    <w:right w:w="28" w:type="dxa"/>
                  </w:tcMar>
                  <w:vAlign w:val="center"/>
                </w:tcPr>
                <w:p w14:paraId="37AEF20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属性</w:t>
                  </w:r>
                </w:p>
              </w:tc>
              <w:tc>
                <w:tcPr>
                  <w:tcW w:w="646" w:type="pct"/>
                  <w:noWrap w:val="0"/>
                  <w:tcMar>
                    <w:top w:w="0" w:type="dxa"/>
                    <w:left w:w="28" w:type="dxa"/>
                    <w:bottom w:w="0" w:type="dxa"/>
                    <w:right w:w="28" w:type="dxa"/>
                  </w:tcMar>
                  <w:vAlign w:val="center"/>
                </w:tcPr>
                <w:p w14:paraId="7D258CBE">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产生量（t/a）</w:t>
                  </w:r>
                </w:p>
              </w:tc>
              <w:tc>
                <w:tcPr>
                  <w:tcW w:w="1560" w:type="pct"/>
                  <w:noWrap w:val="0"/>
                  <w:tcMar>
                    <w:top w:w="0" w:type="dxa"/>
                    <w:left w:w="28" w:type="dxa"/>
                    <w:bottom w:w="0" w:type="dxa"/>
                    <w:right w:w="28" w:type="dxa"/>
                  </w:tcMar>
                  <w:vAlign w:val="center"/>
                </w:tcPr>
                <w:p w14:paraId="750266F2">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default" w:ascii="Times New Roman" w:hAnsi="Times New Roman" w:eastAsia="宋体" w:cs="Times New Roman"/>
                      <w:b w:val="0"/>
                      <w:bCs w:val="0"/>
                      <w:i w:val="0"/>
                      <w:iCs w:val="0"/>
                      <w:color w:val="auto"/>
                      <w:sz w:val="21"/>
                      <w:szCs w:val="21"/>
                      <w:highlight w:val="none"/>
                      <w:lang w:val="en-US" w:eastAsia="zh-CN"/>
                    </w:rPr>
                    <w:t>处理措施</w:t>
                  </w:r>
                </w:p>
              </w:tc>
            </w:tr>
            <w:tr w14:paraId="53DFA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493" w:type="pct"/>
                  <w:shd w:val="clear" w:color="auto" w:fill="auto"/>
                  <w:noWrap w:val="0"/>
                  <w:tcMar>
                    <w:top w:w="0" w:type="dxa"/>
                    <w:left w:w="28" w:type="dxa"/>
                    <w:bottom w:w="0" w:type="dxa"/>
                    <w:right w:w="28" w:type="dxa"/>
                  </w:tcMar>
                  <w:vAlign w:val="center"/>
                </w:tcPr>
                <w:p w14:paraId="7BCADB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S1</w:t>
                  </w:r>
                </w:p>
              </w:tc>
              <w:tc>
                <w:tcPr>
                  <w:tcW w:w="862" w:type="pct"/>
                  <w:shd w:val="clear" w:color="auto" w:fill="auto"/>
                  <w:noWrap w:val="0"/>
                  <w:tcMar>
                    <w:top w:w="0" w:type="dxa"/>
                    <w:left w:w="28" w:type="dxa"/>
                    <w:bottom w:w="0" w:type="dxa"/>
                    <w:right w:w="28" w:type="dxa"/>
                  </w:tcMar>
                  <w:vAlign w:val="center"/>
                </w:tcPr>
                <w:p w14:paraId="11A460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废包装物</w:t>
                  </w:r>
                </w:p>
              </w:tc>
              <w:tc>
                <w:tcPr>
                  <w:tcW w:w="563" w:type="pct"/>
                  <w:shd w:val="clear" w:color="auto" w:fill="auto"/>
                  <w:noWrap w:val="0"/>
                  <w:tcMar>
                    <w:top w:w="0" w:type="dxa"/>
                    <w:left w:w="28" w:type="dxa"/>
                    <w:bottom w:w="0" w:type="dxa"/>
                    <w:right w:w="28" w:type="dxa"/>
                  </w:tcMar>
                  <w:vAlign w:val="center"/>
                </w:tcPr>
                <w:p w14:paraId="076BCD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原料</w:t>
                  </w:r>
                  <w:r>
                    <w:rPr>
                      <w:rFonts w:hint="default" w:ascii="Times New Roman" w:hAnsi="Times New Roman" w:eastAsia="宋体" w:cs="Times New Roman"/>
                      <w:color w:val="auto"/>
                      <w:sz w:val="21"/>
                      <w:szCs w:val="21"/>
                      <w:highlight w:val="none"/>
                    </w:rPr>
                    <w:t>使用</w:t>
                  </w:r>
                  <w:r>
                    <w:rPr>
                      <w:rFonts w:hint="eastAsia" w:ascii="Times New Roman" w:hAnsi="Times New Roman" w:eastAsia="宋体" w:cs="Times New Roman"/>
                      <w:color w:val="auto"/>
                      <w:sz w:val="21"/>
                      <w:szCs w:val="21"/>
                      <w:highlight w:val="none"/>
                    </w:rPr>
                    <w:t>过程</w:t>
                  </w:r>
                </w:p>
              </w:tc>
              <w:tc>
                <w:tcPr>
                  <w:tcW w:w="341" w:type="pct"/>
                  <w:shd w:val="clear" w:color="auto" w:fill="auto"/>
                  <w:noWrap w:val="0"/>
                  <w:tcMar>
                    <w:top w:w="0" w:type="dxa"/>
                    <w:left w:w="28" w:type="dxa"/>
                    <w:bottom w:w="0" w:type="dxa"/>
                    <w:right w:w="28" w:type="dxa"/>
                  </w:tcMar>
                  <w:vAlign w:val="center"/>
                </w:tcPr>
                <w:p w14:paraId="677337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shd w:val="clear" w:color="auto" w:fill="auto"/>
                  <w:noWrap w:val="0"/>
                  <w:tcMar>
                    <w:top w:w="0" w:type="dxa"/>
                    <w:left w:w="28" w:type="dxa"/>
                    <w:bottom w:w="0" w:type="dxa"/>
                    <w:right w:w="28" w:type="dxa"/>
                  </w:tcMar>
                  <w:vAlign w:val="center"/>
                </w:tcPr>
                <w:p w14:paraId="0F5E6F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一般固体废物</w:t>
                  </w:r>
                </w:p>
              </w:tc>
              <w:tc>
                <w:tcPr>
                  <w:tcW w:w="646" w:type="pct"/>
                  <w:noWrap w:val="0"/>
                  <w:tcMar>
                    <w:top w:w="0" w:type="dxa"/>
                    <w:left w:w="28" w:type="dxa"/>
                    <w:bottom w:w="0" w:type="dxa"/>
                    <w:right w:w="28" w:type="dxa"/>
                  </w:tcMar>
                  <w:vAlign w:val="center"/>
                </w:tcPr>
                <w:p w14:paraId="6D104A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1560" w:type="pct"/>
                  <w:noWrap w:val="0"/>
                  <w:tcMar>
                    <w:top w:w="0" w:type="dxa"/>
                    <w:left w:w="28" w:type="dxa"/>
                    <w:bottom w:w="0" w:type="dxa"/>
                    <w:right w:w="28" w:type="dxa"/>
                  </w:tcMar>
                  <w:vAlign w:val="center"/>
                </w:tcPr>
                <w:p w14:paraId="3ECCF3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统一收集后外售处置</w:t>
                  </w:r>
                </w:p>
              </w:tc>
            </w:tr>
            <w:tr w14:paraId="0B1F4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493" w:type="pct"/>
                  <w:shd w:val="clear" w:color="auto" w:fill="auto"/>
                  <w:noWrap w:val="0"/>
                  <w:tcMar>
                    <w:top w:w="0" w:type="dxa"/>
                    <w:left w:w="28" w:type="dxa"/>
                    <w:bottom w:w="0" w:type="dxa"/>
                    <w:right w:w="28" w:type="dxa"/>
                  </w:tcMar>
                  <w:vAlign w:val="center"/>
                </w:tcPr>
                <w:p w14:paraId="6A0C6A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S2</w:t>
                  </w:r>
                </w:p>
              </w:tc>
              <w:tc>
                <w:tcPr>
                  <w:tcW w:w="862" w:type="pct"/>
                  <w:shd w:val="clear" w:color="auto" w:fill="auto"/>
                  <w:noWrap w:val="0"/>
                  <w:tcMar>
                    <w:top w:w="0" w:type="dxa"/>
                    <w:left w:w="28" w:type="dxa"/>
                    <w:bottom w:w="0" w:type="dxa"/>
                    <w:right w:w="28" w:type="dxa"/>
                  </w:tcMar>
                  <w:vAlign w:val="center"/>
                </w:tcPr>
                <w:p w14:paraId="353199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除尘器收集粉尘</w:t>
                  </w:r>
                </w:p>
              </w:tc>
              <w:tc>
                <w:tcPr>
                  <w:tcW w:w="563" w:type="pct"/>
                  <w:shd w:val="clear" w:color="auto" w:fill="auto"/>
                  <w:noWrap w:val="0"/>
                  <w:tcMar>
                    <w:top w:w="0" w:type="dxa"/>
                    <w:left w:w="28" w:type="dxa"/>
                    <w:bottom w:w="0" w:type="dxa"/>
                    <w:right w:w="28" w:type="dxa"/>
                  </w:tcMar>
                  <w:vAlign w:val="center"/>
                </w:tcPr>
                <w:p w14:paraId="66A39E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布袋除尘器</w:t>
                  </w:r>
                </w:p>
              </w:tc>
              <w:tc>
                <w:tcPr>
                  <w:tcW w:w="341" w:type="pct"/>
                  <w:shd w:val="clear" w:color="auto" w:fill="auto"/>
                  <w:noWrap w:val="0"/>
                  <w:tcMar>
                    <w:top w:w="0" w:type="dxa"/>
                    <w:left w:w="28" w:type="dxa"/>
                    <w:bottom w:w="0" w:type="dxa"/>
                    <w:right w:w="28" w:type="dxa"/>
                  </w:tcMar>
                  <w:vAlign w:val="center"/>
                </w:tcPr>
                <w:p w14:paraId="4B4603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shd w:val="clear" w:color="auto" w:fill="auto"/>
                  <w:noWrap w:val="0"/>
                  <w:tcMar>
                    <w:top w:w="0" w:type="dxa"/>
                    <w:left w:w="28" w:type="dxa"/>
                    <w:bottom w:w="0" w:type="dxa"/>
                    <w:right w:w="28" w:type="dxa"/>
                  </w:tcMar>
                  <w:vAlign w:val="center"/>
                </w:tcPr>
                <w:p w14:paraId="47ED45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一般固体废物</w:t>
                  </w:r>
                </w:p>
              </w:tc>
              <w:tc>
                <w:tcPr>
                  <w:tcW w:w="646" w:type="pct"/>
                  <w:noWrap w:val="0"/>
                  <w:tcMar>
                    <w:top w:w="0" w:type="dxa"/>
                    <w:left w:w="28" w:type="dxa"/>
                    <w:bottom w:w="0" w:type="dxa"/>
                    <w:right w:w="28" w:type="dxa"/>
                  </w:tcMar>
                  <w:vAlign w:val="center"/>
                </w:tcPr>
                <w:p w14:paraId="2568DC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1.88</w:t>
                  </w:r>
                </w:p>
              </w:tc>
              <w:tc>
                <w:tcPr>
                  <w:tcW w:w="1560" w:type="pct"/>
                  <w:noWrap w:val="0"/>
                  <w:tcMar>
                    <w:top w:w="0" w:type="dxa"/>
                    <w:left w:w="28" w:type="dxa"/>
                    <w:bottom w:w="0" w:type="dxa"/>
                    <w:right w:w="28" w:type="dxa"/>
                  </w:tcMar>
                  <w:vAlign w:val="center"/>
                </w:tcPr>
                <w:p w14:paraId="3120F6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统一收集后外售处置</w:t>
                  </w:r>
                </w:p>
              </w:tc>
            </w:tr>
            <w:tr w14:paraId="25064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shd w:val="clear" w:color="auto" w:fill="auto"/>
                  <w:noWrap w:val="0"/>
                  <w:tcMar>
                    <w:top w:w="0" w:type="dxa"/>
                    <w:left w:w="28" w:type="dxa"/>
                    <w:bottom w:w="0" w:type="dxa"/>
                    <w:right w:w="28" w:type="dxa"/>
                  </w:tcMar>
                  <w:vAlign w:val="center"/>
                </w:tcPr>
                <w:p w14:paraId="5C4287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S3</w:t>
                  </w:r>
                </w:p>
              </w:tc>
              <w:tc>
                <w:tcPr>
                  <w:tcW w:w="862" w:type="pct"/>
                  <w:shd w:val="clear" w:color="auto" w:fill="auto"/>
                  <w:noWrap w:val="0"/>
                  <w:tcMar>
                    <w:top w:w="0" w:type="dxa"/>
                    <w:left w:w="28" w:type="dxa"/>
                    <w:bottom w:w="0" w:type="dxa"/>
                    <w:right w:w="28" w:type="dxa"/>
                  </w:tcMar>
                  <w:vAlign w:val="center"/>
                </w:tcPr>
                <w:p w14:paraId="3E11C7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纺丝组件清洗废渣</w:t>
                  </w:r>
                </w:p>
              </w:tc>
              <w:tc>
                <w:tcPr>
                  <w:tcW w:w="563" w:type="pct"/>
                  <w:shd w:val="clear" w:color="auto" w:fill="auto"/>
                  <w:noWrap w:val="0"/>
                  <w:tcMar>
                    <w:top w:w="0" w:type="dxa"/>
                    <w:left w:w="28" w:type="dxa"/>
                    <w:bottom w:w="0" w:type="dxa"/>
                    <w:right w:w="28" w:type="dxa"/>
                  </w:tcMar>
                  <w:vAlign w:val="center"/>
                </w:tcPr>
                <w:p w14:paraId="352AF1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纺丝组件清洗</w:t>
                  </w:r>
                </w:p>
              </w:tc>
              <w:tc>
                <w:tcPr>
                  <w:tcW w:w="341" w:type="pct"/>
                  <w:shd w:val="clear" w:color="auto" w:fill="auto"/>
                  <w:noWrap w:val="0"/>
                  <w:tcMar>
                    <w:top w:w="0" w:type="dxa"/>
                    <w:left w:w="28" w:type="dxa"/>
                    <w:bottom w:w="0" w:type="dxa"/>
                    <w:right w:w="28" w:type="dxa"/>
                  </w:tcMar>
                  <w:vAlign w:val="center"/>
                </w:tcPr>
                <w:p w14:paraId="0ACDBE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shd w:val="clear" w:color="auto" w:fill="auto"/>
                  <w:noWrap w:val="0"/>
                  <w:tcMar>
                    <w:top w:w="0" w:type="dxa"/>
                    <w:left w:w="28" w:type="dxa"/>
                    <w:bottom w:w="0" w:type="dxa"/>
                    <w:right w:w="28" w:type="dxa"/>
                  </w:tcMar>
                  <w:vAlign w:val="center"/>
                </w:tcPr>
                <w:p w14:paraId="7DD592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tc>
              <w:tc>
                <w:tcPr>
                  <w:tcW w:w="646" w:type="pct"/>
                  <w:noWrap w:val="0"/>
                  <w:tcMar>
                    <w:top w:w="0" w:type="dxa"/>
                    <w:left w:w="28" w:type="dxa"/>
                    <w:bottom w:w="0" w:type="dxa"/>
                    <w:right w:w="28" w:type="dxa"/>
                  </w:tcMar>
                  <w:vAlign w:val="center"/>
                </w:tcPr>
                <w:p w14:paraId="6BBB39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560" w:type="pct"/>
                  <w:noWrap w:val="0"/>
                  <w:tcMar>
                    <w:top w:w="0" w:type="dxa"/>
                    <w:left w:w="28" w:type="dxa"/>
                    <w:bottom w:w="0" w:type="dxa"/>
                    <w:right w:w="28" w:type="dxa"/>
                  </w:tcMar>
                  <w:vAlign w:val="center"/>
                </w:tcPr>
                <w:p w14:paraId="191335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暂存在危废间，交由有资质的单位处置</w:t>
                  </w:r>
                </w:p>
              </w:tc>
            </w:tr>
            <w:tr w14:paraId="66612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noWrap w:val="0"/>
                  <w:tcMar>
                    <w:top w:w="0" w:type="dxa"/>
                    <w:left w:w="28" w:type="dxa"/>
                    <w:bottom w:w="0" w:type="dxa"/>
                    <w:right w:w="28" w:type="dxa"/>
                  </w:tcMar>
                  <w:vAlign w:val="center"/>
                </w:tcPr>
                <w:p w14:paraId="455CCD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S4</w:t>
                  </w:r>
                </w:p>
              </w:tc>
              <w:tc>
                <w:tcPr>
                  <w:tcW w:w="862" w:type="pct"/>
                  <w:shd w:val="clear" w:color="auto" w:fill="auto"/>
                  <w:noWrap w:val="0"/>
                  <w:tcMar>
                    <w:top w:w="0" w:type="dxa"/>
                    <w:left w:w="28" w:type="dxa"/>
                    <w:bottom w:w="0" w:type="dxa"/>
                    <w:right w:w="28" w:type="dxa"/>
                  </w:tcMar>
                  <w:vAlign w:val="center"/>
                </w:tcPr>
                <w:p w14:paraId="67A0B9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废油剂容器</w:t>
                  </w:r>
                </w:p>
              </w:tc>
              <w:tc>
                <w:tcPr>
                  <w:tcW w:w="563" w:type="pct"/>
                  <w:shd w:val="clear" w:color="auto" w:fill="auto"/>
                  <w:noWrap w:val="0"/>
                  <w:tcMar>
                    <w:top w:w="0" w:type="dxa"/>
                    <w:left w:w="28" w:type="dxa"/>
                    <w:bottom w:w="0" w:type="dxa"/>
                    <w:right w:w="28" w:type="dxa"/>
                  </w:tcMar>
                  <w:vAlign w:val="center"/>
                </w:tcPr>
                <w:p w14:paraId="5AC697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集束上油工序</w:t>
                  </w:r>
                </w:p>
              </w:tc>
              <w:tc>
                <w:tcPr>
                  <w:tcW w:w="341" w:type="pct"/>
                  <w:shd w:val="clear" w:color="auto" w:fill="auto"/>
                  <w:noWrap w:val="0"/>
                  <w:tcMar>
                    <w:top w:w="0" w:type="dxa"/>
                    <w:left w:w="28" w:type="dxa"/>
                    <w:bottom w:w="0" w:type="dxa"/>
                    <w:right w:w="28" w:type="dxa"/>
                  </w:tcMar>
                  <w:vAlign w:val="center"/>
                </w:tcPr>
                <w:p w14:paraId="52EB1A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shd w:val="clear" w:color="auto" w:fill="auto"/>
                  <w:noWrap w:val="0"/>
                  <w:tcMar>
                    <w:top w:w="0" w:type="dxa"/>
                    <w:left w:w="28" w:type="dxa"/>
                    <w:bottom w:w="0" w:type="dxa"/>
                    <w:right w:w="28" w:type="dxa"/>
                  </w:tcMar>
                  <w:vAlign w:val="center"/>
                </w:tcPr>
                <w:p w14:paraId="7A8825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646" w:type="pct"/>
                  <w:noWrap w:val="0"/>
                  <w:tcMar>
                    <w:top w:w="0" w:type="dxa"/>
                    <w:left w:w="28" w:type="dxa"/>
                    <w:bottom w:w="0" w:type="dxa"/>
                    <w:right w:w="28" w:type="dxa"/>
                  </w:tcMar>
                  <w:vAlign w:val="center"/>
                </w:tcPr>
                <w:p w14:paraId="796521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1560" w:type="pct"/>
                  <w:noWrap w:val="0"/>
                  <w:tcMar>
                    <w:top w:w="0" w:type="dxa"/>
                    <w:left w:w="28" w:type="dxa"/>
                    <w:bottom w:w="0" w:type="dxa"/>
                    <w:right w:w="28" w:type="dxa"/>
                  </w:tcMar>
                  <w:vAlign w:val="center"/>
                </w:tcPr>
                <w:p w14:paraId="242478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暂存在危废间，交由有资质的单位处置</w:t>
                  </w:r>
                </w:p>
              </w:tc>
            </w:tr>
            <w:tr w14:paraId="509D2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noWrap w:val="0"/>
                  <w:tcMar>
                    <w:top w:w="0" w:type="dxa"/>
                    <w:left w:w="28" w:type="dxa"/>
                    <w:bottom w:w="0" w:type="dxa"/>
                    <w:right w:w="28" w:type="dxa"/>
                  </w:tcMar>
                  <w:vAlign w:val="center"/>
                </w:tcPr>
                <w:p w14:paraId="6D7567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S5</w:t>
                  </w:r>
                </w:p>
              </w:tc>
              <w:tc>
                <w:tcPr>
                  <w:tcW w:w="862" w:type="pct"/>
                  <w:shd w:val="clear" w:color="auto" w:fill="auto"/>
                  <w:noWrap w:val="0"/>
                  <w:tcMar>
                    <w:top w:w="0" w:type="dxa"/>
                    <w:left w:w="28" w:type="dxa"/>
                    <w:bottom w:w="0" w:type="dxa"/>
                    <w:right w:w="28" w:type="dxa"/>
                  </w:tcMar>
                  <w:vAlign w:val="center"/>
                </w:tcPr>
                <w:p w14:paraId="24FAB9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碎发丝</w:t>
                  </w:r>
                </w:p>
              </w:tc>
              <w:tc>
                <w:tcPr>
                  <w:tcW w:w="563" w:type="pct"/>
                  <w:shd w:val="clear" w:color="auto" w:fill="auto"/>
                  <w:noWrap w:val="0"/>
                  <w:tcMar>
                    <w:top w:w="0" w:type="dxa"/>
                    <w:left w:w="28" w:type="dxa"/>
                    <w:bottom w:w="0" w:type="dxa"/>
                    <w:right w:w="28" w:type="dxa"/>
                  </w:tcMar>
                  <w:vAlign w:val="center"/>
                </w:tcPr>
                <w:p w14:paraId="68C337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剪裁、牵伸工序</w:t>
                  </w:r>
                </w:p>
              </w:tc>
              <w:tc>
                <w:tcPr>
                  <w:tcW w:w="341" w:type="pct"/>
                  <w:shd w:val="clear" w:color="auto" w:fill="auto"/>
                  <w:noWrap w:val="0"/>
                  <w:tcMar>
                    <w:top w:w="0" w:type="dxa"/>
                    <w:left w:w="28" w:type="dxa"/>
                    <w:bottom w:w="0" w:type="dxa"/>
                    <w:right w:w="28" w:type="dxa"/>
                  </w:tcMar>
                  <w:vAlign w:val="center"/>
                </w:tcPr>
                <w:p w14:paraId="01C256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shd w:val="clear" w:color="auto" w:fill="auto"/>
                  <w:noWrap w:val="0"/>
                  <w:tcMar>
                    <w:top w:w="0" w:type="dxa"/>
                    <w:left w:w="28" w:type="dxa"/>
                    <w:bottom w:w="0" w:type="dxa"/>
                    <w:right w:w="28" w:type="dxa"/>
                  </w:tcMar>
                  <w:vAlign w:val="center"/>
                </w:tcPr>
                <w:p w14:paraId="420F04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一般固体废物</w:t>
                  </w:r>
                </w:p>
              </w:tc>
              <w:tc>
                <w:tcPr>
                  <w:tcW w:w="646" w:type="pct"/>
                  <w:noWrap w:val="0"/>
                  <w:tcMar>
                    <w:top w:w="0" w:type="dxa"/>
                    <w:left w:w="28" w:type="dxa"/>
                    <w:bottom w:w="0" w:type="dxa"/>
                    <w:right w:w="28" w:type="dxa"/>
                  </w:tcMar>
                  <w:vAlign w:val="center"/>
                </w:tcPr>
                <w:p w14:paraId="25D27B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560" w:type="pct"/>
                  <w:noWrap w:val="0"/>
                  <w:tcMar>
                    <w:top w:w="0" w:type="dxa"/>
                    <w:left w:w="28" w:type="dxa"/>
                    <w:bottom w:w="0" w:type="dxa"/>
                    <w:right w:w="28" w:type="dxa"/>
                  </w:tcMar>
                  <w:vAlign w:val="center"/>
                </w:tcPr>
                <w:p w14:paraId="2B99E7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统一收集后外售处置</w:t>
                  </w:r>
                </w:p>
              </w:tc>
            </w:tr>
            <w:tr w14:paraId="45D26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noWrap w:val="0"/>
                  <w:tcMar>
                    <w:top w:w="0" w:type="dxa"/>
                    <w:left w:w="28" w:type="dxa"/>
                    <w:bottom w:w="0" w:type="dxa"/>
                    <w:right w:w="28" w:type="dxa"/>
                  </w:tcMar>
                  <w:vAlign w:val="center"/>
                </w:tcPr>
                <w:p w14:paraId="76DFD4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S6</w:t>
                  </w:r>
                </w:p>
              </w:tc>
              <w:tc>
                <w:tcPr>
                  <w:tcW w:w="862" w:type="pct"/>
                  <w:shd w:val="clear" w:color="auto" w:fill="auto"/>
                  <w:noWrap w:val="0"/>
                  <w:tcMar>
                    <w:top w:w="0" w:type="dxa"/>
                    <w:left w:w="28" w:type="dxa"/>
                    <w:bottom w:w="0" w:type="dxa"/>
                    <w:right w:w="28" w:type="dxa"/>
                  </w:tcMar>
                  <w:vAlign w:val="center"/>
                </w:tcPr>
                <w:p w14:paraId="3F1547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563" w:type="pct"/>
                  <w:shd w:val="clear" w:color="auto" w:fill="auto"/>
                  <w:noWrap w:val="0"/>
                  <w:tcMar>
                    <w:top w:w="0" w:type="dxa"/>
                    <w:left w:w="28" w:type="dxa"/>
                    <w:bottom w:w="0" w:type="dxa"/>
                    <w:right w:w="28" w:type="dxa"/>
                  </w:tcMar>
                  <w:vAlign w:val="center"/>
                </w:tcPr>
                <w:p w14:paraId="52BD27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设备检修及维护</w:t>
                  </w:r>
                </w:p>
              </w:tc>
              <w:tc>
                <w:tcPr>
                  <w:tcW w:w="341" w:type="pct"/>
                  <w:shd w:val="clear" w:color="auto" w:fill="auto"/>
                  <w:noWrap w:val="0"/>
                  <w:tcMar>
                    <w:top w:w="0" w:type="dxa"/>
                    <w:left w:w="28" w:type="dxa"/>
                    <w:bottom w:w="0" w:type="dxa"/>
                    <w:right w:w="28" w:type="dxa"/>
                  </w:tcMar>
                  <w:vAlign w:val="center"/>
                </w:tcPr>
                <w:p w14:paraId="45085F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液体</w:t>
                  </w:r>
                </w:p>
              </w:tc>
              <w:tc>
                <w:tcPr>
                  <w:tcW w:w="534" w:type="pct"/>
                  <w:shd w:val="clear" w:color="auto" w:fill="auto"/>
                  <w:noWrap w:val="0"/>
                  <w:tcMar>
                    <w:top w:w="0" w:type="dxa"/>
                    <w:left w:w="28" w:type="dxa"/>
                    <w:bottom w:w="0" w:type="dxa"/>
                    <w:right w:w="28" w:type="dxa"/>
                  </w:tcMar>
                  <w:vAlign w:val="center"/>
                </w:tcPr>
                <w:p w14:paraId="4CF72B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646" w:type="pct"/>
                  <w:noWrap w:val="0"/>
                  <w:tcMar>
                    <w:top w:w="0" w:type="dxa"/>
                    <w:left w:w="28" w:type="dxa"/>
                    <w:bottom w:w="0" w:type="dxa"/>
                    <w:right w:w="28" w:type="dxa"/>
                  </w:tcMar>
                  <w:vAlign w:val="center"/>
                </w:tcPr>
                <w:p w14:paraId="18C7D2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1560" w:type="pct"/>
                  <w:noWrap w:val="0"/>
                  <w:tcMar>
                    <w:top w:w="0" w:type="dxa"/>
                    <w:left w:w="28" w:type="dxa"/>
                    <w:bottom w:w="0" w:type="dxa"/>
                    <w:right w:w="28" w:type="dxa"/>
                  </w:tcMar>
                  <w:vAlign w:val="center"/>
                </w:tcPr>
                <w:p w14:paraId="560E26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暂存在危废间，交由有资质的单位处置</w:t>
                  </w:r>
                </w:p>
              </w:tc>
            </w:tr>
            <w:tr w14:paraId="06189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vAlign w:val="center"/>
                </w:tcPr>
                <w:p w14:paraId="0F7D4E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S7</w:t>
                  </w:r>
                </w:p>
              </w:tc>
              <w:tc>
                <w:tcPr>
                  <w:tcW w:w="862" w:type="pct"/>
                  <w:shd w:val="clear" w:color="auto" w:fill="auto"/>
                  <w:vAlign w:val="center"/>
                </w:tcPr>
                <w:p w14:paraId="32E4B0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废机油桶</w:t>
                  </w:r>
                </w:p>
              </w:tc>
              <w:tc>
                <w:tcPr>
                  <w:tcW w:w="563" w:type="pct"/>
                  <w:shd w:val="clear" w:color="auto" w:fill="auto"/>
                  <w:vAlign w:val="center"/>
                </w:tcPr>
                <w:p w14:paraId="31142D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设备检修及维护</w:t>
                  </w:r>
                </w:p>
              </w:tc>
              <w:tc>
                <w:tcPr>
                  <w:tcW w:w="341" w:type="pct"/>
                  <w:vAlign w:val="center"/>
                </w:tcPr>
                <w:p w14:paraId="0FEA5E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vAlign w:val="center"/>
                </w:tcPr>
                <w:p w14:paraId="589502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646" w:type="pct"/>
                  <w:vAlign w:val="center"/>
                </w:tcPr>
                <w:p w14:paraId="75B1AE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w:t>
                  </w:r>
                </w:p>
              </w:tc>
              <w:tc>
                <w:tcPr>
                  <w:tcW w:w="1560" w:type="pct"/>
                  <w:vAlign w:val="center"/>
                </w:tcPr>
                <w:p w14:paraId="2695D9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暂存在危废间，交由有资质的单位处置</w:t>
                  </w:r>
                </w:p>
              </w:tc>
            </w:tr>
            <w:tr w14:paraId="06B9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vAlign w:val="center"/>
                </w:tcPr>
                <w:p w14:paraId="212A6D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S8</w:t>
                  </w:r>
                </w:p>
              </w:tc>
              <w:tc>
                <w:tcPr>
                  <w:tcW w:w="862" w:type="pct"/>
                  <w:shd w:val="clear" w:color="auto" w:fill="auto"/>
                  <w:vAlign w:val="center"/>
                </w:tcPr>
                <w:p w14:paraId="3CA504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废活性炭</w:t>
                  </w:r>
                </w:p>
              </w:tc>
              <w:tc>
                <w:tcPr>
                  <w:tcW w:w="563" w:type="pct"/>
                  <w:shd w:val="clear" w:color="auto" w:fill="auto"/>
                  <w:vAlign w:val="center"/>
                </w:tcPr>
                <w:p w14:paraId="1A3359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废气治理</w:t>
                  </w:r>
                </w:p>
              </w:tc>
              <w:tc>
                <w:tcPr>
                  <w:tcW w:w="341" w:type="pct"/>
                  <w:vAlign w:val="center"/>
                </w:tcPr>
                <w:p w14:paraId="209D7D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vAlign w:val="center"/>
                </w:tcPr>
                <w:p w14:paraId="339279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646" w:type="pct"/>
                  <w:vAlign w:val="center"/>
                </w:tcPr>
                <w:p w14:paraId="772A0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3.88</w:t>
                  </w:r>
                </w:p>
              </w:tc>
              <w:tc>
                <w:tcPr>
                  <w:tcW w:w="1560" w:type="pct"/>
                  <w:vAlign w:val="center"/>
                </w:tcPr>
                <w:p w14:paraId="15A896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暂存在危废间，交由有资质的单位处置</w:t>
                  </w:r>
                </w:p>
              </w:tc>
            </w:tr>
            <w:tr w14:paraId="1252E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vAlign w:val="center"/>
                </w:tcPr>
                <w:p w14:paraId="69398C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S9</w:t>
                  </w:r>
                </w:p>
              </w:tc>
              <w:tc>
                <w:tcPr>
                  <w:tcW w:w="862" w:type="pct"/>
                  <w:shd w:val="clear" w:color="auto" w:fill="auto"/>
                  <w:vAlign w:val="center"/>
                </w:tcPr>
                <w:p w14:paraId="58E84A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沉淀池污泥</w:t>
                  </w:r>
                </w:p>
              </w:tc>
              <w:tc>
                <w:tcPr>
                  <w:tcW w:w="563" w:type="pct"/>
                  <w:shd w:val="clear" w:color="auto" w:fill="auto"/>
                  <w:vAlign w:val="center"/>
                </w:tcPr>
                <w:p w14:paraId="217529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沉淀池</w:t>
                  </w:r>
                </w:p>
              </w:tc>
              <w:tc>
                <w:tcPr>
                  <w:tcW w:w="341" w:type="pct"/>
                  <w:vAlign w:val="center"/>
                </w:tcPr>
                <w:p w14:paraId="0CE33C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vAlign w:val="center"/>
                </w:tcPr>
                <w:p w14:paraId="54CFE6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危险废物</w:t>
                  </w:r>
                </w:p>
              </w:tc>
              <w:tc>
                <w:tcPr>
                  <w:tcW w:w="646" w:type="pct"/>
                  <w:vAlign w:val="center"/>
                </w:tcPr>
                <w:p w14:paraId="59F678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1560" w:type="pct"/>
                  <w:vAlign w:val="center"/>
                </w:tcPr>
                <w:p w14:paraId="444094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暂存在危废间，交由有资质的单位处置</w:t>
                  </w:r>
                </w:p>
              </w:tc>
            </w:tr>
            <w:tr w14:paraId="7A3DE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93" w:type="pct"/>
                  <w:shd w:val="clear" w:color="auto" w:fill="auto"/>
                  <w:vAlign w:val="center"/>
                </w:tcPr>
                <w:p w14:paraId="5ABDBF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w:t>
                  </w:r>
                  <w:r>
                    <w:rPr>
                      <w:rFonts w:hint="eastAsia" w:cs="Times New Roman"/>
                      <w:color w:val="auto"/>
                      <w:sz w:val="21"/>
                      <w:szCs w:val="21"/>
                      <w:highlight w:val="none"/>
                      <w:lang w:val="en-US" w:eastAsia="zh-CN"/>
                    </w:rPr>
                    <w:t>10</w:t>
                  </w:r>
                </w:p>
              </w:tc>
              <w:tc>
                <w:tcPr>
                  <w:tcW w:w="862" w:type="pct"/>
                  <w:shd w:val="clear" w:color="auto" w:fill="auto"/>
                  <w:vAlign w:val="center"/>
                </w:tcPr>
                <w:p w14:paraId="26F06B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563" w:type="pct"/>
                  <w:shd w:val="clear" w:color="auto" w:fill="auto"/>
                  <w:vAlign w:val="center"/>
                </w:tcPr>
                <w:p w14:paraId="15C362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办公、生活</w:t>
                  </w:r>
                </w:p>
              </w:tc>
              <w:tc>
                <w:tcPr>
                  <w:tcW w:w="341" w:type="pct"/>
                  <w:vAlign w:val="center"/>
                </w:tcPr>
                <w:p w14:paraId="55FA75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固体</w:t>
                  </w:r>
                </w:p>
              </w:tc>
              <w:tc>
                <w:tcPr>
                  <w:tcW w:w="534" w:type="pct"/>
                  <w:vAlign w:val="center"/>
                </w:tcPr>
                <w:p w14:paraId="636BE2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46" w:type="pct"/>
                  <w:vAlign w:val="center"/>
                </w:tcPr>
                <w:p w14:paraId="352350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w:t>
                  </w:r>
                </w:p>
              </w:tc>
              <w:tc>
                <w:tcPr>
                  <w:tcW w:w="1560" w:type="pct"/>
                  <w:shd w:val="clear" w:color="auto" w:fill="auto"/>
                  <w:vAlign w:val="center"/>
                </w:tcPr>
                <w:p w14:paraId="7E3118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暂存厂区垃圾桶，由环卫部门统一清运</w:t>
                  </w:r>
                </w:p>
              </w:tc>
            </w:tr>
          </w:tbl>
          <w:p w14:paraId="4D61091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w:t>
            </w:r>
            <w:r>
              <w:rPr>
                <w:rFonts w:hint="eastAsia" w:ascii="Times New Roman" w:hAnsi="Times New Roman" w:eastAsia="黑体" w:cs="Times New Roman"/>
                <w:b w:val="0"/>
                <w:bCs w:val="0"/>
                <w:color w:val="auto"/>
                <w:kern w:val="0"/>
                <w:sz w:val="24"/>
                <w:szCs w:val="24"/>
                <w:highlight w:val="none"/>
                <w:lang w:val="en-US" w:eastAsia="zh-CN"/>
              </w:rPr>
              <w:t>1</w:t>
            </w:r>
            <w:r>
              <w:rPr>
                <w:rFonts w:hint="eastAsia" w:eastAsia="黑体" w:cs="Times New Roman"/>
                <w:b w:val="0"/>
                <w:bCs w:val="0"/>
                <w:color w:val="auto"/>
                <w:kern w:val="0"/>
                <w:sz w:val="24"/>
                <w:szCs w:val="24"/>
                <w:highlight w:val="none"/>
                <w:lang w:val="en-US" w:eastAsia="zh-CN"/>
              </w:rPr>
              <w:t>4</w:t>
            </w:r>
            <w:r>
              <w:rPr>
                <w:rFonts w:hint="eastAsia" w:ascii="Times New Roman" w:hAnsi="Times New Roman" w:eastAsia="黑体" w:cs="Times New Roman"/>
                <w:b w:val="0"/>
                <w:bCs w:val="0"/>
                <w:color w:val="auto"/>
                <w:kern w:val="0"/>
                <w:sz w:val="24"/>
                <w:szCs w:val="24"/>
                <w:highlight w:val="none"/>
                <w:lang w:val="en-US" w:eastAsia="zh-CN"/>
              </w:rPr>
              <w:t xml:space="preserve"> 本项目危险废物</w:t>
            </w:r>
            <w:r>
              <w:rPr>
                <w:rFonts w:hint="default" w:ascii="Times New Roman" w:hAnsi="Times New Roman" w:eastAsia="黑体" w:cs="Times New Roman"/>
                <w:b w:val="0"/>
                <w:bCs w:val="0"/>
                <w:color w:val="auto"/>
                <w:kern w:val="0"/>
                <w:sz w:val="24"/>
                <w:szCs w:val="24"/>
                <w:highlight w:val="none"/>
                <w:lang w:val="en-US" w:eastAsia="zh-CN"/>
              </w:rPr>
              <w:t>汇总表</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1229"/>
              <w:gridCol w:w="872"/>
              <w:gridCol w:w="1413"/>
              <w:gridCol w:w="823"/>
              <w:gridCol w:w="1051"/>
              <w:gridCol w:w="954"/>
              <w:gridCol w:w="793"/>
              <w:gridCol w:w="713"/>
              <w:gridCol w:w="735"/>
              <w:gridCol w:w="1033"/>
            </w:tblGrid>
            <w:tr w14:paraId="3CC5E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217" w:type="pct"/>
                  <w:noWrap w:val="0"/>
                  <w:tcMar>
                    <w:top w:w="0" w:type="dxa"/>
                    <w:left w:w="28" w:type="dxa"/>
                    <w:bottom w:w="0" w:type="dxa"/>
                    <w:right w:w="28" w:type="dxa"/>
                  </w:tcMar>
                  <w:vAlign w:val="center"/>
                </w:tcPr>
                <w:p w14:paraId="0838D6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611" w:type="pct"/>
                  <w:noWrap w:val="0"/>
                  <w:tcMar>
                    <w:top w:w="0" w:type="dxa"/>
                    <w:left w:w="28" w:type="dxa"/>
                    <w:bottom w:w="0" w:type="dxa"/>
                    <w:right w:w="28" w:type="dxa"/>
                  </w:tcMar>
                  <w:vAlign w:val="center"/>
                </w:tcPr>
                <w:p w14:paraId="1E4626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危险废物名称</w:t>
                  </w:r>
                </w:p>
              </w:tc>
              <w:tc>
                <w:tcPr>
                  <w:tcW w:w="433" w:type="pct"/>
                  <w:noWrap w:val="0"/>
                  <w:tcMar>
                    <w:top w:w="0" w:type="dxa"/>
                    <w:left w:w="28" w:type="dxa"/>
                    <w:bottom w:w="0" w:type="dxa"/>
                    <w:right w:w="28" w:type="dxa"/>
                  </w:tcMar>
                  <w:vAlign w:val="center"/>
                </w:tcPr>
                <w:p w14:paraId="6453AD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危险废物类别</w:t>
                  </w:r>
                </w:p>
              </w:tc>
              <w:tc>
                <w:tcPr>
                  <w:tcW w:w="702" w:type="pct"/>
                  <w:noWrap w:val="0"/>
                  <w:tcMar>
                    <w:top w:w="0" w:type="dxa"/>
                    <w:left w:w="28" w:type="dxa"/>
                    <w:bottom w:w="0" w:type="dxa"/>
                    <w:right w:w="28" w:type="dxa"/>
                  </w:tcMar>
                  <w:vAlign w:val="center"/>
                </w:tcPr>
                <w:p w14:paraId="108A7C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危险废物代码</w:t>
                  </w:r>
                </w:p>
              </w:tc>
              <w:tc>
                <w:tcPr>
                  <w:tcW w:w="409" w:type="pct"/>
                  <w:noWrap w:val="0"/>
                  <w:tcMar>
                    <w:top w:w="0" w:type="dxa"/>
                    <w:left w:w="28" w:type="dxa"/>
                    <w:bottom w:w="0" w:type="dxa"/>
                    <w:right w:w="28" w:type="dxa"/>
                  </w:tcMar>
                  <w:vAlign w:val="center"/>
                </w:tcPr>
                <w:p w14:paraId="44D32F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产生量</w:t>
                  </w:r>
                  <w:r>
                    <w:rPr>
                      <w:rFonts w:hint="eastAsia" w:ascii="Times New Roman" w:hAnsi="Times New Roman" w:eastAsia="宋体" w:cs="Times New Roman"/>
                      <w:color w:val="auto"/>
                      <w:sz w:val="21"/>
                      <w:szCs w:val="21"/>
                      <w:highlight w:val="none"/>
                      <w:lang w:val="en-US" w:eastAsia="zh-CN"/>
                    </w:rPr>
                    <w:t>（t/a）</w:t>
                  </w:r>
                </w:p>
              </w:tc>
              <w:tc>
                <w:tcPr>
                  <w:tcW w:w="522" w:type="pct"/>
                  <w:noWrap w:val="0"/>
                  <w:tcMar>
                    <w:top w:w="0" w:type="dxa"/>
                    <w:left w:w="28" w:type="dxa"/>
                    <w:bottom w:w="0" w:type="dxa"/>
                    <w:right w:w="28" w:type="dxa"/>
                  </w:tcMar>
                  <w:vAlign w:val="center"/>
                </w:tcPr>
                <w:p w14:paraId="475238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产生工序及装置</w:t>
                  </w:r>
                </w:p>
              </w:tc>
              <w:tc>
                <w:tcPr>
                  <w:tcW w:w="474" w:type="pct"/>
                  <w:noWrap w:val="0"/>
                  <w:tcMar>
                    <w:top w:w="0" w:type="dxa"/>
                    <w:left w:w="28" w:type="dxa"/>
                    <w:bottom w:w="0" w:type="dxa"/>
                    <w:right w:w="28" w:type="dxa"/>
                  </w:tcMar>
                  <w:vAlign w:val="center"/>
                </w:tcPr>
                <w:p w14:paraId="0C10AF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主要成分</w:t>
                  </w:r>
                </w:p>
              </w:tc>
              <w:tc>
                <w:tcPr>
                  <w:tcW w:w="394" w:type="pct"/>
                  <w:noWrap w:val="0"/>
                  <w:tcMar>
                    <w:top w:w="0" w:type="dxa"/>
                    <w:left w:w="28" w:type="dxa"/>
                    <w:bottom w:w="0" w:type="dxa"/>
                    <w:right w:w="28" w:type="dxa"/>
                  </w:tcMar>
                  <w:vAlign w:val="center"/>
                </w:tcPr>
                <w:p w14:paraId="57DC54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有害成分</w:t>
                  </w:r>
                </w:p>
              </w:tc>
              <w:tc>
                <w:tcPr>
                  <w:tcW w:w="354" w:type="pct"/>
                  <w:noWrap w:val="0"/>
                  <w:tcMar>
                    <w:top w:w="0" w:type="dxa"/>
                    <w:left w:w="28" w:type="dxa"/>
                    <w:bottom w:w="0" w:type="dxa"/>
                    <w:right w:w="28" w:type="dxa"/>
                  </w:tcMar>
                  <w:vAlign w:val="center"/>
                </w:tcPr>
                <w:p w14:paraId="073395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产废周期</w:t>
                  </w:r>
                </w:p>
              </w:tc>
              <w:tc>
                <w:tcPr>
                  <w:tcW w:w="365" w:type="pct"/>
                  <w:noWrap w:val="0"/>
                  <w:tcMar>
                    <w:top w:w="0" w:type="dxa"/>
                    <w:left w:w="28" w:type="dxa"/>
                    <w:bottom w:w="0" w:type="dxa"/>
                    <w:right w:w="28" w:type="dxa"/>
                  </w:tcMar>
                  <w:vAlign w:val="center"/>
                </w:tcPr>
                <w:p w14:paraId="58D10E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w:t>
                  </w:r>
                </w:p>
                <w:p w14:paraId="217FEC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特性</w:t>
                  </w:r>
                </w:p>
              </w:tc>
              <w:tc>
                <w:tcPr>
                  <w:tcW w:w="513" w:type="pct"/>
                  <w:noWrap w:val="0"/>
                  <w:tcMar>
                    <w:top w:w="0" w:type="dxa"/>
                    <w:left w:w="28" w:type="dxa"/>
                    <w:bottom w:w="0" w:type="dxa"/>
                    <w:right w:w="28" w:type="dxa"/>
                  </w:tcMar>
                  <w:vAlign w:val="center"/>
                </w:tcPr>
                <w:p w14:paraId="1CF93F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污染防治措施</w:t>
                  </w:r>
                </w:p>
              </w:tc>
            </w:tr>
            <w:tr w14:paraId="6A7A4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7" w:type="pct"/>
                  <w:shd w:val="clear" w:color="auto" w:fill="auto"/>
                  <w:noWrap w:val="0"/>
                  <w:tcMar>
                    <w:top w:w="0" w:type="dxa"/>
                    <w:left w:w="28" w:type="dxa"/>
                    <w:bottom w:w="0" w:type="dxa"/>
                    <w:right w:w="28" w:type="dxa"/>
                  </w:tcMar>
                  <w:vAlign w:val="center"/>
                </w:tcPr>
                <w:p w14:paraId="1787A2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c>
                <w:tcPr>
                  <w:tcW w:w="611" w:type="pct"/>
                  <w:shd w:val="clear" w:color="auto" w:fill="auto"/>
                  <w:noWrap w:val="0"/>
                  <w:tcMar>
                    <w:top w:w="0" w:type="dxa"/>
                    <w:left w:w="28" w:type="dxa"/>
                    <w:bottom w:w="0" w:type="dxa"/>
                    <w:right w:w="28" w:type="dxa"/>
                  </w:tcMar>
                  <w:vAlign w:val="center"/>
                </w:tcPr>
                <w:p w14:paraId="21B928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纺丝组件清洗废渣</w:t>
                  </w:r>
                </w:p>
              </w:tc>
              <w:tc>
                <w:tcPr>
                  <w:tcW w:w="433" w:type="pct"/>
                  <w:shd w:val="clear" w:color="auto" w:fill="auto"/>
                  <w:noWrap w:val="0"/>
                  <w:tcMar>
                    <w:top w:w="0" w:type="dxa"/>
                    <w:left w:w="28" w:type="dxa"/>
                    <w:bottom w:w="0" w:type="dxa"/>
                    <w:right w:w="28" w:type="dxa"/>
                  </w:tcMar>
                  <w:vAlign w:val="center"/>
                </w:tcPr>
                <w:p w14:paraId="71331D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HW13</w:t>
                  </w:r>
                </w:p>
              </w:tc>
              <w:tc>
                <w:tcPr>
                  <w:tcW w:w="702" w:type="pct"/>
                  <w:shd w:val="clear" w:color="auto" w:fill="auto"/>
                  <w:noWrap w:val="0"/>
                  <w:tcMar>
                    <w:top w:w="0" w:type="dxa"/>
                    <w:left w:w="28" w:type="dxa"/>
                    <w:bottom w:w="0" w:type="dxa"/>
                    <w:right w:w="28" w:type="dxa"/>
                  </w:tcMar>
                  <w:vAlign w:val="center"/>
                </w:tcPr>
                <w:p w14:paraId="410A8D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900-015-13</w:t>
                  </w:r>
                </w:p>
              </w:tc>
              <w:tc>
                <w:tcPr>
                  <w:tcW w:w="409" w:type="pct"/>
                  <w:noWrap w:val="0"/>
                  <w:tcMar>
                    <w:top w:w="0" w:type="dxa"/>
                    <w:left w:w="28" w:type="dxa"/>
                    <w:bottom w:w="0" w:type="dxa"/>
                    <w:right w:w="28" w:type="dxa"/>
                  </w:tcMar>
                  <w:vAlign w:val="center"/>
                </w:tcPr>
                <w:p w14:paraId="41442C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522" w:type="pct"/>
                  <w:noWrap w:val="0"/>
                  <w:tcMar>
                    <w:top w:w="0" w:type="dxa"/>
                    <w:left w:w="28" w:type="dxa"/>
                    <w:bottom w:w="0" w:type="dxa"/>
                    <w:right w:w="28" w:type="dxa"/>
                  </w:tcMar>
                  <w:vAlign w:val="center"/>
                </w:tcPr>
                <w:p w14:paraId="68B9DF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纺丝组件清洗</w:t>
                  </w:r>
                </w:p>
              </w:tc>
              <w:tc>
                <w:tcPr>
                  <w:tcW w:w="474" w:type="pct"/>
                  <w:shd w:val="clear" w:color="auto" w:fill="auto"/>
                  <w:noWrap w:val="0"/>
                  <w:tcMar>
                    <w:top w:w="0" w:type="dxa"/>
                    <w:left w:w="28" w:type="dxa"/>
                    <w:bottom w:w="0" w:type="dxa"/>
                    <w:right w:w="28" w:type="dxa"/>
                  </w:tcMar>
                  <w:vAlign w:val="center"/>
                </w:tcPr>
                <w:p w14:paraId="2F06C2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沾染毒性物质</w:t>
                  </w:r>
                </w:p>
              </w:tc>
              <w:tc>
                <w:tcPr>
                  <w:tcW w:w="394" w:type="pct"/>
                  <w:shd w:val="clear" w:color="auto" w:fill="auto"/>
                  <w:noWrap w:val="0"/>
                  <w:tcMar>
                    <w:top w:w="0" w:type="dxa"/>
                    <w:left w:w="28" w:type="dxa"/>
                    <w:bottom w:w="0" w:type="dxa"/>
                    <w:right w:w="28" w:type="dxa"/>
                  </w:tcMar>
                  <w:vAlign w:val="center"/>
                </w:tcPr>
                <w:p w14:paraId="3E3A75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354" w:type="pct"/>
                  <w:noWrap w:val="0"/>
                  <w:tcMar>
                    <w:top w:w="0" w:type="dxa"/>
                    <w:left w:w="28" w:type="dxa"/>
                    <w:bottom w:w="0" w:type="dxa"/>
                    <w:right w:w="28" w:type="dxa"/>
                  </w:tcMar>
                  <w:vAlign w:val="center"/>
                </w:tcPr>
                <w:p w14:paraId="1BC52A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1个月/次</w:t>
                  </w:r>
                </w:p>
              </w:tc>
              <w:tc>
                <w:tcPr>
                  <w:tcW w:w="365" w:type="pct"/>
                  <w:noWrap w:val="0"/>
                  <w:tcMar>
                    <w:top w:w="0" w:type="dxa"/>
                    <w:left w:w="28" w:type="dxa"/>
                    <w:bottom w:w="0" w:type="dxa"/>
                    <w:right w:w="28" w:type="dxa"/>
                  </w:tcMar>
                  <w:vAlign w:val="center"/>
                </w:tcPr>
                <w:p w14:paraId="1A0D87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w:t>
                  </w:r>
                </w:p>
              </w:tc>
              <w:tc>
                <w:tcPr>
                  <w:tcW w:w="513" w:type="pct"/>
                  <w:vMerge w:val="restart"/>
                  <w:noWrap w:val="0"/>
                  <w:tcMar>
                    <w:top w:w="0" w:type="dxa"/>
                    <w:left w:w="28" w:type="dxa"/>
                    <w:bottom w:w="0" w:type="dxa"/>
                    <w:right w:w="28" w:type="dxa"/>
                  </w:tcMar>
                  <w:vAlign w:val="center"/>
                </w:tcPr>
                <w:p w14:paraId="4E6B83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收集后暂存</w:t>
                  </w:r>
                  <w:r>
                    <w:rPr>
                      <w:rFonts w:hint="eastAsia" w:ascii="Times New Roman" w:hAnsi="Times New Roman" w:eastAsia="宋体" w:cs="Times New Roman"/>
                      <w:color w:val="auto"/>
                      <w:sz w:val="21"/>
                      <w:szCs w:val="21"/>
                      <w:highlight w:val="none"/>
                      <w:lang w:val="en-US" w:eastAsia="zh-CN"/>
                    </w:rPr>
                    <w:t>在</w:t>
                  </w:r>
                  <w:r>
                    <w:rPr>
                      <w:rFonts w:hint="default" w:ascii="Times New Roman" w:hAnsi="Times New Roman" w:eastAsia="宋体" w:cs="Times New Roman"/>
                      <w:color w:val="auto"/>
                      <w:sz w:val="21"/>
                      <w:szCs w:val="21"/>
                      <w:highlight w:val="none"/>
                      <w:lang w:val="en-US" w:eastAsia="zh-CN"/>
                    </w:rPr>
                    <w:t>危废暂存间，委托有资质</w:t>
                  </w:r>
                  <w:r>
                    <w:rPr>
                      <w:rFonts w:hint="eastAsia" w:ascii="Times New Roman" w:hAnsi="Times New Roman" w:eastAsia="宋体" w:cs="Times New Roman"/>
                      <w:color w:val="auto"/>
                      <w:sz w:val="21"/>
                      <w:szCs w:val="21"/>
                      <w:highlight w:val="none"/>
                      <w:lang w:val="en-US" w:eastAsia="zh-CN"/>
                    </w:rPr>
                    <w:t>的</w:t>
                  </w:r>
                  <w:r>
                    <w:rPr>
                      <w:rFonts w:hint="default" w:ascii="Times New Roman" w:hAnsi="Times New Roman" w:eastAsia="宋体" w:cs="Times New Roman"/>
                      <w:color w:val="auto"/>
                      <w:sz w:val="21"/>
                      <w:szCs w:val="21"/>
                      <w:highlight w:val="none"/>
                      <w:lang w:val="en-US" w:eastAsia="zh-CN"/>
                    </w:rPr>
                    <w:t>单位</w:t>
                  </w:r>
                  <w:r>
                    <w:rPr>
                      <w:rFonts w:hint="eastAsia" w:ascii="Times New Roman" w:hAnsi="Times New Roman" w:eastAsia="宋体" w:cs="Times New Roman"/>
                      <w:color w:val="auto"/>
                      <w:sz w:val="21"/>
                      <w:szCs w:val="21"/>
                      <w:highlight w:val="none"/>
                      <w:lang w:val="en-US" w:eastAsia="zh-CN"/>
                    </w:rPr>
                    <w:t>处置</w:t>
                  </w:r>
                </w:p>
              </w:tc>
            </w:tr>
            <w:tr w14:paraId="35EE6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7" w:type="pct"/>
                  <w:shd w:val="clear" w:color="auto" w:fill="auto"/>
                  <w:noWrap w:val="0"/>
                  <w:tcMar>
                    <w:top w:w="0" w:type="dxa"/>
                    <w:left w:w="28" w:type="dxa"/>
                    <w:bottom w:w="0" w:type="dxa"/>
                    <w:right w:w="28" w:type="dxa"/>
                  </w:tcMar>
                  <w:vAlign w:val="center"/>
                </w:tcPr>
                <w:p w14:paraId="6D0CF2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p>
              </w:tc>
              <w:tc>
                <w:tcPr>
                  <w:tcW w:w="611" w:type="pct"/>
                  <w:shd w:val="clear" w:color="auto" w:fill="auto"/>
                  <w:noWrap w:val="0"/>
                  <w:tcMar>
                    <w:top w:w="0" w:type="dxa"/>
                    <w:left w:w="28" w:type="dxa"/>
                    <w:bottom w:w="0" w:type="dxa"/>
                    <w:right w:w="28" w:type="dxa"/>
                  </w:tcMar>
                  <w:vAlign w:val="center"/>
                </w:tcPr>
                <w:p w14:paraId="5C11D2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废油剂容器</w:t>
                  </w:r>
                </w:p>
              </w:tc>
              <w:tc>
                <w:tcPr>
                  <w:tcW w:w="433" w:type="pct"/>
                  <w:shd w:val="clear" w:color="auto" w:fill="auto"/>
                  <w:noWrap w:val="0"/>
                  <w:tcMar>
                    <w:top w:w="0" w:type="dxa"/>
                    <w:left w:w="28" w:type="dxa"/>
                    <w:bottom w:w="0" w:type="dxa"/>
                    <w:right w:w="28" w:type="dxa"/>
                  </w:tcMar>
                  <w:vAlign w:val="center"/>
                </w:tcPr>
                <w:p w14:paraId="48334C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w:t>
                  </w:r>
                </w:p>
              </w:tc>
              <w:tc>
                <w:tcPr>
                  <w:tcW w:w="702" w:type="pct"/>
                  <w:shd w:val="clear" w:color="auto" w:fill="auto"/>
                  <w:noWrap w:val="0"/>
                  <w:tcMar>
                    <w:top w:w="0" w:type="dxa"/>
                    <w:left w:w="28" w:type="dxa"/>
                    <w:bottom w:w="0" w:type="dxa"/>
                    <w:right w:w="28" w:type="dxa"/>
                  </w:tcMar>
                  <w:vAlign w:val="center"/>
                </w:tcPr>
                <w:p w14:paraId="206905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900-041-49</w:t>
                  </w:r>
                </w:p>
              </w:tc>
              <w:tc>
                <w:tcPr>
                  <w:tcW w:w="409" w:type="pct"/>
                  <w:noWrap w:val="0"/>
                  <w:tcMar>
                    <w:top w:w="0" w:type="dxa"/>
                    <w:left w:w="28" w:type="dxa"/>
                    <w:bottom w:w="0" w:type="dxa"/>
                    <w:right w:w="28" w:type="dxa"/>
                  </w:tcMar>
                  <w:vAlign w:val="center"/>
                </w:tcPr>
                <w:p w14:paraId="2AC0E5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w:t>
                  </w:r>
                </w:p>
              </w:tc>
              <w:tc>
                <w:tcPr>
                  <w:tcW w:w="522" w:type="pct"/>
                  <w:noWrap w:val="0"/>
                  <w:tcMar>
                    <w:top w:w="0" w:type="dxa"/>
                    <w:left w:w="28" w:type="dxa"/>
                    <w:bottom w:w="0" w:type="dxa"/>
                    <w:right w:w="28" w:type="dxa"/>
                  </w:tcMar>
                  <w:vAlign w:val="center"/>
                </w:tcPr>
                <w:p w14:paraId="47493E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原料使用过程</w:t>
                  </w:r>
                </w:p>
              </w:tc>
              <w:tc>
                <w:tcPr>
                  <w:tcW w:w="474" w:type="pct"/>
                  <w:shd w:val="clear" w:color="auto" w:fill="auto"/>
                  <w:noWrap w:val="0"/>
                  <w:tcMar>
                    <w:top w:w="0" w:type="dxa"/>
                    <w:left w:w="28" w:type="dxa"/>
                    <w:bottom w:w="0" w:type="dxa"/>
                    <w:right w:w="28" w:type="dxa"/>
                  </w:tcMar>
                  <w:vAlign w:val="center"/>
                </w:tcPr>
                <w:p w14:paraId="10B32D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沾染毒性物质</w:t>
                  </w:r>
                </w:p>
              </w:tc>
              <w:tc>
                <w:tcPr>
                  <w:tcW w:w="394" w:type="pct"/>
                  <w:shd w:val="clear" w:color="auto" w:fill="auto"/>
                  <w:noWrap w:val="0"/>
                  <w:tcMar>
                    <w:top w:w="0" w:type="dxa"/>
                    <w:left w:w="28" w:type="dxa"/>
                    <w:bottom w:w="0" w:type="dxa"/>
                    <w:right w:w="28" w:type="dxa"/>
                  </w:tcMar>
                  <w:vAlign w:val="center"/>
                </w:tcPr>
                <w:p w14:paraId="5354B4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VOCs</w:t>
                  </w:r>
                </w:p>
              </w:tc>
              <w:tc>
                <w:tcPr>
                  <w:tcW w:w="354" w:type="pct"/>
                  <w:noWrap w:val="0"/>
                  <w:tcMar>
                    <w:top w:w="0" w:type="dxa"/>
                    <w:left w:w="28" w:type="dxa"/>
                    <w:bottom w:w="0" w:type="dxa"/>
                    <w:right w:w="28" w:type="dxa"/>
                  </w:tcMar>
                  <w:vAlign w:val="center"/>
                </w:tcPr>
                <w:p w14:paraId="0C031E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每天</w:t>
                  </w:r>
                </w:p>
              </w:tc>
              <w:tc>
                <w:tcPr>
                  <w:tcW w:w="365" w:type="pct"/>
                  <w:noWrap w:val="0"/>
                  <w:tcMar>
                    <w:top w:w="0" w:type="dxa"/>
                    <w:left w:w="28" w:type="dxa"/>
                    <w:bottom w:w="0" w:type="dxa"/>
                    <w:right w:w="28" w:type="dxa"/>
                  </w:tcMar>
                  <w:vAlign w:val="center"/>
                </w:tcPr>
                <w:p w14:paraId="1C8306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T/In</w:t>
                  </w:r>
                </w:p>
              </w:tc>
              <w:tc>
                <w:tcPr>
                  <w:tcW w:w="513" w:type="pct"/>
                  <w:vMerge w:val="continue"/>
                  <w:noWrap w:val="0"/>
                  <w:tcMar>
                    <w:top w:w="0" w:type="dxa"/>
                    <w:left w:w="28" w:type="dxa"/>
                    <w:bottom w:w="0" w:type="dxa"/>
                    <w:right w:w="28" w:type="dxa"/>
                  </w:tcMar>
                  <w:vAlign w:val="center"/>
                </w:tcPr>
                <w:p w14:paraId="345B4A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r>
            <w:tr w14:paraId="72DB1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7" w:type="pct"/>
                  <w:shd w:val="clear" w:color="auto" w:fill="auto"/>
                  <w:noWrap w:val="0"/>
                  <w:tcMar>
                    <w:top w:w="0" w:type="dxa"/>
                    <w:left w:w="28" w:type="dxa"/>
                    <w:bottom w:w="0" w:type="dxa"/>
                    <w:right w:w="28" w:type="dxa"/>
                  </w:tcMar>
                  <w:vAlign w:val="center"/>
                </w:tcPr>
                <w:p w14:paraId="48DD31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p>
              </w:tc>
              <w:tc>
                <w:tcPr>
                  <w:tcW w:w="611" w:type="pct"/>
                  <w:shd w:val="clear" w:color="auto" w:fill="auto"/>
                  <w:noWrap w:val="0"/>
                  <w:tcMar>
                    <w:top w:w="0" w:type="dxa"/>
                    <w:left w:w="28" w:type="dxa"/>
                    <w:bottom w:w="0" w:type="dxa"/>
                    <w:right w:w="28" w:type="dxa"/>
                  </w:tcMar>
                  <w:vAlign w:val="center"/>
                </w:tcPr>
                <w:p w14:paraId="3FD954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废活性炭</w:t>
                  </w:r>
                </w:p>
              </w:tc>
              <w:tc>
                <w:tcPr>
                  <w:tcW w:w="433" w:type="pct"/>
                  <w:shd w:val="clear" w:color="auto" w:fill="auto"/>
                  <w:noWrap w:val="0"/>
                  <w:tcMar>
                    <w:top w:w="0" w:type="dxa"/>
                    <w:left w:w="28" w:type="dxa"/>
                    <w:bottom w:w="0" w:type="dxa"/>
                    <w:right w:w="28" w:type="dxa"/>
                  </w:tcMar>
                  <w:vAlign w:val="center"/>
                </w:tcPr>
                <w:p w14:paraId="6A1E0A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w:t>
                  </w:r>
                </w:p>
              </w:tc>
              <w:tc>
                <w:tcPr>
                  <w:tcW w:w="702" w:type="pct"/>
                  <w:shd w:val="clear" w:color="auto" w:fill="auto"/>
                  <w:noWrap w:val="0"/>
                  <w:tcMar>
                    <w:top w:w="0" w:type="dxa"/>
                    <w:left w:w="28" w:type="dxa"/>
                    <w:bottom w:w="0" w:type="dxa"/>
                    <w:right w:w="28" w:type="dxa"/>
                  </w:tcMar>
                  <w:vAlign w:val="center"/>
                </w:tcPr>
                <w:p w14:paraId="762620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900-039-49</w:t>
                  </w:r>
                </w:p>
              </w:tc>
              <w:tc>
                <w:tcPr>
                  <w:tcW w:w="409" w:type="pct"/>
                  <w:noWrap w:val="0"/>
                  <w:tcMar>
                    <w:top w:w="0" w:type="dxa"/>
                    <w:left w:w="28" w:type="dxa"/>
                    <w:bottom w:w="0" w:type="dxa"/>
                    <w:right w:w="28" w:type="dxa"/>
                  </w:tcMar>
                  <w:vAlign w:val="center"/>
                </w:tcPr>
                <w:p w14:paraId="277E16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3.88</w:t>
                  </w:r>
                </w:p>
              </w:tc>
              <w:tc>
                <w:tcPr>
                  <w:tcW w:w="522" w:type="pct"/>
                  <w:noWrap w:val="0"/>
                  <w:tcMar>
                    <w:top w:w="0" w:type="dxa"/>
                    <w:left w:w="28" w:type="dxa"/>
                    <w:bottom w:w="0" w:type="dxa"/>
                    <w:right w:w="28" w:type="dxa"/>
                  </w:tcMar>
                  <w:vAlign w:val="center"/>
                </w:tcPr>
                <w:p w14:paraId="4BA62C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废气治理</w:t>
                  </w:r>
                </w:p>
              </w:tc>
              <w:tc>
                <w:tcPr>
                  <w:tcW w:w="474" w:type="pct"/>
                  <w:shd w:val="clear" w:color="auto" w:fill="auto"/>
                  <w:noWrap w:val="0"/>
                  <w:tcMar>
                    <w:top w:w="0" w:type="dxa"/>
                    <w:left w:w="28" w:type="dxa"/>
                    <w:bottom w:w="0" w:type="dxa"/>
                    <w:right w:w="28" w:type="dxa"/>
                  </w:tcMar>
                  <w:vAlign w:val="center"/>
                </w:tcPr>
                <w:p w14:paraId="5B135F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沾染毒性物质</w:t>
                  </w:r>
                </w:p>
              </w:tc>
              <w:tc>
                <w:tcPr>
                  <w:tcW w:w="394" w:type="pct"/>
                  <w:shd w:val="clear" w:color="auto" w:fill="auto"/>
                  <w:noWrap w:val="0"/>
                  <w:tcMar>
                    <w:top w:w="0" w:type="dxa"/>
                    <w:left w:w="28" w:type="dxa"/>
                    <w:bottom w:w="0" w:type="dxa"/>
                    <w:right w:w="28" w:type="dxa"/>
                  </w:tcMar>
                  <w:vAlign w:val="center"/>
                </w:tcPr>
                <w:p w14:paraId="1AFB07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VOCs</w:t>
                  </w:r>
                </w:p>
              </w:tc>
              <w:tc>
                <w:tcPr>
                  <w:tcW w:w="354" w:type="pct"/>
                  <w:noWrap w:val="0"/>
                  <w:tcMar>
                    <w:top w:w="0" w:type="dxa"/>
                    <w:left w:w="28" w:type="dxa"/>
                    <w:bottom w:w="0" w:type="dxa"/>
                    <w:right w:w="28" w:type="dxa"/>
                  </w:tcMar>
                  <w:vAlign w:val="center"/>
                </w:tcPr>
                <w:p w14:paraId="3DBE6C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3个/次</w:t>
                  </w:r>
                </w:p>
              </w:tc>
              <w:tc>
                <w:tcPr>
                  <w:tcW w:w="365" w:type="pct"/>
                  <w:noWrap w:val="0"/>
                  <w:tcMar>
                    <w:top w:w="0" w:type="dxa"/>
                    <w:left w:w="28" w:type="dxa"/>
                    <w:bottom w:w="0" w:type="dxa"/>
                    <w:right w:w="28" w:type="dxa"/>
                  </w:tcMar>
                  <w:vAlign w:val="center"/>
                </w:tcPr>
                <w:p w14:paraId="7CEC3F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w:t>
                  </w:r>
                </w:p>
              </w:tc>
              <w:tc>
                <w:tcPr>
                  <w:tcW w:w="513" w:type="pct"/>
                  <w:vMerge w:val="continue"/>
                  <w:noWrap w:val="0"/>
                  <w:tcMar>
                    <w:top w:w="0" w:type="dxa"/>
                    <w:left w:w="28" w:type="dxa"/>
                    <w:bottom w:w="0" w:type="dxa"/>
                    <w:right w:w="28" w:type="dxa"/>
                  </w:tcMar>
                  <w:vAlign w:val="center"/>
                </w:tcPr>
                <w:p w14:paraId="68D28D58">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18"/>
                      <w:szCs w:val="18"/>
                      <w:highlight w:val="none"/>
                      <w:lang w:val="en-US" w:eastAsia="zh-CN"/>
                    </w:rPr>
                  </w:pPr>
                </w:p>
              </w:tc>
            </w:tr>
            <w:tr w14:paraId="3D871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7" w:type="pct"/>
                  <w:shd w:val="clear" w:color="auto" w:fill="auto"/>
                  <w:noWrap w:val="0"/>
                  <w:tcMar>
                    <w:top w:w="0" w:type="dxa"/>
                    <w:left w:w="28" w:type="dxa"/>
                    <w:bottom w:w="0" w:type="dxa"/>
                    <w:right w:w="28" w:type="dxa"/>
                  </w:tcMar>
                  <w:vAlign w:val="center"/>
                </w:tcPr>
                <w:p w14:paraId="0D25A9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w:t>
                  </w:r>
                </w:p>
              </w:tc>
              <w:tc>
                <w:tcPr>
                  <w:tcW w:w="611" w:type="pct"/>
                  <w:shd w:val="clear" w:color="auto" w:fill="auto"/>
                  <w:noWrap w:val="0"/>
                  <w:tcMar>
                    <w:top w:w="0" w:type="dxa"/>
                    <w:left w:w="28" w:type="dxa"/>
                    <w:bottom w:w="0" w:type="dxa"/>
                    <w:right w:w="28" w:type="dxa"/>
                  </w:tcMar>
                  <w:vAlign w:val="center"/>
                </w:tcPr>
                <w:p w14:paraId="27555D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433" w:type="pct"/>
                  <w:shd w:val="clear" w:color="auto" w:fill="auto"/>
                  <w:noWrap w:val="0"/>
                  <w:tcMar>
                    <w:top w:w="0" w:type="dxa"/>
                    <w:left w:w="28" w:type="dxa"/>
                    <w:bottom w:w="0" w:type="dxa"/>
                    <w:right w:w="28" w:type="dxa"/>
                  </w:tcMar>
                  <w:vAlign w:val="center"/>
                </w:tcPr>
                <w:p w14:paraId="5AF1C7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HW08</w:t>
                  </w:r>
                </w:p>
              </w:tc>
              <w:tc>
                <w:tcPr>
                  <w:tcW w:w="702" w:type="pct"/>
                  <w:shd w:val="clear" w:color="auto" w:fill="auto"/>
                  <w:noWrap w:val="0"/>
                  <w:tcMar>
                    <w:top w:w="0" w:type="dxa"/>
                    <w:left w:w="28" w:type="dxa"/>
                    <w:bottom w:w="0" w:type="dxa"/>
                    <w:right w:w="28" w:type="dxa"/>
                  </w:tcMar>
                  <w:vAlign w:val="center"/>
                </w:tcPr>
                <w:p w14:paraId="77B6CF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900-214-08</w:t>
                  </w:r>
                </w:p>
              </w:tc>
              <w:tc>
                <w:tcPr>
                  <w:tcW w:w="409" w:type="pct"/>
                  <w:noWrap w:val="0"/>
                  <w:tcMar>
                    <w:top w:w="0" w:type="dxa"/>
                    <w:left w:w="28" w:type="dxa"/>
                    <w:bottom w:w="0" w:type="dxa"/>
                    <w:right w:w="28" w:type="dxa"/>
                  </w:tcMar>
                  <w:vAlign w:val="center"/>
                </w:tcPr>
                <w:p w14:paraId="54F397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522" w:type="pct"/>
                  <w:noWrap w:val="0"/>
                  <w:tcMar>
                    <w:top w:w="0" w:type="dxa"/>
                    <w:left w:w="28" w:type="dxa"/>
                    <w:bottom w:w="0" w:type="dxa"/>
                    <w:right w:w="28" w:type="dxa"/>
                  </w:tcMar>
                  <w:vAlign w:val="center"/>
                </w:tcPr>
                <w:p w14:paraId="31AC7C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设备维修保养</w:t>
                  </w:r>
                </w:p>
              </w:tc>
              <w:tc>
                <w:tcPr>
                  <w:tcW w:w="474" w:type="pct"/>
                  <w:noWrap w:val="0"/>
                  <w:tcMar>
                    <w:top w:w="0" w:type="dxa"/>
                    <w:left w:w="28" w:type="dxa"/>
                    <w:bottom w:w="0" w:type="dxa"/>
                    <w:right w:w="28" w:type="dxa"/>
                  </w:tcMar>
                  <w:vAlign w:val="center"/>
                </w:tcPr>
                <w:p w14:paraId="20DAE4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394" w:type="pct"/>
                  <w:noWrap w:val="0"/>
                  <w:tcMar>
                    <w:top w:w="0" w:type="dxa"/>
                    <w:left w:w="28" w:type="dxa"/>
                    <w:bottom w:w="0" w:type="dxa"/>
                    <w:right w:w="28" w:type="dxa"/>
                  </w:tcMar>
                  <w:vAlign w:val="center"/>
                </w:tcPr>
                <w:p w14:paraId="3AB510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废矿物油</w:t>
                  </w:r>
                </w:p>
              </w:tc>
              <w:tc>
                <w:tcPr>
                  <w:tcW w:w="354" w:type="pct"/>
                  <w:noWrap w:val="0"/>
                  <w:tcMar>
                    <w:top w:w="0" w:type="dxa"/>
                    <w:left w:w="28" w:type="dxa"/>
                    <w:bottom w:w="0" w:type="dxa"/>
                    <w:right w:w="28" w:type="dxa"/>
                  </w:tcMar>
                  <w:vAlign w:val="center"/>
                </w:tcPr>
                <w:p w14:paraId="76A20F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3个月</w:t>
                  </w:r>
                  <w:r>
                    <w:rPr>
                      <w:rFonts w:hint="default" w:ascii="Times New Roman" w:hAnsi="Times New Roman" w:eastAsia="宋体" w:cs="Times New Roman"/>
                      <w:color w:val="auto"/>
                      <w:sz w:val="21"/>
                      <w:szCs w:val="21"/>
                      <w:highlight w:val="none"/>
                      <w:lang w:val="en-US" w:eastAsia="zh-CN"/>
                    </w:rPr>
                    <w:t>/次</w:t>
                  </w:r>
                </w:p>
              </w:tc>
              <w:tc>
                <w:tcPr>
                  <w:tcW w:w="365" w:type="pct"/>
                  <w:noWrap w:val="0"/>
                  <w:tcMar>
                    <w:top w:w="0" w:type="dxa"/>
                    <w:left w:w="28" w:type="dxa"/>
                    <w:bottom w:w="0" w:type="dxa"/>
                    <w:right w:w="28" w:type="dxa"/>
                  </w:tcMar>
                  <w:vAlign w:val="center"/>
                </w:tcPr>
                <w:p w14:paraId="6AA377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T，I</w:t>
                  </w:r>
                </w:p>
              </w:tc>
              <w:tc>
                <w:tcPr>
                  <w:tcW w:w="513" w:type="pct"/>
                  <w:vMerge w:val="continue"/>
                  <w:noWrap w:val="0"/>
                  <w:tcMar>
                    <w:top w:w="0" w:type="dxa"/>
                    <w:left w:w="28" w:type="dxa"/>
                    <w:bottom w:w="0" w:type="dxa"/>
                    <w:right w:w="28" w:type="dxa"/>
                  </w:tcMar>
                  <w:vAlign w:val="center"/>
                </w:tcPr>
                <w:p w14:paraId="2FF2B5B4">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18"/>
                      <w:szCs w:val="18"/>
                      <w:highlight w:val="none"/>
                      <w:lang w:val="en-US" w:eastAsia="zh-CN"/>
                    </w:rPr>
                  </w:pPr>
                </w:p>
              </w:tc>
            </w:tr>
            <w:tr w14:paraId="1A959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7" w:type="pct"/>
                  <w:shd w:val="clear" w:color="auto" w:fill="auto"/>
                  <w:noWrap w:val="0"/>
                  <w:tcMar>
                    <w:top w:w="0" w:type="dxa"/>
                    <w:left w:w="28" w:type="dxa"/>
                    <w:bottom w:w="0" w:type="dxa"/>
                    <w:right w:w="28" w:type="dxa"/>
                  </w:tcMar>
                  <w:vAlign w:val="center"/>
                </w:tcPr>
                <w:p w14:paraId="78002D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w:t>
                  </w:r>
                </w:p>
              </w:tc>
              <w:tc>
                <w:tcPr>
                  <w:tcW w:w="611" w:type="pct"/>
                  <w:shd w:val="clear" w:color="auto" w:fill="auto"/>
                  <w:noWrap w:val="0"/>
                  <w:tcMar>
                    <w:top w:w="0" w:type="dxa"/>
                    <w:left w:w="28" w:type="dxa"/>
                    <w:bottom w:w="0" w:type="dxa"/>
                    <w:right w:w="28" w:type="dxa"/>
                  </w:tcMar>
                  <w:vAlign w:val="center"/>
                </w:tcPr>
                <w:p w14:paraId="4B7A08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废机油桶</w:t>
                  </w:r>
                </w:p>
              </w:tc>
              <w:tc>
                <w:tcPr>
                  <w:tcW w:w="433" w:type="pct"/>
                  <w:shd w:val="clear" w:color="auto" w:fill="auto"/>
                  <w:noWrap w:val="0"/>
                  <w:tcMar>
                    <w:top w:w="0" w:type="dxa"/>
                    <w:left w:w="28" w:type="dxa"/>
                    <w:bottom w:w="0" w:type="dxa"/>
                    <w:right w:w="28" w:type="dxa"/>
                  </w:tcMar>
                  <w:vAlign w:val="center"/>
                </w:tcPr>
                <w:p w14:paraId="558575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HW08</w:t>
                  </w:r>
                </w:p>
              </w:tc>
              <w:tc>
                <w:tcPr>
                  <w:tcW w:w="702" w:type="pct"/>
                  <w:shd w:val="clear" w:color="auto" w:fill="auto"/>
                  <w:noWrap w:val="0"/>
                  <w:tcMar>
                    <w:top w:w="0" w:type="dxa"/>
                    <w:left w:w="28" w:type="dxa"/>
                    <w:bottom w:w="0" w:type="dxa"/>
                    <w:right w:w="28" w:type="dxa"/>
                  </w:tcMar>
                  <w:vAlign w:val="center"/>
                </w:tcPr>
                <w:p w14:paraId="1A02C5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900-249-08</w:t>
                  </w:r>
                </w:p>
              </w:tc>
              <w:tc>
                <w:tcPr>
                  <w:tcW w:w="409" w:type="pct"/>
                  <w:noWrap w:val="0"/>
                  <w:tcMar>
                    <w:top w:w="0" w:type="dxa"/>
                    <w:left w:w="28" w:type="dxa"/>
                    <w:bottom w:w="0" w:type="dxa"/>
                    <w:right w:w="28" w:type="dxa"/>
                  </w:tcMar>
                  <w:vAlign w:val="center"/>
                </w:tcPr>
                <w:p w14:paraId="4BC970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0.02</w:t>
                  </w:r>
                </w:p>
              </w:tc>
              <w:tc>
                <w:tcPr>
                  <w:tcW w:w="522" w:type="pct"/>
                  <w:noWrap w:val="0"/>
                  <w:tcMar>
                    <w:top w:w="0" w:type="dxa"/>
                    <w:left w:w="28" w:type="dxa"/>
                    <w:bottom w:w="0" w:type="dxa"/>
                    <w:right w:w="28" w:type="dxa"/>
                  </w:tcMar>
                  <w:vAlign w:val="center"/>
                </w:tcPr>
                <w:p w14:paraId="5CBFFC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设备维修保养</w:t>
                  </w:r>
                </w:p>
              </w:tc>
              <w:tc>
                <w:tcPr>
                  <w:tcW w:w="474" w:type="pct"/>
                  <w:noWrap w:val="0"/>
                  <w:tcMar>
                    <w:top w:w="0" w:type="dxa"/>
                    <w:left w:w="28" w:type="dxa"/>
                    <w:bottom w:w="0" w:type="dxa"/>
                    <w:right w:w="28" w:type="dxa"/>
                  </w:tcMar>
                  <w:vAlign w:val="center"/>
                </w:tcPr>
                <w:p w14:paraId="435CF5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废油桶</w:t>
                  </w:r>
                </w:p>
              </w:tc>
              <w:tc>
                <w:tcPr>
                  <w:tcW w:w="394" w:type="pct"/>
                  <w:noWrap w:val="0"/>
                  <w:tcMar>
                    <w:top w:w="0" w:type="dxa"/>
                    <w:left w:w="28" w:type="dxa"/>
                    <w:bottom w:w="0" w:type="dxa"/>
                    <w:right w:w="28" w:type="dxa"/>
                  </w:tcMar>
                  <w:vAlign w:val="center"/>
                </w:tcPr>
                <w:p w14:paraId="3F1D6B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废矿物油</w:t>
                  </w:r>
                </w:p>
              </w:tc>
              <w:tc>
                <w:tcPr>
                  <w:tcW w:w="354" w:type="pct"/>
                  <w:noWrap w:val="0"/>
                  <w:tcMar>
                    <w:top w:w="0" w:type="dxa"/>
                    <w:left w:w="28" w:type="dxa"/>
                    <w:bottom w:w="0" w:type="dxa"/>
                    <w:right w:w="28" w:type="dxa"/>
                  </w:tcMar>
                  <w:vAlign w:val="center"/>
                </w:tcPr>
                <w:p w14:paraId="759406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3个月</w:t>
                  </w:r>
                  <w:r>
                    <w:rPr>
                      <w:rFonts w:hint="default" w:ascii="Times New Roman" w:hAnsi="Times New Roman" w:eastAsia="宋体" w:cs="Times New Roman"/>
                      <w:color w:val="auto"/>
                      <w:sz w:val="21"/>
                      <w:szCs w:val="21"/>
                      <w:highlight w:val="none"/>
                      <w:lang w:val="en-US" w:eastAsia="zh-CN"/>
                    </w:rPr>
                    <w:t>/次</w:t>
                  </w:r>
                </w:p>
              </w:tc>
              <w:tc>
                <w:tcPr>
                  <w:tcW w:w="365" w:type="pct"/>
                  <w:noWrap w:val="0"/>
                  <w:tcMar>
                    <w:top w:w="0" w:type="dxa"/>
                    <w:left w:w="28" w:type="dxa"/>
                    <w:bottom w:w="0" w:type="dxa"/>
                    <w:right w:w="28" w:type="dxa"/>
                  </w:tcMar>
                  <w:vAlign w:val="center"/>
                </w:tcPr>
                <w:p w14:paraId="5D7C35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T，I</w:t>
                  </w:r>
                </w:p>
              </w:tc>
              <w:tc>
                <w:tcPr>
                  <w:tcW w:w="513" w:type="pct"/>
                  <w:vMerge w:val="continue"/>
                  <w:noWrap w:val="0"/>
                  <w:tcMar>
                    <w:top w:w="0" w:type="dxa"/>
                    <w:left w:w="28" w:type="dxa"/>
                    <w:bottom w:w="0" w:type="dxa"/>
                    <w:right w:w="28" w:type="dxa"/>
                  </w:tcMar>
                  <w:vAlign w:val="center"/>
                </w:tcPr>
                <w:p w14:paraId="7201801E">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18"/>
                      <w:szCs w:val="18"/>
                      <w:highlight w:val="none"/>
                      <w:lang w:val="en-US" w:eastAsia="zh-CN"/>
                    </w:rPr>
                  </w:pPr>
                </w:p>
              </w:tc>
            </w:tr>
            <w:tr w14:paraId="15802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17" w:type="pct"/>
                  <w:shd w:val="clear" w:color="auto" w:fill="auto"/>
                  <w:noWrap w:val="0"/>
                  <w:tcMar>
                    <w:top w:w="0" w:type="dxa"/>
                    <w:left w:w="28" w:type="dxa"/>
                    <w:bottom w:w="0" w:type="dxa"/>
                    <w:right w:w="28" w:type="dxa"/>
                  </w:tcMar>
                  <w:vAlign w:val="center"/>
                </w:tcPr>
                <w:p w14:paraId="584B5D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611" w:type="pct"/>
                  <w:shd w:val="clear" w:color="auto" w:fill="auto"/>
                  <w:noWrap w:val="0"/>
                  <w:tcMar>
                    <w:top w:w="0" w:type="dxa"/>
                    <w:left w:w="28" w:type="dxa"/>
                    <w:bottom w:w="0" w:type="dxa"/>
                    <w:right w:w="28" w:type="dxa"/>
                  </w:tcMar>
                  <w:vAlign w:val="center"/>
                </w:tcPr>
                <w:p w14:paraId="120338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沉淀池污泥</w:t>
                  </w:r>
                </w:p>
              </w:tc>
              <w:tc>
                <w:tcPr>
                  <w:tcW w:w="433" w:type="pct"/>
                  <w:shd w:val="clear" w:color="auto" w:fill="auto"/>
                  <w:noWrap w:val="0"/>
                  <w:tcMar>
                    <w:top w:w="0" w:type="dxa"/>
                    <w:left w:w="28" w:type="dxa"/>
                    <w:bottom w:w="0" w:type="dxa"/>
                    <w:right w:w="28" w:type="dxa"/>
                  </w:tcMar>
                  <w:vAlign w:val="center"/>
                </w:tcPr>
                <w:p w14:paraId="6F2EC9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HW18</w:t>
                  </w:r>
                </w:p>
              </w:tc>
              <w:tc>
                <w:tcPr>
                  <w:tcW w:w="702" w:type="pct"/>
                  <w:shd w:val="clear" w:color="auto" w:fill="auto"/>
                  <w:noWrap w:val="0"/>
                  <w:tcMar>
                    <w:top w:w="0" w:type="dxa"/>
                    <w:left w:w="28" w:type="dxa"/>
                    <w:bottom w:w="0" w:type="dxa"/>
                    <w:right w:w="28" w:type="dxa"/>
                  </w:tcMar>
                  <w:vAlign w:val="center"/>
                </w:tcPr>
                <w:p w14:paraId="572E3D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772-003-18</w:t>
                  </w:r>
                </w:p>
              </w:tc>
              <w:tc>
                <w:tcPr>
                  <w:tcW w:w="409" w:type="pct"/>
                  <w:noWrap w:val="0"/>
                  <w:tcMar>
                    <w:top w:w="0" w:type="dxa"/>
                    <w:left w:w="28" w:type="dxa"/>
                    <w:bottom w:w="0" w:type="dxa"/>
                    <w:right w:w="28" w:type="dxa"/>
                  </w:tcMar>
                  <w:vAlign w:val="center"/>
                </w:tcPr>
                <w:p w14:paraId="72C30E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522" w:type="pct"/>
                  <w:noWrap w:val="0"/>
                  <w:tcMar>
                    <w:top w:w="0" w:type="dxa"/>
                    <w:left w:w="28" w:type="dxa"/>
                    <w:bottom w:w="0" w:type="dxa"/>
                    <w:right w:w="28" w:type="dxa"/>
                  </w:tcMar>
                  <w:vAlign w:val="center"/>
                </w:tcPr>
                <w:p w14:paraId="47D26B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废水治理</w:t>
                  </w:r>
                </w:p>
              </w:tc>
              <w:tc>
                <w:tcPr>
                  <w:tcW w:w="794" w:type="dxa"/>
                  <w:noWrap w:val="0"/>
                  <w:tcMar>
                    <w:top w:w="0" w:type="dxa"/>
                    <w:left w:w="28" w:type="dxa"/>
                    <w:bottom w:w="0" w:type="dxa"/>
                    <w:right w:w="28" w:type="dxa"/>
                  </w:tcMar>
                  <w:vAlign w:val="center"/>
                </w:tcPr>
                <w:p w14:paraId="58CFCF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沾染毒性物质</w:t>
                  </w:r>
                </w:p>
              </w:tc>
              <w:tc>
                <w:tcPr>
                  <w:tcW w:w="660" w:type="dxa"/>
                  <w:noWrap w:val="0"/>
                  <w:tcMar>
                    <w:top w:w="0" w:type="dxa"/>
                    <w:left w:w="28" w:type="dxa"/>
                    <w:bottom w:w="0" w:type="dxa"/>
                    <w:right w:w="28" w:type="dxa"/>
                  </w:tcMar>
                  <w:vAlign w:val="center"/>
                </w:tcPr>
                <w:p w14:paraId="1A7483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93" w:type="dxa"/>
                  <w:noWrap w:val="0"/>
                  <w:tcMar>
                    <w:top w:w="0" w:type="dxa"/>
                    <w:left w:w="28" w:type="dxa"/>
                    <w:bottom w:w="0" w:type="dxa"/>
                    <w:right w:w="28" w:type="dxa"/>
                  </w:tcMar>
                  <w:vAlign w:val="center"/>
                </w:tcPr>
                <w:p w14:paraId="5AA254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半年/次</w:t>
                  </w:r>
                </w:p>
              </w:tc>
              <w:tc>
                <w:tcPr>
                  <w:tcW w:w="612" w:type="dxa"/>
                  <w:noWrap w:val="0"/>
                  <w:tcMar>
                    <w:top w:w="0" w:type="dxa"/>
                    <w:left w:w="28" w:type="dxa"/>
                    <w:bottom w:w="0" w:type="dxa"/>
                    <w:right w:w="28" w:type="dxa"/>
                  </w:tcMar>
                  <w:vAlign w:val="center"/>
                </w:tcPr>
                <w:p w14:paraId="6914B6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w:t>
                  </w:r>
                </w:p>
              </w:tc>
              <w:tc>
                <w:tcPr>
                  <w:tcW w:w="513" w:type="pct"/>
                  <w:vMerge w:val="continue"/>
                  <w:noWrap w:val="0"/>
                  <w:tcMar>
                    <w:top w:w="0" w:type="dxa"/>
                    <w:left w:w="28" w:type="dxa"/>
                    <w:bottom w:w="0" w:type="dxa"/>
                    <w:right w:w="28" w:type="dxa"/>
                  </w:tcMar>
                  <w:vAlign w:val="center"/>
                </w:tcPr>
                <w:p w14:paraId="7B6F24B6">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18"/>
                      <w:szCs w:val="18"/>
                      <w:highlight w:val="none"/>
                      <w:lang w:val="en-US" w:eastAsia="zh-CN"/>
                    </w:rPr>
                  </w:pPr>
                </w:p>
              </w:tc>
            </w:tr>
          </w:tbl>
          <w:p w14:paraId="6F4A8F6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ascii="Times New Roman" w:hAnsi="Times New Roman" w:eastAsia="黑体" w:cs="Times New Roman"/>
                <w:b w:val="0"/>
                <w:bCs w:val="0"/>
                <w:color w:val="auto"/>
                <w:kern w:val="0"/>
                <w:sz w:val="24"/>
                <w:szCs w:val="24"/>
                <w:highlight w:val="none"/>
                <w:lang w:val="en-US" w:eastAsia="zh-CN"/>
              </w:rPr>
              <w:t>4-1</w:t>
            </w:r>
            <w:r>
              <w:rPr>
                <w:rFonts w:hint="eastAsia" w:eastAsia="黑体" w:cs="Times New Roman"/>
                <w:b w:val="0"/>
                <w:bCs w:val="0"/>
                <w:color w:val="auto"/>
                <w:kern w:val="0"/>
                <w:sz w:val="24"/>
                <w:szCs w:val="24"/>
                <w:highlight w:val="none"/>
                <w:lang w:val="en-US" w:eastAsia="zh-CN"/>
              </w:rPr>
              <w:t>5</w:t>
            </w:r>
            <w:r>
              <w:rPr>
                <w:rFonts w:hint="eastAsia" w:ascii="Times New Roman" w:hAnsi="Times New Roman"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建设项目危险废物贮存场所（设施）基本情况表</w:t>
            </w:r>
          </w:p>
          <w:tbl>
            <w:tblPr>
              <w:tblStyle w:val="27"/>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55"/>
              <w:gridCol w:w="1259"/>
              <w:gridCol w:w="1456"/>
              <w:gridCol w:w="1000"/>
              <w:gridCol w:w="1245"/>
              <w:gridCol w:w="921"/>
              <w:gridCol w:w="867"/>
              <w:gridCol w:w="1229"/>
              <w:gridCol w:w="700"/>
              <w:gridCol w:w="912"/>
            </w:tblGrid>
            <w:tr w14:paraId="759AF68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tcMar>
                    <w:top w:w="0" w:type="dxa"/>
                    <w:left w:w="28" w:type="dxa"/>
                    <w:bottom w:w="0" w:type="dxa"/>
                    <w:right w:w="28" w:type="dxa"/>
                  </w:tcMar>
                  <w:vAlign w:val="center"/>
                </w:tcPr>
                <w:p w14:paraId="34D480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626" w:type="pct"/>
                  <w:tcBorders>
                    <w:tl2br w:val="nil"/>
                    <w:tr2bl w:val="nil"/>
                  </w:tcBorders>
                  <w:tcMar>
                    <w:top w:w="0" w:type="dxa"/>
                    <w:left w:w="28" w:type="dxa"/>
                    <w:bottom w:w="0" w:type="dxa"/>
                    <w:right w:w="28" w:type="dxa"/>
                  </w:tcMar>
                  <w:vAlign w:val="top"/>
                </w:tcPr>
                <w:p w14:paraId="24281B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贮存场所（设施）名称</w:t>
                  </w:r>
                </w:p>
              </w:tc>
              <w:tc>
                <w:tcPr>
                  <w:tcW w:w="724" w:type="pct"/>
                  <w:tcBorders>
                    <w:tl2br w:val="nil"/>
                    <w:tr2bl w:val="nil"/>
                  </w:tcBorders>
                  <w:tcMar>
                    <w:top w:w="0" w:type="dxa"/>
                    <w:left w:w="28" w:type="dxa"/>
                    <w:bottom w:w="0" w:type="dxa"/>
                    <w:right w:w="28" w:type="dxa"/>
                  </w:tcMar>
                  <w:vAlign w:val="center"/>
                </w:tcPr>
                <w:p w14:paraId="3910FB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危险废物名称</w:t>
                  </w:r>
                </w:p>
              </w:tc>
              <w:tc>
                <w:tcPr>
                  <w:tcW w:w="497" w:type="pct"/>
                  <w:tcBorders>
                    <w:tl2br w:val="nil"/>
                    <w:tr2bl w:val="nil"/>
                  </w:tcBorders>
                  <w:tcMar>
                    <w:top w:w="0" w:type="dxa"/>
                    <w:left w:w="28" w:type="dxa"/>
                    <w:bottom w:w="0" w:type="dxa"/>
                    <w:right w:w="28" w:type="dxa"/>
                  </w:tcMar>
                  <w:vAlign w:val="center"/>
                </w:tcPr>
                <w:p w14:paraId="091A98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危险废物类别</w:t>
                  </w:r>
                </w:p>
              </w:tc>
              <w:tc>
                <w:tcPr>
                  <w:tcW w:w="619" w:type="pct"/>
                  <w:tcBorders>
                    <w:tl2br w:val="nil"/>
                    <w:tr2bl w:val="nil"/>
                  </w:tcBorders>
                  <w:tcMar>
                    <w:top w:w="0" w:type="dxa"/>
                    <w:left w:w="28" w:type="dxa"/>
                    <w:bottom w:w="0" w:type="dxa"/>
                    <w:right w:w="28" w:type="dxa"/>
                  </w:tcMar>
                  <w:vAlign w:val="center"/>
                </w:tcPr>
                <w:p w14:paraId="1BAD81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危险废物代码</w:t>
                  </w:r>
                </w:p>
              </w:tc>
              <w:tc>
                <w:tcPr>
                  <w:tcW w:w="458" w:type="pct"/>
                  <w:tcBorders>
                    <w:tl2br w:val="nil"/>
                    <w:tr2bl w:val="nil"/>
                  </w:tcBorders>
                  <w:tcMar>
                    <w:top w:w="0" w:type="dxa"/>
                    <w:left w:w="28" w:type="dxa"/>
                    <w:bottom w:w="0" w:type="dxa"/>
                    <w:right w:w="28" w:type="dxa"/>
                  </w:tcMar>
                  <w:vAlign w:val="center"/>
                </w:tcPr>
                <w:p w14:paraId="262928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位置</w:t>
                  </w:r>
                </w:p>
              </w:tc>
              <w:tc>
                <w:tcPr>
                  <w:tcW w:w="431" w:type="pct"/>
                  <w:tcBorders>
                    <w:tl2br w:val="nil"/>
                    <w:tr2bl w:val="nil"/>
                  </w:tcBorders>
                  <w:tcMar>
                    <w:top w:w="0" w:type="dxa"/>
                    <w:left w:w="28" w:type="dxa"/>
                    <w:bottom w:w="0" w:type="dxa"/>
                    <w:right w:w="28" w:type="dxa"/>
                  </w:tcMar>
                  <w:vAlign w:val="center"/>
                </w:tcPr>
                <w:p w14:paraId="1CB56B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占地面积</w:t>
                  </w:r>
                </w:p>
              </w:tc>
              <w:tc>
                <w:tcPr>
                  <w:tcW w:w="611" w:type="pct"/>
                  <w:tcBorders>
                    <w:tl2br w:val="nil"/>
                    <w:tr2bl w:val="nil"/>
                  </w:tcBorders>
                  <w:tcMar>
                    <w:top w:w="0" w:type="dxa"/>
                    <w:left w:w="28" w:type="dxa"/>
                    <w:bottom w:w="0" w:type="dxa"/>
                    <w:right w:w="28" w:type="dxa"/>
                  </w:tcMar>
                  <w:vAlign w:val="center"/>
                </w:tcPr>
                <w:p w14:paraId="11A31E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贮存方式</w:t>
                  </w:r>
                </w:p>
              </w:tc>
              <w:tc>
                <w:tcPr>
                  <w:tcW w:w="348" w:type="pct"/>
                  <w:tcBorders>
                    <w:tl2br w:val="nil"/>
                    <w:tr2bl w:val="nil"/>
                  </w:tcBorders>
                  <w:tcMar>
                    <w:top w:w="0" w:type="dxa"/>
                    <w:left w:w="28" w:type="dxa"/>
                    <w:bottom w:w="0" w:type="dxa"/>
                    <w:right w:w="28" w:type="dxa"/>
                  </w:tcMar>
                  <w:vAlign w:val="center"/>
                </w:tcPr>
                <w:p w14:paraId="7B2600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贮存能力</w:t>
                  </w:r>
                </w:p>
              </w:tc>
              <w:tc>
                <w:tcPr>
                  <w:tcW w:w="453" w:type="pct"/>
                  <w:tcBorders>
                    <w:tl2br w:val="nil"/>
                    <w:tr2bl w:val="nil"/>
                  </w:tcBorders>
                  <w:tcMar>
                    <w:top w:w="0" w:type="dxa"/>
                    <w:left w:w="28" w:type="dxa"/>
                    <w:bottom w:w="0" w:type="dxa"/>
                    <w:right w:w="28" w:type="dxa"/>
                  </w:tcMar>
                  <w:vAlign w:val="center"/>
                </w:tcPr>
                <w:p w14:paraId="56C17B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转运</w:t>
                  </w:r>
                  <w:r>
                    <w:rPr>
                      <w:rFonts w:hint="default" w:ascii="Times New Roman" w:hAnsi="Times New Roman" w:eastAsia="宋体" w:cs="Times New Roman"/>
                      <w:color w:val="auto"/>
                      <w:sz w:val="21"/>
                      <w:szCs w:val="21"/>
                      <w:highlight w:val="none"/>
                      <w:lang w:val="en-US" w:eastAsia="zh-CN"/>
                    </w:rPr>
                    <w:t>周期</w:t>
                  </w:r>
                </w:p>
              </w:tc>
            </w:tr>
            <w:tr w14:paraId="058437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shd w:val="clear" w:color="auto" w:fill="auto"/>
                  <w:tcMar>
                    <w:top w:w="0" w:type="dxa"/>
                    <w:left w:w="28" w:type="dxa"/>
                    <w:bottom w:w="0" w:type="dxa"/>
                    <w:right w:w="28" w:type="dxa"/>
                  </w:tcMar>
                  <w:vAlign w:val="center"/>
                </w:tcPr>
                <w:p w14:paraId="5CFAA3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626" w:type="pct"/>
                  <w:vMerge w:val="restart"/>
                  <w:tcBorders>
                    <w:tl2br w:val="nil"/>
                    <w:tr2bl w:val="nil"/>
                  </w:tcBorders>
                  <w:tcMar>
                    <w:top w:w="0" w:type="dxa"/>
                    <w:left w:w="28" w:type="dxa"/>
                    <w:bottom w:w="0" w:type="dxa"/>
                    <w:right w:w="28" w:type="dxa"/>
                  </w:tcMar>
                  <w:vAlign w:val="center"/>
                </w:tcPr>
                <w:p w14:paraId="436030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危废暂存间</w:t>
                  </w:r>
                </w:p>
              </w:tc>
              <w:tc>
                <w:tcPr>
                  <w:tcW w:w="724" w:type="pct"/>
                  <w:tcBorders>
                    <w:tl2br w:val="nil"/>
                    <w:tr2bl w:val="nil"/>
                  </w:tcBorders>
                  <w:shd w:val="clear" w:color="auto" w:fill="auto"/>
                  <w:tcMar>
                    <w:top w:w="0" w:type="dxa"/>
                    <w:left w:w="28" w:type="dxa"/>
                    <w:bottom w:w="0" w:type="dxa"/>
                    <w:right w:w="28" w:type="dxa"/>
                  </w:tcMar>
                  <w:vAlign w:val="center"/>
                </w:tcPr>
                <w:p w14:paraId="1A6625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纺丝组件清洗废渣</w:t>
                  </w:r>
                </w:p>
              </w:tc>
              <w:tc>
                <w:tcPr>
                  <w:tcW w:w="497" w:type="pct"/>
                  <w:tcBorders>
                    <w:tl2br w:val="nil"/>
                    <w:tr2bl w:val="nil"/>
                  </w:tcBorders>
                  <w:shd w:val="clear" w:color="auto" w:fill="auto"/>
                  <w:tcMar>
                    <w:top w:w="0" w:type="dxa"/>
                    <w:left w:w="28" w:type="dxa"/>
                    <w:bottom w:w="0" w:type="dxa"/>
                    <w:right w:w="28" w:type="dxa"/>
                  </w:tcMar>
                  <w:vAlign w:val="center"/>
                </w:tcPr>
                <w:p w14:paraId="454281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HW13</w:t>
                  </w:r>
                </w:p>
              </w:tc>
              <w:tc>
                <w:tcPr>
                  <w:tcW w:w="619" w:type="pct"/>
                  <w:tcBorders>
                    <w:tl2br w:val="nil"/>
                    <w:tr2bl w:val="nil"/>
                  </w:tcBorders>
                  <w:shd w:val="clear" w:color="auto" w:fill="auto"/>
                  <w:tcMar>
                    <w:top w:w="0" w:type="dxa"/>
                    <w:left w:w="28" w:type="dxa"/>
                    <w:bottom w:w="0" w:type="dxa"/>
                    <w:right w:w="28" w:type="dxa"/>
                  </w:tcMar>
                  <w:vAlign w:val="center"/>
                </w:tcPr>
                <w:p w14:paraId="667C3E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900-015-13</w:t>
                  </w:r>
                </w:p>
              </w:tc>
              <w:tc>
                <w:tcPr>
                  <w:tcW w:w="458" w:type="pct"/>
                  <w:vMerge w:val="restart"/>
                  <w:tcBorders>
                    <w:tl2br w:val="nil"/>
                    <w:tr2bl w:val="nil"/>
                  </w:tcBorders>
                  <w:tcMar>
                    <w:top w:w="0" w:type="dxa"/>
                    <w:left w:w="28" w:type="dxa"/>
                    <w:bottom w:w="0" w:type="dxa"/>
                    <w:right w:w="28" w:type="dxa"/>
                  </w:tcMar>
                  <w:vAlign w:val="center"/>
                </w:tcPr>
                <w:p w14:paraId="17BB4A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位于抽丝车间北侧</w:t>
                  </w:r>
                </w:p>
              </w:tc>
              <w:tc>
                <w:tcPr>
                  <w:tcW w:w="431" w:type="pct"/>
                  <w:vMerge w:val="restart"/>
                  <w:tcBorders>
                    <w:tl2br w:val="nil"/>
                    <w:tr2bl w:val="nil"/>
                  </w:tcBorders>
                  <w:tcMar>
                    <w:top w:w="0" w:type="dxa"/>
                    <w:left w:w="28" w:type="dxa"/>
                    <w:bottom w:w="0" w:type="dxa"/>
                    <w:right w:w="28" w:type="dxa"/>
                  </w:tcMar>
                  <w:vAlign w:val="center"/>
                </w:tcPr>
                <w:p w14:paraId="051BD3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35m</w:t>
                  </w:r>
                  <w:r>
                    <w:rPr>
                      <w:rFonts w:hint="eastAsia" w:ascii="Times New Roman" w:hAnsi="Times New Roman" w:eastAsia="宋体" w:cs="Times New Roman"/>
                      <w:color w:val="auto"/>
                      <w:sz w:val="21"/>
                      <w:szCs w:val="21"/>
                      <w:highlight w:val="none"/>
                      <w:vertAlign w:val="superscript"/>
                      <w:lang w:val="en-US" w:eastAsia="zh-CN"/>
                    </w:rPr>
                    <w:t>2</w:t>
                  </w:r>
                </w:p>
              </w:tc>
              <w:tc>
                <w:tcPr>
                  <w:tcW w:w="611" w:type="pct"/>
                  <w:tcBorders>
                    <w:tl2br w:val="nil"/>
                    <w:tr2bl w:val="nil"/>
                  </w:tcBorders>
                  <w:tcMar>
                    <w:top w:w="0" w:type="dxa"/>
                    <w:left w:w="28" w:type="dxa"/>
                    <w:bottom w:w="0" w:type="dxa"/>
                    <w:right w:w="28" w:type="dxa"/>
                  </w:tcMar>
                  <w:vAlign w:val="center"/>
                </w:tcPr>
                <w:p w14:paraId="39D831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袋装</w:t>
                  </w:r>
                </w:p>
              </w:tc>
              <w:tc>
                <w:tcPr>
                  <w:tcW w:w="348" w:type="pct"/>
                  <w:tcBorders>
                    <w:tl2br w:val="nil"/>
                    <w:tr2bl w:val="nil"/>
                  </w:tcBorders>
                  <w:tcMar>
                    <w:top w:w="0" w:type="dxa"/>
                    <w:left w:w="28" w:type="dxa"/>
                    <w:bottom w:w="0" w:type="dxa"/>
                    <w:right w:w="28" w:type="dxa"/>
                  </w:tcMar>
                  <w:vAlign w:val="center"/>
                </w:tcPr>
                <w:p w14:paraId="6D8D14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2.5t</w:t>
                  </w:r>
                </w:p>
              </w:tc>
              <w:tc>
                <w:tcPr>
                  <w:tcW w:w="453" w:type="pct"/>
                  <w:tcBorders>
                    <w:tl2br w:val="nil"/>
                    <w:tr2bl w:val="nil"/>
                  </w:tcBorders>
                  <w:tcMar>
                    <w:top w:w="0" w:type="dxa"/>
                    <w:left w:w="28" w:type="dxa"/>
                    <w:bottom w:w="0" w:type="dxa"/>
                    <w:right w:w="28" w:type="dxa"/>
                  </w:tcMar>
                  <w:vAlign w:val="center"/>
                </w:tcPr>
                <w:p w14:paraId="396568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1次/年</w:t>
                  </w:r>
                </w:p>
              </w:tc>
            </w:tr>
            <w:tr w14:paraId="6EA64D1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shd w:val="clear" w:color="auto" w:fill="auto"/>
                  <w:tcMar>
                    <w:top w:w="0" w:type="dxa"/>
                    <w:left w:w="28" w:type="dxa"/>
                    <w:bottom w:w="0" w:type="dxa"/>
                    <w:right w:w="28" w:type="dxa"/>
                  </w:tcMar>
                  <w:vAlign w:val="center"/>
                </w:tcPr>
                <w:p w14:paraId="210D00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p>
              </w:tc>
              <w:tc>
                <w:tcPr>
                  <w:tcW w:w="626" w:type="pct"/>
                  <w:vMerge w:val="continue"/>
                  <w:tcBorders>
                    <w:tl2br w:val="nil"/>
                    <w:tr2bl w:val="nil"/>
                  </w:tcBorders>
                  <w:tcMar>
                    <w:top w:w="0" w:type="dxa"/>
                    <w:left w:w="28" w:type="dxa"/>
                    <w:bottom w:w="0" w:type="dxa"/>
                    <w:right w:w="28" w:type="dxa"/>
                  </w:tcMar>
                  <w:vAlign w:val="center"/>
                </w:tcPr>
                <w:p w14:paraId="48FEA4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24" w:type="pct"/>
                  <w:tcBorders>
                    <w:tl2br w:val="nil"/>
                    <w:tr2bl w:val="nil"/>
                  </w:tcBorders>
                  <w:tcMar>
                    <w:top w:w="0" w:type="dxa"/>
                    <w:left w:w="28" w:type="dxa"/>
                    <w:bottom w:w="0" w:type="dxa"/>
                    <w:right w:w="28" w:type="dxa"/>
                  </w:tcMar>
                  <w:vAlign w:val="center"/>
                </w:tcPr>
                <w:p w14:paraId="3847E3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废油剂容器</w:t>
                  </w:r>
                </w:p>
              </w:tc>
              <w:tc>
                <w:tcPr>
                  <w:tcW w:w="497" w:type="pct"/>
                  <w:tcBorders>
                    <w:tl2br w:val="nil"/>
                    <w:tr2bl w:val="nil"/>
                  </w:tcBorders>
                  <w:tcMar>
                    <w:top w:w="0" w:type="dxa"/>
                    <w:left w:w="28" w:type="dxa"/>
                    <w:bottom w:w="0" w:type="dxa"/>
                    <w:right w:w="28" w:type="dxa"/>
                  </w:tcMar>
                  <w:vAlign w:val="center"/>
                </w:tcPr>
                <w:p w14:paraId="664D54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w:t>
                  </w:r>
                </w:p>
              </w:tc>
              <w:tc>
                <w:tcPr>
                  <w:tcW w:w="619" w:type="pct"/>
                  <w:tcBorders>
                    <w:tl2br w:val="nil"/>
                    <w:tr2bl w:val="nil"/>
                  </w:tcBorders>
                  <w:tcMar>
                    <w:top w:w="0" w:type="dxa"/>
                    <w:left w:w="28" w:type="dxa"/>
                    <w:bottom w:w="0" w:type="dxa"/>
                    <w:right w:w="28" w:type="dxa"/>
                  </w:tcMar>
                  <w:vAlign w:val="center"/>
                </w:tcPr>
                <w:p w14:paraId="3E2205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900-041-49</w:t>
                  </w:r>
                </w:p>
              </w:tc>
              <w:tc>
                <w:tcPr>
                  <w:tcW w:w="458" w:type="pct"/>
                  <w:vMerge w:val="continue"/>
                  <w:tcBorders>
                    <w:tl2br w:val="nil"/>
                    <w:tr2bl w:val="nil"/>
                  </w:tcBorders>
                  <w:tcMar>
                    <w:top w:w="0" w:type="dxa"/>
                    <w:left w:w="28" w:type="dxa"/>
                    <w:bottom w:w="0" w:type="dxa"/>
                    <w:right w:w="28" w:type="dxa"/>
                  </w:tcMar>
                  <w:vAlign w:val="center"/>
                </w:tcPr>
                <w:p w14:paraId="65252D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431" w:type="pct"/>
                  <w:vMerge w:val="continue"/>
                  <w:tcBorders>
                    <w:tl2br w:val="nil"/>
                    <w:tr2bl w:val="nil"/>
                  </w:tcBorders>
                  <w:tcMar>
                    <w:top w:w="0" w:type="dxa"/>
                    <w:left w:w="28" w:type="dxa"/>
                    <w:bottom w:w="0" w:type="dxa"/>
                    <w:right w:w="28" w:type="dxa"/>
                  </w:tcMar>
                  <w:vAlign w:val="center"/>
                </w:tcPr>
                <w:p w14:paraId="3E8F99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611" w:type="pct"/>
                  <w:tcBorders>
                    <w:tl2br w:val="nil"/>
                    <w:tr2bl w:val="nil"/>
                  </w:tcBorders>
                  <w:tcMar>
                    <w:top w:w="0" w:type="dxa"/>
                    <w:left w:w="28" w:type="dxa"/>
                    <w:bottom w:w="0" w:type="dxa"/>
                    <w:right w:w="28" w:type="dxa"/>
                  </w:tcMar>
                  <w:vAlign w:val="center"/>
                </w:tcPr>
                <w:p w14:paraId="07C552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桶装</w:t>
                  </w:r>
                </w:p>
              </w:tc>
              <w:tc>
                <w:tcPr>
                  <w:tcW w:w="348" w:type="pct"/>
                  <w:tcBorders>
                    <w:tl2br w:val="nil"/>
                    <w:tr2bl w:val="nil"/>
                  </w:tcBorders>
                  <w:tcMar>
                    <w:top w:w="0" w:type="dxa"/>
                    <w:left w:w="28" w:type="dxa"/>
                    <w:bottom w:w="0" w:type="dxa"/>
                    <w:right w:w="28" w:type="dxa"/>
                  </w:tcMar>
                  <w:vAlign w:val="center"/>
                </w:tcPr>
                <w:p w14:paraId="4554DD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1t</w:t>
                  </w:r>
                </w:p>
              </w:tc>
              <w:tc>
                <w:tcPr>
                  <w:tcW w:w="453" w:type="pct"/>
                  <w:tcBorders>
                    <w:tl2br w:val="nil"/>
                    <w:tr2bl w:val="nil"/>
                  </w:tcBorders>
                  <w:tcMar>
                    <w:top w:w="0" w:type="dxa"/>
                    <w:left w:w="28" w:type="dxa"/>
                    <w:bottom w:w="0" w:type="dxa"/>
                    <w:right w:w="28" w:type="dxa"/>
                  </w:tcMar>
                  <w:vAlign w:val="center"/>
                </w:tcPr>
                <w:p w14:paraId="43484B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1次/年</w:t>
                  </w:r>
                </w:p>
              </w:tc>
            </w:tr>
            <w:tr w14:paraId="793DBCF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shd w:val="clear" w:color="auto" w:fill="auto"/>
                  <w:tcMar>
                    <w:top w:w="0" w:type="dxa"/>
                    <w:left w:w="28" w:type="dxa"/>
                    <w:bottom w:w="0" w:type="dxa"/>
                    <w:right w:w="28" w:type="dxa"/>
                  </w:tcMar>
                  <w:vAlign w:val="center"/>
                </w:tcPr>
                <w:p w14:paraId="4A3DF2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p>
              </w:tc>
              <w:tc>
                <w:tcPr>
                  <w:tcW w:w="626" w:type="pct"/>
                  <w:vMerge w:val="continue"/>
                  <w:tcBorders>
                    <w:tl2br w:val="nil"/>
                    <w:tr2bl w:val="nil"/>
                  </w:tcBorders>
                  <w:tcMar>
                    <w:top w:w="0" w:type="dxa"/>
                    <w:left w:w="28" w:type="dxa"/>
                    <w:bottom w:w="0" w:type="dxa"/>
                    <w:right w:w="28" w:type="dxa"/>
                  </w:tcMar>
                  <w:vAlign w:val="center"/>
                </w:tcPr>
                <w:p w14:paraId="24B7E0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24" w:type="pct"/>
                  <w:tcBorders>
                    <w:tl2br w:val="nil"/>
                    <w:tr2bl w:val="nil"/>
                  </w:tcBorders>
                  <w:tcMar>
                    <w:top w:w="0" w:type="dxa"/>
                    <w:left w:w="28" w:type="dxa"/>
                    <w:bottom w:w="0" w:type="dxa"/>
                    <w:right w:w="28" w:type="dxa"/>
                  </w:tcMar>
                  <w:vAlign w:val="center"/>
                </w:tcPr>
                <w:p w14:paraId="3BD7A3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zh-CN" w:eastAsia="zh-CN"/>
                    </w:rPr>
                  </w:pPr>
                  <w:r>
                    <w:rPr>
                      <w:rFonts w:hint="eastAsia" w:ascii="Times New Roman" w:hAnsi="Times New Roman" w:eastAsia="宋体" w:cs="Times New Roman"/>
                      <w:color w:val="auto"/>
                      <w:sz w:val="21"/>
                      <w:szCs w:val="21"/>
                      <w:highlight w:val="none"/>
                      <w:lang w:val="en-US" w:eastAsia="zh-CN"/>
                    </w:rPr>
                    <w:t>废活性炭</w:t>
                  </w:r>
                </w:p>
              </w:tc>
              <w:tc>
                <w:tcPr>
                  <w:tcW w:w="497" w:type="pct"/>
                  <w:tcBorders>
                    <w:tl2br w:val="nil"/>
                    <w:tr2bl w:val="nil"/>
                  </w:tcBorders>
                  <w:tcMar>
                    <w:top w:w="0" w:type="dxa"/>
                    <w:left w:w="28" w:type="dxa"/>
                    <w:bottom w:w="0" w:type="dxa"/>
                    <w:right w:w="28" w:type="dxa"/>
                  </w:tcMar>
                  <w:vAlign w:val="center"/>
                </w:tcPr>
                <w:p w14:paraId="3C6ED0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w:t>
                  </w:r>
                </w:p>
              </w:tc>
              <w:tc>
                <w:tcPr>
                  <w:tcW w:w="619" w:type="pct"/>
                  <w:tcBorders>
                    <w:tl2br w:val="nil"/>
                    <w:tr2bl w:val="nil"/>
                  </w:tcBorders>
                  <w:tcMar>
                    <w:top w:w="0" w:type="dxa"/>
                    <w:left w:w="28" w:type="dxa"/>
                    <w:bottom w:w="0" w:type="dxa"/>
                    <w:right w:w="28" w:type="dxa"/>
                  </w:tcMar>
                  <w:vAlign w:val="center"/>
                </w:tcPr>
                <w:p w14:paraId="736838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900-039-49</w:t>
                  </w:r>
                </w:p>
              </w:tc>
              <w:tc>
                <w:tcPr>
                  <w:tcW w:w="458" w:type="pct"/>
                  <w:vMerge w:val="continue"/>
                  <w:tcBorders>
                    <w:tl2br w:val="nil"/>
                    <w:tr2bl w:val="nil"/>
                  </w:tcBorders>
                  <w:tcMar>
                    <w:top w:w="0" w:type="dxa"/>
                    <w:left w:w="28" w:type="dxa"/>
                    <w:bottom w:w="0" w:type="dxa"/>
                    <w:right w:w="28" w:type="dxa"/>
                  </w:tcMar>
                  <w:vAlign w:val="center"/>
                </w:tcPr>
                <w:p w14:paraId="6F5DCD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431" w:type="pct"/>
                  <w:vMerge w:val="continue"/>
                  <w:tcBorders>
                    <w:tl2br w:val="nil"/>
                    <w:tr2bl w:val="nil"/>
                  </w:tcBorders>
                  <w:tcMar>
                    <w:top w:w="0" w:type="dxa"/>
                    <w:left w:w="28" w:type="dxa"/>
                    <w:bottom w:w="0" w:type="dxa"/>
                    <w:right w:w="28" w:type="dxa"/>
                  </w:tcMar>
                  <w:vAlign w:val="center"/>
                </w:tcPr>
                <w:p w14:paraId="15BB01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611" w:type="pct"/>
                  <w:tcBorders>
                    <w:tl2br w:val="nil"/>
                    <w:tr2bl w:val="nil"/>
                  </w:tcBorders>
                  <w:tcMar>
                    <w:top w:w="0" w:type="dxa"/>
                    <w:left w:w="28" w:type="dxa"/>
                    <w:bottom w:w="0" w:type="dxa"/>
                    <w:right w:w="28" w:type="dxa"/>
                  </w:tcMar>
                  <w:vAlign w:val="center"/>
                </w:tcPr>
                <w:p w14:paraId="1B6ACC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袋装</w:t>
                  </w:r>
                </w:p>
              </w:tc>
              <w:tc>
                <w:tcPr>
                  <w:tcW w:w="348" w:type="pct"/>
                  <w:tcBorders>
                    <w:tl2br w:val="nil"/>
                    <w:tr2bl w:val="nil"/>
                  </w:tcBorders>
                  <w:tcMar>
                    <w:top w:w="0" w:type="dxa"/>
                    <w:left w:w="28" w:type="dxa"/>
                    <w:bottom w:w="0" w:type="dxa"/>
                    <w:right w:w="28" w:type="dxa"/>
                  </w:tcMar>
                  <w:vAlign w:val="center"/>
                </w:tcPr>
                <w:p w14:paraId="3B0D40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t</w:t>
                  </w:r>
                </w:p>
              </w:tc>
              <w:tc>
                <w:tcPr>
                  <w:tcW w:w="453" w:type="pct"/>
                  <w:tcBorders>
                    <w:tl2br w:val="nil"/>
                    <w:tr2bl w:val="nil"/>
                  </w:tcBorders>
                  <w:tcMar>
                    <w:top w:w="0" w:type="dxa"/>
                    <w:left w:w="28" w:type="dxa"/>
                    <w:bottom w:w="0" w:type="dxa"/>
                    <w:right w:w="28" w:type="dxa"/>
                  </w:tcMar>
                  <w:vAlign w:val="center"/>
                </w:tcPr>
                <w:p w14:paraId="453A8B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次/年</w:t>
                  </w:r>
                </w:p>
              </w:tc>
            </w:tr>
            <w:tr w14:paraId="2EDAE1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shd w:val="clear" w:color="auto" w:fill="auto"/>
                  <w:tcMar>
                    <w:top w:w="0" w:type="dxa"/>
                    <w:left w:w="28" w:type="dxa"/>
                    <w:bottom w:w="0" w:type="dxa"/>
                    <w:right w:w="28" w:type="dxa"/>
                  </w:tcMar>
                  <w:vAlign w:val="center"/>
                </w:tcPr>
                <w:p w14:paraId="45120A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w:t>
                  </w:r>
                </w:p>
              </w:tc>
              <w:tc>
                <w:tcPr>
                  <w:tcW w:w="626" w:type="pct"/>
                  <w:vMerge w:val="continue"/>
                  <w:tcBorders>
                    <w:tl2br w:val="nil"/>
                    <w:tr2bl w:val="nil"/>
                  </w:tcBorders>
                  <w:tcMar>
                    <w:top w:w="0" w:type="dxa"/>
                    <w:left w:w="28" w:type="dxa"/>
                    <w:bottom w:w="0" w:type="dxa"/>
                    <w:right w:w="28" w:type="dxa"/>
                  </w:tcMar>
                  <w:vAlign w:val="center"/>
                </w:tcPr>
                <w:p w14:paraId="3BA01F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24" w:type="pct"/>
                  <w:tcBorders>
                    <w:tl2br w:val="nil"/>
                    <w:tr2bl w:val="nil"/>
                  </w:tcBorders>
                  <w:tcMar>
                    <w:top w:w="0" w:type="dxa"/>
                    <w:left w:w="28" w:type="dxa"/>
                    <w:bottom w:w="0" w:type="dxa"/>
                    <w:right w:w="28" w:type="dxa"/>
                  </w:tcMar>
                  <w:vAlign w:val="center"/>
                </w:tcPr>
                <w:p w14:paraId="634FDA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497" w:type="pct"/>
                  <w:tcBorders>
                    <w:tl2br w:val="nil"/>
                    <w:tr2bl w:val="nil"/>
                  </w:tcBorders>
                  <w:tcMar>
                    <w:top w:w="0" w:type="dxa"/>
                    <w:left w:w="28" w:type="dxa"/>
                    <w:bottom w:w="0" w:type="dxa"/>
                    <w:right w:w="28" w:type="dxa"/>
                  </w:tcMar>
                  <w:vAlign w:val="center"/>
                </w:tcPr>
                <w:p w14:paraId="6847F0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HW08</w:t>
                  </w:r>
                </w:p>
              </w:tc>
              <w:tc>
                <w:tcPr>
                  <w:tcW w:w="619" w:type="pct"/>
                  <w:tcBorders>
                    <w:tl2br w:val="nil"/>
                    <w:tr2bl w:val="nil"/>
                  </w:tcBorders>
                  <w:tcMar>
                    <w:top w:w="0" w:type="dxa"/>
                    <w:left w:w="28" w:type="dxa"/>
                    <w:bottom w:w="0" w:type="dxa"/>
                    <w:right w:w="28" w:type="dxa"/>
                  </w:tcMar>
                  <w:vAlign w:val="center"/>
                </w:tcPr>
                <w:p w14:paraId="671E3B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900-214-08</w:t>
                  </w:r>
                </w:p>
              </w:tc>
              <w:tc>
                <w:tcPr>
                  <w:tcW w:w="458" w:type="pct"/>
                  <w:vMerge w:val="continue"/>
                  <w:tcBorders>
                    <w:tl2br w:val="nil"/>
                    <w:tr2bl w:val="nil"/>
                  </w:tcBorders>
                  <w:tcMar>
                    <w:top w:w="0" w:type="dxa"/>
                    <w:left w:w="28" w:type="dxa"/>
                    <w:bottom w:w="0" w:type="dxa"/>
                    <w:right w:w="28" w:type="dxa"/>
                  </w:tcMar>
                  <w:vAlign w:val="center"/>
                </w:tcPr>
                <w:p w14:paraId="7DC05F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431" w:type="pct"/>
                  <w:vMerge w:val="continue"/>
                  <w:tcBorders>
                    <w:tl2br w:val="nil"/>
                    <w:tr2bl w:val="nil"/>
                  </w:tcBorders>
                  <w:tcMar>
                    <w:top w:w="0" w:type="dxa"/>
                    <w:left w:w="28" w:type="dxa"/>
                    <w:bottom w:w="0" w:type="dxa"/>
                    <w:right w:w="28" w:type="dxa"/>
                  </w:tcMar>
                  <w:vAlign w:val="center"/>
                </w:tcPr>
                <w:p w14:paraId="7F929A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611" w:type="pct"/>
                  <w:tcBorders>
                    <w:tl2br w:val="nil"/>
                    <w:tr2bl w:val="nil"/>
                  </w:tcBorders>
                  <w:tcMar>
                    <w:top w:w="0" w:type="dxa"/>
                    <w:left w:w="28" w:type="dxa"/>
                    <w:bottom w:w="0" w:type="dxa"/>
                    <w:right w:w="28" w:type="dxa"/>
                  </w:tcMar>
                  <w:vAlign w:val="center"/>
                </w:tcPr>
                <w:p w14:paraId="3DE8B2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桶装</w:t>
                  </w:r>
                </w:p>
              </w:tc>
              <w:tc>
                <w:tcPr>
                  <w:tcW w:w="348" w:type="pct"/>
                  <w:tcBorders>
                    <w:tl2br w:val="nil"/>
                    <w:tr2bl w:val="nil"/>
                  </w:tcBorders>
                  <w:tcMar>
                    <w:top w:w="0" w:type="dxa"/>
                    <w:left w:w="28" w:type="dxa"/>
                    <w:bottom w:w="0" w:type="dxa"/>
                    <w:right w:w="28" w:type="dxa"/>
                  </w:tcMar>
                  <w:vAlign w:val="center"/>
                </w:tcPr>
                <w:p w14:paraId="567FE3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1t</w:t>
                  </w:r>
                </w:p>
              </w:tc>
              <w:tc>
                <w:tcPr>
                  <w:tcW w:w="453" w:type="pct"/>
                  <w:tcBorders>
                    <w:tl2br w:val="nil"/>
                    <w:tr2bl w:val="nil"/>
                  </w:tcBorders>
                  <w:tcMar>
                    <w:top w:w="0" w:type="dxa"/>
                    <w:left w:w="28" w:type="dxa"/>
                    <w:bottom w:w="0" w:type="dxa"/>
                    <w:right w:w="28" w:type="dxa"/>
                  </w:tcMar>
                  <w:vAlign w:val="center"/>
                </w:tcPr>
                <w:p w14:paraId="45FEB1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1次/年</w:t>
                  </w:r>
                </w:p>
              </w:tc>
            </w:tr>
            <w:tr w14:paraId="18C85B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shd w:val="clear" w:color="auto" w:fill="auto"/>
                  <w:tcMar>
                    <w:top w:w="0" w:type="dxa"/>
                    <w:left w:w="28" w:type="dxa"/>
                    <w:bottom w:w="0" w:type="dxa"/>
                    <w:right w:w="28" w:type="dxa"/>
                  </w:tcMar>
                  <w:vAlign w:val="center"/>
                </w:tcPr>
                <w:p w14:paraId="226A60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w:t>
                  </w:r>
                </w:p>
              </w:tc>
              <w:tc>
                <w:tcPr>
                  <w:tcW w:w="626" w:type="pct"/>
                  <w:vMerge w:val="continue"/>
                  <w:tcBorders>
                    <w:tl2br w:val="nil"/>
                    <w:tr2bl w:val="nil"/>
                  </w:tcBorders>
                  <w:tcMar>
                    <w:top w:w="0" w:type="dxa"/>
                    <w:left w:w="28" w:type="dxa"/>
                    <w:bottom w:w="0" w:type="dxa"/>
                    <w:right w:w="28" w:type="dxa"/>
                  </w:tcMar>
                  <w:vAlign w:val="center"/>
                </w:tcPr>
                <w:p w14:paraId="294D84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24" w:type="pct"/>
                  <w:tcBorders>
                    <w:tl2br w:val="nil"/>
                    <w:tr2bl w:val="nil"/>
                  </w:tcBorders>
                  <w:tcMar>
                    <w:top w:w="0" w:type="dxa"/>
                    <w:left w:w="28" w:type="dxa"/>
                    <w:bottom w:w="0" w:type="dxa"/>
                    <w:right w:w="28" w:type="dxa"/>
                  </w:tcMar>
                  <w:vAlign w:val="center"/>
                </w:tcPr>
                <w:p w14:paraId="4FFEB0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废机油桶</w:t>
                  </w:r>
                </w:p>
              </w:tc>
              <w:tc>
                <w:tcPr>
                  <w:tcW w:w="497" w:type="pct"/>
                  <w:tcBorders>
                    <w:tl2br w:val="nil"/>
                    <w:tr2bl w:val="nil"/>
                  </w:tcBorders>
                  <w:tcMar>
                    <w:top w:w="0" w:type="dxa"/>
                    <w:left w:w="28" w:type="dxa"/>
                    <w:bottom w:w="0" w:type="dxa"/>
                    <w:right w:w="28" w:type="dxa"/>
                  </w:tcMar>
                  <w:vAlign w:val="center"/>
                </w:tcPr>
                <w:p w14:paraId="2572CB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HW08</w:t>
                  </w:r>
                </w:p>
              </w:tc>
              <w:tc>
                <w:tcPr>
                  <w:tcW w:w="619" w:type="pct"/>
                  <w:tcBorders>
                    <w:tl2br w:val="nil"/>
                    <w:tr2bl w:val="nil"/>
                  </w:tcBorders>
                  <w:tcMar>
                    <w:top w:w="0" w:type="dxa"/>
                    <w:left w:w="28" w:type="dxa"/>
                    <w:bottom w:w="0" w:type="dxa"/>
                    <w:right w:w="28" w:type="dxa"/>
                  </w:tcMar>
                  <w:vAlign w:val="center"/>
                </w:tcPr>
                <w:p w14:paraId="5B605E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900-249-08</w:t>
                  </w:r>
                </w:p>
              </w:tc>
              <w:tc>
                <w:tcPr>
                  <w:tcW w:w="458" w:type="pct"/>
                  <w:vMerge w:val="continue"/>
                  <w:tcBorders>
                    <w:tl2br w:val="nil"/>
                    <w:tr2bl w:val="nil"/>
                  </w:tcBorders>
                  <w:tcMar>
                    <w:top w:w="0" w:type="dxa"/>
                    <w:left w:w="28" w:type="dxa"/>
                    <w:bottom w:w="0" w:type="dxa"/>
                    <w:right w:w="28" w:type="dxa"/>
                  </w:tcMar>
                  <w:vAlign w:val="center"/>
                </w:tcPr>
                <w:p w14:paraId="509F46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431" w:type="pct"/>
                  <w:vMerge w:val="continue"/>
                  <w:tcBorders>
                    <w:tl2br w:val="nil"/>
                    <w:tr2bl w:val="nil"/>
                  </w:tcBorders>
                  <w:tcMar>
                    <w:top w:w="0" w:type="dxa"/>
                    <w:left w:w="28" w:type="dxa"/>
                    <w:bottom w:w="0" w:type="dxa"/>
                    <w:right w:w="28" w:type="dxa"/>
                  </w:tcMar>
                  <w:vAlign w:val="center"/>
                </w:tcPr>
                <w:p w14:paraId="236057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611" w:type="pct"/>
                  <w:tcBorders>
                    <w:tl2br w:val="nil"/>
                    <w:tr2bl w:val="nil"/>
                  </w:tcBorders>
                  <w:tcMar>
                    <w:top w:w="0" w:type="dxa"/>
                    <w:left w:w="28" w:type="dxa"/>
                    <w:bottom w:w="0" w:type="dxa"/>
                    <w:right w:w="28" w:type="dxa"/>
                  </w:tcMar>
                  <w:vAlign w:val="center"/>
                </w:tcPr>
                <w:p w14:paraId="2DFDC8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桶装</w:t>
                  </w:r>
                </w:p>
              </w:tc>
              <w:tc>
                <w:tcPr>
                  <w:tcW w:w="348" w:type="pct"/>
                  <w:tcBorders>
                    <w:tl2br w:val="nil"/>
                    <w:tr2bl w:val="nil"/>
                  </w:tcBorders>
                  <w:tcMar>
                    <w:top w:w="0" w:type="dxa"/>
                    <w:left w:w="28" w:type="dxa"/>
                    <w:bottom w:w="0" w:type="dxa"/>
                    <w:right w:w="28" w:type="dxa"/>
                  </w:tcMar>
                  <w:vAlign w:val="center"/>
                </w:tcPr>
                <w:p w14:paraId="7F33D8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1t</w:t>
                  </w:r>
                </w:p>
              </w:tc>
              <w:tc>
                <w:tcPr>
                  <w:tcW w:w="453" w:type="pct"/>
                  <w:tcBorders>
                    <w:tl2br w:val="nil"/>
                    <w:tr2bl w:val="nil"/>
                  </w:tcBorders>
                  <w:tcMar>
                    <w:top w:w="0" w:type="dxa"/>
                    <w:left w:w="28" w:type="dxa"/>
                    <w:bottom w:w="0" w:type="dxa"/>
                    <w:right w:w="28" w:type="dxa"/>
                  </w:tcMar>
                  <w:vAlign w:val="center"/>
                </w:tcPr>
                <w:p w14:paraId="5A61C1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1次/年</w:t>
                  </w:r>
                </w:p>
              </w:tc>
            </w:tr>
            <w:tr w14:paraId="71000D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0" w:hRule="atLeast"/>
                <w:jc w:val="center"/>
              </w:trPr>
              <w:tc>
                <w:tcPr>
                  <w:tcW w:w="226" w:type="pct"/>
                  <w:tcBorders>
                    <w:tl2br w:val="nil"/>
                    <w:tr2bl w:val="nil"/>
                  </w:tcBorders>
                  <w:tcMar>
                    <w:top w:w="0" w:type="dxa"/>
                    <w:left w:w="28" w:type="dxa"/>
                    <w:bottom w:w="0" w:type="dxa"/>
                    <w:right w:w="28" w:type="dxa"/>
                  </w:tcMar>
                  <w:vAlign w:val="center"/>
                </w:tcPr>
                <w:p w14:paraId="5C57A1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626" w:type="pct"/>
                  <w:vMerge w:val="continue"/>
                  <w:tcBorders>
                    <w:tl2br w:val="nil"/>
                    <w:tr2bl w:val="nil"/>
                  </w:tcBorders>
                  <w:tcMar>
                    <w:top w:w="0" w:type="dxa"/>
                    <w:left w:w="28" w:type="dxa"/>
                    <w:bottom w:w="0" w:type="dxa"/>
                    <w:right w:w="28" w:type="dxa"/>
                  </w:tcMar>
                  <w:vAlign w:val="center"/>
                </w:tcPr>
                <w:p w14:paraId="30EB25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724" w:type="pct"/>
                  <w:tcBorders>
                    <w:tl2br w:val="nil"/>
                    <w:tr2bl w:val="nil"/>
                  </w:tcBorders>
                  <w:tcMar>
                    <w:top w:w="0" w:type="dxa"/>
                    <w:left w:w="28" w:type="dxa"/>
                    <w:bottom w:w="0" w:type="dxa"/>
                    <w:right w:w="28" w:type="dxa"/>
                  </w:tcMar>
                  <w:vAlign w:val="center"/>
                </w:tcPr>
                <w:p w14:paraId="22D7F2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沉淀池污泥</w:t>
                  </w:r>
                </w:p>
              </w:tc>
              <w:tc>
                <w:tcPr>
                  <w:tcW w:w="832" w:type="dxa"/>
                  <w:tcBorders>
                    <w:tl2br w:val="nil"/>
                    <w:tr2bl w:val="nil"/>
                  </w:tcBorders>
                  <w:tcMar>
                    <w:top w:w="0" w:type="dxa"/>
                    <w:left w:w="28" w:type="dxa"/>
                    <w:bottom w:w="0" w:type="dxa"/>
                    <w:right w:w="28" w:type="dxa"/>
                  </w:tcMar>
                  <w:vAlign w:val="center"/>
                </w:tcPr>
                <w:p w14:paraId="57E88A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HW18</w:t>
                  </w:r>
                </w:p>
              </w:tc>
              <w:tc>
                <w:tcPr>
                  <w:tcW w:w="1036" w:type="dxa"/>
                  <w:tcBorders>
                    <w:tl2br w:val="nil"/>
                    <w:tr2bl w:val="nil"/>
                  </w:tcBorders>
                  <w:tcMar>
                    <w:top w:w="0" w:type="dxa"/>
                    <w:left w:w="28" w:type="dxa"/>
                    <w:bottom w:w="0" w:type="dxa"/>
                    <w:right w:w="28" w:type="dxa"/>
                  </w:tcMar>
                  <w:vAlign w:val="center"/>
                </w:tcPr>
                <w:p w14:paraId="78FA3C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772-003-18</w:t>
                  </w:r>
                </w:p>
              </w:tc>
              <w:tc>
                <w:tcPr>
                  <w:tcW w:w="458" w:type="pct"/>
                  <w:vMerge w:val="continue"/>
                  <w:tcBorders>
                    <w:tl2br w:val="nil"/>
                    <w:tr2bl w:val="nil"/>
                  </w:tcBorders>
                  <w:tcMar>
                    <w:top w:w="0" w:type="dxa"/>
                    <w:left w:w="28" w:type="dxa"/>
                    <w:bottom w:w="0" w:type="dxa"/>
                    <w:right w:w="28" w:type="dxa"/>
                  </w:tcMar>
                  <w:vAlign w:val="center"/>
                </w:tcPr>
                <w:p w14:paraId="753B5A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431" w:type="pct"/>
                  <w:vMerge w:val="continue"/>
                  <w:tcBorders>
                    <w:tl2br w:val="nil"/>
                    <w:tr2bl w:val="nil"/>
                  </w:tcBorders>
                  <w:tcMar>
                    <w:top w:w="0" w:type="dxa"/>
                    <w:left w:w="28" w:type="dxa"/>
                    <w:bottom w:w="0" w:type="dxa"/>
                    <w:right w:w="28" w:type="dxa"/>
                  </w:tcMar>
                  <w:vAlign w:val="center"/>
                </w:tcPr>
                <w:p w14:paraId="7EA24B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611" w:type="pct"/>
                  <w:tcBorders>
                    <w:tl2br w:val="nil"/>
                    <w:tr2bl w:val="nil"/>
                  </w:tcBorders>
                  <w:tcMar>
                    <w:top w:w="0" w:type="dxa"/>
                    <w:left w:w="28" w:type="dxa"/>
                    <w:bottom w:w="0" w:type="dxa"/>
                    <w:right w:w="28" w:type="dxa"/>
                  </w:tcMar>
                  <w:vAlign w:val="center"/>
                </w:tcPr>
                <w:p w14:paraId="5A1EAA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桶装</w:t>
                  </w:r>
                </w:p>
              </w:tc>
              <w:tc>
                <w:tcPr>
                  <w:tcW w:w="348" w:type="pct"/>
                  <w:tcBorders>
                    <w:tl2br w:val="nil"/>
                    <w:tr2bl w:val="nil"/>
                  </w:tcBorders>
                  <w:tcMar>
                    <w:top w:w="0" w:type="dxa"/>
                    <w:left w:w="28" w:type="dxa"/>
                    <w:bottom w:w="0" w:type="dxa"/>
                    <w:right w:w="28" w:type="dxa"/>
                  </w:tcMar>
                  <w:vAlign w:val="center"/>
                </w:tcPr>
                <w:p w14:paraId="52C90C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0.5t</w:t>
                  </w:r>
                </w:p>
              </w:tc>
              <w:tc>
                <w:tcPr>
                  <w:tcW w:w="453" w:type="pct"/>
                  <w:tcBorders>
                    <w:tl2br w:val="nil"/>
                    <w:tr2bl w:val="nil"/>
                  </w:tcBorders>
                  <w:tcMar>
                    <w:top w:w="0" w:type="dxa"/>
                    <w:left w:w="28" w:type="dxa"/>
                    <w:bottom w:w="0" w:type="dxa"/>
                    <w:right w:w="28" w:type="dxa"/>
                  </w:tcMar>
                  <w:vAlign w:val="center"/>
                </w:tcPr>
                <w:p w14:paraId="4D6EA7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2次/年</w:t>
                  </w:r>
                </w:p>
              </w:tc>
            </w:tr>
          </w:tbl>
          <w:p w14:paraId="58A89092">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w:t>
            </w:r>
            <w:r>
              <w:rPr>
                <w:rFonts w:hint="default" w:ascii="Times New Roman" w:hAnsi="Times New Roman" w:eastAsia="黑体" w:cs="Times New Roman"/>
                <w:b w:val="0"/>
                <w:bCs w:val="0"/>
                <w:color w:val="auto"/>
                <w:sz w:val="24"/>
                <w:szCs w:val="24"/>
                <w:highlight w:val="none"/>
                <w:lang w:val="en-US" w:eastAsia="zh-CN"/>
              </w:rPr>
              <w:t>固体废物环境管理要求</w:t>
            </w:r>
          </w:p>
          <w:p w14:paraId="5A28D265">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kern w:val="0"/>
                <w:sz w:val="24"/>
                <w:lang w:val="zh-CN"/>
              </w:rPr>
              <w:t>项目一般</w:t>
            </w:r>
            <w:r>
              <w:rPr>
                <w:rFonts w:hint="default" w:ascii="Times New Roman" w:hAnsi="Times New Roman" w:eastAsia="宋体" w:cs="Times New Roman"/>
                <w:color w:val="auto"/>
                <w:sz w:val="24"/>
                <w:szCs w:val="24"/>
                <w:highlight w:val="none"/>
                <w:lang w:val="zh-CN" w:eastAsia="zh-CN"/>
              </w:rPr>
              <w:t>固体</w:t>
            </w:r>
            <w:r>
              <w:rPr>
                <w:rFonts w:hint="default" w:ascii="Times New Roman" w:hAnsi="Times New Roman" w:cs="Times New Roman"/>
                <w:color w:val="auto"/>
                <w:kern w:val="0"/>
                <w:sz w:val="24"/>
                <w:lang w:val="zh-CN"/>
              </w:rPr>
              <w:t>废物执行《中华人民共和国固体废物污染环境防治法》和《一般工业固体废物管理台账制定指南（试行）》相关要求。一般固废暂存于生产车间内，暂存区可满足防风防雨措施，各类固废应分类收集，暂存区按照</w:t>
            </w:r>
            <w:r>
              <w:rPr>
                <w:rFonts w:hint="default" w:ascii="Times New Roman" w:hAnsi="Times New Roman" w:eastAsia="宋体" w:cs="Times New Roman"/>
                <w:color w:val="auto"/>
                <w:kern w:val="0"/>
                <w:sz w:val="24"/>
                <w:lang w:val="zh-CN"/>
              </w:rPr>
              <w:t>《环境保护图形标志—固体废物贮存（处置）场》国家标准第1号修改单</w:t>
            </w:r>
            <w:r>
              <w:rPr>
                <w:rFonts w:hint="default" w:ascii="Times New Roman" w:hAnsi="Times New Roman" w:eastAsia="宋体" w:cs="Times New Roman"/>
                <w:color w:val="auto"/>
                <w:sz w:val="24"/>
                <w:szCs w:val="24"/>
                <w:highlight w:val="none"/>
                <w:lang w:val="zh-CN" w:eastAsia="zh-CN"/>
              </w:rPr>
              <w:t>（</w:t>
            </w:r>
            <w:r>
              <w:rPr>
                <w:rFonts w:hint="eastAsia" w:ascii="Times New Roman" w:hAnsi="Times New Roman" w:eastAsia="宋体" w:cs="Times New Roman"/>
                <w:color w:val="auto"/>
                <w:sz w:val="24"/>
                <w:szCs w:val="24"/>
                <w:highlight w:val="none"/>
                <w:lang w:val="en-US" w:eastAsia="zh-CN"/>
              </w:rPr>
              <w:t>GB 15562.2-1995/XG1-2023</w:t>
            </w:r>
            <w:r>
              <w:rPr>
                <w:rFonts w:hint="default" w:ascii="Times New Roman" w:hAnsi="Times New Roman" w:eastAsia="宋体" w:cs="Times New Roman"/>
                <w:color w:val="auto"/>
                <w:sz w:val="24"/>
                <w:szCs w:val="24"/>
                <w:highlight w:val="none"/>
                <w:lang w:val="zh-CN" w:eastAsia="zh-CN"/>
              </w:rPr>
              <w:t>）</w:t>
            </w:r>
            <w:r>
              <w:rPr>
                <w:rFonts w:hint="default" w:ascii="Times New Roman" w:hAnsi="Times New Roman" w:cs="Times New Roman"/>
                <w:color w:val="auto"/>
                <w:kern w:val="0"/>
                <w:sz w:val="24"/>
                <w:lang w:val="zh-CN"/>
              </w:rPr>
              <w:t>的要</w:t>
            </w:r>
            <w:r>
              <w:rPr>
                <w:rFonts w:hint="default" w:ascii="Times New Roman" w:hAnsi="Times New Roman" w:eastAsia="宋体" w:cs="Times New Roman"/>
                <w:color w:val="auto"/>
                <w:kern w:val="0"/>
                <w:sz w:val="24"/>
                <w:lang w:val="zh-CN"/>
              </w:rPr>
              <w:t>求设置环保图形标志；指定专人进行日常管理。</w:t>
            </w:r>
            <w:r>
              <w:rPr>
                <w:rFonts w:hint="eastAsia" w:ascii="Times New Roman" w:hAnsi="Times New Roman" w:eastAsia="宋体" w:cs="Times New Roman"/>
                <w:color w:val="auto"/>
                <w:kern w:val="0"/>
                <w:sz w:val="24"/>
                <w:lang w:val="en-US" w:eastAsia="zh-CN"/>
              </w:rPr>
              <w:t>一般工业固体废物均</w:t>
            </w:r>
            <w:r>
              <w:rPr>
                <w:rFonts w:hint="eastAsia" w:ascii="Times New Roman" w:hAnsi="Times New Roman" w:cs="Times New Roman"/>
                <w:color w:val="auto"/>
                <w:kern w:val="0"/>
                <w:sz w:val="24"/>
                <w:lang w:val="en-US" w:eastAsia="zh-CN"/>
              </w:rPr>
              <w:t>外售处置</w:t>
            </w:r>
            <w:r>
              <w:rPr>
                <w:rFonts w:hint="eastAsia" w:ascii="Times New Roman" w:hAnsi="Times New Roman" w:eastAsia="宋体" w:cs="Times New Roman"/>
                <w:color w:val="auto"/>
                <w:kern w:val="0"/>
                <w:sz w:val="24"/>
                <w:lang w:val="en-US" w:eastAsia="zh-CN"/>
              </w:rPr>
              <w:t>；生活垃圾年产生量为</w:t>
            </w:r>
            <w:r>
              <w:rPr>
                <w:rFonts w:hint="eastAsia" w:ascii="Times New Roman" w:hAnsi="Times New Roman" w:cs="Times New Roman"/>
                <w:color w:val="auto"/>
                <w:kern w:val="0"/>
                <w:sz w:val="24"/>
                <w:lang w:val="en-US" w:eastAsia="zh-CN"/>
              </w:rPr>
              <w:t>4.5</w:t>
            </w:r>
            <w:r>
              <w:rPr>
                <w:rFonts w:hint="eastAsia" w:ascii="Times New Roman" w:hAnsi="Times New Roman" w:eastAsia="宋体" w:cs="Times New Roman"/>
                <w:color w:val="auto"/>
                <w:kern w:val="0"/>
                <w:sz w:val="24"/>
                <w:lang w:val="en-US" w:eastAsia="zh-CN"/>
              </w:rPr>
              <w:t>t/a，由环卫部门</w:t>
            </w:r>
            <w:r>
              <w:rPr>
                <w:rFonts w:hint="default" w:ascii="Times New Roman" w:hAnsi="Times New Roman" w:eastAsia="宋体" w:cs="Times New Roman"/>
                <w:color w:val="auto"/>
                <w:kern w:val="0"/>
                <w:sz w:val="24"/>
                <w:lang w:val="en-US" w:eastAsia="zh-CN"/>
              </w:rPr>
              <w:t>定期清运处理</w:t>
            </w:r>
            <w:r>
              <w:rPr>
                <w:rFonts w:hint="eastAsia" w:ascii="Times New Roman" w:hAnsi="Times New Roman" w:eastAsia="宋体" w:cs="Times New Roman"/>
                <w:color w:val="auto"/>
                <w:kern w:val="0"/>
                <w:sz w:val="24"/>
                <w:lang w:val="en-US" w:eastAsia="zh-CN"/>
              </w:rPr>
              <w:t>。</w:t>
            </w:r>
          </w:p>
          <w:p w14:paraId="68ED82A4">
            <w:pPr>
              <w:adjustRightInd w:val="0"/>
              <w:snapToGrid w:val="0"/>
              <w:spacing w:line="360" w:lineRule="auto"/>
              <w:rPr>
                <w:rFonts w:hint="default" w:ascii="Times New Roman" w:hAnsi="Times New Roman" w:eastAsia="黑体" w:cs="Times New Roman"/>
                <w:b w:val="0"/>
                <w:bCs/>
                <w:color w:val="auto"/>
                <w:spacing w:val="-10"/>
                <w:sz w:val="24"/>
                <w:szCs w:val="24"/>
                <w:highlight w:val="none"/>
              </w:rPr>
            </w:pPr>
            <w:r>
              <w:rPr>
                <w:rFonts w:hint="default" w:ascii="Times New Roman" w:hAnsi="Times New Roman" w:eastAsia="黑体" w:cs="Times New Roman"/>
                <w:b w:val="0"/>
                <w:bCs/>
                <w:color w:val="auto"/>
                <w:spacing w:val="-10"/>
                <w:sz w:val="24"/>
                <w:szCs w:val="24"/>
                <w:highlight w:val="none"/>
              </w:rPr>
              <w:t>五、地下水、土壤</w:t>
            </w:r>
          </w:p>
          <w:p w14:paraId="77E6F81C">
            <w:pPr>
              <w:pStyle w:val="91"/>
              <w:adjustRightInd w:val="0"/>
              <w:snapToGrid w:val="0"/>
              <w:spacing w:line="360" w:lineRule="auto"/>
              <w:ind w:firstLine="480" w:firstLineChars="200"/>
              <w:rPr>
                <w:rFonts w:hint="default" w:ascii="Times New Roman" w:hAnsi="Times New Roman" w:eastAsia="宋体" w:cs="Times New Roman"/>
                <w:color w:val="auto"/>
                <w:sz w:val="24"/>
                <w:lang w:val="en-US"/>
              </w:rPr>
            </w:pPr>
            <w:r>
              <w:rPr>
                <w:rFonts w:hint="eastAsia" w:ascii="Times New Roman" w:hAnsi="Times New Roman" w:cs="Times New Roman"/>
                <w:color w:val="auto"/>
                <w:sz w:val="24"/>
                <w:lang w:val="en-US" w:eastAsia="zh-CN"/>
              </w:rPr>
              <w:t>本项目废水主要为</w:t>
            </w:r>
            <w:r>
              <w:rPr>
                <w:rFonts w:hint="eastAsia" w:ascii="Times New Roman" w:hAnsi="Times New Roman" w:eastAsia="宋体" w:cs="Times New Roman"/>
                <w:color w:val="auto"/>
                <w:kern w:val="0"/>
                <w:sz w:val="24"/>
                <w:szCs w:val="20"/>
                <w:lang w:val="en-US" w:eastAsia="zh-CN" w:bidi="ar-SA"/>
              </w:rPr>
              <w:t>生活污水和生产废水</w:t>
            </w:r>
            <w:r>
              <w:rPr>
                <w:rFonts w:hint="eastAsia" w:ascii="Times New Roman" w:hAnsi="Times New Roman" w:eastAsia="宋体" w:cs="Times New Roman"/>
                <w:color w:val="auto"/>
                <w:sz w:val="24"/>
                <w:lang w:val="en-US" w:eastAsia="zh-CN"/>
              </w:rPr>
              <w:t>，生活污水</w:t>
            </w:r>
            <w:r>
              <w:rPr>
                <w:rFonts w:hint="eastAsia"/>
                <w:color w:val="auto"/>
                <w:sz w:val="24"/>
              </w:rPr>
              <w:t>经化粪池处理后由环卫部门定期清运</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rPr>
              <w:t>生产废水包括</w:t>
            </w:r>
            <w:r>
              <w:rPr>
                <w:rFonts w:hint="eastAsia" w:ascii="Times New Roman" w:hAnsi="Times New Roman" w:eastAsia="宋体" w:cs="Times New Roman"/>
                <w:color w:val="auto"/>
                <w:sz w:val="24"/>
                <w:lang w:val="en-US" w:eastAsia="zh-CN"/>
              </w:rPr>
              <w:t>洗丝</w:t>
            </w:r>
            <w:r>
              <w:rPr>
                <w:rFonts w:hint="default" w:ascii="Times New Roman" w:hAnsi="Times New Roman" w:eastAsia="宋体" w:cs="Times New Roman"/>
                <w:color w:val="auto"/>
                <w:sz w:val="24"/>
              </w:rPr>
              <w:t>废水、</w:t>
            </w:r>
            <w:r>
              <w:rPr>
                <w:rFonts w:hint="eastAsia" w:ascii="Times New Roman" w:hAnsi="Times New Roman" w:eastAsia="宋体" w:cs="Times New Roman"/>
                <w:color w:val="auto"/>
                <w:sz w:val="24"/>
                <w:lang w:val="en-US" w:eastAsia="zh-CN"/>
              </w:rPr>
              <w:t>甩干</w:t>
            </w:r>
            <w:r>
              <w:rPr>
                <w:rFonts w:hint="default" w:ascii="Times New Roman" w:hAnsi="Times New Roman" w:eastAsia="宋体" w:cs="Times New Roman"/>
                <w:color w:val="auto"/>
                <w:sz w:val="24"/>
              </w:rPr>
              <w:t>废水和</w:t>
            </w:r>
            <w:r>
              <w:rPr>
                <w:rFonts w:hint="eastAsia" w:ascii="Times New Roman" w:hAnsi="Times New Roman" w:eastAsia="宋体" w:cs="Times New Roman"/>
                <w:color w:val="auto"/>
                <w:sz w:val="24"/>
                <w:lang w:val="en-US" w:eastAsia="zh-CN"/>
              </w:rPr>
              <w:t>纺丝组件清洗废水</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经沉淀池</w:t>
            </w:r>
            <w:r>
              <w:rPr>
                <w:rFonts w:hint="default" w:ascii="Times New Roman" w:hAnsi="Times New Roman" w:eastAsia="宋体" w:cs="Times New Roman"/>
                <w:color w:val="auto"/>
                <w:sz w:val="24"/>
                <w:lang w:val="en-US" w:eastAsia="zh-CN"/>
              </w:rPr>
              <w:t>处理后回用</w:t>
            </w:r>
            <w:r>
              <w:rPr>
                <w:rFonts w:hint="eastAsia" w:ascii="Times New Roman" w:hAnsi="Times New Roman" w:eastAsia="宋体" w:cs="Times New Roman"/>
                <w:color w:val="auto"/>
                <w:sz w:val="24"/>
                <w:lang w:val="en-US" w:eastAsia="zh-CN"/>
              </w:rPr>
              <w:t>于生产。</w:t>
            </w:r>
            <w:r>
              <w:rPr>
                <w:rFonts w:hint="eastAsia" w:ascii="Times New Roman" w:hAnsi="Times New Roman" w:eastAsia="宋体" w:cs="Times New Roman"/>
                <w:color w:val="auto"/>
                <w:kern w:val="0"/>
                <w:sz w:val="24"/>
                <w:szCs w:val="20"/>
                <w:lang w:val="en-US" w:eastAsia="zh-CN" w:bidi="ar-SA"/>
              </w:rPr>
              <w:t>车间及厂区内地面均进行硬化防渗处理，</w:t>
            </w:r>
            <w:r>
              <w:rPr>
                <w:rFonts w:hint="eastAsia" w:ascii="Times New Roman" w:hAnsi="Times New Roman" w:cs="Times New Roman"/>
                <w:color w:val="auto"/>
                <w:sz w:val="24"/>
                <w:lang w:val="en-US" w:eastAsia="zh-CN"/>
              </w:rPr>
              <w:t>污水处理设施区域进行重点防渗处理，</w:t>
            </w:r>
            <w:r>
              <w:rPr>
                <w:rFonts w:hint="eastAsia" w:ascii="Times New Roman" w:hAnsi="Times New Roman" w:eastAsia="宋体" w:cs="Times New Roman"/>
                <w:color w:val="auto"/>
                <w:kern w:val="0"/>
                <w:sz w:val="24"/>
                <w:szCs w:val="20"/>
                <w:lang w:val="en-US" w:eastAsia="zh-CN" w:bidi="ar-SA"/>
              </w:rPr>
              <w:t>防止废水渗漏对土壤及地下水造成污染。本项目固废包括一般固废和危险废物，</w:t>
            </w:r>
            <w:r>
              <w:rPr>
                <w:rFonts w:hint="eastAsia" w:ascii="Times New Roman" w:hAnsi="Times New Roman" w:cs="Times New Roman"/>
                <w:color w:val="auto"/>
                <w:sz w:val="24"/>
              </w:rPr>
              <w:t>一般固废暂存</w:t>
            </w:r>
            <w:r>
              <w:rPr>
                <w:rFonts w:hint="eastAsia" w:ascii="Times New Roman" w:hAnsi="Times New Roman" w:cs="Times New Roman"/>
                <w:color w:val="auto"/>
                <w:sz w:val="24"/>
                <w:lang w:val="en-US" w:eastAsia="zh-CN"/>
              </w:rPr>
              <w:t>区</w:t>
            </w:r>
            <w:r>
              <w:rPr>
                <w:rFonts w:ascii="Times New Roman" w:hAnsi="Times New Roman" w:cs="Times New Roman"/>
                <w:color w:val="auto"/>
                <w:sz w:val="24"/>
              </w:rPr>
              <w:t>采取</w:t>
            </w:r>
            <w:r>
              <w:rPr>
                <w:rFonts w:hint="eastAsia" w:ascii="Times New Roman" w:hAnsi="Times New Roman" w:cs="Times New Roman"/>
                <w:color w:val="auto"/>
                <w:sz w:val="24"/>
              </w:rPr>
              <w:t>了</w:t>
            </w:r>
            <w:r>
              <w:rPr>
                <w:rFonts w:ascii="Times New Roman" w:hAnsi="Times New Roman" w:cs="Times New Roman"/>
                <w:color w:val="auto"/>
                <w:sz w:val="24"/>
              </w:rPr>
              <w:t>一般防渗措施</w:t>
            </w:r>
            <w:r>
              <w:rPr>
                <w:rFonts w:hint="eastAsia" w:ascii="Times New Roman" w:hAnsi="Times New Roman" w:cs="Times New Roman"/>
                <w:color w:val="auto"/>
                <w:sz w:val="24"/>
              </w:rPr>
              <w:t>，危险废物暂存间</w:t>
            </w:r>
            <w:r>
              <w:rPr>
                <w:rFonts w:ascii="Times New Roman" w:hAnsi="Times New Roman" w:cs="Times New Roman"/>
                <w:color w:val="auto"/>
                <w:sz w:val="24"/>
              </w:rPr>
              <w:t>采取</w:t>
            </w:r>
            <w:r>
              <w:rPr>
                <w:rFonts w:hint="eastAsia" w:ascii="Times New Roman" w:hAnsi="Times New Roman" w:cs="Times New Roman"/>
                <w:color w:val="auto"/>
                <w:sz w:val="24"/>
              </w:rPr>
              <w:t>了重点</w:t>
            </w:r>
            <w:r>
              <w:rPr>
                <w:rFonts w:ascii="Times New Roman" w:hAnsi="Times New Roman" w:cs="Times New Roman"/>
                <w:color w:val="auto"/>
                <w:sz w:val="24"/>
              </w:rPr>
              <w:t>防渗措施。</w:t>
            </w:r>
          </w:p>
          <w:p w14:paraId="42BAA678">
            <w:pPr>
              <w:pStyle w:val="91"/>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（1）地下水及土壤污染源、污染物类型及污染途径</w:t>
            </w:r>
          </w:p>
          <w:p w14:paraId="03EA5297">
            <w:pPr>
              <w:pStyle w:val="91"/>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针对本项目运营期废水处理及固体废物产生、输送和处理过程，采取合理有效的工程措施可防止污染物对地下水的污染。正常情况下，地下水的污染主要是由于污染物迁移穿过包气带进入含水层造成。若废水发生渗漏，首先污染所在土壤，同时污染物会较快穿过包气带进入浅层地下水，对浅层地下水造成污染。</w:t>
            </w:r>
          </w:p>
          <w:p w14:paraId="52454979">
            <w:pPr>
              <w:pStyle w:val="91"/>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（2）污染防治措施</w:t>
            </w:r>
          </w:p>
          <w:p w14:paraId="075E29FC">
            <w:pPr>
              <w:pStyle w:val="91"/>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为切实保障地下水</w:t>
            </w:r>
            <w:r>
              <w:rPr>
                <w:rFonts w:hint="eastAsia" w:ascii="Times New Roman" w:hAnsi="Times New Roman" w:cs="Times New Roman"/>
                <w:color w:val="auto"/>
                <w:sz w:val="24"/>
              </w:rPr>
              <w:t>、土壤</w:t>
            </w:r>
            <w:r>
              <w:rPr>
                <w:rFonts w:ascii="Times New Roman" w:hAnsi="Times New Roman" w:cs="Times New Roman"/>
                <w:color w:val="auto"/>
                <w:sz w:val="24"/>
              </w:rPr>
              <w:t>不受到污染，项目</w:t>
            </w:r>
            <w:r>
              <w:rPr>
                <w:rFonts w:hint="eastAsia" w:ascii="Times New Roman" w:hAnsi="Times New Roman" w:cs="Times New Roman"/>
                <w:color w:val="auto"/>
                <w:sz w:val="24"/>
              </w:rPr>
              <w:t>已</w:t>
            </w:r>
            <w:r>
              <w:rPr>
                <w:rFonts w:ascii="Times New Roman" w:hAnsi="Times New Roman" w:cs="Times New Roman"/>
                <w:color w:val="auto"/>
                <w:sz w:val="24"/>
              </w:rPr>
              <w:t>采取必要的地下水</w:t>
            </w:r>
            <w:r>
              <w:rPr>
                <w:rFonts w:hint="eastAsia" w:ascii="Times New Roman" w:hAnsi="Times New Roman" w:cs="Times New Roman"/>
                <w:color w:val="auto"/>
                <w:sz w:val="24"/>
              </w:rPr>
              <w:t>、土壤</w:t>
            </w:r>
            <w:r>
              <w:rPr>
                <w:rFonts w:ascii="Times New Roman" w:hAnsi="Times New Roman" w:cs="Times New Roman"/>
                <w:color w:val="auto"/>
                <w:sz w:val="24"/>
              </w:rPr>
              <w:t>污染防治措施</w:t>
            </w:r>
            <w:r>
              <w:rPr>
                <w:rFonts w:hint="eastAsia" w:ascii="Times New Roman" w:hAnsi="Times New Roman" w:cs="Times New Roman"/>
                <w:color w:val="auto"/>
                <w:sz w:val="24"/>
              </w:rPr>
              <w:t>，</w:t>
            </w:r>
            <w:r>
              <w:rPr>
                <w:rFonts w:ascii="Times New Roman" w:hAnsi="Times New Roman" w:cs="Times New Roman"/>
                <w:color w:val="auto"/>
                <w:sz w:val="24"/>
              </w:rPr>
              <w:t>化粪池池底和池壁</w:t>
            </w:r>
            <w:r>
              <w:rPr>
                <w:rFonts w:hint="eastAsia" w:ascii="Times New Roman" w:hAnsi="Times New Roman" w:cs="Times New Roman"/>
                <w:color w:val="auto"/>
                <w:sz w:val="24"/>
              </w:rPr>
              <w:t>、一般固废暂存间</w:t>
            </w:r>
            <w:r>
              <w:rPr>
                <w:rFonts w:ascii="Times New Roman" w:hAnsi="Times New Roman" w:cs="Times New Roman"/>
                <w:color w:val="auto"/>
                <w:sz w:val="24"/>
              </w:rPr>
              <w:t>采取</w:t>
            </w:r>
            <w:r>
              <w:rPr>
                <w:rFonts w:hint="eastAsia" w:ascii="Times New Roman" w:hAnsi="Times New Roman" w:cs="Times New Roman"/>
                <w:color w:val="auto"/>
                <w:sz w:val="24"/>
              </w:rPr>
              <w:t>了</w:t>
            </w:r>
            <w:r>
              <w:rPr>
                <w:rFonts w:ascii="Times New Roman" w:hAnsi="Times New Roman" w:cs="Times New Roman"/>
                <w:color w:val="auto"/>
                <w:sz w:val="24"/>
              </w:rPr>
              <w:t>一般防渗措施</w:t>
            </w:r>
            <w:r>
              <w:rPr>
                <w:rFonts w:hint="eastAsia" w:ascii="Times New Roman" w:hAnsi="Times New Roman" w:cs="Times New Roman"/>
                <w:color w:val="auto"/>
                <w:sz w:val="24"/>
              </w:rPr>
              <w:t>，</w:t>
            </w:r>
            <w:r>
              <w:rPr>
                <w:rFonts w:hint="eastAsia" w:ascii="Times New Roman" w:hAnsi="Times New Roman" w:cs="Times New Roman"/>
                <w:color w:val="auto"/>
                <w:sz w:val="24"/>
                <w:lang w:val="en-US" w:eastAsia="zh-CN"/>
              </w:rPr>
              <w:t>污水处理设施和</w:t>
            </w:r>
            <w:r>
              <w:rPr>
                <w:rFonts w:hint="eastAsia" w:ascii="Times New Roman" w:hAnsi="Times New Roman" w:cs="Times New Roman"/>
                <w:color w:val="auto"/>
                <w:sz w:val="24"/>
              </w:rPr>
              <w:t>危险废物暂存间</w:t>
            </w:r>
            <w:r>
              <w:rPr>
                <w:rFonts w:ascii="Times New Roman" w:hAnsi="Times New Roman" w:cs="Times New Roman"/>
                <w:color w:val="auto"/>
                <w:sz w:val="24"/>
              </w:rPr>
              <w:t>采取</w:t>
            </w:r>
            <w:r>
              <w:rPr>
                <w:rFonts w:hint="eastAsia" w:ascii="Times New Roman" w:hAnsi="Times New Roman" w:cs="Times New Roman"/>
                <w:color w:val="auto"/>
                <w:sz w:val="24"/>
              </w:rPr>
              <w:t>了重点</w:t>
            </w:r>
            <w:r>
              <w:rPr>
                <w:rFonts w:ascii="Times New Roman" w:hAnsi="Times New Roman" w:cs="Times New Roman"/>
                <w:color w:val="auto"/>
                <w:sz w:val="24"/>
              </w:rPr>
              <w:t>防渗措施。</w:t>
            </w:r>
          </w:p>
          <w:p w14:paraId="50143537">
            <w:pPr>
              <w:pStyle w:val="91"/>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（3）跟踪监测要求</w:t>
            </w:r>
          </w:p>
          <w:p w14:paraId="08775488">
            <w:pPr>
              <w:pStyle w:val="91"/>
              <w:adjustRightInd w:val="0"/>
              <w:snapToGrid w:val="0"/>
              <w:spacing w:line="360" w:lineRule="auto"/>
              <w:ind w:firstLine="480" w:firstLineChars="200"/>
              <w:rPr>
                <w:rFonts w:hint="eastAsia" w:ascii="Times New Roman" w:hAnsi="Times New Roman" w:eastAsia="宋体" w:cs="Times New Roman"/>
                <w:color w:val="auto"/>
                <w:kern w:val="0"/>
                <w:sz w:val="24"/>
                <w:szCs w:val="20"/>
                <w:lang w:val="en-US" w:eastAsia="zh-CN" w:bidi="ar-SA"/>
              </w:rPr>
            </w:pPr>
            <w:r>
              <w:rPr>
                <w:rFonts w:ascii="Times New Roman" w:hAnsi="Times New Roman" w:cs="Times New Roman"/>
                <w:color w:val="auto"/>
                <w:sz w:val="24"/>
              </w:rPr>
              <w:t>根据以上分析，本项目正常工况下无污染地下水、土壤环境等重大危险源，且项目500米范围内无地下水集中式饮用水水源和热水、矿泉水、温泉等特殊地下水资源。企业运营期正常工况下不需要针对地下水、土壤环境污染进行跟踪监测。</w:t>
            </w:r>
          </w:p>
          <w:p w14:paraId="32EE3948">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六</w:t>
            </w:r>
            <w:r>
              <w:rPr>
                <w:rFonts w:hint="default" w:ascii="Times New Roman" w:hAnsi="Times New Roman" w:eastAsia="黑体" w:cs="Times New Roman"/>
                <w:b w:val="0"/>
                <w:bCs w:val="0"/>
                <w:color w:val="auto"/>
                <w:sz w:val="24"/>
                <w:szCs w:val="24"/>
                <w:highlight w:val="none"/>
                <w:lang w:val="en-US" w:eastAsia="zh-CN"/>
              </w:rPr>
              <w:t>、生态</w:t>
            </w:r>
          </w:p>
          <w:p w14:paraId="32BA75A9">
            <w:pPr>
              <w:pStyle w:val="91"/>
              <w:adjustRightInd w:val="0"/>
              <w:snapToGrid w:val="0"/>
              <w:spacing w:line="360" w:lineRule="auto"/>
              <w:ind w:firstLine="480" w:firstLineChars="200"/>
              <w:rPr>
                <w:color w:val="auto"/>
              </w:rPr>
            </w:pPr>
            <w:r>
              <w:rPr>
                <w:rFonts w:hint="default" w:ascii="Times New Roman" w:hAnsi="Times New Roman" w:cs="Times New Roman"/>
                <w:color w:val="auto"/>
                <w:kern w:val="0"/>
                <w:sz w:val="24"/>
              </w:rPr>
              <w:t>本项目</w:t>
            </w:r>
            <w:r>
              <w:rPr>
                <w:rFonts w:hint="eastAsia" w:cs="Times New Roman"/>
                <w:color w:val="auto"/>
                <w:kern w:val="0"/>
                <w:sz w:val="24"/>
                <w:lang w:val="en-US" w:eastAsia="zh-CN"/>
              </w:rPr>
              <w:t>租赁已建成厂房</w:t>
            </w:r>
            <w:r>
              <w:rPr>
                <w:rFonts w:hint="default" w:ascii="Times New Roman" w:hAnsi="Times New Roman" w:cs="Times New Roman"/>
                <w:color w:val="auto"/>
                <w:kern w:val="0"/>
                <w:sz w:val="24"/>
              </w:rPr>
              <w:t>，</w:t>
            </w:r>
            <w:r>
              <w:rPr>
                <w:rFonts w:hint="eastAsia" w:ascii="Times New Roman" w:hAnsi="Times New Roman" w:cs="Times New Roman"/>
                <w:color w:val="auto"/>
                <w:sz w:val="24"/>
                <w:szCs w:val="24"/>
                <w:highlight w:val="none"/>
                <w:lang w:eastAsia="zh-CN"/>
              </w:rPr>
              <w:t>不新增占地</w:t>
            </w:r>
            <w:r>
              <w:rPr>
                <w:rFonts w:hint="default" w:ascii="Times New Roman" w:hAnsi="Times New Roman" w:eastAsia="宋体" w:cs="Times New Roman"/>
                <w:b w:val="0"/>
                <w:bCs/>
                <w:color w:val="auto"/>
                <w:spacing w:val="0"/>
                <w:sz w:val="24"/>
                <w:szCs w:val="24"/>
                <w:highlight w:val="none"/>
              </w:rPr>
              <w:t>，不需要对区域生态环境质量进行评价。</w:t>
            </w:r>
          </w:p>
          <w:p w14:paraId="2F1E1431">
            <w:pPr>
              <w:pStyle w:val="8"/>
              <w:numPr>
                <w:ilvl w:val="0"/>
                <w:numId w:val="8"/>
              </w:numPr>
              <w:rPr>
                <w:rFonts w:eastAsia="黑体"/>
                <w:color w:val="auto"/>
                <w:sz w:val="24"/>
              </w:rPr>
            </w:pPr>
            <w:r>
              <w:rPr>
                <w:rFonts w:eastAsia="黑体"/>
                <w:color w:val="auto"/>
                <w:sz w:val="24"/>
              </w:rPr>
              <w:t>环境风险</w:t>
            </w:r>
          </w:p>
          <w:p w14:paraId="05B0E523">
            <w:pPr>
              <w:adjustRightInd w:val="0"/>
              <w:snapToGrid w:val="0"/>
              <w:spacing w:line="360" w:lineRule="auto"/>
              <w:ind w:firstLine="480" w:firstLineChars="200"/>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val="en-US" w:eastAsia="zh-CN"/>
              </w:rPr>
              <w:t>参照《建设项目环境风险评价技术导则》</w:t>
            </w:r>
            <w:r>
              <w:rPr>
                <w:rFonts w:hint="default" w:ascii="Times New Roman" w:hAnsi="Times New Roman" w:eastAsia="宋体" w:cs="Times New Roman"/>
                <w:bCs/>
                <w:color w:val="auto"/>
                <w:sz w:val="24"/>
                <w:lang w:val="en-US" w:eastAsia="zh-CN"/>
              </w:rPr>
              <w:t>(HJ169-2018)</w:t>
            </w:r>
            <w:r>
              <w:rPr>
                <w:rFonts w:hint="eastAsia" w:ascii="Times New Roman" w:hAnsi="Times New Roman" w:eastAsia="宋体" w:cs="Times New Roman"/>
                <w:bCs/>
                <w:color w:val="auto"/>
                <w:sz w:val="24"/>
                <w:lang w:val="en-US" w:eastAsia="zh-CN"/>
              </w:rPr>
              <w:t>，项目生产过程中涉及危险物质</w:t>
            </w:r>
            <w:r>
              <w:rPr>
                <w:rFonts w:hint="eastAsia" w:cs="Times New Roman"/>
                <w:bCs/>
                <w:color w:val="auto"/>
                <w:sz w:val="24"/>
                <w:lang w:val="en-US" w:eastAsia="zh-CN"/>
              </w:rPr>
              <w:t>但不超过临界量</w:t>
            </w:r>
            <w:r>
              <w:rPr>
                <w:rFonts w:hint="eastAsia" w:ascii="Times New Roman" w:hAnsi="Times New Roman" w:eastAsia="宋体" w:cs="Times New Roman"/>
                <w:bCs/>
                <w:color w:val="auto"/>
                <w:sz w:val="24"/>
                <w:lang w:val="en-US" w:eastAsia="zh-CN"/>
              </w:rPr>
              <w:t>，项目风险评价等级为：简单分析。根据项目生产特点，本项目最容易造成的风险为</w:t>
            </w:r>
            <w:r>
              <w:rPr>
                <w:rFonts w:hint="eastAsia" w:cs="Times New Roman"/>
                <w:bCs/>
                <w:color w:val="auto"/>
                <w:sz w:val="24"/>
                <w:lang w:val="en-US" w:eastAsia="zh-CN"/>
              </w:rPr>
              <w:t>火灾</w:t>
            </w:r>
            <w:r>
              <w:rPr>
                <w:rFonts w:hint="eastAsia" w:ascii="Times New Roman" w:hAnsi="Times New Roman" w:eastAsia="宋体" w:cs="Times New Roman"/>
                <w:bCs/>
                <w:color w:val="auto"/>
                <w:sz w:val="24"/>
                <w:lang w:val="en-US" w:eastAsia="zh-CN"/>
              </w:rPr>
              <w:t>事故，建议企业加大对职工安全教育的培训，做好安全生产工作。</w:t>
            </w:r>
          </w:p>
          <w:p w14:paraId="0852D3AF">
            <w:pPr>
              <w:adjustRightInd w:val="0"/>
              <w:snapToGrid w:val="0"/>
              <w:spacing w:line="360" w:lineRule="auto"/>
              <w:ind w:firstLine="480" w:firstLineChars="200"/>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val="en-US" w:eastAsia="zh-CN"/>
              </w:rPr>
              <w:t>本项目不属于《建设项目环境影响报告表编制技术指南（污染影响类）（试行）》中有毒有害和易燃易爆危险物质存储量超过临界量的建设项目，可不开展专项评价。</w:t>
            </w:r>
          </w:p>
          <w:p w14:paraId="7E97487E">
            <w:pPr>
              <w:numPr>
                <w:ilvl w:val="0"/>
                <w:numId w:val="9"/>
              </w:num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风险物质识别及重大危险源辨识</w:t>
            </w:r>
          </w:p>
          <w:p w14:paraId="5BBF50FB">
            <w:pPr>
              <w:adjustRightInd w:val="0"/>
              <w:snapToGrid w:val="0"/>
              <w:spacing w:line="360" w:lineRule="auto"/>
              <w:ind w:firstLine="480" w:firstLineChars="200"/>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val="en-US" w:eastAsia="zh-CN"/>
              </w:rPr>
              <w:t>①主要危险物质及其分布</w:t>
            </w:r>
          </w:p>
          <w:p w14:paraId="53275B2D">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根据《建设项目环境风险评价技术导则》</w:t>
            </w:r>
            <w:r>
              <w:rPr>
                <w:rFonts w:hint="default" w:ascii="Times New Roman" w:hAnsi="Times New Roman" w:eastAsia="宋体" w:cs="Times New Roman"/>
                <w:bCs/>
                <w:color w:val="auto"/>
                <w:sz w:val="24"/>
                <w:lang w:val="en-US" w:eastAsia="zh-CN"/>
              </w:rPr>
              <w:t>(HJ169-2018)</w:t>
            </w:r>
            <w:r>
              <w:rPr>
                <w:rFonts w:hint="eastAsia" w:ascii="Times New Roman" w:hAnsi="Times New Roman" w:eastAsia="宋体" w:cs="Times New Roman"/>
                <w:bCs/>
                <w:color w:val="auto"/>
                <w:sz w:val="24"/>
                <w:lang w:val="en-US" w:eastAsia="zh-CN"/>
              </w:rPr>
              <w:t>中附录</w:t>
            </w:r>
            <w:r>
              <w:rPr>
                <w:rFonts w:hint="default" w:ascii="Times New Roman" w:hAnsi="Times New Roman" w:eastAsia="宋体" w:cs="Times New Roman"/>
                <w:bCs/>
                <w:color w:val="auto"/>
                <w:sz w:val="24"/>
                <w:lang w:val="en-US" w:eastAsia="zh-CN"/>
              </w:rPr>
              <w:t>B</w:t>
            </w:r>
            <w:r>
              <w:rPr>
                <w:rFonts w:hint="eastAsia" w:ascii="Times New Roman" w:hAnsi="Times New Roman" w:eastAsia="宋体" w:cs="Times New Roman"/>
                <w:bCs/>
                <w:color w:val="auto"/>
                <w:sz w:val="24"/>
                <w:lang w:val="en-US" w:eastAsia="zh-CN"/>
              </w:rPr>
              <w:t>，项目</w:t>
            </w:r>
            <w:r>
              <w:rPr>
                <w:rFonts w:hint="eastAsia" w:cs="Times New Roman"/>
                <w:bCs/>
                <w:color w:val="auto"/>
                <w:sz w:val="24"/>
                <w:lang w:val="en-US" w:eastAsia="zh-CN"/>
              </w:rPr>
              <w:t>使用的机油、纺丝油剂属于</w:t>
            </w:r>
            <w:r>
              <w:rPr>
                <w:rFonts w:hint="eastAsia" w:ascii="Times New Roman" w:hAnsi="Times New Roman" w:eastAsia="宋体" w:cs="Times New Roman"/>
                <w:bCs/>
                <w:color w:val="auto"/>
                <w:sz w:val="24"/>
                <w:lang w:val="en-US" w:eastAsia="zh-CN"/>
              </w:rPr>
              <w:t>危险物质，最大</w:t>
            </w:r>
            <w:r>
              <w:rPr>
                <w:rFonts w:hint="default" w:ascii="Times New Roman" w:hAnsi="Times New Roman" w:eastAsia="宋体" w:cs="Times New Roman"/>
                <w:bCs/>
                <w:color w:val="auto"/>
                <w:sz w:val="24"/>
                <w:lang w:val="en-US" w:eastAsia="zh-CN"/>
              </w:rPr>
              <w:t>存贮量</w:t>
            </w:r>
            <w:r>
              <w:rPr>
                <w:rFonts w:hint="eastAsia" w:ascii="Times New Roman" w:hAnsi="Times New Roman" w:eastAsia="宋体" w:cs="Times New Roman"/>
                <w:bCs/>
                <w:color w:val="auto"/>
                <w:sz w:val="24"/>
                <w:lang w:val="en-US" w:eastAsia="zh-CN"/>
              </w:rPr>
              <w:t>见下表。</w:t>
            </w:r>
          </w:p>
          <w:p w14:paraId="6D88C85E">
            <w:pPr>
              <w:pStyle w:val="9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黑体" w:cs="Times New Roman"/>
                <w:b w:val="0"/>
                <w:bCs w:val="0"/>
                <w:color w:val="auto"/>
                <w:kern w:val="0"/>
                <w:sz w:val="24"/>
                <w:szCs w:val="24"/>
                <w:highlight w:val="none"/>
                <w:lang w:val="zh-CN" w:eastAsia="zh-CN" w:bidi="ar-SA"/>
              </w:rPr>
            </w:pPr>
            <w:r>
              <w:rPr>
                <w:rFonts w:hint="eastAsia" w:ascii="Times New Roman" w:hAnsi="Times New Roman" w:eastAsia="黑体" w:cs="Times New Roman"/>
                <w:b w:val="0"/>
                <w:bCs w:val="0"/>
                <w:color w:val="auto"/>
                <w:kern w:val="0"/>
                <w:sz w:val="24"/>
                <w:szCs w:val="24"/>
                <w:highlight w:val="none"/>
                <w:lang w:val="zh-CN" w:eastAsia="zh-CN" w:bidi="ar-SA"/>
              </w:rPr>
              <w:t>表4-</w:t>
            </w:r>
            <w:r>
              <w:rPr>
                <w:rFonts w:hint="eastAsia" w:ascii="Times New Roman" w:hAnsi="Times New Roman" w:eastAsia="黑体" w:cs="Times New Roman"/>
                <w:b w:val="0"/>
                <w:bCs w:val="0"/>
                <w:color w:val="auto"/>
                <w:kern w:val="0"/>
                <w:sz w:val="24"/>
                <w:szCs w:val="24"/>
                <w:highlight w:val="none"/>
                <w:lang w:val="en-US" w:eastAsia="zh-CN" w:bidi="ar-SA"/>
              </w:rPr>
              <w:t>1</w:t>
            </w:r>
            <w:r>
              <w:rPr>
                <w:rFonts w:hint="eastAsia" w:ascii="Times New Roman" w:hAnsi="Times New Roman" w:cs="Times New Roman"/>
                <w:b w:val="0"/>
                <w:bCs w:val="0"/>
                <w:color w:val="auto"/>
                <w:kern w:val="0"/>
                <w:sz w:val="24"/>
                <w:szCs w:val="24"/>
                <w:highlight w:val="none"/>
                <w:lang w:val="en-US" w:eastAsia="zh-CN" w:bidi="ar-SA"/>
              </w:rPr>
              <w:t>6</w:t>
            </w:r>
            <w:r>
              <w:rPr>
                <w:rFonts w:hint="eastAsia" w:ascii="Times New Roman" w:hAnsi="Times New Roman" w:eastAsia="黑体" w:cs="Times New Roman"/>
                <w:b w:val="0"/>
                <w:bCs w:val="0"/>
                <w:color w:val="auto"/>
                <w:kern w:val="0"/>
                <w:sz w:val="24"/>
                <w:szCs w:val="24"/>
                <w:highlight w:val="none"/>
                <w:lang w:val="en-US" w:eastAsia="zh-CN" w:bidi="ar-SA"/>
              </w:rPr>
              <w:t xml:space="preserve"> </w:t>
            </w:r>
            <w:r>
              <w:rPr>
                <w:rFonts w:hint="eastAsia" w:ascii="Times New Roman" w:hAnsi="Times New Roman" w:eastAsia="黑体" w:cs="Times New Roman"/>
                <w:b w:val="0"/>
                <w:bCs w:val="0"/>
                <w:color w:val="auto"/>
                <w:kern w:val="0"/>
                <w:sz w:val="24"/>
                <w:szCs w:val="24"/>
                <w:highlight w:val="none"/>
                <w:lang w:val="zh-CN" w:eastAsia="zh-CN" w:bidi="ar-SA"/>
              </w:rPr>
              <w:t>主要危险物料存储情况</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1129"/>
              <w:gridCol w:w="1145"/>
              <w:gridCol w:w="1300"/>
              <w:gridCol w:w="1422"/>
              <w:gridCol w:w="1030"/>
              <w:gridCol w:w="901"/>
              <w:gridCol w:w="1302"/>
              <w:gridCol w:w="1314"/>
            </w:tblGrid>
            <w:tr w14:paraId="6F0B9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3" w:type="pct"/>
                  <w:noWrap w:val="0"/>
                  <w:vAlign w:val="center"/>
                </w:tcPr>
                <w:p w14:paraId="2B2FAD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561" w:type="pct"/>
                  <w:noWrap w:val="0"/>
                  <w:vAlign w:val="center"/>
                </w:tcPr>
                <w:p w14:paraId="7BE934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物质名称</w:t>
                  </w:r>
                </w:p>
              </w:tc>
              <w:tc>
                <w:tcPr>
                  <w:tcW w:w="569" w:type="pct"/>
                  <w:noWrap w:val="0"/>
                  <w:vAlign w:val="center"/>
                </w:tcPr>
                <w:p w14:paraId="62B461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最大存贮量q</w:t>
                  </w:r>
                </w:p>
              </w:tc>
              <w:tc>
                <w:tcPr>
                  <w:tcW w:w="646" w:type="pct"/>
                  <w:noWrap w:val="0"/>
                  <w:vAlign w:val="center"/>
                </w:tcPr>
                <w:p w14:paraId="4D735B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最大在线量</w:t>
                  </w:r>
                </w:p>
              </w:tc>
              <w:tc>
                <w:tcPr>
                  <w:tcW w:w="707" w:type="pct"/>
                  <w:noWrap w:val="0"/>
                  <w:vAlign w:val="center"/>
                </w:tcPr>
                <w:p w14:paraId="4B4ABD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贮存区临界量Qi</w:t>
                  </w:r>
                </w:p>
              </w:tc>
              <w:tc>
                <w:tcPr>
                  <w:tcW w:w="512" w:type="pct"/>
                  <w:noWrap w:val="0"/>
                  <w:vAlign w:val="center"/>
                </w:tcPr>
                <w:p w14:paraId="0624E2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qi/Qi</w:t>
                  </w:r>
                </w:p>
              </w:tc>
              <w:tc>
                <w:tcPr>
                  <w:tcW w:w="448" w:type="pct"/>
                  <w:noWrap w:val="0"/>
                  <w:vAlign w:val="center"/>
                </w:tcPr>
                <w:p w14:paraId="22F19F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Q</w:t>
                  </w:r>
                  <w:r>
                    <w:rPr>
                      <w:rFonts w:hint="eastAsia" w:ascii="Times New Roman" w:hAnsi="Times New Roman" w:eastAsia="宋体" w:cs="Times New Roman"/>
                      <w:color w:val="auto"/>
                      <w:sz w:val="21"/>
                      <w:szCs w:val="21"/>
                      <w:highlight w:val="none"/>
                      <w:lang w:val="en-US" w:eastAsia="zh-CN"/>
                    </w:rPr>
                    <w:t>值</w:t>
                  </w:r>
                </w:p>
              </w:tc>
              <w:tc>
                <w:tcPr>
                  <w:tcW w:w="647" w:type="pct"/>
                  <w:noWrap w:val="0"/>
                  <w:vAlign w:val="center"/>
                </w:tcPr>
                <w:p w14:paraId="5875F3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储存方式</w:t>
                  </w:r>
                </w:p>
              </w:tc>
              <w:tc>
                <w:tcPr>
                  <w:tcW w:w="653" w:type="pct"/>
                  <w:noWrap w:val="0"/>
                  <w:vAlign w:val="center"/>
                </w:tcPr>
                <w:p w14:paraId="58285F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分布区域</w:t>
                  </w:r>
                </w:p>
              </w:tc>
            </w:tr>
            <w:tr w14:paraId="7D1A9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3" w:type="pct"/>
                  <w:noWrap w:val="0"/>
                  <w:vAlign w:val="center"/>
                </w:tcPr>
                <w:p w14:paraId="7381AD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61" w:type="pct"/>
                  <w:noWrap w:val="0"/>
                  <w:vAlign w:val="center"/>
                </w:tcPr>
                <w:p w14:paraId="00AECE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机油</w:t>
                  </w:r>
                </w:p>
              </w:tc>
              <w:tc>
                <w:tcPr>
                  <w:tcW w:w="569" w:type="pct"/>
                  <w:noWrap w:val="0"/>
                  <w:vAlign w:val="center"/>
                </w:tcPr>
                <w:p w14:paraId="6D42FE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646" w:type="pct"/>
                  <w:noWrap w:val="0"/>
                  <w:vAlign w:val="center"/>
                </w:tcPr>
                <w:p w14:paraId="3FD288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t</w:t>
                  </w:r>
                </w:p>
              </w:tc>
              <w:tc>
                <w:tcPr>
                  <w:tcW w:w="707" w:type="pct"/>
                  <w:noWrap w:val="0"/>
                  <w:vAlign w:val="center"/>
                </w:tcPr>
                <w:p w14:paraId="0262DC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2500t</w:t>
                  </w:r>
                </w:p>
              </w:tc>
              <w:tc>
                <w:tcPr>
                  <w:tcW w:w="512" w:type="pct"/>
                  <w:noWrap w:val="0"/>
                  <w:vAlign w:val="center"/>
                </w:tcPr>
                <w:p w14:paraId="444F53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w:t>
                  </w:r>
                  <w:r>
                    <w:rPr>
                      <w:rFonts w:hint="eastAsia" w:ascii="Times New Roman" w:hAnsi="Times New Roman" w:eastAsia="宋体" w:cs="Times New Roman"/>
                      <w:color w:val="auto"/>
                      <w:sz w:val="21"/>
                      <w:szCs w:val="21"/>
                      <w:highlight w:val="none"/>
                      <w:lang w:val="en-US" w:eastAsia="zh-CN"/>
                    </w:rPr>
                    <w:t>2</w:t>
                  </w:r>
                </w:p>
              </w:tc>
              <w:tc>
                <w:tcPr>
                  <w:tcW w:w="448" w:type="pct"/>
                  <w:vMerge w:val="restart"/>
                  <w:noWrap w:val="0"/>
                  <w:vAlign w:val="center"/>
                </w:tcPr>
                <w:p w14:paraId="414304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0.0022</w:t>
                  </w:r>
                </w:p>
              </w:tc>
              <w:tc>
                <w:tcPr>
                  <w:tcW w:w="647" w:type="pct"/>
                  <w:noWrap w:val="0"/>
                  <w:vAlign w:val="center"/>
                </w:tcPr>
                <w:p w14:paraId="26F604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设备内部</w:t>
                  </w:r>
                </w:p>
              </w:tc>
              <w:tc>
                <w:tcPr>
                  <w:tcW w:w="653" w:type="pct"/>
                  <w:noWrap w:val="0"/>
                  <w:vAlign w:val="center"/>
                </w:tcPr>
                <w:p w14:paraId="60A09F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r>
            <w:tr w14:paraId="2310D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3" w:type="pct"/>
                  <w:noWrap w:val="0"/>
                  <w:vAlign w:val="center"/>
                </w:tcPr>
                <w:p w14:paraId="4ACF41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561" w:type="pct"/>
                  <w:noWrap w:val="0"/>
                  <w:vAlign w:val="center"/>
                </w:tcPr>
                <w:p w14:paraId="133B93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569" w:type="pct"/>
                  <w:noWrap w:val="0"/>
                  <w:vAlign w:val="center"/>
                </w:tcPr>
                <w:p w14:paraId="2B1A67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lang w:val="en-US" w:eastAsia="zh-CN"/>
                    </w:rPr>
                    <w:t>t</w:t>
                  </w:r>
                </w:p>
              </w:tc>
              <w:tc>
                <w:tcPr>
                  <w:tcW w:w="646" w:type="pct"/>
                  <w:noWrap w:val="0"/>
                  <w:vAlign w:val="center"/>
                </w:tcPr>
                <w:p w14:paraId="640909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07" w:type="pct"/>
                  <w:shd w:val="clear" w:color="auto" w:fill="auto"/>
                  <w:noWrap w:val="0"/>
                  <w:vAlign w:val="center"/>
                </w:tcPr>
                <w:p w14:paraId="7C6926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2500t</w:t>
                  </w:r>
                </w:p>
              </w:tc>
              <w:tc>
                <w:tcPr>
                  <w:tcW w:w="512" w:type="pct"/>
                  <w:shd w:val="clear" w:color="auto" w:fill="auto"/>
                  <w:noWrap w:val="0"/>
                  <w:vAlign w:val="center"/>
                </w:tcPr>
                <w:p w14:paraId="24C93C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w:t>
                  </w:r>
                  <w:r>
                    <w:rPr>
                      <w:rFonts w:hint="eastAsia" w:ascii="Times New Roman" w:hAnsi="Times New Roman" w:eastAsia="宋体" w:cs="Times New Roman"/>
                      <w:color w:val="auto"/>
                      <w:sz w:val="21"/>
                      <w:szCs w:val="21"/>
                      <w:highlight w:val="none"/>
                      <w:lang w:val="en-US" w:eastAsia="zh-CN"/>
                    </w:rPr>
                    <w:t>2</w:t>
                  </w:r>
                </w:p>
              </w:tc>
              <w:tc>
                <w:tcPr>
                  <w:tcW w:w="448" w:type="pct"/>
                  <w:vMerge w:val="continue"/>
                  <w:noWrap w:val="0"/>
                  <w:vAlign w:val="center"/>
                </w:tcPr>
                <w:p w14:paraId="0C6ED9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p>
              </w:tc>
              <w:tc>
                <w:tcPr>
                  <w:tcW w:w="647" w:type="pct"/>
                  <w:noWrap w:val="0"/>
                  <w:vAlign w:val="center"/>
                </w:tcPr>
                <w:p w14:paraId="01C3C8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桶装</w:t>
                  </w:r>
                </w:p>
              </w:tc>
              <w:tc>
                <w:tcPr>
                  <w:tcW w:w="653" w:type="pct"/>
                  <w:noWrap w:val="0"/>
                  <w:vAlign w:val="center"/>
                </w:tcPr>
                <w:p w14:paraId="4359CF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危废间</w:t>
                  </w:r>
                </w:p>
              </w:tc>
            </w:tr>
            <w:tr w14:paraId="62B9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3" w:type="pct"/>
                  <w:noWrap w:val="0"/>
                  <w:vAlign w:val="center"/>
                </w:tcPr>
                <w:p w14:paraId="0D06E1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561" w:type="pct"/>
                  <w:noWrap w:val="0"/>
                  <w:vAlign w:val="center"/>
                </w:tcPr>
                <w:p w14:paraId="7B7658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纺丝油剂</w:t>
                  </w:r>
                </w:p>
              </w:tc>
              <w:tc>
                <w:tcPr>
                  <w:tcW w:w="569" w:type="pct"/>
                  <w:noWrap w:val="0"/>
                  <w:vAlign w:val="center"/>
                </w:tcPr>
                <w:p w14:paraId="2C4C46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4t</w:t>
                  </w:r>
                </w:p>
              </w:tc>
              <w:tc>
                <w:tcPr>
                  <w:tcW w:w="646" w:type="pct"/>
                  <w:noWrap w:val="0"/>
                  <w:vAlign w:val="center"/>
                </w:tcPr>
                <w:p w14:paraId="00998E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0.5t</w:t>
                  </w:r>
                </w:p>
              </w:tc>
              <w:tc>
                <w:tcPr>
                  <w:tcW w:w="707" w:type="pct"/>
                  <w:shd w:val="clear" w:color="auto" w:fill="auto"/>
                  <w:noWrap w:val="0"/>
                  <w:vAlign w:val="center"/>
                </w:tcPr>
                <w:p w14:paraId="221544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2500t</w:t>
                  </w:r>
                </w:p>
              </w:tc>
              <w:tc>
                <w:tcPr>
                  <w:tcW w:w="512" w:type="pct"/>
                  <w:shd w:val="clear" w:color="auto" w:fill="auto"/>
                  <w:noWrap w:val="0"/>
                  <w:vAlign w:val="center"/>
                </w:tcPr>
                <w:p w14:paraId="2E7720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0.0018</w:t>
                  </w:r>
                </w:p>
              </w:tc>
              <w:tc>
                <w:tcPr>
                  <w:tcW w:w="448" w:type="pct"/>
                  <w:vMerge w:val="continue"/>
                  <w:noWrap w:val="0"/>
                  <w:vAlign w:val="center"/>
                </w:tcPr>
                <w:p w14:paraId="722D9D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c>
                <w:tcPr>
                  <w:tcW w:w="647" w:type="pct"/>
                  <w:noWrap w:val="0"/>
                  <w:vAlign w:val="center"/>
                </w:tcPr>
                <w:p w14:paraId="4CC005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桶装</w:t>
                  </w:r>
                </w:p>
              </w:tc>
              <w:tc>
                <w:tcPr>
                  <w:tcW w:w="653" w:type="pct"/>
                  <w:noWrap w:val="0"/>
                  <w:vAlign w:val="center"/>
                </w:tcPr>
                <w:p w14:paraId="267111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bl>
          <w:p w14:paraId="2DBE2CA7">
            <w:pPr>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综上，Q值为0.00</w:t>
            </w:r>
            <w:r>
              <w:rPr>
                <w:rFonts w:hint="eastAsia" w:cs="Times New Roman"/>
                <w:bCs/>
                <w:color w:val="auto"/>
                <w:sz w:val="24"/>
                <w:lang w:val="en-US" w:eastAsia="zh-CN"/>
              </w:rPr>
              <w:t>22</w:t>
            </w:r>
            <w:r>
              <w:rPr>
                <w:rFonts w:hint="eastAsia" w:ascii="Times New Roman" w:hAnsi="Times New Roman" w:eastAsia="宋体" w:cs="Times New Roman"/>
                <w:bCs/>
                <w:color w:val="auto"/>
                <w:sz w:val="24"/>
                <w:lang w:val="en-US" w:eastAsia="zh-CN"/>
              </w:rPr>
              <w:t>＜1，危险物质存储量未超过临界量。</w:t>
            </w:r>
          </w:p>
          <w:p w14:paraId="4A15BA7D">
            <w:pPr>
              <w:adjustRightInd w:val="0"/>
              <w:snapToGrid w:val="0"/>
              <w:spacing w:line="360" w:lineRule="auto"/>
              <w:ind w:firstLine="480" w:firstLineChars="200"/>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val="en-US" w:eastAsia="zh-CN"/>
              </w:rPr>
              <w:t>②可能影响环境的途径</w:t>
            </w:r>
          </w:p>
          <w:p w14:paraId="75257653">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宋体" w:cs="Times New Roman"/>
                <w:bCs/>
                <w:color w:val="auto"/>
                <w:sz w:val="24"/>
                <w:lang w:val="en-US" w:eastAsia="zh-CN"/>
              </w:rPr>
              <w:t>项目事故的风险通常划分为火灾、爆炸、毒物泄漏三种类型，事故风险都可能引起环境灾害。根据危险物质及危险装置的识别结果，可以分析出风险的发生事故以及环境事故、风险物质进入环境的途径。</w:t>
            </w:r>
          </w:p>
          <w:p w14:paraId="3D7DD21D">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2</w:t>
            </w:r>
            <w:r>
              <w:rPr>
                <w:rFonts w:hint="eastAsia" w:ascii="Times New Roman" w:hAnsi="Times New Roman" w:eastAsia="黑体" w:cs="Times New Roman"/>
                <w:b w:val="0"/>
                <w:bCs w:val="0"/>
                <w:color w:val="auto"/>
                <w:sz w:val="24"/>
                <w:szCs w:val="24"/>
                <w:highlight w:val="none"/>
                <w:lang w:val="en-US" w:eastAsia="zh-CN"/>
              </w:rPr>
              <w:t>、环境风险分析</w:t>
            </w:r>
          </w:p>
          <w:p w14:paraId="1A4C9E7C">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本项目主要危险物质成为纺丝油剂、</w:t>
            </w:r>
            <w:r>
              <w:rPr>
                <w:rFonts w:hint="eastAsia" w:cs="Times New Roman"/>
                <w:color w:val="auto"/>
                <w:sz w:val="24"/>
                <w:szCs w:val="24"/>
                <w:highlight w:val="none"/>
                <w:lang w:val="en-US" w:eastAsia="zh-CN"/>
              </w:rPr>
              <w:t>机油、废机油等</w:t>
            </w:r>
            <w:r>
              <w:rPr>
                <w:rFonts w:hint="eastAsia" w:cs="Times New Roman"/>
                <w:color w:val="auto"/>
                <w:sz w:val="24"/>
                <w:szCs w:val="24"/>
                <w:highlight w:val="none"/>
                <w:lang w:eastAsia="zh-CN"/>
              </w:rPr>
              <w:t>，</w:t>
            </w:r>
            <w:r>
              <w:rPr>
                <w:rFonts w:hint="default" w:ascii="Times New Roman" w:hAnsi="Times New Roman" w:eastAsia="宋体" w:cs="Times New Roman"/>
                <w:spacing w:val="0"/>
                <w:position w:val="0"/>
                <w:sz w:val="24"/>
                <w:szCs w:val="24"/>
              </w:rPr>
              <w:t>在泄漏过程中可能进入周边的土壤，导致土壤环境受到污染，若遇明火会发生火灾事故或中毒事故，会引发次生的大气、地表水等环境污染问题。</w:t>
            </w:r>
            <w:r>
              <w:rPr>
                <w:rFonts w:hint="eastAsia" w:ascii="Times New Roman" w:hAnsi="Times New Roman" w:eastAsia="宋体" w:cs="Times New Roman"/>
                <w:bCs/>
                <w:color w:val="auto"/>
                <w:sz w:val="24"/>
                <w:lang w:val="en-US" w:eastAsia="zh-CN"/>
              </w:rPr>
              <w:t>事故引起的危害主要表现在：</w:t>
            </w:r>
          </w:p>
          <w:p w14:paraId="21329541">
            <w:pPr>
              <w:adjustRightInd w:val="0"/>
              <w:snapToGrid w:val="0"/>
              <w:spacing w:line="360" w:lineRule="auto"/>
              <w:ind w:firstLine="480" w:firstLineChars="200"/>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lang w:val="en-US" w:eastAsia="zh-CN"/>
              </w:rPr>
              <w:t>①大气</w:t>
            </w:r>
          </w:p>
          <w:p w14:paraId="625CA5C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eastAsia="宋体" w:cs="Times New Roman"/>
                <w:bCs/>
                <w:color w:val="auto"/>
                <w:sz w:val="24"/>
                <w:lang w:val="en-US" w:eastAsia="zh-CN"/>
              </w:rPr>
            </w:pPr>
            <w:r>
              <w:rPr>
                <w:rFonts w:hint="eastAsia" w:cs="Times New Roman"/>
                <w:color w:val="auto"/>
                <w:sz w:val="24"/>
                <w:szCs w:val="24"/>
                <w:highlight w:val="none"/>
                <w:lang w:val="en-US" w:eastAsia="zh-CN"/>
              </w:rPr>
              <w:t>本项目涉及到的风险物质主要为纺丝油剂、机油、废</w:t>
            </w:r>
            <w:r>
              <w:rPr>
                <w:rFonts w:hint="eastAsia" w:ascii="Times New Roman" w:hAnsi="Times New Roman" w:eastAsia="宋体" w:cs="Times New Roman"/>
                <w:bCs/>
                <w:color w:val="auto"/>
                <w:sz w:val="24"/>
                <w:lang w:val="en-US" w:eastAsia="zh-CN"/>
              </w:rPr>
              <w:t>机油</w:t>
            </w:r>
            <w:r>
              <w:rPr>
                <w:rFonts w:hint="eastAsia" w:cs="Times New Roman"/>
                <w:bCs/>
                <w:color w:val="auto"/>
                <w:sz w:val="24"/>
                <w:lang w:val="en-US" w:eastAsia="zh-CN"/>
              </w:rPr>
              <w:t>，另外本项目的</w:t>
            </w:r>
            <w:r>
              <w:rPr>
                <w:rFonts w:hint="eastAsia" w:cs="Times New Roman"/>
                <w:color w:val="auto"/>
                <w:sz w:val="24"/>
                <w:szCs w:val="24"/>
                <w:highlight w:val="none"/>
                <w:lang w:val="en-US" w:eastAsia="zh-CN"/>
              </w:rPr>
              <w:t>原料聚丙烯以及纤维丝、假发、假睫毛、PP带等产品，均为可燃物质，</w:t>
            </w:r>
            <w:r>
              <w:rPr>
                <w:rFonts w:hint="default" w:ascii="Times New Roman" w:hAnsi="Times New Roman" w:eastAsia="宋体" w:cs="Times New Roman"/>
                <w:bCs/>
                <w:color w:val="auto"/>
                <w:sz w:val="24"/>
                <w:lang w:val="en-US" w:eastAsia="zh-CN"/>
              </w:rPr>
              <w:t>遇明火</w:t>
            </w:r>
            <w:r>
              <w:rPr>
                <w:rFonts w:hint="eastAsia" w:ascii="Times New Roman" w:hAnsi="Times New Roman" w:eastAsia="宋体" w:cs="Times New Roman"/>
                <w:bCs/>
                <w:color w:val="auto"/>
                <w:sz w:val="24"/>
                <w:lang w:val="en-US" w:eastAsia="zh-CN"/>
              </w:rPr>
              <w:t>可能</w:t>
            </w:r>
            <w:r>
              <w:rPr>
                <w:rFonts w:hint="default" w:ascii="Times New Roman" w:hAnsi="Times New Roman" w:eastAsia="宋体" w:cs="Times New Roman"/>
                <w:bCs/>
                <w:color w:val="auto"/>
                <w:sz w:val="24"/>
                <w:lang w:val="en-US" w:eastAsia="zh-CN"/>
              </w:rPr>
              <w:t>会发生火灾事故</w:t>
            </w:r>
            <w:r>
              <w:rPr>
                <w:rFonts w:hint="eastAsia" w:ascii="Times New Roman" w:hAnsi="Times New Roman" w:eastAsia="宋体" w:cs="Times New Roman"/>
                <w:bCs/>
                <w:color w:val="auto"/>
                <w:sz w:val="24"/>
                <w:lang w:val="en-US" w:eastAsia="zh-CN"/>
              </w:rPr>
              <w:t>，火灾事故伴生CO排放造成大气污染。</w:t>
            </w:r>
          </w:p>
          <w:p w14:paraId="7A810AC2">
            <w:pPr>
              <w:keepNext w:val="0"/>
              <w:keepLines w:val="0"/>
              <w:pageBreakBefore w:val="0"/>
              <w:widowControl w:val="0"/>
              <w:kinsoku/>
              <w:wordWrap/>
              <w:overflowPunct/>
              <w:topLinePunct w:val="0"/>
              <w:autoSpaceDE/>
              <w:autoSpaceDN/>
              <w:bidi w:val="0"/>
              <w:adjustRightInd w:val="0"/>
              <w:snapToGrid w:val="0"/>
              <w:spacing w:line="360" w:lineRule="auto"/>
              <w:ind w:left="479" w:leftChars="228" w:firstLine="0" w:firstLineChars="0"/>
              <w:textAlignment w:val="auto"/>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②地表水</w:t>
            </w:r>
          </w:p>
          <w:p w14:paraId="782F7198">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color w:val="auto"/>
                <w:sz w:val="24"/>
                <w:szCs w:val="24"/>
                <w:highlight w:val="none"/>
                <w:lang w:val="en-US" w:eastAsia="zh-CN"/>
              </w:rPr>
              <w:t>纺丝油剂、机油、废</w:t>
            </w:r>
            <w:r>
              <w:rPr>
                <w:rFonts w:hint="eastAsia" w:ascii="Times New Roman" w:hAnsi="Times New Roman" w:eastAsia="宋体" w:cs="Times New Roman"/>
                <w:bCs/>
                <w:color w:val="auto"/>
                <w:sz w:val="24"/>
                <w:lang w:val="en-US" w:eastAsia="zh-CN"/>
              </w:rPr>
              <w:t>机油</w:t>
            </w:r>
            <w:r>
              <w:rPr>
                <w:rFonts w:hint="default" w:ascii="Times New Roman" w:hAnsi="Times New Roman" w:eastAsia="宋体" w:cs="Times New Roman"/>
                <w:spacing w:val="0"/>
                <w:position w:val="0"/>
                <w:sz w:val="24"/>
                <w:szCs w:val="24"/>
              </w:rPr>
              <w:t>泄漏过程中可能进入周边的土壤，导致土壤环境受到污染</w:t>
            </w:r>
            <w:r>
              <w:rPr>
                <w:rFonts w:hint="eastAsia" w:ascii="Times New Roman" w:hAnsi="Times New Roman" w:eastAsia="宋体" w:cs="Times New Roman"/>
                <w:spacing w:val="0"/>
                <w:position w:val="0"/>
                <w:sz w:val="24"/>
                <w:szCs w:val="24"/>
                <w:lang w:eastAsia="zh-CN"/>
              </w:rPr>
              <w:t>；</w:t>
            </w:r>
            <w:r>
              <w:rPr>
                <w:rFonts w:hint="eastAsia" w:ascii="Times New Roman" w:hAnsi="Times New Roman" w:eastAsia="宋体" w:cs="Times New Roman"/>
                <w:bCs/>
                <w:color w:val="auto"/>
                <w:sz w:val="24"/>
                <w:lang w:val="en-US" w:eastAsia="zh-CN"/>
              </w:rPr>
              <w:t>救火过程产生的消防污水如没有得到有效控制，可能会进入附近水体，造成排水区域的水体污染。</w:t>
            </w:r>
          </w:p>
          <w:p w14:paraId="52E84FBE">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3、</w:t>
            </w:r>
            <w:r>
              <w:rPr>
                <w:rFonts w:hint="eastAsia" w:eastAsia="黑体" w:cs="Times New Roman"/>
                <w:b w:val="0"/>
                <w:bCs w:val="0"/>
                <w:color w:val="auto"/>
                <w:sz w:val="24"/>
                <w:szCs w:val="24"/>
                <w:highlight w:val="none"/>
                <w:lang w:val="en-US" w:eastAsia="zh-CN"/>
              </w:rPr>
              <w:t>项目</w:t>
            </w:r>
            <w:r>
              <w:rPr>
                <w:rFonts w:hint="eastAsia" w:ascii="Times New Roman" w:hAnsi="Times New Roman" w:eastAsia="黑体" w:cs="Times New Roman"/>
                <w:b w:val="0"/>
                <w:bCs w:val="0"/>
                <w:color w:val="auto"/>
                <w:sz w:val="24"/>
                <w:szCs w:val="24"/>
                <w:highlight w:val="none"/>
                <w:lang w:val="en-US" w:eastAsia="zh-CN"/>
              </w:rPr>
              <w:t>风险防范措施</w:t>
            </w:r>
          </w:p>
          <w:p w14:paraId="12E18C2E">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项目主要的风险是</w:t>
            </w:r>
            <w:r>
              <w:rPr>
                <w:rFonts w:hint="eastAsia" w:cs="Times New Roman"/>
                <w:bCs/>
                <w:color w:val="auto"/>
                <w:sz w:val="24"/>
                <w:lang w:val="en-US" w:eastAsia="zh-CN"/>
              </w:rPr>
              <w:t>泄漏、</w:t>
            </w:r>
            <w:r>
              <w:rPr>
                <w:rFonts w:hint="eastAsia" w:ascii="Times New Roman" w:hAnsi="Times New Roman" w:eastAsia="宋体" w:cs="Times New Roman"/>
                <w:bCs/>
                <w:color w:val="auto"/>
                <w:sz w:val="24"/>
                <w:lang w:val="en-US" w:eastAsia="zh-CN"/>
              </w:rPr>
              <w:t>火灾事故，</w:t>
            </w:r>
            <w:r>
              <w:rPr>
                <w:rFonts w:hint="eastAsia" w:cs="Times New Roman"/>
                <w:bCs/>
                <w:color w:val="auto"/>
                <w:sz w:val="24"/>
                <w:lang w:val="en-US" w:eastAsia="zh-CN"/>
              </w:rPr>
              <w:t>根据项目在</w:t>
            </w:r>
            <w:r>
              <w:rPr>
                <w:rFonts w:hint="eastAsia" w:ascii="Times New Roman" w:hAnsi="Times New Roman" w:eastAsia="宋体" w:cs="Times New Roman"/>
                <w:bCs/>
                <w:color w:val="auto"/>
                <w:sz w:val="24"/>
                <w:lang w:val="en-US" w:eastAsia="zh-CN"/>
              </w:rPr>
              <w:t>生产过程中</w:t>
            </w:r>
            <w:r>
              <w:rPr>
                <w:rFonts w:hint="eastAsia" w:cs="Times New Roman"/>
                <w:bCs/>
                <w:color w:val="auto"/>
                <w:sz w:val="24"/>
                <w:lang w:val="en-US" w:eastAsia="zh-CN"/>
              </w:rPr>
              <w:t>可能</w:t>
            </w:r>
            <w:r>
              <w:rPr>
                <w:rFonts w:hint="eastAsia" w:ascii="Times New Roman" w:hAnsi="Times New Roman" w:eastAsia="宋体" w:cs="Times New Roman"/>
                <w:bCs/>
                <w:color w:val="auto"/>
                <w:sz w:val="24"/>
                <w:lang w:val="en-US" w:eastAsia="zh-CN"/>
              </w:rPr>
              <w:t>存在的各种风险事故因素，企业</w:t>
            </w:r>
            <w:r>
              <w:rPr>
                <w:rFonts w:hint="eastAsia" w:cs="Times New Roman"/>
                <w:bCs/>
                <w:color w:val="auto"/>
                <w:sz w:val="24"/>
                <w:lang w:val="en-US" w:eastAsia="zh-CN"/>
              </w:rPr>
              <w:t>实施如下防范措施</w:t>
            </w:r>
            <w:r>
              <w:rPr>
                <w:rFonts w:hint="eastAsia" w:ascii="Times New Roman" w:hAnsi="Times New Roman" w:eastAsia="宋体" w:cs="Times New Roman"/>
                <w:bCs/>
                <w:color w:val="auto"/>
                <w:sz w:val="24"/>
                <w:lang w:val="en-US" w:eastAsia="zh-CN"/>
              </w:rPr>
              <w:t>：</w:t>
            </w:r>
          </w:p>
          <w:p w14:paraId="069F04BE">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（1）</w:t>
            </w:r>
            <w:r>
              <w:rPr>
                <w:rFonts w:hint="default" w:ascii="Times New Roman" w:hAnsi="Times New Roman" w:eastAsia="宋体" w:cs="Times New Roman"/>
                <w:bCs/>
                <w:color w:val="auto"/>
                <w:sz w:val="24"/>
                <w:lang w:val="en-US" w:eastAsia="zh-CN"/>
              </w:rPr>
              <w:t>原辅料、</w:t>
            </w:r>
            <w:r>
              <w:rPr>
                <w:rFonts w:hint="eastAsia" w:cs="Times New Roman"/>
                <w:bCs/>
                <w:color w:val="auto"/>
                <w:sz w:val="24"/>
                <w:lang w:val="en-US" w:eastAsia="zh-CN"/>
              </w:rPr>
              <w:t>产品、</w:t>
            </w:r>
            <w:r>
              <w:rPr>
                <w:rFonts w:hint="default" w:ascii="Times New Roman" w:hAnsi="Times New Roman" w:eastAsia="宋体" w:cs="Times New Roman"/>
                <w:bCs/>
                <w:color w:val="auto"/>
                <w:sz w:val="24"/>
                <w:lang w:val="en-US" w:eastAsia="zh-CN"/>
              </w:rPr>
              <w:t>危险废物等均交由专人负责管理，定期巡视，避免因为安全事故而引发的环境事故及人员伤害。</w:t>
            </w:r>
          </w:p>
          <w:p w14:paraId="71890F5F">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（2）</w:t>
            </w:r>
            <w:r>
              <w:rPr>
                <w:rFonts w:hint="eastAsia" w:ascii="Times New Roman" w:hAnsi="Times New Roman" w:eastAsia="宋体" w:cs="Times New Roman"/>
                <w:bCs/>
                <w:color w:val="auto"/>
                <w:sz w:val="24"/>
                <w:lang w:val="en-US" w:eastAsia="zh-CN"/>
              </w:rPr>
              <w:t>总图布置严格控制各建、构筑物的安全防护距离。按有关规范设计设置有效的消防系统，做到以防为主，安全可靠。</w:t>
            </w:r>
          </w:p>
          <w:p w14:paraId="06E15389">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（3）</w:t>
            </w:r>
            <w:r>
              <w:rPr>
                <w:rFonts w:hint="eastAsia" w:ascii="Times New Roman" w:hAnsi="Times New Roman" w:eastAsia="宋体" w:cs="Times New Roman"/>
                <w:bCs/>
                <w:color w:val="auto"/>
                <w:sz w:val="24"/>
                <w:lang w:val="en-US" w:eastAsia="zh-CN"/>
              </w:rPr>
              <w:t>工艺设备、运输设施及工艺系统选用高质、高效可靠性的产品。防爆区电气设备、器材的选型、设计安装及维护均符合《爆炸火灾危电力装置设计规范》（</w:t>
            </w:r>
            <w:r>
              <w:rPr>
                <w:rFonts w:hint="default" w:ascii="Times New Roman" w:hAnsi="Times New Roman" w:eastAsia="宋体" w:cs="Times New Roman"/>
                <w:bCs/>
                <w:color w:val="auto"/>
                <w:sz w:val="24"/>
                <w:lang w:val="en-US" w:eastAsia="zh-CN"/>
              </w:rPr>
              <w:t>GB50058.82</w:t>
            </w:r>
            <w:r>
              <w:rPr>
                <w:rFonts w:hint="eastAsia" w:ascii="Times New Roman" w:hAnsi="Times New Roman" w:eastAsia="宋体" w:cs="Times New Roman"/>
                <w:bCs/>
                <w:color w:val="auto"/>
                <w:sz w:val="24"/>
                <w:lang w:val="en-US" w:eastAsia="zh-CN"/>
              </w:rPr>
              <w:t>）和《漏电保护器安装与运行》（</w:t>
            </w:r>
            <w:r>
              <w:rPr>
                <w:rFonts w:hint="default" w:ascii="Times New Roman" w:hAnsi="Times New Roman" w:eastAsia="宋体" w:cs="Times New Roman"/>
                <w:bCs/>
                <w:color w:val="auto"/>
                <w:sz w:val="24"/>
                <w:lang w:val="en-US" w:eastAsia="zh-CN"/>
              </w:rPr>
              <w:t>GB13955-92</w:t>
            </w:r>
            <w:r>
              <w:rPr>
                <w:rFonts w:hint="eastAsia" w:ascii="Times New Roman" w:hAnsi="Times New Roman" w:eastAsia="宋体" w:cs="Times New Roman"/>
                <w:bCs/>
                <w:color w:val="auto"/>
                <w:sz w:val="24"/>
                <w:lang w:val="en-US" w:eastAsia="zh-CN"/>
              </w:rPr>
              <w:t>）的规定。</w:t>
            </w:r>
          </w:p>
          <w:p w14:paraId="2E963C84">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（4）</w:t>
            </w:r>
            <w:r>
              <w:rPr>
                <w:rFonts w:hint="eastAsia" w:ascii="Times New Roman" w:hAnsi="Times New Roman" w:eastAsia="宋体" w:cs="Times New Roman"/>
                <w:bCs/>
                <w:color w:val="auto"/>
                <w:sz w:val="24"/>
                <w:lang w:val="en-US" w:eastAsia="zh-CN"/>
              </w:rPr>
              <w:t>设置防静电和防感应雷的联合接地装置。</w:t>
            </w:r>
          </w:p>
          <w:p w14:paraId="503C0CA4">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（5）</w:t>
            </w:r>
            <w:r>
              <w:rPr>
                <w:rFonts w:hint="eastAsia" w:ascii="Times New Roman" w:hAnsi="Times New Roman" w:eastAsia="宋体" w:cs="Times New Roman"/>
                <w:bCs/>
                <w:color w:val="auto"/>
                <w:sz w:val="24"/>
                <w:lang w:val="en-US" w:eastAsia="zh-CN"/>
              </w:rPr>
              <w:t>加强职工的安全教育，提高安全防范风险的意识。</w:t>
            </w:r>
          </w:p>
          <w:p w14:paraId="7B3A9121">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s="Times New Roman"/>
                <w:bCs/>
                <w:color w:val="auto"/>
                <w:sz w:val="24"/>
                <w:lang w:val="en-US" w:eastAsia="zh-CN"/>
              </w:rPr>
              <w:t>（6）</w:t>
            </w:r>
            <w:r>
              <w:rPr>
                <w:rFonts w:hint="eastAsia" w:ascii="Times New Roman" w:hAnsi="Times New Roman" w:eastAsia="宋体" w:cs="Times New Roman"/>
                <w:bCs/>
                <w:color w:val="auto"/>
                <w:sz w:val="24"/>
                <w:lang w:val="en-US" w:eastAsia="zh-CN"/>
              </w:rPr>
              <w:t>针对运营中可能发生的异常现象和存在的安全隐患，设置合理可行的技术措施，制定严格的操作规程。</w:t>
            </w:r>
          </w:p>
          <w:p w14:paraId="32FBEF8E">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color w:val="auto"/>
                <w:sz w:val="24"/>
                <w:lang w:eastAsia="zh-CN"/>
              </w:rPr>
              <w:t>（</w:t>
            </w:r>
            <w:r>
              <w:rPr>
                <w:rFonts w:hint="eastAsia"/>
                <w:color w:val="auto"/>
                <w:sz w:val="24"/>
                <w:lang w:val="en-US" w:eastAsia="zh-CN"/>
              </w:rPr>
              <w:t>7</w:t>
            </w:r>
            <w:r>
              <w:rPr>
                <w:rFonts w:hint="eastAsia"/>
                <w:color w:val="auto"/>
                <w:sz w:val="24"/>
                <w:lang w:eastAsia="zh-CN"/>
              </w:rPr>
              <w:t>）</w:t>
            </w:r>
            <w:r>
              <w:rPr>
                <w:color w:val="auto"/>
                <w:sz w:val="24"/>
              </w:rPr>
              <w:t>制定安全生产管理制度，车间内严禁烟火；加强管理，严格操作规范，杜绝因操作失误导致</w:t>
            </w:r>
            <w:r>
              <w:rPr>
                <w:rFonts w:hint="eastAsia"/>
                <w:color w:val="auto"/>
                <w:sz w:val="24"/>
              </w:rPr>
              <w:t>的</w:t>
            </w:r>
            <w:r>
              <w:rPr>
                <w:rFonts w:hint="eastAsia" w:ascii="Times New Roman" w:hAnsi="Times New Roman" w:eastAsia="宋体" w:cs="Times New Roman"/>
                <w:bCs/>
                <w:color w:val="auto"/>
                <w:sz w:val="24"/>
                <w:lang w:val="en-US" w:eastAsia="zh-CN"/>
              </w:rPr>
              <w:t>事故发生；对厂内电路电线和相关设备加强检查和维修，所有照明灯具也应采用密闭型。</w:t>
            </w:r>
          </w:p>
          <w:p w14:paraId="4BE6AC0B">
            <w:pPr>
              <w:adjustRightInd w:val="0"/>
              <w:snapToGrid w:val="0"/>
              <w:spacing w:line="360" w:lineRule="auto"/>
              <w:ind w:firstLine="480" w:firstLineChars="200"/>
              <w:rPr>
                <w:color w:val="auto"/>
                <w:sz w:val="24"/>
              </w:rPr>
            </w:pPr>
            <w:r>
              <w:rPr>
                <w:rFonts w:hint="eastAsia" w:ascii="Times New Roman" w:hAnsi="Times New Roman" w:cs="Times New Roman"/>
                <w:bCs/>
                <w:color w:val="auto"/>
                <w:sz w:val="24"/>
                <w:lang w:val="en-US" w:eastAsia="zh-CN"/>
              </w:rPr>
              <w:t>（</w:t>
            </w:r>
            <w:r>
              <w:rPr>
                <w:rFonts w:hint="eastAsia" w:cs="Times New Roman"/>
                <w:bCs/>
                <w:color w:val="auto"/>
                <w:sz w:val="24"/>
                <w:lang w:val="en-US" w:eastAsia="zh-CN"/>
              </w:rPr>
              <w:t>8</w:t>
            </w:r>
            <w:r>
              <w:rPr>
                <w:rFonts w:hint="eastAsia" w:ascii="Times New Roman" w:hAnsi="Times New Roman" w:cs="Times New Roman"/>
                <w:bCs/>
                <w:color w:val="auto"/>
                <w:sz w:val="24"/>
                <w:lang w:val="en-US" w:eastAsia="zh-CN"/>
              </w:rPr>
              <w:t>）</w:t>
            </w:r>
            <w:r>
              <w:rPr>
                <w:color w:val="auto"/>
                <w:sz w:val="24"/>
              </w:rPr>
              <w:t>配置灭火器、水桶、砂土等消防器材；厂区内</w:t>
            </w:r>
            <w:r>
              <w:rPr>
                <w:rFonts w:hint="eastAsia"/>
                <w:color w:val="auto"/>
                <w:sz w:val="24"/>
                <w:lang w:val="en-US" w:eastAsia="zh-CN"/>
              </w:rPr>
              <w:t>安排</w:t>
            </w:r>
            <w:r>
              <w:rPr>
                <w:color w:val="auto"/>
                <w:sz w:val="24"/>
              </w:rPr>
              <w:t>值班人员24小时全天候值班，并经常性检修保养，确保设施完好可用。</w:t>
            </w:r>
          </w:p>
          <w:p w14:paraId="0593B9B1">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cs="Times New Roman"/>
                <w:bCs/>
                <w:color w:val="auto"/>
                <w:sz w:val="24"/>
                <w:lang w:val="en-US" w:eastAsia="zh-CN"/>
              </w:rPr>
              <w:t>（</w:t>
            </w:r>
            <w:r>
              <w:rPr>
                <w:rFonts w:hint="eastAsia" w:cs="Times New Roman"/>
                <w:bCs/>
                <w:color w:val="auto"/>
                <w:sz w:val="24"/>
                <w:lang w:val="en-US" w:eastAsia="zh-CN"/>
              </w:rPr>
              <w:t>9</w:t>
            </w:r>
            <w:r>
              <w:rPr>
                <w:rFonts w:hint="eastAsia" w:ascii="Times New Roman" w:hAnsi="Times New Roman" w:cs="Times New Roman"/>
                <w:bCs/>
                <w:color w:val="auto"/>
                <w:sz w:val="24"/>
                <w:lang w:val="en-US" w:eastAsia="zh-CN"/>
              </w:rPr>
              <w:t>）</w:t>
            </w:r>
            <w:r>
              <w:rPr>
                <w:rFonts w:hint="eastAsia"/>
                <w:color w:val="auto"/>
                <w:sz w:val="24"/>
                <w:lang w:val="en-US" w:eastAsia="zh-CN"/>
              </w:rPr>
              <w:t>定期开展</w:t>
            </w:r>
            <w:r>
              <w:rPr>
                <w:color w:val="auto"/>
                <w:sz w:val="24"/>
              </w:rPr>
              <w:t>消防安全知识培训，提高职工的消防安全意识，使其掌握防火、灭火、逃生的基础知识</w:t>
            </w:r>
            <w:r>
              <w:rPr>
                <w:rFonts w:hint="eastAsia"/>
                <w:color w:val="auto"/>
                <w:sz w:val="24"/>
                <w:lang w:eastAsia="zh-CN"/>
              </w:rPr>
              <w:t>，</w:t>
            </w:r>
            <w:r>
              <w:rPr>
                <w:color w:val="auto"/>
                <w:sz w:val="24"/>
              </w:rPr>
              <w:t>加大宣传教育力度，</w:t>
            </w:r>
            <w:r>
              <w:rPr>
                <w:rFonts w:hint="eastAsia"/>
                <w:color w:val="auto"/>
                <w:sz w:val="24"/>
                <w:lang w:val="en-US" w:eastAsia="zh-CN"/>
              </w:rPr>
              <w:t>同时</w:t>
            </w:r>
            <w:r>
              <w:rPr>
                <w:rFonts w:hint="eastAsia" w:ascii="Times New Roman" w:hAnsi="Times New Roman" w:cs="Times New Roman"/>
                <w:bCs/>
                <w:color w:val="auto"/>
                <w:sz w:val="24"/>
                <w:lang w:val="en-US" w:eastAsia="zh-CN"/>
              </w:rPr>
              <w:t>不断</w:t>
            </w:r>
            <w:r>
              <w:rPr>
                <w:color w:val="auto"/>
                <w:sz w:val="24"/>
              </w:rPr>
              <w:t>加强企业管理</w:t>
            </w:r>
            <w:r>
              <w:rPr>
                <w:rFonts w:hint="eastAsia"/>
                <w:color w:val="auto"/>
                <w:sz w:val="24"/>
                <w:lang w:eastAsia="zh-CN"/>
              </w:rPr>
              <w:t>，</w:t>
            </w:r>
            <w:r>
              <w:rPr>
                <w:color w:val="auto"/>
                <w:sz w:val="24"/>
              </w:rPr>
              <w:t>有效避免环境风险事故的发生</w:t>
            </w:r>
            <w:r>
              <w:rPr>
                <w:rFonts w:hint="eastAsia"/>
                <w:color w:val="auto"/>
                <w:sz w:val="24"/>
                <w:lang w:eastAsia="zh-CN"/>
              </w:rPr>
              <w:t>。</w:t>
            </w:r>
          </w:p>
          <w:p w14:paraId="3F81EFD6">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4</w:t>
            </w:r>
            <w:r>
              <w:rPr>
                <w:rFonts w:hint="eastAsia" w:ascii="Times New Roman" w:hAnsi="Times New Roman" w:eastAsia="黑体" w:cs="Times New Roman"/>
                <w:b w:val="0"/>
                <w:bCs w:val="0"/>
                <w:color w:val="auto"/>
                <w:sz w:val="24"/>
                <w:szCs w:val="24"/>
                <w:highlight w:val="none"/>
                <w:lang w:val="en-US" w:eastAsia="zh-CN"/>
              </w:rPr>
              <w:t>、</w:t>
            </w:r>
            <w:r>
              <w:rPr>
                <w:rFonts w:hint="eastAsia" w:eastAsia="黑体" w:cs="Times New Roman"/>
                <w:b w:val="0"/>
                <w:bCs w:val="0"/>
                <w:color w:val="auto"/>
                <w:sz w:val="24"/>
                <w:szCs w:val="24"/>
                <w:highlight w:val="none"/>
                <w:lang w:val="en-US" w:eastAsia="zh-CN"/>
              </w:rPr>
              <w:t>事故应急措施</w:t>
            </w:r>
          </w:p>
          <w:p w14:paraId="4A9D0863">
            <w:pPr>
              <w:pStyle w:val="7"/>
              <w:keepNext w:val="0"/>
              <w:keepLines w:val="0"/>
              <w:pageBreakBefore w:val="0"/>
              <w:widowControl w:val="0"/>
              <w:kinsoku/>
              <w:wordWrap/>
              <w:overflowPunct/>
              <w:topLinePunct w:val="0"/>
              <w:autoSpaceDE/>
              <w:autoSpaceDN/>
              <w:bidi w:val="0"/>
              <w:adjustRightInd/>
              <w:snapToGrid/>
              <w:spacing w:before="0" w:beforeAutospacing="0" w:after="0" w:line="360" w:lineRule="auto"/>
              <w:ind w:firstLine="480"/>
              <w:jc w:val="left"/>
              <w:textAlignment w:val="auto"/>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（1）</w:t>
            </w:r>
            <w:r>
              <w:rPr>
                <w:rFonts w:hint="eastAsia" w:eastAsia="宋体" w:cs="Times New Roman"/>
                <w:bCs/>
                <w:color w:val="auto"/>
                <w:kern w:val="2"/>
                <w:sz w:val="24"/>
                <w:szCs w:val="24"/>
                <w:lang w:val="en-US" w:eastAsia="zh-CN" w:bidi="ar-SA"/>
              </w:rPr>
              <w:t>纺丝油剂、机油、废机油</w:t>
            </w:r>
            <w:r>
              <w:rPr>
                <w:rFonts w:hint="eastAsia" w:ascii="Times New Roman" w:hAnsi="Times New Roman" w:eastAsia="宋体" w:cs="Times New Roman"/>
                <w:bCs/>
                <w:color w:val="auto"/>
                <w:kern w:val="2"/>
                <w:sz w:val="24"/>
                <w:szCs w:val="24"/>
                <w:lang w:val="en-US" w:eastAsia="zh-CN" w:bidi="ar-SA"/>
              </w:rPr>
              <w:t>泄漏引发</w:t>
            </w:r>
            <w:r>
              <w:rPr>
                <w:rFonts w:hint="eastAsia" w:eastAsia="宋体" w:cs="Times New Roman"/>
                <w:bCs/>
                <w:color w:val="auto"/>
                <w:kern w:val="2"/>
                <w:sz w:val="24"/>
                <w:szCs w:val="24"/>
                <w:lang w:val="en-US" w:eastAsia="zh-CN" w:bidi="ar-SA"/>
              </w:rPr>
              <w:t>火灾</w:t>
            </w:r>
            <w:r>
              <w:rPr>
                <w:rFonts w:hint="eastAsia" w:ascii="Times New Roman" w:hAnsi="Times New Roman" w:eastAsia="宋体" w:cs="Times New Roman"/>
                <w:bCs/>
                <w:color w:val="auto"/>
                <w:kern w:val="2"/>
                <w:sz w:val="24"/>
                <w:szCs w:val="24"/>
                <w:lang w:val="en-US" w:eastAsia="zh-CN" w:bidi="ar-SA"/>
              </w:rPr>
              <w:t>时，隔离火灾区周边200m范围，严禁无关人员进入隔离区；</w:t>
            </w:r>
          </w:p>
          <w:p w14:paraId="39C9C4D8">
            <w:pPr>
              <w:pStyle w:val="7"/>
              <w:keepNext w:val="0"/>
              <w:keepLines w:val="0"/>
              <w:pageBreakBefore w:val="0"/>
              <w:widowControl w:val="0"/>
              <w:kinsoku/>
              <w:wordWrap/>
              <w:overflowPunct/>
              <w:topLinePunct w:val="0"/>
              <w:autoSpaceDE/>
              <w:autoSpaceDN/>
              <w:bidi w:val="0"/>
              <w:adjustRightInd/>
              <w:snapToGrid/>
              <w:spacing w:before="0" w:beforeAutospacing="0" w:after="0" w:line="360" w:lineRule="auto"/>
              <w:ind w:firstLine="480"/>
              <w:jc w:val="left"/>
              <w:textAlignment w:val="auto"/>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应急救援人员穿戴防静电防火服、在保证安全的前提下携带救援设备进入事故现场进行先期消防灭火，时刻关注火势情况，随时做好撤离准备；</w:t>
            </w:r>
          </w:p>
          <w:p w14:paraId="31643EB4">
            <w:pPr>
              <w:pStyle w:val="7"/>
              <w:keepNext w:val="0"/>
              <w:keepLines w:val="0"/>
              <w:pageBreakBefore w:val="0"/>
              <w:widowControl w:val="0"/>
              <w:kinsoku/>
              <w:wordWrap/>
              <w:overflowPunct/>
              <w:topLinePunct w:val="0"/>
              <w:autoSpaceDE/>
              <w:autoSpaceDN/>
              <w:bidi w:val="0"/>
              <w:adjustRightInd/>
              <w:snapToGrid/>
              <w:spacing w:before="0" w:beforeAutospacing="0" w:after="0" w:line="360" w:lineRule="auto"/>
              <w:ind w:firstLine="480"/>
              <w:jc w:val="left"/>
              <w:textAlignment w:val="auto"/>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燃烧持续、事故进一步扩大，得不到有效控制时，立即通知应急领导小组办公室，由组长张良献决定是否启动本预案。预案启动后，应急领导小组通知应急救援工作组赶赴事故现场开展救援工作，有人员伤亡时拨打120请求援助；火灾趋势严重、事故升级时请求当地应急指挥部救援，启动政府应急预案。</w:t>
            </w:r>
          </w:p>
          <w:p w14:paraId="0CDAAC37">
            <w:pPr>
              <w:pStyle w:val="7"/>
              <w:keepNext w:val="0"/>
              <w:keepLines w:val="0"/>
              <w:pageBreakBefore w:val="0"/>
              <w:widowControl w:val="0"/>
              <w:kinsoku/>
              <w:wordWrap/>
              <w:overflowPunct/>
              <w:topLinePunct w:val="0"/>
              <w:autoSpaceDE/>
              <w:autoSpaceDN/>
              <w:bidi w:val="0"/>
              <w:adjustRightInd/>
              <w:snapToGrid/>
              <w:spacing w:before="0" w:beforeAutospacing="0" w:after="0" w:line="360" w:lineRule="auto"/>
              <w:ind w:firstLine="480"/>
              <w:jc w:val="left"/>
              <w:textAlignment w:val="auto"/>
              <w:rPr>
                <w:rFonts w:hint="default"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（2）</w:t>
            </w:r>
            <w:r>
              <w:rPr>
                <w:rFonts w:hint="default" w:ascii="Times New Roman" w:hAnsi="Times New Roman" w:eastAsia="宋体" w:cs="Times New Roman"/>
                <w:bCs/>
                <w:color w:val="auto"/>
                <w:kern w:val="2"/>
                <w:sz w:val="24"/>
                <w:szCs w:val="24"/>
                <w:lang w:val="en-US" w:eastAsia="zh-CN" w:bidi="ar-SA"/>
              </w:rPr>
              <w:t>一氧化碳引起人员中毒时，及时组织现场人员的防护自救，将中毒人员脱离现场，保持呼吸道通畅，送至通风处呼吸新鲜空气。出现较重症状时及时交由医务人员治疗；现场暂时留守人员需加强现场个人防护，佩戴相应的防护用品。</w:t>
            </w:r>
          </w:p>
          <w:p w14:paraId="48FD015D">
            <w:pPr>
              <w:pStyle w:val="7"/>
              <w:keepNext w:val="0"/>
              <w:keepLines w:val="0"/>
              <w:pageBreakBefore w:val="0"/>
              <w:widowControl w:val="0"/>
              <w:kinsoku/>
              <w:wordWrap/>
              <w:overflowPunct/>
              <w:topLinePunct w:val="0"/>
              <w:autoSpaceDE/>
              <w:autoSpaceDN/>
              <w:bidi w:val="0"/>
              <w:adjustRightInd/>
              <w:snapToGrid/>
              <w:spacing w:before="0" w:beforeAutospacing="0" w:after="0" w:line="360" w:lineRule="auto"/>
              <w:ind w:firstLine="480"/>
              <w:jc w:val="left"/>
              <w:textAlignment w:val="auto"/>
              <w:rPr>
                <w:rFonts w:hint="eastAsia"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当事故扩大、得不到有效控制时，</w:t>
            </w:r>
            <w:r>
              <w:rPr>
                <w:rFonts w:hint="eastAsia" w:ascii="Times New Roman" w:hAnsi="Times New Roman" w:eastAsia="宋体" w:cs="Times New Roman"/>
                <w:bCs/>
                <w:color w:val="auto"/>
                <w:kern w:val="2"/>
                <w:sz w:val="24"/>
                <w:szCs w:val="24"/>
                <w:lang w:val="en-US" w:eastAsia="zh-CN" w:bidi="ar-SA"/>
              </w:rPr>
              <w:t>环境应急监测</w:t>
            </w:r>
            <w:r>
              <w:rPr>
                <w:rFonts w:hint="default" w:ascii="Times New Roman" w:hAnsi="Times New Roman" w:eastAsia="宋体" w:cs="Times New Roman"/>
                <w:bCs/>
                <w:color w:val="auto"/>
                <w:kern w:val="2"/>
                <w:sz w:val="24"/>
                <w:szCs w:val="24"/>
                <w:lang w:val="en-US" w:eastAsia="zh-CN" w:bidi="ar-SA"/>
              </w:rPr>
              <w:t>人员迅速查明事故现场污染物浓度和扩散情况，根据当时风向、风速，判断毒气的方向和速度，对泄漏源下风向扩散区域进行检测并确定需要警戒的区域，迅速发出有害气体逸散报警，疏散影响范围内和可能受到污染危害的周边单位和居民。在疏散、撤离路线上设立路标，指明撤离方向和安全地带位置。</w:t>
            </w:r>
          </w:p>
          <w:p w14:paraId="26649C49">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5</w:t>
            </w:r>
            <w:r>
              <w:rPr>
                <w:rFonts w:hint="eastAsia" w:ascii="Times New Roman" w:hAnsi="Times New Roman" w:eastAsia="黑体" w:cs="Times New Roman"/>
                <w:b w:val="0"/>
                <w:bCs w:val="0"/>
                <w:color w:val="auto"/>
                <w:sz w:val="24"/>
                <w:szCs w:val="24"/>
                <w:highlight w:val="none"/>
                <w:lang w:val="en-US" w:eastAsia="zh-CN"/>
              </w:rPr>
              <w:t>、结论</w:t>
            </w:r>
          </w:p>
          <w:p w14:paraId="550C4B6E">
            <w:pPr>
              <w:adjustRightInd w:val="0"/>
              <w:snapToGrid w:val="0"/>
              <w:spacing w:line="360" w:lineRule="auto"/>
              <w:ind w:firstLine="480" w:firstLineChars="200"/>
              <w:rPr>
                <w:rFonts w:hint="eastAsia"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通过对可能发生的事故类型和风险因素分析可知，确定本项目最大可信事故为</w:t>
            </w:r>
            <w:r>
              <w:rPr>
                <w:rFonts w:hint="eastAsia" w:cs="Times New Roman"/>
                <w:bCs/>
                <w:color w:val="auto"/>
                <w:sz w:val="24"/>
                <w:lang w:val="en-US" w:eastAsia="zh-CN"/>
              </w:rPr>
              <w:t>机油、废机油泄漏</w:t>
            </w:r>
            <w:r>
              <w:rPr>
                <w:rFonts w:hint="default" w:ascii="Times New Roman" w:hAnsi="Times New Roman" w:eastAsia="宋体" w:cs="Times New Roman"/>
                <w:bCs/>
                <w:color w:val="auto"/>
                <w:sz w:val="24"/>
                <w:lang w:val="en-US" w:eastAsia="zh-CN"/>
              </w:rPr>
              <w:t>遇明火发生</w:t>
            </w:r>
            <w:r>
              <w:rPr>
                <w:rFonts w:hint="eastAsia" w:ascii="Times New Roman" w:hAnsi="Times New Roman" w:eastAsia="宋体" w:cs="Times New Roman"/>
                <w:bCs/>
                <w:color w:val="auto"/>
                <w:sz w:val="24"/>
                <w:lang w:val="en-US" w:eastAsia="zh-CN"/>
              </w:rPr>
              <w:t>的</w:t>
            </w:r>
            <w:r>
              <w:rPr>
                <w:rFonts w:hint="default" w:ascii="Times New Roman" w:hAnsi="Times New Roman" w:eastAsia="宋体" w:cs="Times New Roman"/>
                <w:bCs/>
                <w:color w:val="auto"/>
                <w:sz w:val="24"/>
                <w:lang w:val="en-US" w:eastAsia="zh-CN"/>
              </w:rPr>
              <w:t>火灾事故</w:t>
            </w:r>
            <w:r>
              <w:rPr>
                <w:rFonts w:hint="eastAsia" w:cs="Times New Roman"/>
                <w:bCs/>
                <w:color w:val="auto"/>
                <w:sz w:val="24"/>
                <w:lang w:val="en-US" w:eastAsia="zh-CN"/>
              </w:rPr>
              <w:t>和原辅材料、产品遇明火发生的火灾事故</w:t>
            </w:r>
            <w:r>
              <w:rPr>
                <w:rFonts w:hint="eastAsia" w:ascii="Times New Roman" w:hAnsi="Times New Roman" w:eastAsia="宋体" w:cs="Times New Roman"/>
                <w:bCs/>
                <w:color w:val="auto"/>
                <w:sz w:val="24"/>
                <w:lang w:val="en-US" w:eastAsia="zh-CN"/>
              </w:rPr>
              <w:t>，火灾事故伴生CO排放造成大气污染</w:t>
            </w:r>
            <w:r>
              <w:rPr>
                <w:rFonts w:hint="eastAsia" w:cs="Times New Roman"/>
                <w:bCs/>
                <w:color w:val="auto"/>
                <w:sz w:val="24"/>
                <w:lang w:val="en-US" w:eastAsia="zh-CN"/>
              </w:rPr>
              <w:t>；</w:t>
            </w:r>
            <w:r>
              <w:rPr>
                <w:rFonts w:hint="eastAsia" w:cs="Times New Roman"/>
                <w:color w:val="auto"/>
                <w:sz w:val="24"/>
                <w:szCs w:val="24"/>
                <w:highlight w:val="none"/>
                <w:lang w:val="en-US" w:eastAsia="zh-CN"/>
              </w:rPr>
              <w:t>机油、废</w:t>
            </w:r>
            <w:r>
              <w:rPr>
                <w:rFonts w:hint="eastAsia" w:ascii="Times New Roman" w:hAnsi="Times New Roman" w:eastAsia="宋体" w:cs="Times New Roman"/>
                <w:bCs/>
                <w:color w:val="auto"/>
                <w:sz w:val="24"/>
                <w:lang w:val="en-US" w:eastAsia="zh-CN"/>
              </w:rPr>
              <w:t>机油</w:t>
            </w:r>
            <w:r>
              <w:rPr>
                <w:rFonts w:hint="default" w:ascii="Times New Roman" w:hAnsi="Times New Roman" w:eastAsia="宋体" w:cs="Times New Roman"/>
                <w:spacing w:val="0"/>
                <w:position w:val="0"/>
                <w:sz w:val="24"/>
                <w:szCs w:val="24"/>
              </w:rPr>
              <w:t>泄漏过程中可能进入周边的土壤，导致土壤环境受到污染</w:t>
            </w:r>
            <w:r>
              <w:rPr>
                <w:rFonts w:hint="eastAsia" w:ascii="Times New Roman" w:hAnsi="Times New Roman" w:eastAsia="宋体" w:cs="Times New Roman"/>
                <w:spacing w:val="0"/>
                <w:position w:val="0"/>
                <w:sz w:val="24"/>
                <w:szCs w:val="24"/>
                <w:lang w:eastAsia="zh-CN"/>
              </w:rPr>
              <w:t>；</w:t>
            </w:r>
            <w:r>
              <w:rPr>
                <w:rFonts w:hint="eastAsia" w:ascii="Times New Roman" w:hAnsi="Times New Roman" w:eastAsia="宋体" w:cs="Times New Roman"/>
                <w:bCs/>
                <w:color w:val="auto"/>
                <w:sz w:val="24"/>
                <w:lang w:val="en-US" w:eastAsia="zh-CN"/>
              </w:rPr>
              <w:t>针对各原辅材料的性质和可能发生的事故类型，本次评价提出了相应的风险防范措施。在落实事故风险防范措施情况下，本项目生产带来的环境风险可防可控。</w:t>
            </w:r>
          </w:p>
          <w:p w14:paraId="4314A13A">
            <w:pPr>
              <w:spacing w:line="360" w:lineRule="auto"/>
              <w:rPr>
                <w:rFonts w:hint="default"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八</w:t>
            </w:r>
            <w:r>
              <w:rPr>
                <w:rFonts w:hint="default" w:ascii="Times New Roman" w:hAnsi="Times New Roman" w:eastAsia="黑体" w:cs="Times New Roman"/>
                <w:b w:val="0"/>
                <w:bCs w:val="0"/>
                <w:color w:val="auto"/>
                <w:sz w:val="24"/>
                <w:szCs w:val="24"/>
                <w:highlight w:val="none"/>
                <w:lang w:val="en-US" w:eastAsia="zh-CN"/>
              </w:rPr>
              <w:t>、电磁辐射</w:t>
            </w:r>
          </w:p>
          <w:p w14:paraId="48C29C1E">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kern w:val="0"/>
                <w:sz w:val="24"/>
                <w:highlight w:val="none"/>
                <w:lang w:val="zh-CN"/>
              </w:rPr>
              <w:t>本项目不属于</w:t>
            </w:r>
            <w:r>
              <w:rPr>
                <w:rFonts w:hint="default" w:ascii="Times New Roman" w:hAnsi="Times New Roman" w:cs="Times New Roman"/>
                <w:color w:val="auto"/>
                <w:sz w:val="24"/>
                <w:szCs w:val="24"/>
                <w:highlight w:val="none"/>
                <w:lang w:val="zh-CN"/>
              </w:rPr>
              <w:t>新建</w:t>
            </w:r>
            <w:r>
              <w:rPr>
                <w:rFonts w:hint="default" w:ascii="Times New Roman" w:hAnsi="Times New Roman" w:cs="Times New Roman"/>
                <w:color w:val="auto"/>
                <w:kern w:val="0"/>
                <w:sz w:val="24"/>
                <w:highlight w:val="none"/>
                <w:lang w:val="zh-CN"/>
              </w:rPr>
              <w:t>或改建、扩建广播电台、差转台、电视塔台、卫星地球上行站、雷达等电磁辐射类项目，本项目不需要分析电磁辐射对环境目标的影响。</w:t>
            </w:r>
          </w:p>
          <w:p w14:paraId="028D82AC">
            <w:pPr>
              <w:spacing w:line="360" w:lineRule="auto"/>
              <w:rPr>
                <w:rFonts w:hint="eastAsia" w:eastAsia="黑体"/>
                <w:color w:val="auto"/>
                <w:sz w:val="24"/>
              </w:rPr>
            </w:pPr>
            <w:r>
              <w:rPr>
                <w:rFonts w:hint="eastAsia" w:eastAsia="黑体"/>
                <w:color w:val="auto"/>
                <w:sz w:val="24"/>
                <w:lang w:val="en-US" w:eastAsia="zh-CN"/>
              </w:rPr>
              <w:t>九</w:t>
            </w:r>
            <w:r>
              <w:rPr>
                <w:rFonts w:hint="eastAsia" w:eastAsia="黑体"/>
                <w:color w:val="auto"/>
                <w:sz w:val="24"/>
              </w:rPr>
              <w:t>、排污许可证申领</w:t>
            </w:r>
          </w:p>
          <w:p w14:paraId="48D029A2">
            <w:pPr>
              <w:adjustRightInd w:val="0"/>
              <w:snapToGrid w:val="0"/>
              <w:spacing w:line="360" w:lineRule="auto"/>
              <w:ind w:firstLine="480" w:firstLineChars="200"/>
              <w:rPr>
                <w:rFonts w:ascii="Times New Roman" w:hAnsi="Times New Roman" w:eastAsia="宋体" w:cs="Times New Roman"/>
                <w:bCs/>
                <w:color w:val="auto"/>
                <w:sz w:val="24"/>
              </w:rPr>
            </w:pPr>
            <w:r>
              <w:rPr>
                <w:rFonts w:hint="eastAsia" w:ascii="Times New Roman" w:hAnsi="Times New Roman" w:eastAsia="宋体" w:cs="Times New Roman"/>
                <w:bCs/>
                <w:color w:val="auto"/>
                <w:sz w:val="24"/>
                <w:lang w:val="en-US" w:eastAsia="zh-CN"/>
              </w:rPr>
              <w:t>按照《排污许可管理条例》、《山东省生态环境厅关于加强排污许可管理工作的通知》（鲁环函〔2020〕14号）和《固定污染源排污许可分类管理名录》（2019年版）要求，企业属于</w:t>
            </w:r>
            <w:r>
              <w:rPr>
                <w:rFonts w:hint="eastAsia" w:cs="Times New Roman"/>
                <w:bCs/>
                <w:color w:val="auto"/>
                <w:sz w:val="24"/>
                <w:lang w:val="en-US" w:eastAsia="zh-CN"/>
              </w:rPr>
              <w:t>“二十三、化学纤维制造业 28；合成纤维制造 282”、</w:t>
            </w:r>
            <w:r>
              <w:rPr>
                <w:rFonts w:hint="eastAsia" w:ascii="Times New Roman" w:hAnsi="Times New Roman" w:eastAsia="宋体" w:cs="Times New Roman"/>
                <w:bCs/>
                <w:color w:val="auto"/>
                <w:sz w:val="24"/>
                <w:lang w:val="en-US" w:eastAsia="zh-CN"/>
              </w:rPr>
              <w:t>“二十四、橡胶和塑料制品业 62；塑料</w:t>
            </w:r>
            <w:r>
              <w:rPr>
                <w:rFonts w:hint="eastAsia" w:cs="Times New Roman"/>
                <w:bCs/>
                <w:color w:val="auto"/>
                <w:sz w:val="24"/>
                <w:lang w:val="en-US" w:eastAsia="zh-CN"/>
              </w:rPr>
              <w:t>制品业</w:t>
            </w:r>
            <w:r>
              <w:rPr>
                <w:rFonts w:hint="eastAsia" w:ascii="Times New Roman" w:hAnsi="Times New Roman" w:eastAsia="宋体" w:cs="Times New Roman"/>
                <w:bCs/>
                <w:color w:val="auto"/>
                <w:sz w:val="24"/>
                <w:lang w:val="en-US" w:eastAsia="zh-CN"/>
              </w:rPr>
              <w:t xml:space="preserve"> </w:t>
            </w:r>
            <w:r>
              <w:rPr>
                <w:rFonts w:hint="eastAsia" w:cs="Times New Roman"/>
                <w:bCs/>
                <w:color w:val="auto"/>
                <w:sz w:val="24"/>
                <w:lang w:val="en-US" w:eastAsia="zh-CN"/>
              </w:rPr>
              <w:t>292</w:t>
            </w:r>
            <w:r>
              <w:rPr>
                <w:rFonts w:hint="eastAsia" w:ascii="Times New Roman" w:hAnsi="Times New Roman" w:eastAsia="宋体" w:cs="Times New Roman"/>
                <w:bCs/>
                <w:color w:val="auto"/>
                <w:sz w:val="24"/>
                <w:lang w:val="en-US" w:eastAsia="zh-CN"/>
              </w:rPr>
              <w:t>”</w:t>
            </w:r>
            <w:r>
              <w:rPr>
                <w:rFonts w:hint="eastAsia" w:cs="Times New Roman"/>
                <w:bCs/>
                <w:color w:val="auto"/>
                <w:sz w:val="24"/>
                <w:lang w:val="en-US" w:eastAsia="zh-CN"/>
              </w:rPr>
              <w:t>、“十九 文教、工类、体育和娱乐用品制造业41；工艺美术及礼仪用品制造 243”</w:t>
            </w:r>
            <w:r>
              <w:rPr>
                <w:rFonts w:hint="eastAsia" w:ascii="Times New Roman" w:hAnsi="Times New Roman" w:eastAsia="宋体" w:cs="Times New Roman"/>
                <w:bCs/>
                <w:color w:val="auto"/>
                <w:sz w:val="24"/>
                <w:lang w:val="en-US" w:eastAsia="zh-CN"/>
              </w:rPr>
              <w:t>因此企业应当在本项目投入生产或使用并产生实际排污行为之前完成排污许可登记管理申请。</w:t>
            </w:r>
          </w:p>
          <w:p w14:paraId="06DC1553">
            <w:pPr>
              <w:rPr>
                <w:rFonts w:hint="eastAsia" w:eastAsia="宋体"/>
                <w:color w:val="auto"/>
                <w:lang w:eastAsia="zh-CN"/>
              </w:rPr>
            </w:pPr>
          </w:p>
        </w:tc>
      </w:tr>
    </w:tbl>
    <w:p w14:paraId="4CB2998B">
      <w:pPr>
        <w:pStyle w:val="2"/>
        <w:rPr>
          <w:rFonts w:hint="default"/>
          <w:color w:val="auto"/>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51544C6">
      <w:pPr>
        <w:pStyle w:val="23"/>
        <w:numPr>
          <w:ilvl w:val="0"/>
          <w:numId w:val="10"/>
        </w:numPr>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bookmarkStart w:id="1" w:name="_Hlk54167917"/>
      <w:r>
        <w:rPr>
          <w:rFonts w:hint="default" w:ascii="Times New Roman" w:hAnsi="Times New Roman" w:eastAsia="黑体" w:cs="Times New Roman"/>
          <w:snapToGrid w:val="0"/>
          <w:color w:val="auto"/>
          <w:sz w:val="30"/>
          <w:szCs w:val="30"/>
          <w:highlight w:val="none"/>
        </w:rPr>
        <w:t>环境保护措施监督检查清单</w:t>
      </w:r>
      <w:bookmarkEnd w:id="1"/>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374"/>
        <w:gridCol w:w="1834"/>
        <w:gridCol w:w="2254"/>
      </w:tblGrid>
      <w:tr w14:paraId="00A54D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3C1A0967">
            <w:pPr>
              <w:adjustRightInd w:val="0"/>
              <w:snapToGrid w:val="0"/>
              <w:jc w:val="center"/>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内容</w:t>
            </w:r>
          </w:p>
          <w:p w14:paraId="7A74006A">
            <w:pPr>
              <w:adjustRightInd w:val="0"/>
              <w:snapToGrid w:val="0"/>
              <w:jc w:val="both"/>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要素</w:t>
            </w:r>
          </w:p>
        </w:tc>
        <w:tc>
          <w:tcPr>
            <w:tcW w:w="1755" w:type="dxa"/>
            <w:noWrap w:val="0"/>
            <w:vAlign w:val="center"/>
          </w:tcPr>
          <w:p w14:paraId="032F98D2">
            <w:pPr>
              <w:adjustRightInd w:val="0"/>
              <w:snapToGrid w:val="0"/>
              <w:jc w:val="center"/>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排放口(编号、</w:t>
            </w:r>
          </w:p>
          <w:p w14:paraId="3EAF4293">
            <w:pPr>
              <w:adjustRightInd w:val="0"/>
              <w:snapToGrid w:val="0"/>
              <w:jc w:val="center"/>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名称)/污染源</w:t>
            </w:r>
          </w:p>
        </w:tc>
        <w:tc>
          <w:tcPr>
            <w:tcW w:w="1374" w:type="dxa"/>
            <w:noWrap w:val="0"/>
            <w:vAlign w:val="center"/>
          </w:tcPr>
          <w:p w14:paraId="3AC224E1">
            <w:pPr>
              <w:adjustRightInd w:val="0"/>
              <w:snapToGrid w:val="0"/>
              <w:jc w:val="center"/>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污染物项目</w:t>
            </w:r>
          </w:p>
        </w:tc>
        <w:tc>
          <w:tcPr>
            <w:tcW w:w="1834" w:type="dxa"/>
            <w:noWrap w:val="0"/>
            <w:vAlign w:val="center"/>
          </w:tcPr>
          <w:p w14:paraId="5B257C5E">
            <w:pPr>
              <w:adjustRightInd w:val="0"/>
              <w:snapToGrid w:val="0"/>
              <w:jc w:val="center"/>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环境保护措施</w:t>
            </w:r>
          </w:p>
        </w:tc>
        <w:tc>
          <w:tcPr>
            <w:tcW w:w="2254" w:type="dxa"/>
            <w:noWrap w:val="0"/>
            <w:vAlign w:val="center"/>
          </w:tcPr>
          <w:p w14:paraId="0FEC50D0">
            <w:pPr>
              <w:adjustRightInd w:val="0"/>
              <w:snapToGrid w:val="0"/>
              <w:jc w:val="center"/>
              <w:rPr>
                <w:rFonts w:hint="eastAsia" w:ascii="黑体" w:hAnsi="黑体" w:eastAsia="黑体" w:cs="黑体"/>
                <w:b w:val="0"/>
                <w:bCs w:val="0"/>
                <w:color w:val="auto"/>
                <w:szCs w:val="21"/>
                <w:highlight w:val="none"/>
                <w:lang w:val="en-US" w:eastAsia="zh-CN"/>
              </w:rPr>
            </w:pPr>
            <w:r>
              <w:rPr>
                <w:rFonts w:hint="eastAsia" w:ascii="黑体" w:hAnsi="黑体" w:eastAsia="黑体" w:cs="黑体"/>
                <w:b w:val="0"/>
                <w:bCs w:val="0"/>
                <w:color w:val="auto"/>
                <w:szCs w:val="21"/>
                <w:highlight w:val="none"/>
                <w:lang w:val="en-US" w:eastAsia="zh-CN"/>
              </w:rPr>
              <w:t>执行标准</w:t>
            </w:r>
          </w:p>
        </w:tc>
      </w:tr>
      <w:tr w14:paraId="30BDE5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33F87EB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大气环境</w:t>
            </w:r>
          </w:p>
        </w:tc>
        <w:tc>
          <w:tcPr>
            <w:tcW w:w="1755" w:type="dxa"/>
            <w:noWrap w:val="0"/>
            <w:vAlign w:val="center"/>
          </w:tcPr>
          <w:p w14:paraId="687ABB2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排气筒DA00</w:t>
            </w:r>
            <w:r>
              <w:rPr>
                <w:rFonts w:hint="eastAsia" w:cs="Times New Roman"/>
                <w:color w:val="auto"/>
                <w:sz w:val="21"/>
                <w:szCs w:val="21"/>
                <w:highlight w:val="none"/>
                <w:lang w:val="en-US" w:eastAsia="zh-CN"/>
              </w:rPr>
              <w:t>1</w:t>
            </w:r>
          </w:p>
        </w:tc>
        <w:tc>
          <w:tcPr>
            <w:tcW w:w="1374" w:type="dxa"/>
            <w:noWrap w:val="0"/>
            <w:vAlign w:val="center"/>
          </w:tcPr>
          <w:p w14:paraId="7EB8781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VOCs</w:t>
            </w:r>
          </w:p>
        </w:tc>
        <w:tc>
          <w:tcPr>
            <w:tcW w:w="1834" w:type="dxa"/>
            <w:noWrap w:val="0"/>
            <w:vAlign w:val="center"/>
          </w:tcPr>
          <w:p w14:paraId="46B0654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二级活性炭吸附装置</w:t>
            </w:r>
            <w:r>
              <w:rPr>
                <w:rFonts w:hint="eastAsia" w:ascii="Times New Roman" w:hAnsi="Times New Roman" w:eastAsia="宋体" w:cs="Times New Roman"/>
                <w:color w:val="auto"/>
                <w:sz w:val="21"/>
                <w:szCs w:val="21"/>
                <w:highlight w:val="none"/>
                <w:lang w:val="en-US" w:eastAsia="zh-CN"/>
              </w:rPr>
              <w:t>+15m高排气筒排放</w:t>
            </w:r>
          </w:p>
        </w:tc>
        <w:tc>
          <w:tcPr>
            <w:tcW w:w="2254" w:type="dxa"/>
            <w:noWrap w:val="0"/>
            <w:vAlign w:val="center"/>
          </w:tcPr>
          <w:p w14:paraId="26A8336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《挥发性有机物排放标准 第6部分：有机化</w:t>
            </w:r>
            <w:r>
              <w:rPr>
                <w:rFonts w:hint="eastAsia" w:ascii="Times New Roman" w:hAnsi="Times New Roman" w:eastAsia="宋体" w:cs="Times New Roman"/>
                <w:color w:val="auto"/>
                <w:sz w:val="21"/>
                <w:szCs w:val="21"/>
                <w:highlight w:val="none"/>
                <w:lang w:val="en-US" w:eastAsia="zh-CN"/>
              </w:rPr>
              <w:t>工行业》（DB37/2801.6-2018）表1中</w:t>
            </w:r>
            <w:r>
              <w:rPr>
                <w:rFonts w:hint="default" w:ascii="Times New Roman" w:hAnsi="Times New Roman" w:eastAsia="宋体" w:cs="Times New Roman"/>
                <w:color w:val="auto"/>
                <w:sz w:val="21"/>
                <w:szCs w:val="21"/>
                <w:highlight w:val="none"/>
                <w:lang w:val="en-US" w:eastAsia="zh-CN"/>
              </w:rPr>
              <w:t>Ⅱ</w:t>
            </w:r>
            <w:r>
              <w:rPr>
                <w:rFonts w:hint="eastAsia" w:ascii="Times New Roman" w:hAnsi="Times New Roman" w:eastAsia="宋体" w:cs="Times New Roman"/>
                <w:color w:val="auto"/>
                <w:sz w:val="21"/>
                <w:szCs w:val="21"/>
                <w:highlight w:val="none"/>
                <w:lang w:val="en-US" w:eastAsia="zh-CN"/>
              </w:rPr>
              <w:t>时段排放浓度限</w:t>
            </w:r>
            <w:r>
              <w:rPr>
                <w:rFonts w:hint="eastAsia" w:cs="Times New Roman"/>
                <w:color w:val="auto"/>
                <w:sz w:val="21"/>
                <w:szCs w:val="21"/>
                <w:highlight w:val="none"/>
                <w:lang w:val="en-US" w:eastAsia="zh-CN"/>
              </w:rPr>
              <w:t>值</w:t>
            </w:r>
          </w:p>
        </w:tc>
      </w:tr>
      <w:tr w14:paraId="0EC46E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4D0D6B0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p>
        </w:tc>
        <w:tc>
          <w:tcPr>
            <w:tcW w:w="1755" w:type="dxa"/>
            <w:noWrap w:val="0"/>
            <w:vAlign w:val="center"/>
          </w:tcPr>
          <w:p w14:paraId="35F7769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排气筒DA002</w:t>
            </w:r>
          </w:p>
        </w:tc>
        <w:tc>
          <w:tcPr>
            <w:tcW w:w="1374" w:type="dxa"/>
            <w:noWrap w:val="0"/>
            <w:vAlign w:val="center"/>
          </w:tcPr>
          <w:p w14:paraId="46C48722">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834" w:type="dxa"/>
            <w:noWrap w:val="0"/>
            <w:vAlign w:val="center"/>
          </w:tcPr>
          <w:p w14:paraId="18EDAB82">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布袋除尘器处理+15m高排气筒排放</w:t>
            </w:r>
          </w:p>
        </w:tc>
        <w:tc>
          <w:tcPr>
            <w:tcW w:w="2254" w:type="dxa"/>
            <w:noWrap w:val="0"/>
            <w:vAlign w:val="center"/>
          </w:tcPr>
          <w:p w14:paraId="0DD8A2FD">
            <w:pPr>
              <w:adjustRightInd w:val="0"/>
              <w:snapToGrid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执行《区域性大气污染物综合排放标准》（DB37/2376-201</w:t>
            </w: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lang w:eastAsia="zh-CN"/>
              </w:rPr>
              <w:t>）表</w:t>
            </w:r>
            <w:r>
              <w:rPr>
                <w:rFonts w:hint="eastAsia"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eastAsia="zh-CN"/>
              </w:rPr>
              <w:t>中重点控制区的排放标准浓度限值</w:t>
            </w:r>
          </w:p>
        </w:tc>
      </w:tr>
      <w:tr w14:paraId="7D401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34B0AAB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p>
        </w:tc>
        <w:tc>
          <w:tcPr>
            <w:tcW w:w="1755" w:type="dxa"/>
            <w:vMerge w:val="restart"/>
            <w:noWrap w:val="0"/>
            <w:vAlign w:val="center"/>
          </w:tcPr>
          <w:p w14:paraId="3BD2ECBB">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无组织</w:t>
            </w:r>
          </w:p>
        </w:tc>
        <w:tc>
          <w:tcPr>
            <w:tcW w:w="1374" w:type="dxa"/>
            <w:noWrap w:val="0"/>
            <w:vAlign w:val="center"/>
          </w:tcPr>
          <w:p w14:paraId="3C2B4B14">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VOCs</w:t>
            </w:r>
          </w:p>
        </w:tc>
        <w:tc>
          <w:tcPr>
            <w:tcW w:w="1834" w:type="dxa"/>
            <w:noWrap w:val="0"/>
            <w:vAlign w:val="center"/>
          </w:tcPr>
          <w:p w14:paraId="2F367DC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车间密闭</w:t>
            </w:r>
          </w:p>
        </w:tc>
        <w:tc>
          <w:tcPr>
            <w:tcW w:w="2254" w:type="dxa"/>
            <w:noWrap w:val="0"/>
            <w:vAlign w:val="center"/>
          </w:tcPr>
          <w:p w14:paraId="660BE037">
            <w:pPr>
              <w:adjustRightInd w:val="0"/>
              <w:snapToGrid w:val="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《挥发性有机物排放标准 第6部分：有机化工行业》（DB37/2801.6-2018）表3厂界排放浓度限值</w:t>
            </w:r>
          </w:p>
        </w:tc>
      </w:tr>
      <w:tr w14:paraId="6D6E67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0621AC8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p>
        </w:tc>
        <w:tc>
          <w:tcPr>
            <w:tcW w:w="1755" w:type="dxa"/>
            <w:vMerge w:val="continue"/>
            <w:noWrap w:val="0"/>
            <w:vAlign w:val="center"/>
          </w:tcPr>
          <w:p w14:paraId="26FA1C50">
            <w:pPr>
              <w:adjustRightInd w:val="0"/>
              <w:snapToGrid w:val="0"/>
              <w:jc w:val="center"/>
              <w:rPr>
                <w:rFonts w:hint="eastAsia" w:ascii="Times New Roman" w:hAnsi="Times New Roman" w:eastAsia="宋体" w:cs="Times New Roman"/>
                <w:bCs/>
                <w:color w:val="auto"/>
                <w:szCs w:val="21"/>
                <w:highlight w:val="none"/>
                <w:lang w:val="en-US" w:eastAsia="zh-CN"/>
              </w:rPr>
            </w:pPr>
          </w:p>
        </w:tc>
        <w:tc>
          <w:tcPr>
            <w:tcW w:w="1374" w:type="dxa"/>
            <w:noWrap w:val="0"/>
            <w:vAlign w:val="center"/>
          </w:tcPr>
          <w:p w14:paraId="10FCD758">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颗粒物</w:t>
            </w:r>
          </w:p>
        </w:tc>
        <w:tc>
          <w:tcPr>
            <w:tcW w:w="1834" w:type="dxa"/>
            <w:noWrap w:val="0"/>
            <w:vAlign w:val="center"/>
          </w:tcPr>
          <w:p w14:paraId="09BAE4D6">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距离衰减、车间遮挡</w:t>
            </w:r>
          </w:p>
        </w:tc>
        <w:tc>
          <w:tcPr>
            <w:tcW w:w="2254" w:type="dxa"/>
            <w:noWrap w:val="0"/>
            <w:vAlign w:val="center"/>
          </w:tcPr>
          <w:p w14:paraId="6319E96E">
            <w:pPr>
              <w:adjustRightInd w:val="0"/>
              <w:snapToGrid w:val="0"/>
              <w:jc w:val="center"/>
              <w:rPr>
                <w:rFonts w:hint="eastAsia" w:ascii="Times New Roman" w:hAnsi="Times New Roman" w:eastAsia="宋体" w:cs="Times New Roman"/>
                <w:bCs/>
                <w:color w:val="auto"/>
                <w:szCs w:val="21"/>
                <w:highlight w:val="none"/>
                <w:lang w:eastAsia="zh-CN"/>
              </w:rPr>
            </w:pPr>
            <w:r>
              <w:rPr>
                <w:rFonts w:hint="eastAsia" w:ascii="Times New Roman" w:hAnsi="Times New Roman" w:eastAsia="宋体" w:cs="Times New Roman"/>
                <w:bCs/>
                <w:color w:val="auto"/>
                <w:szCs w:val="21"/>
                <w:highlight w:val="none"/>
                <w:lang w:val="en-US" w:eastAsia="zh-CN"/>
              </w:rPr>
              <w:t>执行《大气污染物综合排放标准》（DB16297-1996）表2中无组织排放监控浓度限值</w:t>
            </w:r>
          </w:p>
        </w:tc>
      </w:tr>
      <w:tr w14:paraId="774B7D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6C83492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地表水环境</w:t>
            </w:r>
          </w:p>
        </w:tc>
        <w:tc>
          <w:tcPr>
            <w:tcW w:w="1755" w:type="dxa"/>
            <w:noWrap w:val="0"/>
            <w:vAlign w:val="center"/>
          </w:tcPr>
          <w:p w14:paraId="69C35C05">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生活污水</w:t>
            </w:r>
          </w:p>
        </w:tc>
        <w:tc>
          <w:tcPr>
            <w:tcW w:w="1374" w:type="dxa"/>
            <w:noWrap w:val="0"/>
            <w:vAlign w:val="center"/>
          </w:tcPr>
          <w:p w14:paraId="03646452">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COD、BOD</w:t>
            </w:r>
            <w:r>
              <w:rPr>
                <w:rFonts w:hint="eastAsia" w:ascii="Times New Roman" w:hAnsi="Times New Roman" w:eastAsia="宋体" w:cs="Times New Roman"/>
                <w:bCs/>
                <w:color w:val="auto"/>
                <w:szCs w:val="21"/>
                <w:highlight w:val="none"/>
                <w:vertAlign w:val="subscript"/>
                <w:lang w:val="en-US" w:eastAsia="zh-CN"/>
              </w:rPr>
              <w:t>5</w:t>
            </w:r>
            <w:r>
              <w:rPr>
                <w:rFonts w:hint="eastAsia" w:ascii="Times New Roman" w:hAnsi="Times New Roman" w:eastAsia="宋体" w:cs="Times New Roman"/>
                <w:bCs/>
                <w:color w:val="auto"/>
                <w:szCs w:val="21"/>
                <w:highlight w:val="none"/>
                <w:lang w:val="en-US" w:eastAsia="zh-CN"/>
              </w:rPr>
              <w:t>、NH</w:t>
            </w:r>
            <w:r>
              <w:rPr>
                <w:rFonts w:hint="eastAsia" w:ascii="Times New Roman" w:hAnsi="Times New Roman" w:eastAsia="宋体" w:cs="Times New Roman"/>
                <w:bCs/>
                <w:color w:val="auto"/>
                <w:szCs w:val="21"/>
                <w:highlight w:val="none"/>
                <w:vertAlign w:val="subscript"/>
                <w:lang w:val="en-US" w:eastAsia="zh-CN"/>
              </w:rPr>
              <w:t>3</w:t>
            </w:r>
            <w:r>
              <w:rPr>
                <w:rFonts w:hint="eastAsia" w:ascii="Times New Roman" w:hAnsi="Times New Roman" w:eastAsia="宋体" w:cs="Times New Roman"/>
                <w:bCs/>
                <w:color w:val="auto"/>
                <w:szCs w:val="21"/>
                <w:highlight w:val="none"/>
                <w:lang w:val="en-US" w:eastAsia="zh-CN"/>
              </w:rPr>
              <w:t>-N、SS</w:t>
            </w:r>
          </w:p>
        </w:tc>
        <w:tc>
          <w:tcPr>
            <w:tcW w:w="1834" w:type="dxa"/>
            <w:noWrap w:val="0"/>
            <w:vAlign w:val="center"/>
          </w:tcPr>
          <w:p w14:paraId="1D6E78D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化粪池</w:t>
            </w:r>
          </w:p>
        </w:tc>
        <w:tc>
          <w:tcPr>
            <w:tcW w:w="2254" w:type="dxa"/>
            <w:noWrap w:val="0"/>
            <w:vAlign w:val="center"/>
          </w:tcPr>
          <w:p w14:paraId="2B77F72F">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由环卫部门定期清运，不外排</w:t>
            </w:r>
          </w:p>
        </w:tc>
      </w:tr>
      <w:tr w14:paraId="436B8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364D5F7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p>
        </w:tc>
        <w:tc>
          <w:tcPr>
            <w:tcW w:w="1755" w:type="dxa"/>
            <w:noWrap w:val="0"/>
            <w:vAlign w:val="center"/>
          </w:tcPr>
          <w:p w14:paraId="61EDFEF0">
            <w:pPr>
              <w:adjustRightInd w:val="0"/>
              <w:snapToGrid w:val="0"/>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生产废水</w:t>
            </w:r>
          </w:p>
        </w:tc>
        <w:tc>
          <w:tcPr>
            <w:tcW w:w="1374" w:type="dxa"/>
            <w:noWrap w:val="0"/>
            <w:vAlign w:val="center"/>
          </w:tcPr>
          <w:p w14:paraId="7D9EDF6B">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COD、NH</w:t>
            </w:r>
            <w:r>
              <w:rPr>
                <w:rFonts w:hint="eastAsia" w:ascii="Times New Roman" w:hAnsi="Times New Roman" w:eastAsia="宋体" w:cs="Times New Roman"/>
                <w:bCs/>
                <w:color w:val="auto"/>
                <w:szCs w:val="21"/>
                <w:highlight w:val="none"/>
                <w:vertAlign w:val="subscript"/>
                <w:lang w:val="en-US" w:eastAsia="zh-CN"/>
              </w:rPr>
              <w:t>3</w:t>
            </w:r>
            <w:r>
              <w:rPr>
                <w:rFonts w:hint="eastAsia" w:ascii="Times New Roman" w:hAnsi="Times New Roman" w:eastAsia="宋体" w:cs="Times New Roman"/>
                <w:bCs/>
                <w:color w:val="auto"/>
                <w:szCs w:val="21"/>
                <w:highlight w:val="none"/>
                <w:lang w:val="en-US" w:eastAsia="zh-CN"/>
              </w:rPr>
              <w:t>-N、SS</w:t>
            </w:r>
          </w:p>
        </w:tc>
        <w:tc>
          <w:tcPr>
            <w:tcW w:w="1834" w:type="dxa"/>
            <w:noWrap w:val="0"/>
            <w:vAlign w:val="center"/>
          </w:tcPr>
          <w:p w14:paraId="41A72FC1">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沉淀池</w:t>
            </w:r>
          </w:p>
        </w:tc>
        <w:tc>
          <w:tcPr>
            <w:tcW w:w="2254" w:type="dxa"/>
            <w:noWrap w:val="0"/>
            <w:vAlign w:val="center"/>
          </w:tcPr>
          <w:p w14:paraId="253DCA7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回用于生产，不外排</w:t>
            </w:r>
          </w:p>
        </w:tc>
      </w:tr>
      <w:tr w14:paraId="07D5B4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044C136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声环境</w:t>
            </w:r>
          </w:p>
        </w:tc>
        <w:tc>
          <w:tcPr>
            <w:tcW w:w="1755" w:type="dxa"/>
            <w:noWrap w:val="0"/>
            <w:vAlign w:val="center"/>
          </w:tcPr>
          <w:p w14:paraId="761A3FB2">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生产设备</w:t>
            </w:r>
          </w:p>
        </w:tc>
        <w:tc>
          <w:tcPr>
            <w:tcW w:w="1374" w:type="dxa"/>
            <w:noWrap w:val="0"/>
            <w:vAlign w:val="center"/>
          </w:tcPr>
          <w:p w14:paraId="37260667">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LAeq</w:t>
            </w:r>
          </w:p>
        </w:tc>
        <w:tc>
          <w:tcPr>
            <w:tcW w:w="1834" w:type="dxa"/>
            <w:noWrap w:val="0"/>
            <w:vAlign w:val="center"/>
          </w:tcPr>
          <w:p w14:paraId="2E0D9297">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基础减震，厂房隔声</w:t>
            </w:r>
            <w:r>
              <w:rPr>
                <w:rFonts w:hint="eastAsia" w:ascii="Times New Roman" w:hAnsi="Times New Roman" w:eastAsia="宋体" w:cs="Times New Roman"/>
                <w:bCs/>
                <w:color w:val="auto"/>
                <w:szCs w:val="21"/>
                <w:highlight w:val="none"/>
                <w:lang w:val="en-US" w:eastAsia="zh-CN"/>
              </w:rPr>
              <w:t>、消音等</w:t>
            </w:r>
          </w:p>
        </w:tc>
        <w:tc>
          <w:tcPr>
            <w:tcW w:w="2254" w:type="dxa"/>
            <w:noWrap w:val="0"/>
            <w:vAlign w:val="center"/>
          </w:tcPr>
          <w:p w14:paraId="599FB5BF">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《工业企业厂界环境噪声排放标准》（GB12348-2008）</w:t>
            </w:r>
            <w:r>
              <w:rPr>
                <w:rFonts w:hint="eastAsia" w:cs="Times New Roman"/>
                <w:bCs/>
                <w:color w:val="auto"/>
                <w:szCs w:val="21"/>
                <w:highlight w:val="none"/>
                <w:lang w:val="en-US" w:eastAsia="zh-CN"/>
              </w:rPr>
              <w:t>2</w:t>
            </w:r>
            <w:r>
              <w:rPr>
                <w:rFonts w:hint="eastAsia" w:ascii="Times New Roman" w:hAnsi="Times New Roman" w:eastAsia="宋体" w:cs="Times New Roman"/>
                <w:bCs/>
                <w:color w:val="auto"/>
                <w:szCs w:val="21"/>
                <w:highlight w:val="none"/>
                <w:lang w:val="en-US" w:eastAsia="zh-CN"/>
              </w:rPr>
              <w:t>类标准</w:t>
            </w:r>
          </w:p>
        </w:tc>
      </w:tr>
      <w:tr w14:paraId="17CCBD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1778" w:type="dxa"/>
            <w:noWrap w:val="0"/>
            <w:vAlign w:val="center"/>
          </w:tcPr>
          <w:p w14:paraId="66F22B2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电磁辐射</w:t>
            </w:r>
          </w:p>
        </w:tc>
        <w:tc>
          <w:tcPr>
            <w:tcW w:w="7217" w:type="dxa"/>
            <w:gridSpan w:val="4"/>
            <w:noWrap w:val="0"/>
            <w:vAlign w:val="center"/>
          </w:tcPr>
          <w:p w14:paraId="5371C4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outlineLvl w:val="9"/>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不涉及</w:t>
            </w:r>
          </w:p>
        </w:tc>
      </w:tr>
      <w:tr w14:paraId="1143F1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07" w:hRule="atLeast"/>
          <w:jc w:val="center"/>
        </w:trPr>
        <w:tc>
          <w:tcPr>
            <w:tcW w:w="1778" w:type="dxa"/>
            <w:noWrap w:val="0"/>
            <w:vAlign w:val="center"/>
          </w:tcPr>
          <w:p w14:paraId="1AA331C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固体废物</w:t>
            </w:r>
          </w:p>
        </w:tc>
        <w:tc>
          <w:tcPr>
            <w:tcW w:w="7217" w:type="dxa"/>
            <w:gridSpan w:val="4"/>
            <w:noWrap w:val="0"/>
            <w:vAlign w:val="center"/>
          </w:tcPr>
          <w:p w14:paraId="137B66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outlineLvl w:val="9"/>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zh-CN" w:eastAsia="zh-CN"/>
              </w:rPr>
              <w:t>本</w:t>
            </w:r>
            <w:r>
              <w:rPr>
                <w:rFonts w:hint="eastAsia" w:ascii="Times New Roman" w:hAnsi="Times New Roman" w:eastAsia="宋体" w:cs="Times New Roman"/>
                <w:color w:val="auto"/>
                <w:kern w:val="0"/>
                <w:szCs w:val="21"/>
                <w:highlight w:val="none"/>
                <w:lang w:val="en-US" w:eastAsia="zh-CN"/>
              </w:rPr>
              <w:t>项目利用车间内一般固体废物暂存区，一般</w:t>
            </w:r>
            <w:r>
              <w:rPr>
                <w:rFonts w:hint="default" w:ascii="Times New Roman" w:hAnsi="Times New Roman" w:eastAsia="宋体" w:cs="Times New Roman"/>
                <w:color w:val="auto"/>
                <w:kern w:val="0"/>
                <w:szCs w:val="21"/>
                <w:highlight w:val="none"/>
                <w:lang w:val="en-US" w:eastAsia="zh-CN"/>
              </w:rPr>
              <w:t>工业固体废物</w:t>
            </w:r>
            <w:r>
              <w:rPr>
                <w:rFonts w:hint="eastAsia" w:ascii="Times New Roman" w:hAnsi="Times New Roman" w:eastAsia="宋体" w:cs="Times New Roman"/>
                <w:color w:val="auto"/>
                <w:kern w:val="0"/>
                <w:szCs w:val="21"/>
                <w:highlight w:val="none"/>
                <w:lang w:val="en-US" w:eastAsia="zh-CN"/>
              </w:rPr>
              <w:t>执行</w:t>
            </w:r>
            <w:r>
              <w:rPr>
                <w:rFonts w:hint="eastAsia" w:ascii="Times New Roman" w:hAnsi="Times New Roman" w:eastAsia="宋体" w:cs="Times New Roman"/>
                <w:color w:val="auto"/>
                <w:kern w:val="0"/>
                <w:szCs w:val="21"/>
                <w:highlight w:val="none"/>
                <w:lang w:val="zh-CN" w:eastAsia="zh-CN"/>
              </w:rPr>
              <w:t>《中华人民共和国固体废物污染环境防治法》相关要求，采取防扬散、防流失、防渗漏或者其他防止污染环境的措施，不得擅自倾倒、堆放、丢失、遗撒</w:t>
            </w:r>
            <w:r>
              <w:rPr>
                <w:rFonts w:hint="eastAsia" w:ascii="Times New Roman" w:hAnsi="Times New Roman" w:eastAsia="宋体" w:cs="Times New Roman"/>
                <w:color w:val="auto"/>
                <w:kern w:val="0"/>
                <w:szCs w:val="21"/>
                <w:highlight w:val="none"/>
                <w:lang w:val="en-US" w:eastAsia="zh-CN"/>
              </w:rPr>
              <w:t>。</w:t>
            </w:r>
            <w:r>
              <w:rPr>
                <w:rFonts w:hint="eastAsia" w:ascii="Times New Roman" w:hAnsi="Times New Roman" w:eastAsia="宋体" w:cs="Times New Roman"/>
                <w:color w:val="auto"/>
                <w:kern w:val="0"/>
                <w:szCs w:val="21"/>
                <w:highlight w:val="none"/>
                <w:lang w:val="zh-CN" w:eastAsia="zh-CN"/>
              </w:rPr>
              <w:t>危险废物</w:t>
            </w:r>
            <w:r>
              <w:rPr>
                <w:rFonts w:hint="eastAsia" w:ascii="Times New Roman" w:hAnsi="Times New Roman" w:eastAsia="宋体" w:cs="Times New Roman"/>
                <w:color w:val="auto"/>
                <w:kern w:val="0"/>
                <w:szCs w:val="21"/>
                <w:highlight w:val="none"/>
                <w:lang w:val="en-US" w:eastAsia="zh-CN"/>
              </w:rPr>
              <w:t>暂存在危废间</w:t>
            </w:r>
            <w:r>
              <w:rPr>
                <w:rFonts w:hint="eastAsia" w:ascii="Times New Roman" w:hAnsi="Times New Roman" w:eastAsia="宋体" w:cs="Times New Roman"/>
                <w:color w:val="auto"/>
                <w:kern w:val="0"/>
                <w:szCs w:val="21"/>
                <w:highlight w:val="none"/>
                <w:lang w:val="zh-CN" w:eastAsia="zh-CN"/>
              </w:rPr>
              <w:t>，委托具有资质单位</w:t>
            </w:r>
            <w:r>
              <w:rPr>
                <w:rFonts w:hint="eastAsia" w:ascii="Times New Roman" w:hAnsi="Times New Roman" w:eastAsia="宋体" w:cs="Times New Roman"/>
                <w:color w:val="auto"/>
                <w:kern w:val="0"/>
                <w:szCs w:val="21"/>
                <w:highlight w:val="none"/>
                <w:lang w:val="en-US" w:eastAsia="zh-CN"/>
              </w:rPr>
              <w:t>处置，</w:t>
            </w:r>
            <w:r>
              <w:rPr>
                <w:rFonts w:hint="eastAsia" w:ascii="Times New Roman" w:hAnsi="Times New Roman" w:eastAsia="宋体" w:cs="Times New Roman"/>
                <w:color w:val="auto"/>
                <w:kern w:val="0"/>
                <w:szCs w:val="21"/>
                <w:highlight w:val="none"/>
                <w:lang w:val="zh-CN" w:eastAsia="zh-CN"/>
              </w:rPr>
              <w:t>危险废物执行《危险废物贮存污染控制标准》（GB18597-20</w:t>
            </w:r>
            <w:r>
              <w:rPr>
                <w:rFonts w:hint="eastAsia" w:ascii="Times New Roman" w:hAnsi="Times New Roman" w:eastAsia="宋体" w:cs="Times New Roman"/>
                <w:color w:val="auto"/>
                <w:kern w:val="0"/>
                <w:szCs w:val="21"/>
                <w:highlight w:val="none"/>
                <w:lang w:val="en-US" w:eastAsia="zh-CN"/>
              </w:rPr>
              <w:t>23</w:t>
            </w:r>
            <w:r>
              <w:rPr>
                <w:rFonts w:hint="eastAsia" w:ascii="Times New Roman" w:hAnsi="Times New Roman" w:eastAsia="宋体" w:cs="Times New Roman"/>
                <w:color w:val="auto"/>
                <w:kern w:val="0"/>
                <w:szCs w:val="21"/>
                <w:highlight w:val="none"/>
                <w:lang w:val="zh-CN" w:eastAsia="zh-CN"/>
              </w:rPr>
              <w:t>）要求</w:t>
            </w:r>
            <w:r>
              <w:rPr>
                <w:rFonts w:hint="eastAsia" w:ascii="Times New Roman" w:hAnsi="Times New Roman" w:eastAsia="宋体" w:cs="Times New Roman"/>
                <w:color w:val="auto"/>
                <w:kern w:val="0"/>
                <w:szCs w:val="21"/>
                <w:highlight w:val="none"/>
                <w:lang w:val="en-US" w:eastAsia="zh-CN"/>
              </w:rPr>
              <w:t>。生活垃圾由环卫部门定期清运。</w:t>
            </w:r>
          </w:p>
        </w:tc>
      </w:tr>
      <w:tr w14:paraId="66E3C8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1E78FE0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土壤及地下水</w:t>
            </w:r>
          </w:p>
          <w:p w14:paraId="712196D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污染防治措施</w:t>
            </w:r>
          </w:p>
        </w:tc>
        <w:tc>
          <w:tcPr>
            <w:tcW w:w="7217" w:type="dxa"/>
            <w:gridSpan w:val="4"/>
            <w:noWrap w:val="0"/>
            <w:vAlign w:val="center"/>
          </w:tcPr>
          <w:p w14:paraId="18EAA3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outlineLvl w:val="9"/>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采取分区防渗措施，危废间按照重点污染防治区进行防渗，生产区、化粪池、一般固废暂存间等按照一般污染防治区进行防渗。为防止项目建成运营后对周围地下水、土壤环境造成污染，企业应加强对生产设施的管理和维护；制定环境管理制度，强化风险防范意识，加强环境保护工作。</w:t>
            </w:r>
          </w:p>
        </w:tc>
      </w:tr>
      <w:tr w14:paraId="0388F9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5F1F915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生态保护措施</w:t>
            </w:r>
          </w:p>
        </w:tc>
        <w:tc>
          <w:tcPr>
            <w:tcW w:w="7217" w:type="dxa"/>
            <w:gridSpan w:val="4"/>
            <w:noWrap w:val="0"/>
            <w:vAlign w:val="center"/>
          </w:tcPr>
          <w:p w14:paraId="534D014B">
            <w:pPr>
              <w:adjustRightInd w:val="0"/>
              <w:snapToGrid w:val="0"/>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r>
      <w:tr w14:paraId="5414A3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778" w:type="dxa"/>
            <w:noWrap w:val="0"/>
            <w:vAlign w:val="center"/>
          </w:tcPr>
          <w:p w14:paraId="0681613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环境风险</w:t>
            </w:r>
          </w:p>
          <w:p w14:paraId="6BF188B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防范措施</w:t>
            </w:r>
          </w:p>
        </w:tc>
        <w:tc>
          <w:tcPr>
            <w:tcW w:w="7217" w:type="dxa"/>
            <w:gridSpan w:val="4"/>
            <w:noWrap w:val="0"/>
            <w:vAlign w:val="center"/>
          </w:tcPr>
          <w:p w14:paraId="7E0F093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项目主要的风险是火灾、爆炸事故，根据该企业生产过程中存在的各种风险事故因素，提出如下防范措施：</w:t>
            </w:r>
          </w:p>
          <w:p w14:paraId="4D6E1AEA">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）总图布置严格控制各建、构筑物的安全防护距离。</w:t>
            </w:r>
          </w:p>
          <w:p w14:paraId="6486766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w:t>
            </w:r>
            <w:r>
              <w:rPr>
                <w:rFonts w:hint="eastAsia" w:ascii="Times New Roman" w:hAnsi="Times New Roman" w:eastAsia="宋体" w:cs="Times New Roman"/>
                <w:color w:val="auto"/>
                <w:kern w:val="0"/>
                <w:szCs w:val="21"/>
                <w:highlight w:val="none"/>
                <w:lang w:val="en-US" w:eastAsia="zh-CN"/>
              </w:rPr>
              <w:t>）按有关规范设计设置了有效的消防系统，做到以防为主，安全可靠。</w:t>
            </w:r>
          </w:p>
          <w:p w14:paraId="70B21B10">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w:t>
            </w:r>
            <w:r>
              <w:rPr>
                <w:rFonts w:hint="eastAsia" w:ascii="Times New Roman" w:hAnsi="Times New Roman" w:eastAsia="宋体" w:cs="Times New Roman"/>
                <w:color w:val="auto"/>
                <w:kern w:val="0"/>
                <w:szCs w:val="21"/>
                <w:highlight w:val="none"/>
                <w:lang w:val="en-US" w:eastAsia="zh-CN"/>
              </w:rPr>
              <w:t>）工艺设备、运输设施及工艺系统选用高质、高效可靠性的产品。防爆区电气设备、器材的选型、设计安装及维护均符合《爆炸火灾危电力装置设计规范》（</w:t>
            </w:r>
            <w:r>
              <w:rPr>
                <w:rFonts w:hint="default" w:ascii="Times New Roman" w:hAnsi="Times New Roman" w:eastAsia="宋体" w:cs="Times New Roman"/>
                <w:color w:val="auto"/>
                <w:kern w:val="0"/>
                <w:szCs w:val="21"/>
                <w:highlight w:val="none"/>
                <w:lang w:val="en-US" w:eastAsia="zh-CN"/>
              </w:rPr>
              <w:t>GB50058.82</w:t>
            </w:r>
            <w:r>
              <w:rPr>
                <w:rFonts w:hint="eastAsia" w:ascii="Times New Roman" w:hAnsi="Times New Roman" w:eastAsia="宋体" w:cs="Times New Roman"/>
                <w:color w:val="auto"/>
                <w:kern w:val="0"/>
                <w:szCs w:val="21"/>
                <w:highlight w:val="none"/>
                <w:lang w:val="en-US" w:eastAsia="zh-CN"/>
              </w:rPr>
              <w:t>）和《漏电保护器安装与运行》（</w:t>
            </w:r>
            <w:r>
              <w:rPr>
                <w:rFonts w:hint="default" w:ascii="Times New Roman" w:hAnsi="Times New Roman" w:eastAsia="宋体" w:cs="Times New Roman"/>
                <w:color w:val="auto"/>
                <w:kern w:val="0"/>
                <w:szCs w:val="21"/>
                <w:highlight w:val="none"/>
                <w:lang w:val="en-US" w:eastAsia="zh-CN"/>
              </w:rPr>
              <w:t>GB13955-92</w:t>
            </w:r>
            <w:r>
              <w:rPr>
                <w:rFonts w:hint="eastAsia" w:ascii="Times New Roman" w:hAnsi="Times New Roman" w:eastAsia="宋体" w:cs="Times New Roman"/>
                <w:color w:val="auto"/>
                <w:kern w:val="0"/>
                <w:szCs w:val="21"/>
                <w:highlight w:val="none"/>
                <w:lang w:val="en-US" w:eastAsia="zh-CN"/>
              </w:rPr>
              <w:t>）的规定。</w:t>
            </w:r>
          </w:p>
          <w:p w14:paraId="30B3B61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w:t>
            </w:r>
            <w:r>
              <w:rPr>
                <w:rFonts w:hint="eastAsia" w:ascii="Times New Roman" w:hAnsi="Times New Roman" w:eastAsia="宋体" w:cs="Times New Roman"/>
                <w:color w:val="auto"/>
                <w:kern w:val="0"/>
                <w:szCs w:val="21"/>
                <w:highlight w:val="none"/>
                <w:lang w:val="en-US" w:eastAsia="zh-CN"/>
              </w:rPr>
              <w:t>）设置防静电和防感应雷的联合接地装置。</w:t>
            </w:r>
          </w:p>
          <w:p w14:paraId="348D7CD7">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w:t>
            </w:r>
            <w:r>
              <w:rPr>
                <w:rFonts w:hint="eastAsia" w:ascii="Times New Roman" w:hAnsi="Times New Roman" w:eastAsia="宋体" w:cs="Times New Roman"/>
                <w:color w:val="auto"/>
                <w:kern w:val="0"/>
                <w:szCs w:val="21"/>
                <w:highlight w:val="none"/>
                <w:lang w:val="en-US" w:eastAsia="zh-CN"/>
              </w:rPr>
              <w:t>）项目的土建结构设计单位在进行结构设计时，采取较大的抗震结构保险系数，增加了抗震能力。</w:t>
            </w:r>
          </w:p>
          <w:p w14:paraId="7C0EEE9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6</w:t>
            </w:r>
            <w:r>
              <w:rPr>
                <w:rFonts w:hint="eastAsia" w:ascii="Times New Roman" w:hAnsi="Times New Roman" w:eastAsia="宋体" w:cs="Times New Roman"/>
                <w:color w:val="auto"/>
                <w:kern w:val="0"/>
                <w:szCs w:val="21"/>
                <w:highlight w:val="none"/>
                <w:lang w:val="en-US" w:eastAsia="zh-CN"/>
              </w:rPr>
              <w:t>）加强职工的安全教育，提高安全防范风险的意识。</w:t>
            </w:r>
          </w:p>
          <w:p w14:paraId="41EF9F8F">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7</w:t>
            </w:r>
            <w:r>
              <w:rPr>
                <w:rFonts w:hint="eastAsia" w:ascii="Times New Roman" w:hAnsi="Times New Roman" w:eastAsia="宋体" w:cs="Times New Roman"/>
                <w:color w:val="auto"/>
                <w:kern w:val="0"/>
                <w:szCs w:val="21"/>
                <w:highlight w:val="none"/>
                <w:lang w:val="en-US" w:eastAsia="zh-CN"/>
              </w:rPr>
              <w:t>）针对运营中可能发生的异常现象和存在的安全隐患，设置合理可行的技术措施，制定严格的操作规程。</w:t>
            </w:r>
          </w:p>
        </w:tc>
      </w:tr>
      <w:tr w14:paraId="7159D6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71" w:hRule="atLeast"/>
          <w:jc w:val="center"/>
        </w:trPr>
        <w:tc>
          <w:tcPr>
            <w:tcW w:w="1778" w:type="dxa"/>
            <w:noWrap w:val="0"/>
            <w:vAlign w:val="center"/>
          </w:tcPr>
          <w:p w14:paraId="15B11ED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其他环境</w:t>
            </w:r>
          </w:p>
          <w:p w14:paraId="4A58995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val="en-US" w:eastAsia="zh-CN"/>
              </w:rPr>
            </w:pPr>
            <w:r>
              <w:rPr>
                <w:rFonts w:hint="eastAsia" w:ascii="黑体" w:hAnsi="黑体" w:eastAsia="黑体" w:cs="黑体"/>
                <w:color w:val="auto"/>
                <w:spacing w:val="-8"/>
                <w:sz w:val="21"/>
                <w:szCs w:val="21"/>
                <w:highlight w:val="none"/>
                <w:lang w:val="en-US" w:eastAsia="zh-CN"/>
              </w:rPr>
              <w:t>管理要求</w:t>
            </w:r>
          </w:p>
        </w:tc>
        <w:tc>
          <w:tcPr>
            <w:tcW w:w="7217" w:type="dxa"/>
            <w:gridSpan w:val="4"/>
            <w:noWrap w:val="0"/>
            <w:vAlign w:val="center"/>
          </w:tcPr>
          <w:p w14:paraId="79CC47FD">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（1）严格执行环保“三同时”制度，确保各项环保措施落实到位。</w:t>
            </w:r>
          </w:p>
          <w:p w14:paraId="71876B9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（2）积极配合环保部门的监督、监测管理，健全厂内环境管理体制。</w:t>
            </w:r>
          </w:p>
          <w:p w14:paraId="0EF6B57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highlight w:val="none"/>
                <w:lang w:val="zh-CN"/>
              </w:rPr>
            </w:pPr>
            <w:r>
              <w:rPr>
                <w:rFonts w:hint="default" w:ascii="Times New Roman" w:hAnsi="Times New Roman" w:eastAsia="宋体" w:cs="Times New Roman"/>
                <w:color w:val="auto"/>
                <w:kern w:val="0"/>
                <w:szCs w:val="21"/>
                <w:highlight w:val="none"/>
                <w:lang w:val="zh-CN"/>
              </w:rPr>
              <w:t>（3）加强厂区及周围的绿化，降低对区域生态环境的影响。</w:t>
            </w:r>
          </w:p>
          <w:p w14:paraId="5492F5AB">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zh-CN"/>
              </w:rPr>
              <w:t>（4）污染物排放口、暂存场所，应严格按照《环境保护图形标志</w:t>
            </w:r>
            <w:r>
              <w:rPr>
                <w:rFonts w:hint="eastAsia" w:ascii="Times New Roman" w:hAnsi="Times New Roman" w:eastAsia="宋体" w:cs="Times New Roman"/>
                <w:color w:val="auto"/>
                <w:kern w:val="0"/>
                <w:szCs w:val="21"/>
                <w:highlight w:val="none"/>
                <w:lang w:val="en-US" w:eastAsia="zh-CN"/>
              </w:rPr>
              <w:t>--</w:t>
            </w:r>
            <w:r>
              <w:rPr>
                <w:rFonts w:hint="default" w:ascii="Times New Roman" w:hAnsi="Times New Roman" w:eastAsia="宋体" w:cs="Times New Roman"/>
                <w:color w:val="auto"/>
                <w:kern w:val="0"/>
                <w:szCs w:val="21"/>
                <w:highlight w:val="none"/>
                <w:lang w:val="zh-CN"/>
              </w:rPr>
              <w:t>排放口（源）》（GB1556.2-1995）、《环境保护图形标志—固体废物贮存（处置）场》国家标准第1号修改单</w:t>
            </w:r>
            <w:r>
              <w:rPr>
                <w:rFonts w:hint="default" w:ascii="Times New Roman" w:hAnsi="Times New Roman" w:eastAsia="宋体" w:cs="Times New Roman"/>
                <w:color w:val="auto"/>
                <w:kern w:val="0"/>
                <w:szCs w:val="21"/>
                <w:highlight w:val="none"/>
                <w:lang w:val="zh-CN" w:eastAsia="zh-CN"/>
              </w:rPr>
              <w:t>（</w:t>
            </w:r>
            <w:r>
              <w:rPr>
                <w:rFonts w:hint="eastAsia" w:ascii="Times New Roman" w:hAnsi="Times New Roman" w:eastAsia="宋体" w:cs="Times New Roman"/>
                <w:color w:val="auto"/>
                <w:kern w:val="0"/>
                <w:szCs w:val="21"/>
                <w:highlight w:val="none"/>
                <w:lang w:val="en-US" w:eastAsia="zh-CN"/>
              </w:rPr>
              <w:t>GB 15562.2-1995/XG1-2023</w:t>
            </w:r>
            <w:r>
              <w:rPr>
                <w:rFonts w:hint="default" w:ascii="Times New Roman" w:hAnsi="Times New Roman" w:eastAsia="宋体" w:cs="Times New Roman"/>
                <w:color w:val="auto"/>
                <w:kern w:val="0"/>
                <w:szCs w:val="21"/>
                <w:highlight w:val="none"/>
                <w:lang w:val="zh-CN" w:eastAsia="zh-CN"/>
              </w:rPr>
              <w:t>）</w:t>
            </w:r>
            <w:r>
              <w:rPr>
                <w:rFonts w:hint="eastAsia" w:ascii="Times New Roman" w:hAnsi="Times New Roman" w:eastAsia="宋体" w:cs="Times New Roman"/>
                <w:color w:val="auto"/>
                <w:kern w:val="0"/>
                <w:szCs w:val="21"/>
                <w:highlight w:val="none"/>
                <w:lang w:val="zh-CN"/>
              </w:rPr>
              <w:t>。</w:t>
            </w:r>
          </w:p>
        </w:tc>
      </w:tr>
    </w:tbl>
    <w:p w14:paraId="3E0B52D8">
      <w:pPr>
        <w:pStyle w:val="23"/>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r>
        <w:rPr>
          <w:rFonts w:hint="default" w:ascii="Times New Roman" w:hAnsi="Times New Roman" w:eastAsia="黑体" w:cs="Times New Roman"/>
          <w:snapToGrid w:val="0"/>
          <w:color w:val="auto"/>
          <w:sz w:val="30"/>
          <w:szCs w:val="30"/>
          <w:highlight w:val="none"/>
        </w:rPr>
        <w:t>六、结论</w:t>
      </w:r>
    </w:p>
    <w:tbl>
      <w:tblPr>
        <w:tblStyle w:val="27"/>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474CBE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81" w:hRule="atLeast"/>
        </w:trPr>
        <w:tc>
          <w:tcPr>
            <w:tcW w:w="5000" w:type="pct"/>
            <w:vAlign w:val="center"/>
          </w:tcPr>
          <w:p w14:paraId="326651D4">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淄博杰发纤维有限公司假发生产</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，不属于国家发展和改革委员会发布的</w:t>
            </w:r>
            <w:r>
              <w:rPr>
                <w:rFonts w:hint="eastAsia" w:ascii="Times New Roman" w:hAnsi="Times New Roman" w:eastAsia="宋体" w:cs="宋体"/>
                <w:sz w:val="24"/>
                <w:szCs w:val="24"/>
                <w:lang w:val="en-US" w:eastAsia="zh-CN"/>
              </w:rPr>
              <w:t>《产业结构调整指导目录</w:t>
            </w:r>
            <w:r>
              <w:rPr>
                <w:rFonts w:hint="default" w:ascii="Times New Roman" w:hAnsi="Times New Roman" w:eastAsia="宋体" w:cs="宋体"/>
                <w:sz w:val="24"/>
                <w:szCs w:val="24"/>
                <w:lang w:val="en-US" w:eastAsia="zh-CN"/>
              </w:rPr>
              <w:t>(20</w:t>
            </w:r>
            <w:r>
              <w:rPr>
                <w:rFonts w:hint="eastAsia" w:ascii="Times New Roman" w:hAnsi="Times New Roman" w:eastAsia="宋体" w:cs="宋体"/>
                <w:sz w:val="24"/>
                <w:szCs w:val="24"/>
                <w:lang w:val="en-US" w:eastAsia="zh-CN"/>
              </w:rPr>
              <w:t>24年本</w:t>
            </w:r>
            <w:r>
              <w:rPr>
                <w:rFonts w:hint="default" w:ascii="Times New Roman" w:hAnsi="Times New Roman" w:eastAsia="宋体" w:cs="宋体"/>
                <w:sz w:val="24"/>
                <w:szCs w:val="24"/>
                <w:lang w:val="en-US" w:eastAsia="zh-CN"/>
              </w:rPr>
              <w:t>)</w:t>
            </w:r>
            <w:r>
              <w:rPr>
                <w:rFonts w:hint="eastAsia" w:ascii="Times New Roman" w:hAnsi="Times New Roman" w:eastAsia="宋体" w:cs="宋体"/>
                <w:sz w:val="24"/>
                <w:szCs w:val="24"/>
                <w:lang w:val="en-US" w:eastAsia="zh-CN"/>
              </w:rPr>
              <w:t>》</w:t>
            </w:r>
            <w:r>
              <w:rPr>
                <w:rFonts w:hint="default" w:ascii="Times New Roman" w:hAnsi="Times New Roman" w:eastAsia="宋体" w:cs="宋体"/>
                <w:sz w:val="24"/>
                <w:szCs w:val="24"/>
                <w:lang w:val="en-US" w:eastAsia="zh-CN"/>
              </w:rPr>
              <w:t>(</w:t>
            </w:r>
            <w:r>
              <w:rPr>
                <w:rFonts w:hint="eastAsia" w:ascii="Times New Roman" w:hAnsi="Times New Roman" w:eastAsia="宋体" w:cs="宋体"/>
                <w:sz w:val="24"/>
                <w:szCs w:val="24"/>
                <w:lang w:val="en-US" w:eastAsia="zh-CN"/>
              </w:rPr>
              <w:t>发改委令第7号</w:t>
            </w:r>
            <w:r>
              <w:rPr>
                <w:rFonts w:hint="default" w:ascii="Times New Roman" w:hAnsi="Times New Roman" w:eastAsia="宋体" w:cs="宋体"/>
                <w:sz w:val="24"/>
                <w:szCs w:val="24"/>
                <w:lang w:val="en-US" w:eastAsia="zh-CN"/>
              </w:rPr>
              <w:t>)</w:t>
            </w:r>
            <w:r>
              <w:rPr>
                <w:rFonts w:hint="default" w:ascii="Times New Roman" w:hAnsi="Times New Roman" w:eastAsia="宋体" w:cs="Times New Roman"/>
                <w:color w:val="auto"/>
                <w:sz w:val="24"/>
                <w:szCs w:val="24"/>
                <w:highlight w:val="none"/>
                <w:lang w:val="en-US" w:eastAsia="zh-CN"/>
              </w:rPr>
              <w:t>中</w:t>
            </w:r>
            <w:r>
              <w:rPr>
                <w:rFonts w:hint="eastAsia" w:ascii="宋体" w:hAnsi="宋体" w:eastAsia="宋体" w:cs="宋体"/>
                <w:color w:val="auto"/>
                <w:sz w:val="24"/>
                <w:szCs w:val="24"/>
                <w:highlight w:val="none"/>
                <w:lang w:val="en-US" w:eastAsia="zh-CN"/>
              </w:rPr>
              <w:t>“鼓励类”、“限制类”、“淘汰类”，</w:t>
            </w:r>
            <w:r>
              <w:rPr>
                <w:rFonts w:hint="default" w:ascii="Times New Roman" w:hAnsi="Times New Roman" w:eastAsia="宋体" w:cs="Times New Roman"/>
                <w:color w:val="auto"/>
                <w:sz w:val="24"/>
                <w:szCs w:val="24"/>
                <w:highlight w:val="none"/>
                <w:lang w:val="en-US" w:eastAsia="zh-CN"/>
              </w:rPr>
              <w:t>属于允许建设项目，符合国家的产业政策。本项目已取得山东省建设项目备案证明，项目代码为</w:t>
            </w:r>
            <w:r>
              <w:rPr>
                <w:rFonts w:hint="eastAsia" w:cs="Times New Roman"/>
                <w:color w:val="auto"/>
                <w:sz w:val="24"/>
                <w:szCs w:val="24"/>
                <w:highlight w:val="none"/>
                <w:lang w:val="en-US" w:eastAsia="zh-CN"/>
              </w:rPr>
              <w:t>2503-370323-89-01-925132</w:t>
            </w:r>
            <w:r>
              <w:rPr>
                <w:rFonts w:hint="default" w:ascii="Times New Roman" w:hAnsi="Times New Roman" w:eastAsia="宋体" w:cs="Times New Roman"/>
                <w:color w:val="auto"/>
                <w:sz w:val="24"/>
                <w:szCs w:val="24"/>
                <w:highlight w:val="none"/>
                <w:lang w:val="en-US" w:eastAsia="zh-CN"/>
              </w:rPr>
              <w:t>。项目位于</w:t>
            </w:r>
            <w:r>
              <w:rPr>
                <w:rFonts w:hint="eastAsia" w:ascii="Times New Roman" w:hAnsi="Times New Roman" w:eastAsia="宋体" w:cs="Times New Roman"/>
                <w:color w:val="auto"/>
                <w:sz w:val="24"/>
                <w:szCs w:val="24"/>
                <w:highlight w:val="none"/>
                <w:lang w:val="en-US" w:eastAsia="zh-CN"/>
              </w:rPr>
              <w:t>山东省</w:t>
            </w:r>
            <w:r>
              <w:rPr>
                <w:rFonts w:hint="eastAsia" w:cs="Times New Roman"/>
                <w:color w:val="auto"/>
                <w:sz w:val="24"/>
                <w:szCs w:val="24"/>
                <w:highlight w:val="none"/>
                <w:lang w:val="en-US" w:eastAsia="zh-CN"/>
              </w:rPr>
              <w:t>淄博市沂源县张家坡镇政通路88号</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张家坡镇</w:t>
            </w:r>
            <w:r>
              <w:rPr>
                <w:rFonts w:hint="eastAsia" w:ascii="Times New Roman" w:hAnsi="Times New Roman" w:eastAsia="宋体" w:cs="Times New Roman"/>
                <w:color w:val="auto"/>
                <w:sz w:val="24"/>
                <w:szCs w:val="24"/>
                <w:highlight w:val="none"/>
                <w:lang w:val="en-US" w:eastAsia="zh-CN"/>
              </w:rPr>
              <w:t>工业聚集区</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项目用地为工业用地，符合规划</w:t>
            </w:r>
            <w:r>
              <w:rPr>
                <w:rFonts w:hint="eastAsia" w:ascii="Times New Roman" w:hAnsi="Times New Roman" w:eastAsia="宋体" w:cs="Times New Roman"/>
                <w:color w:val="auto"/>
                <w:sz w:val="24"/>
                <w:szCs w:val="24"/>
                <w:highlight w:val="none"/>
                <w:lang w:val="en-US" w:eastAsia="zh-CN"/>
              </w:rPr>
              <w:t>要求</w:t>
            </w:r>
            <w:r>
              <w:rPr>
                <w:rFonts w:hint="default" w:ascii="Times New Roman" w:hAnsi="Times New Roman" w:eastAsia="宋体" w:cs="Times New Roman"/>
                <w:color w:val="auto"/>
                <w:sz w:val="24"/>
                <w:szCs w:val="24"/>
                <w:highlight w:val="none"/>
                <w:lang w:val="en-US" w:eastAsia="zh-CN"/>
              </w:rPr>
              <w:t>。</w:t>
            </w:r>
          </w:p>
          <w:p w14:paraId="4D497E63">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本项目在生产过程中会产生废气、废水、噪声、固体废物等，在全面落实本报告表提出的各项环境保护措施的基础上，切实做到</w:t>
            </w:r>
            <w:r>
              <w:rPr>
                <w:rFonts w:hint="eastAsia" w:ascii="宋体" w:hAnsi="宋体" w:eastAsia="宋体" w:cs="宋体"/>
                <w:color w:val="auto"/>
                <w:sz w:val="24"/>
                <w:szCs w:val="24"/>
                <w:highlight w:val="none"/>
                <w:lang w:val="en-US" w:eastAsia="zh-CN"/>
              </w:rPr>
              <w:t>“三同时”</w:t>
            </w:r>
            <w:r>
              <w:rPr>
                <w:rFonts w:hint="default" w:ascii="Times New Roman" w:hAnsi="Times New Roman" w:eastAsia="宋体" w:cs="Times New Roman"/>
                <w:color w:val="auto"/>
                <w:sz w:val="24"/>
                <w:szCs w:val="24"/>
                <w:highlight w:val="none"/>
                <w:lang w:val="en-US" w:eastAsia="zh-CN"/>
              </w:rPr>
              <w:t>，并在运营期内持之以恒加强环境管理的前提下，从环境保护角度，本项目环境影响可行。</w:t>
            </w:r>
          </w:p>
        </w:tc>
      </w:tr>
    </w:tbl>
    <w:p w14:paraId="593F7014">
      <w:pPr>
        <w:rPr>
          <w:rFonts w:hint="default" w:ascii="Times New Roman" w:hAnsi="Times New Roman" w:cs="Times New Roman"/>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p>
    <w:p w14:paraId="668FEA20">
      <w:pPr>
        <w:pStyle w:val="23"/>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auto"/>
          <w:sz w:val="32"/>
          <w:szCs w:val="32"/>
          <w:highlight w:val="none"/>
        </w:rPr>
      </w:pPr>
      <w:r>
        <w:rPr>
          <w:rFonts w:hint="default" w:ascii="Times New Roman" w:hAnsi="Times New Roman" w:eastAsia="黑体" w:cs="Times New Roman"/>
          <w:snapToGrid w:val="0"/>
          <w:color w:val="auto"/>
          <w:sz w:val="32"/>
          <w:szCs w:val="32"/>
          <w:highlight w:val="none"/>
        </w:rPr>
        <w:t>附表</w:t>
      </w:r>
    </w:p>
    <w:p w14:paraId="2317FB26">
      <w:pPr>
        <w:pStyle w:val="23"/>
        <w:adjustRightInd w:val="0"/>
        <w:snapToGrid w:val="0"/>
        <w:spacing w:before="0" w:beforeAutospacing="0" w:after="0" w:afterAutospacing="0" w:line="240" w:lineRule="auto"/>
        <w:jc w:val="center"/>
        <w:outlineLvl w:val="0"/>
        <w:rPr>
          <w:rFonts w:hint="default" w:ascii="Times New Roman" w:hAnsi="Times New Roman" w:eastAsia="方正小标宋_GBK" w:cs="Times New Roman"/>
          <w:snapToGrid w:val="0"/>
          <w:color w:val="auto"/>
          <w:sz w:val="38"/>
          <w:szCs w:val="38"/>
          <w:highlight w:val="none"/>
        </w:rPr>
      </w:pPr>
      <w:r>
        <w:rPr>
          <w:rFonts w:hint="default" w:ascii="Times New Roman" w:hAnsi="Times New Roman" w:eastAsia="方正小标宋_GBK" w:cs="Times New Roman"/>
          <w:snapToGrid w:val="0"/>
          <w:color w:val="auto"/>
          <w:sz w:val="38"/>
          <w:szCs w:val="38"/>
          <w:highlight w:val="none"/>
        </w:rPr>
        <w:t>建设项目污染物排放量汇总表</w:t>
      </w:r>
    </w:p>
    <w:tbl>
      <w:tblPr>
        <w:tblStyle w:val="27"/>
        <w:tblW w:w="13788" w:type="dxa"/>
        <w:tblInd w:w="-8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0"/>
        <w:gridCol w:w="2357"/>
        <w:gridCol w:w="1845"/>
        <w:gridCol w:w="1185"/>
        <w:gridCol w:w="1515"/>
        <w:gridCol w:w="1440"/>
        <w:gridCol w:w="1305"/>
        <w:gridCol w:w="1650"/>
        <w:gridCol w:w="1191"/>
      </w:tblGrid>
      <w:tr w14:paraId="377961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tcBorders>
              <w:tl2br w:val="single" w:color="auto" w:sz="4" w:space="0"/>
            </w:tcBorders>
            <w:tcMar>
              <w:left w:w="28" w:type="dxa"/>
              <w:right w:w="28" w:type="dxa"/>
            </w:tcMar>
            <w:vAlign w:val="center"/>
          </w:tcPr>
          <w:p w14:paraId="5ED1278A">
            <w:pPr>
              <w:pStyle w:val="73"/>
              <w:spacing w:line="240" w:lineRule="auto"/>
              <w:jc w:val="right"/>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项目</w:t>
            </w:r>
          </w:p>
          <w:p w14:paraId="7F306955">
            <w:pPr>
              <w:pStyle w:val="73"/>
              <w:spacing w:line="240" w:lineRule="auto"/>
              <w:jc w:val="left"/>
              <w:rPr>
                <w:rFonts w:hint="eastAsia" w:ascii="黑体" w:hAnsi="黑体" w:eastAsia="黑体" w:cs="黑体"/>
                <w:snapToGrid w:val="0"/>
                <w:color w:val="auto"/>
                <w:spacing w:val="-6"/>
                <w:kern w:val="21"/>
                <w:sz w:val="21"/>
                <w:szCs w:val="21"/>
                <w:highlight w:val="none"/>
                <w:lang w:val="en-US" w:eastAsia="zh-CN"/>
              </w:rPr>
            </w:pPr>
          </w:p>
          <w:p w14:paraId="36BFA77F">
            <w:pPr>
              <w:pStyle w:val="73"/>
              <w:spacing w:line="240" w:lineRule="auto"/>
              <w:jc w:val="left"/>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分类</w:t>
            </w:r>
          </w:p>
        </w:tc>
        <w:tc>
          <w:tcPr>
            <w:tcW w:w="2357" w:type="dxa"/>
            <w:tcMar>
              <w:left w:w="28" w:type="dxa"/>
              <w:right w:w="28" w:type="dxa"/>
            </w:tcMar>
            <w:vAlign w:val="center"/>
          </w:tcPr>
          <w:p w14:paraId="770F9B6C">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污染物名称</w:t>
            </w:r>
          </w:p>
        </w:tc>
        <w:tc>
          <w:tcPr>
            <w:tcW w:w="1845" w:type="dxa"/>
            <w:tcMar>
              <w:left w:w="28" w:type="dxa"/>
              <w:right w:w="28" w:type="dxa"/>
            </w:tcMar>
            <w:vAlign w:val="center"/>
          </w:tcPr>
          <w:p w14:paraId="1943E417">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现有工程</w:t>
            </w:r>
          </w:p>
          <w:p w14:paraId="48531F8E">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排放量（固体废物产生量）</w:t>
            </w:r>
            <w:r>
              <w:rPr>
                <w:rFonts w:hint="eastAsia" w:ascii="黑体" w:hAnsi="黑体" w:eastAsia="黑体" w:cs="黑体"/>
                <w:snapToGrid w:val="0"/>
                <w:color w:val="auto"/>
                <w:spacing w:val="-6"/>
                <w:kern w:val="21"/>
                <w:sz w:val="21"/>
                <w:szCs w:val="21"/>
                <w:highlight w:val="none"/>
                <w:lang w:val="en-US" w:eastAsia="zh-CN"/>
              </w:rPr>
              <w:fldChar w:fldCharType="begin"/>
            </w:r>
            <w:r>
              <w:rPr>
                <w:rFonts w:hint="eastAsia" w:ascii="黑体" w:hAnsi="黑体" w:eastAsia="黑体" w:cs="黑体"/>
                <w:snapToGrid w:val="0"/>
                <w:color w:val="auto"/>
                <w:spacing w:val="-6"/>
                <w:kern w:val="21"/>
                <w:sz w:val="21"/>
                <w:szCs w:val="21"/>
                <w:highlight w:val="none"/>
                <w:lang w:val="en-US" w:eastAsia="zh-CN"/>
              </w:rPr>
              <w:instrText xml:space="preserve"> = 1 \* GB3 \* MERGEFORMAT </w:instrText>
            </w:r>
            <w:r>
              <w:rPr>
                <w:rFonts w:hint="eastAsia" w:ascii="黑体" w:hAnsi="黑体" w:eastAsia="黑体" w:cs="黑体"/>
                <w:snapToGrid w:val="0"/>
                <w:color w:val="auto"/>
                <w:spacing w:val="-6"/>
                <w:kern w:val="21"/>
                <w:sz w:val="21"/>
                <w:szCs w:val="21"/>
                <w:highlight w:val="none"/>
                <w:lang w:val="en-US" w:eastAsia="zh-CN"/>
              </w:rPr>
              <w:fldChar w:fldCharType="separate"/>
            </w:r>
            <w:r>
              <w:rPr>
                <w:rFonts w:hint="eastAsia" w:ascii="黑体" w:hAnsi="黑体" w:eastAsia="黑体" w:cs="黑体"/>
                <w:color w:val="auto"/>
                <w:kern w:val="2"/>
                <w:sz w:val="21"/>
                <w:szCs w:val="21"/>
                <w:highlight w:val="none"/>
                <w:lang w:val="en-US" w:eastAsia="zh-CN"/>
              </w:rPr>
              <w:t>①</w:t>
            </w:r>
            <w:r>
              <w:rPr>
                <w:rFonts w:hint="eastAsia" w:ascii="黑体" w:hAnsi="黑体" w:eastAsia="黑体" w:cs="黑体"/>
                <w:snapToGrid w:val="0"/>
                <w:color w:val="auto"/>
                <w:spacing w:val="-6"/>
                <w:kern w:val="21"/>
                <w:sz w:val="21"/>
                <w:szCs w:val="21"/>
                <w:highlight w:val="none"/>
                <w:lang w:val="en-US" w:eastAsia="zh-CN"/>
              </w:rPr>
              <w:fldChar w:fldCharType="end"/>
            </w:r>
          </w:p>
        </w:tc>
        <w:tc>
          <w:tcPr>
            <w:tcW w:w="1185" w:type="dxa"/>
            <w:tcMar>
              <w:left w:w="28" w:type="dxa"/>
              <w:right w:w="28" w:type="dxa"/>
            </w:tcMar>
            <w:vAlign w:val="center"/>
          </w:tcPr>
          <w:p w14:paraId="53875C7B">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现有工程</w:t>
            </w:r>
          </w:p>
          <w:p w14:paraId="7B690CF6">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许可排放量</w:t>
            </w:r>
          </w:p>
          <w:p w14:paraId="36033388">
            <w:pPr>
              <w:pStyle w:val="73"/>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fldChar w:fldCharType="begin"/>
            </w:r>
            <w:r>
              <w:rPr>
                <w:rFonts w:hint="eastAsia" w:ascii="黑体" w:hAnsi="黑体" w:eastAsia="黑体" w:cs="黑体"/>
                <w:snapToGrid w:val="0"/>
                <w:color w:val="auto"/>
                <w:spacing w:val="-6"/>
                <w:kern w:val="21"/>
                <w:sz w:val="21"/>
                <w:szCs w:val="21"/>
                <w:highlight w:val="none"/>
                <w:lang w:val="en-US" w:eastAsia="zh-CN"/>
              </w:rPr>
              <w:instrText xml:space="preserve"> = 2 \* GB3 \* MERGEFORMAT </w:instrText>
            </w:r>
            <w:r>
              <w:rPr>
                <w:rFonts w:hint="eastAsia" w:ascii="黑体" w:hAnsi="黑体" w:eastAsia="黑体" w:cs="黑体"/>
                <w:snapToGrid w:val="0"/>
                <w:color w:val="auto"/>
                <w:spacing w:val="-6"/>
                <w:kern w:val="21"/>
                <w:sz w:val="21"/>
                <w:szCs w:val="21"/>
                <w:highlight w:val="none"/>
                <w:lang w:val="en-US" w:eastAsia="zh-CN"/>
              </w:rPr>
              <w:fldChar w:fldCharType="separate"/>
            </w:r>
            <w:r>
              <w:rPr>
                <w:rFonts w:hint="eastAsia" w:ascii="黑体" w:hAnsi="黑体" w:eastAsia="黑体" w:cs="黑体"/>
                <w:snapToGrid w:val="0"/>
                <w:color w:val="auto"/>
                <w:spacing w:val="-6"/>
                <w:kern w:val="21"/>
                <w:sz w:val="21"/>
                <w:szCs w:val="21"/>
                <w:highlight w:val="none"/>
                <w:lang w:val="en-US" w:eastAsia="zh-CN"/>
              </w:rPr>
              <w:t>②</w:t>
            </w:r>
            <w:r>
              <w:rPr>
                <w:rFonts w:hint="eastAsia" w:ascii="黑体" w:hAnsi="黑体" w:eastAsia="黑体" w:cs="黑体"/>
                <w:snapToGrid w:val="0"/>
                <w:color w:val="auto"/>
                <w:spacing w:val="-6"/>
                <w:kern w:val="21"/>
                <w:sz w:val="21"/>
                <w:szCs w:val="21"/>
                <w:highlight w:val="none"/>
                <w:lang w:val="en-US" w:eastAsia="zh-CN"/>
              </w:rPr>
              <w:fldChar w:fldCharType="end"/>
            </w:r>
          </w:p>
        </w:tc>
        <w:tc>
          <w:tcPr>
            <w:tcW w:w="1515" w:type="dxa"/>
            <w:tcMar>
              <w:left w:w="28" w:type="dxa"/>
              <w:right w:w="28" w:type="dxa"/>
            </w:tcMar>
            <w:vAlign w:val="center"/>
          </w:tcPr>
          <w:p w14:paraId="1BF96862">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在建工程</w:t>
            </w:r>
          </w:p>
          <w:p w14:paraId="0CD3311E">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排放量（固体废物产生量）</w:t>
            </w:r>
            <w:r>
              <w:rPr>
                <w:rFonts w:hint="eastAsia" w:ascii="黑体" w:hAnsi="黑体" w:eastAsia="黑体" w:cs="黑体"/>
                <w:snapToGrid w:val="0"/>
                <w:color w:val="auto"/>
                <w:spacing w:val="-6"/>
                <w:kern w:val="21"/>
                <w:sz w:val="21"/>
                <w:szCs w:val="21"/>
                <w:highlight w:val="none"/>
                <w:lang w:val="en-US" w:eastAsia="zh-CN"/>
              </w:rPr>
              <w:fldChar w:fldCharType="begin"/>
            </w:r>
            <w:r>
              <w:rPr>
                <w:rFonts w:hint="eastAsia" w:ascii="黑体" w:hAnsi="黑体" w:eastAsia="黑体" w:cs="黑体"/>
                <w:snapToGrid w:val="0"/>
                <w:color w:val="auto"/>
                <w:spacing w:val="-6"/>
                <w:kern w:val="21"/>
                <w:sz w:val="21"/>
                <w:szCs w:val="21"/>
                <w:highlight w:val="none"/>
                <w:lang w:val="en-US" w:eastAsia="zh-CN"/>
              </w:rPr>
              <w:instrText xml:space="preserve"> = 3 \* GB3 \* MERGEFORMAT </w:instrText>
            </w:r>
            <w:r>
              <w:rPr>
                <w:rFonts w:hint="eastAsia" w:ascii="黑体" w:hAnsi="黑体" w:eastAsia="黑体" w:cs="黑体"/>
                <w:snapToGrid w:val="0"/>
                <w:color w:val="auto"/>
                <w:spacing w:val="-6"/>
                <w:kern w:val="21"/>
                <w:sz w:val="21"/>
                <w:szCs w:val="21"/>
                <w:highlight w:val="none"/>
                <w:lang w:val="en-US" w:eastAsia="zh-CN"/>
              </w:rPr>
              <w:fldChar w:fldCharType="separate"/>
            </w:r>
            <w:r>
              <w:rPr>
                <w:rFonts w:hint="eastAsia" w:ascii="黑体" w:hAnsi="黑体" w:eastAsia="黑体" w:cs="黑体"/>
                <w:color w:val="auto"/>
                <w:kern w:val="2"/>
                <w:sz w:val="21"/>
                <w:szCs w:val="21"/>
                <w:highlight w:val="none"/>
                <w:lang w:val="en-US" w:eastAsia="zh-CN"/>
              </w:rPr>
              <w:t>③</w:t>
            </w:r>
            <w:r>
              <w:rPr>
                <w:rFonts w:hint="eastAsia" w:ascii="黑体" w:hAnsi="黑体" w:eastAsia="黑体" w:cs="黑体"/>
                <w:snapToGrid w:val="0"/>
                <w:color w:val="auto"/>
                <w:spacing w:val="-6"/>
                <w:kern w:val="21"/>
                <w:sz w:val="21"/>
                <w:szCs w:val="21"/>
                <w:highlight w:val="none"/>
                <w:lang w:val="en-US" w:eastAsia="zh-CN"/>
              </w:rPr>
              <w:fldChar w:fldCharType="end"/>
            </w:r>
          </w:p>
        </w:tc>
        <w:tc>
          <w:tcPr>
            <w:tcW w:w="1440" w:type="dxa"/>
            <w:tcMar>
              <w:left w:w="28" w:type="dxa"/>
              <w:right w:w="28" w:type="dxa"/>
            </w:tcMar>
            <w:vAlign w:val="center"/>
          </w:tcPr>
          <w:p w14:paraId="4A891A31">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本项目</w:t>
            </w:r>
          </w:p>
          <w:p w14:paraId="52CC616B">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排放量（固体废物产生量）</w:t>
            </w:r>
            <w:r>
              <w:rPr>
                <w:rFonts w:hint="eastAsia" w:ascii="黑体" w:hAnsi="黑体" w:eastAsia="黑体" w:cs="黑体"/>
                <w:snapToGrid w:val="0"/>
                <w:color w:val="auto"/>
                <w:spacing w:val="-6"/>
                <w:kern w:val="21"/>
                <w:sz w:val="21"/>
                <w:szCs w:val="21"/>
                <w:highlight w:val="none"/>
                <w:lang w:val="en-US" w:eastAsia="zh-CN"/>
              </w:rPr>
              <w:fldChar w:fldCharType="begin"/>
            </w:r>
            <w:r>
              <w:rPr>
                <w:rFonts w:hint="eastAsia" w:ascii="黑体" w:hAnsi="黑体" w:eastAsia="黑体" w:cs="黑体"/>
                <w:snapToGrid w:val="0"/>
                <w:color w:val="auto"/>
                <w:spacing w:val="-6"/>
                <w:kern w:val="21"/>
                <w:sz w:val="21"/>
                <w:szCs w:val="21"/>
                <w:highlight w:val="none"/>
                <w:lang w:val="en-US" w:eastAsia="zh-CN"/>
              </w:rPr>
              <w:instrText xml:space="preserve"> = 4 \* GB3 \* MERGEFORMAT </w:instrText>
            </w:r>
            <w:r>
              <w:rPr>
                <w:rFonts w:hint="eastAsia" w:ascii="黑体" w:hAnsi="黑体" w:eastAsia="黑体" w:cs="黑体"/>
                <w:snapToGrid w:val="0"/>
                <w:color w:val="auto"/>
                <w:spacing w:val="-6"/>
                <w:kern w:val="21"/>
                <w:sz w:val="21"/>
                <w:szCs w:val="21"/>
                <w:highlight w:val="none"/>
                <w:lang w:val="en-US" w:eastAsia="zh-CN"/>
              </w:rPr>
              <w:fldChar w:fldCharType="separate"/>
            </w:r>
            <w:r>
              <w:rPr>
                <w:rFonts w:hint="eastAsia" w:ascii="黑体" w:hAnsi="黑体" w:eastAsia="黑体" w:cs="黑体"/>
                <w:color w:val="auto"/>
                <w:kern w:val="2"/>
                <w:sz w:val="21"/>
                <w:szCs w:val="21"/>
                <w:highlight w:val="none"/>
                <w:lang w:val="en-US" w:eastAsia="zh-CN"/>
              </w:rPr>
              <w:t>④</w:t>
            </w:r>
            <w:r>
              <w:rPr>
                <w:rFonts w:hint="eastAsia" w:ascii="黑体" w:hAnsi="黑体" w:eastAsia="黑体" w:cs="黑体"/>
                <w:snapToGrid w:val="0"/>
                <w:color w:val="auto"/>
                <w:spacing w:val="-6"/>
                <w:kern w:val="21"/>
                <w:sz w:val="21"/>
                <w:szCs w:val="21"/>
                <w:highlight w:val="none"/>
                <w:lang w:val="en-US" w:eastAsia="zh-CN"/>
              </w:rPr>
              <w:fldChar w:fldCharType="end"/>
            </w:r>
          </w:p>
        </w:tc>
        <w:tc>
          <w:tcPr>
            <w:tcW w:w="1305" w:type="dxa"/>
            <w:tcMar>
              <w:left w:w="28" w:type="dxa"/>
              <w:right w:w="28" w:type="dxa"/>
            </w:tcMar>
            <w:vAlign w:val="center"/>
          </w:tcPr>
          <w:p w14:paraId="77A0D8A0">
            <w:pPr>
              <w:pStyle w:val="73"/>
              <w:spacing w:line="240" w:lineRule="auto"/>
              <w:rPr>
                <w:rFonts w:hint="eastAsia" w:ascii="黑体" w:hAnsi="黑体" w:eastAsia="黑体" w:cs="黑体"/>
                <w:snapToGrid w:val="0"/>
                <w:color w:val="auto"/>
                <w:spacing w:val="-16"/>
                <w:kern w:val="21"/>
                <w:sz w:val="21"/>
                <w:szCs w:val="21"/>
                <w:highlight w:val="none"/>
                <w:lang w:val="en-US" w:eastAsia="zh-CN"/>
              </w:rPr>
            </w:pPr>
            <w:r>
              <w:rPr>
                <w:rFonts w:hint="eastAsia" w:ascii="黑体" w:hAnsi="黑体" w:eastAsia="黑体" w:cs="黑体"/>
                <w:snapToGrid w:val="0"/>
                <w:color w:val="auto"/>
                <w:spacing w:val="-16"/>
                <w:kern w:val="21"/>
                <w:sz w:val="21"/>
                <w:szCs w:val="21"/>
                <w:highlight w:val="none"/>
                <w:lang w:val="en-US" w:eastAsia="zh-CN"/>
              </w:rPr>
              <w:t>以新带老削减量</w:t>
            </w:r>
          </w:p>
          <w:p w14:paraId="0D3F70BF">
            <w:pPr>
              <w:pStyle w:val="73"/>
              <w:spacing w:line="240" w:lineRule="auto"/>
              <w:rPr>
                <w:rFonts w:hint="eastAsia" w:ascii="黑体" w:hAnsi="黑体" w:eastAsia="黑体" w:cs="黑体"/>
                <w:snapToGrid w:val="0"/>
                <w:color w:val="auto"/>
                <w:spacing w:val="-16"/>
                <w:kern w:val="21"/>
                <w:sz w:val="21"/>
                <w:szCs w:val="21"/>
                <w:highlight w:val="none"/>
                <w:lang w:val="en-US" w:eastAsia="zh-CN"/>
              </w:rPr>
            </w:pPr>
            <w:r>
              <w:rPr>
                <w:rFonts w:hint="eastAsia" w:ascii="黑体" w:hAnsi="黑体" w:eastAsia="黑体" w:cs="黑体"/>
                <w:snapToGrid w:val="0"/>
                <w:color w:val="auto"/>
                <w:spacing w:val="-16"/>
                <w:kern w:val="21"/>
                <w:sz w:val="21"/>
                <w:szCs w:val="21"/>
                <w:highlight w:val="none"/>
                <w:lang w:val="en-US" w:eastAsia="zh-CN"/>
              </w:rPr>
              <w:t>（新建项目不填）</w:t>
            </w:r>
            <w:r>
              <w:rPr>
                <w:rFonts w:hint="eastAsia" w:ascii="黑体" w:hAnsi="黑体" w:eastAsia="黑体" w:cs="黑体"/>
                <w:snapToGrid w:val="0"/>
                <w:color w:val="auto"/>
                <w:spacing w:val="-16"/>
                <w:kern w:val="21"/>
                <w:sz w:val="21"/>
                <w:szCs w:val="21"/>
                <w:highlight w:val="none"/>
                <w:lang w:val="en-US" w:eastAsia="zh-CN"/>
              </w:rPr>
              <w:fldChar w:fldCharType="begin"/>
            </w:r>
            <w:r>
              <w:rPr>
                <w:rFonts w:hint="eastAsia" w:ascii="黑体" w:hAnsi="黑体" w:eastAsia="黑体" w:cs="黑体"/>
                <w:snapToGrid w:val="0"/>
                <w:color w:val="auto"/>
                <w:spacing w:val="-16"/>
                <w:kern w:val="21"/>
                <w:sz w:val="21"/>
                <w:szCs w:val="21"/>
                <w:highlight w:val="none"/>
                <w:lang w:val="en-US" w:eastAsia="zh-CN"/>
              </w:rPr>
              <w:instrText xml:space="preserve"> = 5 \* GB3 \* MERGEFORMAT </w:instrText>
            </w:r>
            <w:r>
              <w:rPr>
                <w:rFonts w:hint="eastAsia" w:ascii="黑体" w:hAnsi="黑体" w:eastAsia="黑体" w:cs="黑体"/>
                <w:snapToGrid w:val="0"/>
                <w:color w:val="auto"/>
                <w:spacing w:val="-16"/>
                <w:kern w:val="21"/>
                <w:sz w:val="21"/>
                <w:szCs w:val="21"/>
                <w:highlight w:val="none"/>
                <w:lang w:val="en-US" w:eastAsia="zh-CN"/>
              </w:rPr>
              <w:fldChar w:fldCharType="separate"/>
            </w:r>
            <w:r>
              <w:rPr>
                <w:rFonts w:hint="eastAsia" w:ascii="黑体" w:hAnsi="黑体" w:eastAsia="黑体" w:cs="黑体"/>
                <w:color w:val="auto"/>
                <w:kern w:val="2"/>
                <w:sz w:val="21"/>
                <w:szCs w:val="21"/>
                <w:highlight w:val="none"/>
                <w:lang w:val="en-US" w:eastAsia="zh-CN"/>
              </w:rPr>
              <w:t>⑤</w:t>
            </w:r>
            <w:r>
              <w:rPr>
                <w:rFonts w:hint="eastAsia" w:ascii="黑体" w:hAnsi="黑体" w:eastAsia="黑体" w:cs="黑体"/>
                <w:snapToGrid w:val="0"/>
                <w:color w:val="auto"/>
                <w:spacing w:val="-16"/>
                <w:kern w:val="21"/>
                <w:sz w:val="21"/>
                <w:szCs w:val="21"/>
                <w:highlight w:val="none"/>
                <w:lang w:val="en-US" w:eastAsia="zh-CN"/>
              </w:rPr>
              <w:fldChar w:fldCharType="end"/>
            </w:r>
          </w:p>
        </w:tc>
        <w:tc>
          <w:tcPr>
            <w:tcW w:w="1650" w:type="dxa"/>
            <w:tcMar>
              <w:left w:w="28" w:type="dxa"/>
              <w:right w:w="28" w:type="dxa"/>
            </w:tcMar>
            <w:vAlign w:val="center"/>
          </w:tcPr>
          <w:p w14:paraId="1B7B3AA2">
            <w:pPr>
              <w:pStyle w:val="73"/>
              <w:spacing w:line="240" w:lineRule="auto"/>
              <w:rPr>
                <w:rFonts w:hint="eastAsia" w:ascii="黑体" w:hAnsi="黑体" w:eastAsia="黑体" w:cs="黑体"/>
                <w:snapToGrid w:val="0"/>
                <w:color w:val="auto"/>
                <w:spacing w:val="-16"/>
                <w:kern w:val="21"/>
                <w:sz w:val="21"/>
                <w:szCs w:val="21"/>
                <w:highlight w:val="none"/>
                <w:lang w:val="en-US" w:eastAsia="zh-CN"/>
              </w:rPr>
            </w:pPr>
            <w:r>
              <w:rPr>
                <w:rFonts w:hint="eastAsia" w:ascii="黑体" w:hAnsi="黑体" w:eastAsia="黑体" w:cs="黑体"/>
                <w:snapToGrid w:val="0"/>
                <w:color w:val="auto"/>
                <w:spacing w:val="-16"/>
                <w:kern w:val="21"/>
                <w:sz w:val="21"/>
                <w:szCs w:val="21"/>
                <w:highlight w:val="none"/>
                <w:lang w:val="en-US" w:eastAsia="zh-CN"/>
              </w:rPr>
              <w:t>本项目建成后</w:t>
            </w:r>
          </w:p>
          <w:p w14:paraId="08E9E7D3">
            <w:pPr>
              <w:pStyle w:val="73"/>
              <w:spacing w:line="240" w:lineRule="auto"/>
              <w:rPr>
                <w:rFonts w:hint="eastAsia" w:ascii="黑体" w:hAnsi="黑体" w:eastAsia="黑体" w:cs="黑体"/>
                <w:snapToGrid w:val="0"/>
                <w:color w:val="auto"/>
                <w:spacing w:val="-16"/>
                <w:kern w:val="21"/>
                <w:sz w:val="21"/>
                <w:szCs w:val="21"/>
                <w:highlight w:val="none"/>
                <w:lang w:val="en-US" w:eastAsia="zh-CN"/>
              </w:rPr>
            </w:pPr>
            <w:r>
              <w:rPr>
                <w:rFonts w:hint="eastAsia" w:ascii="黑体" w:hAnsi="黑体" w:eastAsia="黑体" w:cs="黑体"/>
                <w:snapToGrid w:val="0"/>
                <w:color w:val="auto"/>
                <w:spacing w:val="-16"/>
                <w:kern w:val="21"/>
                <w:sz w:val="21"/>
                <w:szCs w:val="21"/>
                <w:highlight w:val="none"/>
                <w:lang w:val="en-US" w:eastAsia="zh-CN"/>
              </w:rPr>
              <w:t>全厂排放量（固体废物产生量）</w:t>
            </w:r>
            <w:r>
              <w:rPr>
                <w:rFonts w:hint="eastAsia" w:ascii="黑体" w:hAnsi="黑体" w:eastAsia="黑体" w:cs="黑体"/>
                <w:snapToGrid w:val="0"/>
                <w:color w:val="auto"/>
                <w:spacing w:val="-16"/>
                <w:kern w:val="21"/>
                <w:sz w:val="21"/>
                <w:szCs w:val="21"/>
                <w:highlight w:val="none"/>
                <w:lang w:val="en-US" w:eastAsia="zh-CN"/>
              </w:rPr>
              <w:fldChar w:fldCharType="begin"/>
            </w:r>
            <w:r>
              <w:rPr>
                <w:rFonts w:hint="eastAsia" w:ascii="黑体" w:hAnsi="黑体" w:eastAsia="黑体" w:cs="黑体"/>
                <w:snapToGrid w:val="0"/>
                <w:color w:val="auto"/>
                <w:spacing w:val="-16"/>
                <w:kern w:val="21"/>
                <w:sz w:val="21"/>
                <w:szCs w:val="21"/>
                <w:highlight w:val="none"/>
                <w:lang w:val="en-US" w:eastAsia="zh-CN"/>
              </w:rPr>
              <w:instrText xml:space="preserve"> = 6 \* GB3 \* MERGEFORMAT </w:instrText>
            </w:r>
            <w:r>
              <w:rPr>
                <w:rFonts w:hint="eastAsia" w:ascii="黑体" w:hAnsi="黑体" w:eastAsia="黑体" w:cs="黑体"/>
                <w:snapToGrid w:val="0"/>
                <w:color w:val="auto"/>
                <w:spacing w:val="-16"/>
                <w:kern w:val="21"/>
                <w:sz w:val="21"/>
                <w:szCs w:val="21"/>
                <w:highlight w:val="none"/>
                <w:lang w:val="en-US" w:eastAsia="zh-CN"/>
              </w:rPr>
              <w:fldChar w:fldCharType="separate"/>
            </w:r>
            <w:r>
              <w:rPr>
                <w:rFonts w:hint="eastAsia" w:ascii="黑体" w:hAnsi="黑体" w:eastAsia="黑体" w:cs="黑体"/>
                <w:color w:val="auto"/>
                <w:kern w:val="2"/>
                <w:sz w:val="21"/>
                <w:szCs w:val="21"/>
                <w:highlight w:val="none"/>
                <w:lang w:val="en-US" w:eastAsia="zh-CN"/>
              </w:rPr>
              <w:t>⑥</w:t>
            </w:r>
            <w:r>
              <w:rPr>
                <w:rFonts w:hint="eastAsia" w:ascii="黑体" w:hAnsi="黑体" w:eastAsia="黑体" w:cs="黑体"/>
                <w:snapToGrid w:val="0"/>
                <w:color w:val="auto"/>
                <w:spacing w:val="-16"/>
                <w:kern w:val="21"/>
                <w:sz w:val="21"/>
                <w:szCs w:val="21"/>
                <w:highlight w:val="none"/>
                <w:lang w:val="en-US" w:eastAsia="zh-CN"/>
              </w:rPr>
              <w:fldChar w:fldCharType="end"/>
            </w:r>
          </w:p>
        </w:tc>
        <w:tc>
          <w:tcPr>
            <w:tcW w:w="1191" w:type="dxa"/>
            <w:tcMar>
              <w:left w:w="28" w:type="dxa"/>
              <w:right w:w="28" w:type="dxa"/>
            </w:tcMar>
            <w:vAlign w:val="center"/>
          </w:tcPr>
          <w:p w14:paraId="18B6897B">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t>变化量</w:t>
            </w:r>
          </w:p>
          <w:p w14:paraId="74FA1F8D">
            <w:pPr>
              <w:pStyle w:val="73"/>
              <w:spacing w:line="240" w:lineRule="auto"/>
              <w:rPr>
                <w:rFonts w:hint="eastAsia" w:ascii="黑体" w:hAnsi="黑体" w:eastAsia="黑体" w:cs="黑体"/>
                <w:snapToGrid w:val="0"/>
                <w:color w:val="auto"/>
                <w:spacing w:val="-6"/>
                <w:kern w:val="21"/>
                <w:sz w:val="21"/>
                <w:szCs w:val="21"/>
                <w:highlight w:val="none"/>
                <w:lang w:val="en-US" w:eastAsia="zh-CN"/>
              </w:rPr>
            </w:pPr>
            <w:r>
              <w:rPr>
                <w:rFonts w:hint="eastAsia" w:ascii="黑体" w:hAnsi="黑体" w:eastAsia="黑体" w:cs="黑体"/>
                <w:snapToGrid w:val="0"/>
                <w:color w:val="auto"/>
                <w:spacing w:val="-6"/>
                <w:kern w:val="21"/>
                <w:sz w:val="21"/>
                <w:szCs w:val="21"/>
                <w:highlight w:val="none"/>
                <w:lang w:val="en-US" w:eastAsia="zh-CN"/>
              </w:rPr>
              <w:fldChar w:fldCharType="begin"/>
            </w:r>
            <w:r>
              <w:rPr>
                <w:rFonts w:hint="eastAsia" w:ascii="黑体" w:hAnsi="黑体" w:eastAsia="黑体" w:cs="黑体"/>
                <w:snapToGrid w:val="0"/>
                <w:color w:val="auto"/>
                <w:spacing w:val="-6"/>
                <w:kern w:val="21"/>
                <w:sz w:val="21"/>
                <w:szCs w:val="21"/>
                <w:highlight w:val="none"/>
                <w:lang w:val="en-US" w:eastAsia="zh-CN"/>
              </w:rPr>
              <w:instrText xml:space="preserve"> = 7 \* GB3 \* MERGEFORMAT </w:instrText>
            </w:r>
            <w:r>
              <w:rPr>
                <w:rFonts w:hint="eastAsia" w:ascii="黑体" w:hAnsi="黑体" w:eastAsia="黑体" w:cs="黑体"/>
                <w:snapToGrid w:val="0"/>
                <w:color w:val="auto"/>
                <w:spacing w:val="-6"/>
                <w:kern w:val="21"/>
                <w:sz w:val="21"/>
                <w:szCs w:val="21"/>
                <w:highlight w:val="none"/>
                <w:lang w:val="en-US" w:eastAsia="zh-CN"/>
              </w:rPr>
              <w:fldChar w:fldCharType="separate"/>
            </w:r>
            <w:r>
              <w:rPr>
                <w:rFonts w:hint="eastAsia" w:ascii="黑体" w:hAnsi="黑体" w:eastAsia="黑体" w:cs="黑体"/>
                <w:color w:val="auto"/>
                <w:kern w:val="2"/>
                <w:sz w:val="21"/>
                <w:szCs w:val="21"/>
                <w:highlight w:val="none"/>
                <w:lang w:val="en-US" w:eastAsia="zh-CN"/>
              </w:rPr>
              <w:t>⑦</w:t>
            </w:r>
            <w:r>
              <w:rPr>
                <w:rFonts w:hint="eastAsia" w:ascii="黑体" w:hAnsi="黑体" w:eastAsia="黑体" w:cs="黑体"/>
                <w:snapToGrid w:val="0"/>
                <w:color w:val="auto"/>
                <w:spacing w:val="-6"/>
                <w:kern w:val="21"/>
                <w:sz w:val="21"/>
                <w:szCs w:val="21"/>
                <w:highlight w:val="none"/>
                <w:lang w:val="en-US" w:eastAsia="zh-CN"/>
              </w:rPr>
              <w:fldChar w:fldCharType="end"/>
            </w:r>
          </w:p>
        </w:tc>
      </w:tr>
      <w:tr w14:paraId="05D665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restart"/>
            <w:vAlign w:val="center"/>
          </w:tcPr>
          <w:p w14:paraId="1B2F6705">
            <w:pPr>
              <w:pStyle w:val="73"/>
              <w:spacing w:line="240" w:lineRule="auto"/>
              <w:rPr>
                <w:rFonts w:hint="eastAsia" w:ascii="黑体" w:hAnsi="黑体" w:eastAsia="黑体" w:cs="黑体"/>
                <w:snapToGrid w:val="0"/>
                <w:color w:val="auto"/>
                <w:kern w:val="21"/>
                <w:sz w:val="21"/>
                <w:szCs w:val="21"/>
                <w:highlight w:val="none"/>
                <w:lang w:val="en-US" w:eastAsia="zh-CN"/>
              </w:rPr>
            </w:pPr>
            <w:r>
              <w:rPr>
                <w:rFonts w:hint="eastAsia" w:ascii="黑体" w:hAnsi="黑体" w:eastAsia="黑体" w:cs="黑体"/>
                <w:snapToGrid w:val="0"/>
                <w:color w:val="auto"/>
                <w:kern w:val="21"/>
                <w:sz w:val="21"/>
                <w:szCs w:val="21"/>
                <w:highlight w:val="none"/>
                <w:lang w:val="en-US" w:eastAsia="zh-CN"/>
              </w:rPr>
              <w:t>废气</w:t>
            </w:r>
          </w:p>
        </w:tc>
        <w:tc>
          <w:tcPr>
            <w:tcW w:w="2357" w:type="dxa"/>
            <w:vAlign w:val="center"/>
          </w:tcPr>
          <w:p w14:paraId="70503F70">
            <w:pPr>
              <w:adjustRightInd w:val="0"/>
              <w:snapToGrid w:val="0"/>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color w:val="auto"/>
                <w:sz w:val="21"/>
                <w:szCs w:val="21"/>
                <w:highlight w:val="none"/>
                <w:lang w:val="en-US" w:eastAsia="zh-CN"/>
              </w:rPr>
              <w:t>VOCs</w:t>
            </w:r>
          </w:p>
        </w:tc>
        <w:tc>
          <w:tcPr>
            <w:tcW w:w="1845" w:type="dxa"/>
            <w:vAlign w:val="center"/>
          </w:tcPr>
          <w:p w14:paraId="0017C82F">
            <w:pPr>
              <w:adjustRightInd w:val="0"/>
              <w:snapToGrid w:val="0"/>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185" w:type="dxa"/>
            <w:vAlign w:val="center"/>
          </w:tcPr>
          <w:p w14:paraId="567B0976">
            <w:pPr>
              <w:jc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515" w:type="dxa"/>
            <w:vAlign w:val="center"/>
          </w:tcPr>
          <w:p w14:paraId="2B52141A">
            <w:pPr>
              <w:jc w:val="center"/>
              <w:rPr>
                <w:rFonts w:hint="default" w:ascii="Times New Roman" w:hAnsi="Times New Roman" w:cs="Times New Roman"/>
                <w:color w:val="auto"/>
                <w:sz w:val="21"/>
                <w:szCs w:val="21"/>
                <w:highlight w:val="none"/>
              </w:rPr>
            </w:pPr>
            <w:r>
              <w:rPr>
                <w:color w:val="auto"/>
                <w:szCs w:val="21"/>
                <w:highlight w:val="none"/>
              </w:rPr>
              <w:t>/</w:t>
            </w:r>
          </w:p>
        </w:tc>
        <w:tc>
          <w:tcPr>
            <w:tcW w:w="1440" w:type="dxa"/>
            <w:shd w:val="clear" w:color="auto" w:fill="auto"/>
            <w:vAlign w:val="center"/>
          </w:tcPr>
          <w:p w14:paraId="7800BBB7">
            <w:pPr>
              <w:ind w:left="-105" w:leftChars="-50" w:right="-105" w:rightChars="-50"/>
              <w:contextualSpacing/>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0.5645</w:t>
            </w:r>
          </w:p>
        </w:tc>
        <w:tc>
          <w:tcPr>
            <w:tcW w:w="1305" w:type="dxa"/>
            <w:vAlign w:val="center"/>
          </w:tcPr>
          <w:p w14:paraId="71100B95">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650" w:type="dxa"/>
            <w:shd w:val="clear" w:color="auto" w:fill="auto"/>
            <w:vAlign w:val="center"/>
          </w:tcPr>
          <w:p w14:paraId="0C950E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0.5645</w:t>
            </w:r>
          </w:p>
        </w:tc>
        <w:tc>
          <w:tcPr>
            <w:tcW w:w="1191" w:type="dxa"/>
            <w:shd w:val="clear" w:color="auto" w:fill="auto"/>
            <w:vAlign w:val="center"/>
          </w:tcPr>
          <w:p w14:paraId="19DB03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0.5645</w:t>
            </w:r>
          </w:p>
        </w:tc>
      </w:tr>
      <w:tr w14:paraId="37FA17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0EDE3C41">
            <w:pPr>
              <w:pStyle w:val="73"/>
              <w:spacing w:line="240" w:lineRule="auto"/>
              <w:rPr>
                <w:rFonts w:hint="eastAsia" w:ascii="黑体" w:hAnsi="黑体" w:eastAsia="黑体" w:cs="黑体"/>
                <w:snapToGrid w:val="0"/>
                <w:color w:val="auto"/>
                <w:kern w:val="21"/>
                <w:sz w:val="21"/>
                <w:szCs w:val="21"/>
                <w:highlight w:val="none"/>
                <w:lang w:val="en-US" w:eastAsia="zh-CN"/>
              </w:rPr>
            </w:pPr>
          </w:p>
        </w:tc>
        <w:tc>
          <w:tcPr>
            <w:tcW w:w="2357" w:type="dxa"/>
            <w:vAlign w:val="center"/>
          </w:tcPr>
          <w:p w14:paraId="2E2BC9FF">
            <w:pPr>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颗粒物</w:t>
            </w:r>
          </w:p>
        </w:tc>
        <w:tc>
          <w:tcPr>
            <w:tcW w:w="1845" w:type="dxa"/>
            <w:vAlign w:val="center"/>
          </w:tcPr>
          <w:p w14:paraId="04F47347">
            <w:pPr>
              <w:adjustRightInd w:val="0"/>
              <w:snapToGrid w:val="0"/>
              <w:jc w:val="center"/>
              <w:rPr>
                <w:rFonts w:hint="default"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185" w:type="dxa"/>
            <w:vAlign w:val="center"/>
          </w:tcPr>
          <w:p w14:paraId="558D481B">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515" w:type="dxa"/>
            <w:vAlign w:val="center"/>
          </w:tcPr>
          <w:p w14:paraId="547C02CF">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440" w:type="dxa"/>
            <w:shd w:val="clear" w:color="auto" w:fill="auto"/>
            <w:vAlign w:val="center"/>
          </w:tcPr>
          <w:p w14:paraId="3FEB27A0">
            <w:pPr>
              <w:ind w:left="-105" w:leftChars="-50" w:right="-105" w:rightChars="-50"/>
              <w:contextualSpacing/>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0.119</w:t>
            </w:r>
          </w:p>
        </w:tc>
        <w:tc>
          <w:tcPr>
            <w:tcW w:w="1305" w:type="dxa"/>
            <w:vAlign w:val="center"/>
          </w:tcPr>
          <w:p w14:paraId="22058288">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650" w:type="dxa"/>
            <w:shd w:val="clear" w:color="auto" w:fill="auto"/>
            <w:vAlign w:val="center"/>
          </w:tcPr>
          <w:p w14:paraId="300DBA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0.119</w:t>
            </w:r>
          </w:p>
        </w:tc>
        <w:tc>
          <w:tcPr>
            <w:tcW w:w="1191" w:type="dxa"/>
            <w:shd w:val="clear" w:color="auto" w:fill="auto"/>
            <w:vAlign w:val="center"/>
          </w:tcPr>
          <w:p w14:paraId="2ED7EB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0.119</w:t>
            </w:r>
          </w:p>
        </w:tc>
      </w:tr>
      <w:tr w14:paraId="338EBF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restart"/>
            <w:vAlign w:val="center"/>
          </w:tcPr>
          <w:p w14:paraId="1B1F01BE">
            <w:pPr>
              <w:pStyle w:val="73"/>
              <w:keepNext w:val="0"/>
              <w:keepLines w:val="0"/>
              <w:pageBreakBefore w:val="0"/>
              <w:kinsoku/>
              <w:wordWrap/>
              <w:overflowPunct/>
              <w:topLinePunct w:val="0"/>
              <w:bidi w:val="0"/>
              <w:spacing w:beforeLines="0" w:afterLines="0" w:line="480" w:lineRule="exact"/>
              <w:rPr>
                <w:rFonts w:hint="eastAsia" w:ascii="黑体" w:hAnsi="黑体" w:eastAsia="黑体" w:cs="黑体"/>
                <w:snapToGrid w:val="0"/>
                <w:color w:val="auto"/>
                <w:kern w:val="21"/>
                <w:sz w:val="21"/>
                <w:szCs w:val="21"/>
                <w:highlight w:val="none"/>
                <w:lang w:val="en-US" w:eastAsia="zh-CN" w:bidi="ar-SA"/>
              </w:rPr>
            </w:pPr>
            <w:r>
              <w:rPr>
                <w:rFonts w:hint="eastAsia" w:ascii="黑体" w:hAnsi="黑体" w:eastAsia="黑体" w:cs="黑体"/>
                <w:snapToGrid w:val="0"/>
                <w:color w:val="auto"/>
                <w:kern w:val="21"/>
                <w:sz w:val="21"/>
                <w:szCs w:val="21"/>
                <w:highlight w:val="none"/>
              </w:rPr>
              <w:t>废水</w:t>
            </w:r>
          </w:p>
        </w:tc>
        <w:tc>
          <w:tcPr>
            <w:tcW w:w="2357" w:type="dxa"/>
            <w:vAlign w:val="center"/>
          </w:tcPr>
          <w:p w14:paraId="3DCC59D8">
            <w:pPr>
              <w:pStyle w:val="73"/>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color w:val="auto"/>
                <w:szCs w:val="21"/>
                <w:highlight w:val="none"/>
              </w:rPr>
              <w:t>废水总量（万</w:t>
            </w:r>
            <w:r>
              <w:rPr>
                <w:rFonts w:ascii="Times New Roman"/>
                <w:color w:val="auto"/>
                <w:spacing w:val="-20"/>
                <w:szCs w:val="21"/>
                <w:highlight w:val="none"/>
              </w:rPr>
              <w:t>m</w:t>
            </w:r>
            <w:r>
              <w:rPr>
                <w:rFonts w:ascii="Times New Roman"/>
                <w:color w:val="auto"/>
                <w:spacing w:val="-20"/>
                <w:szCs w:val="21"/>
                <w:highlight w:val="none"/>
                <w:vertAlign w:val="superscript"/>
              </w:rPr>
              <w:t>3</w:t>
            </w:r>
            <w:r>
              <w:rPr>
                <w:rFonts w:ascii="Times New Roman"/>
                <w:color w:val="auto"/>
                <w:spacing w:val="-20"/>
                <w:szCs w:val="21"/>
                <w:highlight w:val="none"/>
              </w:rPr>
              <w:t>/a</w:t>
            </w:r>
            <w:r>
              <w:rPr>
                <w:rFonts w:ascii="Times New Roman"/>
                <w:color w:val="auto"/>
                <w:szCs w:val="21"/>
                <w:highlight w:val="none"/>
              </w:rPr>
              <w:t>）</w:t>
            </w:r>
          </w:p>
        </w:tc>
        <w:tc>
          <w:tcPr>
            <w:tcW w:w="1845" w:type="dxa"/>
            <w:vAlign w:val="center"/>
          </w:tcPr>
          <w:p w14:paraId="1E327680">
            <w:pPr>
              <w:adjustRightInd w:val="0"/>
              <w:snapToGrid w:val="0"/>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185" w:type="dxa"/>
            <w:vAlign w:val="center"/>
          </w:tcPr>
          <w:p w14:paraId="589D7EE2">
            <w:pPr>
              <w:keepNext w:val="0"/>
              <w:keepLines w:val="0"/>
              <w:pageBreakBefore w:val="0"/>
              <w:kinsoku/>
              <w:wordWrap/>
              <w:overflowPunct/>
              <w:topLinePunct w:val="0"/>
              <w:bidi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color w:val="auto"/>
                <w:szCs w:val="21"/>
                <w:highlight w:val="none"/>
              </w:rPr>
              <w:t>/</w:t>
            </w:r>
          </w:p>
        </w:tc>
        <w:tc>
          <w:tcPr>
            <w:tcW w:w="1515" w:type="dxa"/>
            <w:vAlign w:val="center"/>
          </w:tcPr>
          <w:p w14:paraId="242F470B">
            <w:pPr>
              <w:keepNext w:val="0"/>
              <w:keepLines w:val="0"/>
              <w:pageBreakBefore w:val="0"/>
              <w:kinsoku/>
              <w:wordWrap/>
              <w:overflowPunct/>
              <w:topLinePunct w:val="0"/>
              <w:bidi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color w:val="auto"/>
                <w:szCs w:val="21"/>
                <w:highlight w:val="none"/>
              </w:rPr>
              <w:t>/</w:t>
            </w:r>
          </w:p>
        </w:tc>
        <w:tc>
          <w:tcPr>
            <w:tcW w:w="1440" w:type="dxa"/>
            <w:shd w:val="clear" w:color="auto" w:fill="auto"/>
            <w:vAlign w:val="center"/>
          </w:tcPr>
          <w:p w14:paraId="5A43D5A9">
            <w:pPr>
              <w:adjustRightInd w:val="0"/>
              <w:snapToGrid w:val="0"/>
              <w:jc w:val="center"/>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0.036</w:t>
            </w:r>
          </w:p>
        </w:tc>
        <w:tc>
          <w:tcPr>
            <w:tcW w:w="1305" w:type="dxa"/>
            <w:vAlign w:val="center"/>
          </w:tcPr>
          <w:p w14:paraId="3523BBCA">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w:t>
            </w:r>
          </w:p>
        </w:tc>
        <w:tc>
          <w:tcPr>
            <w:tcW w:w="1650" w:type="dxa"/>
            <w:shd w:val="clear" w:color="auto" w:fill="auto"/>
            <w:vAlign w:val="center"/>
          </w:tcPr>
          <w:p w14:paraId="58D81F4B">
            <w:pPr>
              <w:adjustRightInd w:val="0"/>
              <w:snapToGrid w:val="0"/>
              <w:jc w:val="center"/>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0.036</w:t>
            </w:r>
          </w:p>
        </w:tc>
        <w:tc>
          <w:tcPr>
            <w:tcW w:w="1191" w:type="dxa"/>
            <w:shd w:val="clear" w:color="auto" w:fill="auto"/>
            <w:vAlign w:val="center"/>
          </w:tcPr>
          <w:p w14:paraId="1577B3E2">
            <w:pPr>
              <w:adjustRightInd w:val="0"/>
              <w:snapToGrid w:val="0"/>
              <w:jc w:val="center"/>
              <w:rPr>
                <w:rFonts w:hint="default" w:ascii="Times New Roman" w:hAnsi="Times New Roman" w:eastAsia="宋体" w:cs="Times New Roman"/>
                <w:color w:val="auto"/>
                <w:kern w:val="2"/>
                <w:sz w:val="21"/>
                <w:szCs w:val="21"/>
                <w:highlight w:val="none"/>
                <w:lang w:val="en-US" w:eastAsia="zh-CN" w:bidi="ar"/>
              </w:rPr>
            </w:pPr>
            <w:r>
              <w:rPr>
                <w:rFonts w:hint="eastAsia" w:cs="Times New Roman"/>
                <w:color w:val="auto"/>
                <w:kern w:val="2"/>
                <w:sz w:val="21"/>
                <w:szCs w:val="21"/>
                <w:highlight w:val="none"/>
                <w:lang w:val="en-US" w:eastAsia="zh-CN" w:bidi="ar"/>
              </w:rPr>
              <w:t>+0.036</w:t>
            </w:r>
          </w:p>
        </w:tc>
      </w:tr>
      <w:tr w14:paraId="468112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79B1EADA">
            <w:pPr>
              <w:pStyle w:val="73"/>
              <w:keepNext w:val="0"/>
              <w:keepLines w:val="0"/>
              <w:pageBreakBefore w:val="0"/>
              <w:kinsoku/>
              <w:wordWrap/>
              <w:overflowPunct/>
              <w:topLinePunct w:val="0"/>
              <w:bidi w:val="0"/>
              <w:spacing w:beforeLines="0" w:afterLines="0" w:line="480" w:lineRule="exact"/>
              <w:rPr>
                <w:rFonts w:hint="eastAsia" w:ascii="黑体" w:hAnsi="黑体" w:eastAsia="黑体" w:cs="黑体"/>
                <w:snapToGrid w:val="0"/>
                <w:color w:val="auto"/>
                <w:kern w:val="21"/>
                <w:sz w:val="21"/>
                <w:szCs w:val="21"/>
                <w:highlight w:val="none"/>
              </w:rPr>
            </w:pPr>
          </w:p>
        </w:tc>
        <w:tc>
          <w:tcPr>
            <w:tcW w:w="2357" w:type="dxa"/>
            <w:shd w:val="clear" w:color="auto" w:fill="auto"/>
            <w:vAlign w:val="center"/>
          </w:tcPr>
          <w:p w14:paraId="0A81687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w:t>
            </w:r>
          </w:p>
        </w:tc>
        <w:tc>
          <w:tcPr>
            <w:tcW w:w="1845" w:type="dxa"/>
            <w:vAlign w:val="center"/>
          </w:tcPr>
          <w:p w14:paraId="35E8EEB2">
            <w:pPr>
              <w:ind w:left="-105" w:leftChars="-50" w:right="-105" w:rightChars="-50"/>
              <w:contextualSpacing/>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185" w:type="dxa"/>
            <w:vAlign w:val="center"/>
          </w:tcPr>
          <w:p w14:paraId="6033DE12">
            <w:pPr>
              <w:keepNext w:val="0"/>
              <w:keepLines w:val="0"/>
              <w:pageBreakBefore w:val="0"/>
              <w:kinsoku/>
              <w:wordWrap/>
              <w:overflowPunct/>
              <w:topLinePunct w:val="0"/>
              <w:bidi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rPr>
            </w:pPr>
            <w:r>
              <w:rPr>
                <w:color w:val="auto"/>
                <w:szCs w:val="21"/>
                <w:highlight w:val="none"/>
              </w:rPr>
              <w:t>/</w:t>
            </w:r>
          </w:p>
        </w:tc>
        <w:tc>
          <w:tcPr>
            <w:tcW w:w="1515" w:type="dxa"/>
            <w:vAlign w:val="center"/>
          </w:tcPr>
          <w:p w14:paraId="7654F453">
            <w:pPr>
              <w:keepNext w:val="0"/>
              <w:keepLines w:val="0"/>
              <w:pageBreakBefore w:val="0"/>
              <w:kinsoku/>
              <w:wordWrap/>
              <w:overflowPunct/>
              <w:topLinePunct w:val="0"/>
              <w:bidi w:val="0"/>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rPr>
            </w:pPr>
            <w:r>
              <w:rPr>
                <w:color w:val="auto"/>
                <w:szCs w:val="21"/>
                <w:highlight w:val="none"/>
              </w:rPr>
              <w:t>/</w:t>
            </w:r>
          </w:p>
        </w:tc>
        <w:tc>
          <w:tcPr>
            <w:tcW w:w="1440" w:type="dxa"/>
            <w:shd w:val="clear" w:color="auto" w:fill="auto"/>
            <w:vAlign w:val="center"/>
          </w:tcPr>
          <w:p w14:paraId="1A9AB1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0.126</w:t>
            </w:r>
          </w:p>
        </w:tc>
        <w:tc>
          <w:tcPr>
            <w:tcW w:w="1305" w:type="dxa"/>
            <w:vAlign w:val="center"/>
          </w:tcPr>
          <w:p w14:paraId="5BDE85AC">
            <w:pPr>
              <w:ind w:left="-105" w:leftChars="-50" w:right="-105" w:rightChars="-50"/>
              <w:contextualSpacing/>
              <w:jc w:val="cente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w:t>
            </w:r>
          </w:p>
        </w:tc>
        <w:tc>
          <w:tcPr>
            <w:tcW w:w="1650" w:type="dxa"/>
            <w:shd w:val="clear" w:color="auto" w:fill="auto"/>
            <w:vAlign w:val="center"/>
          </w:tcPr>
          <w:p w14:paraId="14BF61F6">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0.126</w:t>
            </w:r>
          </w:p>
        </w:tc>
        <w:tc>
          <w:tcPr>
            <w:tcW w:w="1191" w:type="dxa"/>
            <w:shd w:val="clear" w:color="auto" w:fill="auto"/>
            <w:vAlign w:val="center"/>
          </w:tcPr>
          <w:p w14:paraId="2945F6A8">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0.126</w:t>
            </w:r>
          </w:p>
        </w:tc>
      </w:tr>
      <w:tr w14:paraId="773962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6E5D7587">
            <w:pPr>
              <w:pStyle w:val="73"/>
              <w:spacing w:line="240" w:lineRule="auto"/>
              <w:rPr>
                <w:rFonts w:hint="eastAsia" w:ascii="黑体" w:hAnsi="黑体" w:eastAsia="黑体" w:cs="黑体"/>
                <w:snapToGrid w:val="0"/>
                <w:color w:val="auto"/>
                <w:kern w:val="21"/>
                <w:sz w:val="21"/>
                <w:szCs w:val="21"/>
                <w:highlight w:val="none"/>
                <w:lang w:val="en-US" w:eastAsia="zh-CN"/>
              </w:rPr>
            </w:pPr>
          </w:p>
        </w:tc>
        <w:tc>
          <w:tcPr>
            <w:tcW w:w="2357" w:type="dxa"/>
            <w:shd w:val="clear" w:color="auto" w:fill="auto"/>
            <w:vAlign w:val="center"/>
          </w:tcPr>
          <w:p w14:paraId="159E5C4B">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BOD</w:t>
            </w:r>
            <w:r>
              <w:rPr>
                <w:rFonts w:hint="eastAsia" w:ascii="Times New Roman" w:hAnsi="Times New Roman" w:eastAsia="宋体" w:cs="Times New Roman"/>
                <w:color w:val="auto"/>
                <w:kern w:val="2"/>
                <w:sz w:val="21"/>
                <w:szCs w:val="21"/>
                <w:vertAlign w:val="subscript"/>
                <w:lang w:val="en-US" w:eastAsia="zh-CN" w:bidi="ar-SA"/>
              </w:rPr>
              <w:t>5</w:t>
            </w:r>
          </w:p>
        </w:tc>
        <w:tc>
          <w:tcPr>
            <w:tcW w:w="1845" w:type="dxa"/>
            <w:vAlign w:val="center"/>
          </w:tcPr>
          <w:p w14:paraId="4495499C">
            <w:pPr>
              <w:ind w:left="-105" w:leftChars="-50" w:right="-105" w:rightChars="-50"/>
              <w:contextualSpacing/>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185" w:type="dxa"/>
            <w:vAlign w:val="center"/>
          </w:tcPr>
          <w:p w14:paraId="60C8E8BF">
            <w:pPr>
              <w:keepNext w:val="0"/>
              <w:keepLines w:val="0"/>
              <w:pageBreakBefore w:val="0"/>
              <w:kinsoku/>
              <w:wordWrap/>
              <w:overflowPunct/>
              <w:topLinePunct w:val="0"/>
              <w:bidi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color w:val="auto"/>
                <w:szCs w:val="21"/>
                <w:highlight w:val="none"/>
              </w:rPr>
              <w:t>/</w:t>
            </w:r>
          </w:p>
        </w:tc>
        <w:tc>
          <w:tcPr>
            <w:tcW w:w="1515" w:type="dxa"/>
            <w:vAlign w:val="center"/>
          </w:tcPr>
          <w:p w14:paraId="76E76D27">
            <w:pPr>
              <w:keepNext w:val="0"/>
              <w:keepLines w:val="0"/>
              <w:pageBreakBefore w:val="0"/>
              <w:kinsoku/>
              <w:wordWrap/>
              <w:overflowPunct/>
              <w:topLinePunct w:val="0"/>
              <w:bidi w:val="0"/>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color w:val="auto"/>
                <w:szCs w:val="21"/>
                <w:highlight w:val="none"/>
              </w:rPr>
              <w:t>/</w:t>
            </w:r>
          </w:p>
        </w:tc>
        <w:tc>
          <w:tcPr>
            <w:tcW w:w="1440" w:type="dxa"/>
            <w:shd w:val="clear" w:color="auto" w:fill="auto"/>
            <w:vAlign w:val="center"/>
          </w:tcPr>
          <w:p w14:paraId="025AB00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0.072</w:t>
            </w:r>
          </w:p>
        </w:tc>
        <w:tc>
          <w:tcPr>
            <w:tcW w:w="1305" w:type="dxa"/>
            <w:vAlign w:val="center"/>
          </w:tcPr>
          <w:p w14:paraId="1336E9AF">
            <w:pPr>
              <w:ind w:left="-105" w:leftChars="-50" w:right="-105" w:rightChars="-50"/>
              <w:contextualSpacing/>
              <w:jc w:val="center"/>
              <w:rPr>
                <w:rFonts w:hint="default" w:ascii="Times New Roman" w:hAnsi="Times New Roman" w:eastAsia="宋体" w:cs="Times New Roman"/>
                <w:color w:val="auto"/>
                <w:kern w:val="2"/>
                <w:sz w:val="21"/>
                <w:szCs w:val="21"/>
                <w:highlight w:val="none"/>
                <w:lang w:val="en-US" w:eastAsia="zh-CN" w:bidi="ar-SA"/>
              </w:rPr>
            </w:pPr>
            <w:r>
              <w:rPr>
                <w:color w:val="auto"/>
                <w:szCs w:val="21"/>
                <w:highlight w:val="none"/>
              </w:rPr>
              <w:t>/</w:t>
            </w:r>
          </w:p>
        </w:tc>
        <w:tc>
          <w:tcPr>
            <w:tcW w:w="1650" w:type="dxa"/>
            <w:shd w:val="clear" w:color="auto" w:fill="auto"/>
            <w:vAlign w:val="center"/>
          </w:tcPr>
          <w:p w14:paraId="299532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0.072</w:t>
            </w:r>
          </w:p>
        </w:tc>
        <w:tc>
          <w:tcPr>
            <w:tcW w:w="1191" w:type="dxa"/>
            <w:shd w:val="clear" w:color="auto" w:fill="auto"/>
            <w:vAlign w:val="center"/>
          </w:tcPr>
          <w:p w14:paraId="700480A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0.072</w:t>
            </w:r>
          </w:p>
        </w:tc>
      </w:tr>
      <w:tr w14:paraId="6E6D85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2C257964">
            <w:pPr>
              <w:pStyle w:val="73"/>
              <w:spacing w:line="240" w:lineRule="auto"/>
              <w:rPr>
                <w:rFonts w:hint="eastAsia" w:ascii="黑体" w:hAnsi="黑体" w:eastAsia="黑体" w:cs="黑体"/>
                <w:snapToGrid w:val="0"/>
                <w:color w:val="auto"/>
                <w:kern w:val="21"/>
                <w:sz w:val="21"/>
                <w:szCs w:val="21"/>
                <w:highlight w:val="none"/>
                <w:lang w:val="en-US" w:eastAsia="zh-CN"/>
              </w:rPr>
            </w:pPr>
          </w:p>
        </w:tc>
        <w:tc>
          <w:tcPr>
            <w:tcW w:w="2357" w:type="dxa"/>
            <w:shd w:val="clear" w:color="auto" w:fill="auto"/>
            <w:vAlign w:val="center"/>
          </w:tcPr>
          <w:p w14:paraId="2899184A">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1845" w:type="dxa"/>
            <w:vAlign w:val="center"/>
          </w:tcPr>
          <w:p w14:paraId="542FD1B6">
            <w:pPr>
              <w:ind w:left="-105" w:leftChars="-50" w:right="-105" w:rightChars="-50"/>
              <w:contextualSpacing/>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185" w:type="dxa"/>
            <w:vAlign w:val="center"/>
          </w:tcPr>
          <w:p w14:paraId="6322BBCC">
            <w:pPr>
              <w:keepNext w:val="0"/>
              <w:keepLines w:val="0"/>
              <w:pageBreakBefore w:val="0"/>
              <w:kinsoku/>
              <w:wordWrap/>
              <w:overflowPunct/>
              <w:topLinePunct w:val="0"/>
              <w:bidi w:val="0"/>
              <w:spacing w:beforeLines="0" w:afterLines="0" w:line="240" w:lineRule="auto"/>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515" w:type="dxa"/>
            <w:vAlign w:val="center"/>
          </w:tcPr>
          <w:p w14:paraId="214AED3F">
            <w:pPr>
              <w:keepNext w:val="0"/>
              <w:keepLines w:val="0"/>
              <w:pageBreakBefore w:val="0"/>
              <w:kinsoku/>
              <w:wordWrap/>
              <w:overflowPunct/>
              <w:topLinePunct w:val="0"/>
              <w:bidi w:val="0"/>
              <w:spacing w:beforeLines="0" w:afterLines="0" w:line="240" w:lineRule="auto"/>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440" w:type="dxa"/>
            <w:shd w:val="clear" w:color="auto" w:fill="auto"/>
            <w:vAlign w:val="center"/>
          </w:tcPr>
          <w:p w14:paraId="4506BD2A">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0.0108</w:t>
            </w:r>
          </w:p>
        </w:tc>
        <w:tc>
          <w:tcPr>
            <w:tcW w:w="1305" w:type="dxa"/>
            <w:vAlign w:val="center"/>
          </w:tcPr>
          <w:p w14:paraId="518D01FD">
            <w:pPr>
              <w:ind w:left="-105" w:leftChars="-50" w:right="-105" w:rightChars="-50"/>
              <w:contextualSpacing/>
              <w:jc w:val="center"/>
              <w:rPr>
                <w:rFonts w:hint="eastAsia" w:eastAsia="宋体"/>
                <w:color w:val="auto"/>
                <w:szCs w:val="21"/>
                <w:highlight w:val="none"/>
                <w:lang w:val="en-US" w:eastAsia="zh-CN"/>
              </w:rPr>
            </w:pPr>
            <w:r>
              <w:rPr>
                <w:color w:val="auto"/>
                <w:szCs w:val="21"/>
                <w:highlight w:val="none"/>
              </w:rPr>
              <w:t>/</w:t>
            </w:r>
          </w:p>
        </w:tc>
        <w:tc>
          <w:tcPr>
            <w:tcW w:w="1650" w:type="dxa"/>
            <w:shd w:val="clear" w:color="auto" w:fill="auto"/>
            <w:vAlign w:val="center"/>
          </w:tcPr>
          <w:p w14:paraId="0B14068C">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0.0108</w:t>
            </w:r>
          </w:p>
        </w:tc>
        <w:tc>
          <w:tcPr>
            <w:tcW w:w="1191" w:type="dxa"/>
            <w:shd w:val="clear" w:color="auto" w:fill="auto"/>
            <w:vAlign w:val="center"/>
          </w:tcPr>
          <w:p w14:paraId="533AF6D8">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0.0108</w:t>
            </w:r>
          </w:p>
        </w:tc>
      </w:tr>
      <w:tr w14:paraId="37B1D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12073540">
            <w:pPr>
              <w:pStyle w:val="73"/>
              <w:spacing w:line="240" w:lineRule="auto"/>
              <w:rPr>
                <w:rFonts w:hint="eastAsia" w:ascii="黑体" w:hAnsi="黑体" w:eastAsia="黑体" w:cs="黑体"/>
                <w:snapToGrid w:val="0"/>
                <w:color w:val="auto"/>
                <w:kern w:val="21"/>
                <w:sz w:val="21"/>
                <w:szCs w:val="21"/>
                <w:highlight w:val="none"/>
                <w:lang w:val="en-US" w:eastAsia="zh-CN"/>
              </w:rPr>
            </w:pPr>
          </w:p>
        </w:tc>
        <w:tc>
          <w:tcPr>
            <w:tcW w:w="2357" w:type="dxa"/>
            <w:shd w:val="clear" w:color="auto" w:fill="auto"/>
            <w:vAlign w:val="center"/>
          </w:tcPr>
          <w:p w14:paraId="0FFCED9C">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kern w:val="2"/>
                <w:sz w:val="21"/>
                <w:szCs w:val="21"/>
                <w:vertAlign w:val="baseline"/>
                <w:lang w:val="en-US" w:eastAsia="zh-CN" w:bidi="ar-SA"/>
              </w:rPr>
              <w:t>SS</w:t>
            </w:r>
          </w:p>
        </w:tc>
        <w:tc>
          <w:tcPr>
            <w:tcW w:w="1845" w:type="dxa"/>
            <w:vAlign w:val="center"/>
          </w:tcPr>
          <w:p w14:paraId="287E48AD">
            <w:pPr>
              <w:ind w:left="-105" w:leftChars="-50" w:right="-105" w:rightChars="-50"/>
              <w:contextualSpacing/>
              <w:jc w:val="center"/>
              <w:rPr>
                <w:color w:val="auto"/>
                <w:szCs w:val="21"/>
                <w:highlight w:val="none"/>
              </w:rPr>
            </w:pPr>
            <w:r>
              <w:rPr>
                <w:rFonts w:hint="eastAsia"/>
                <w:color w:val="auto"/>
                <w:szCs w:val="21"/>
                <w:highlight w:val="none"/>
                <w:lang w:val="en-US" w:eastAsia="zh-CN"/>
              </w:rPr>
              <w:t>/</w:t>
            </w:r>
          </w:p>
        </w:tc>
        <w:tc>
          <w:tcPr>
            <w:tcW w:w="1185" w:type="dxa"/>
            <w:vAlign w:val="center"/>
          </w:tcPr>
          <w:p w14:paraId="65B7BD6D">
            <w:pPr>
              <w:keepNext w:val="0"/>
              <w:keepLines w:val="0"/>
              <w:pageBreakBefore w:val="0"/>
              <w:kinsoku/>
              <w:wordWrap/>
              <w:overflowPunct/>
              <w:topLinePunct w:val="0"/>
              <w:bidi w:val="0"/>
              <w:spacing w:beforeLines="0" w:afterLines="0" w:line="240" w:lineRule="auto"/>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515" w:type="dxa"/>
            <w:vAlign w:val="center"/>
          </w:tcPr>
          <w:p w14:paraId="2A389FBD">
            <w:pPr>
              <w:keepNext w:val="0"/>
              <w:keepLines w:val="0"/>
              <w:pageBreakBefore w:val="0"/>
              <w:kinsoku/>
              <w:wordWrap/>
              <w:overflowPunct/>
              <w:topLinePunct w:val="0"/>
              <w:bidi w:val="0"/>
              <w:spacing w:beforeLines="0" w:afterLines="0" w:line="240" w:lineRule="auto"/>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440" w:type="dxa"/>
            <w:shd w:val="clear" w:color="auto" w:fill="auto"/>
            <w:vAlign w:val="center"/>
          </w:tcPr>
          <w:p w14:paraId="5F2BA500">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1305" w:type="dxa"/>
            <w:vAlign w:val="center"/>
          </w:tcPr>
          <w:p w14:paraId="05D065F3">
            <w:pPr>
              <w:ind w:left="-105" w:leftChars="-50" w:right="-105" w:rightChars="-50"/>
              <w:contextualSpacing/>
              <w:jc w:val="center"/>
              <w:rPr>
                <w:rFonts w:hint="eastAsia" w:eastAsia="宋体"/>
                <w:color w:val="auto"/>
                <w:szCs w:val="21"/>
                <w:highlight w:val="none"/>
                <w:lang w:val="en-US" w:eastAsia="zh-CN"/>
              </w:rPr>
            </w:pPr>
            <w:r>
              <w:rPr>
                <w:color w:val="auto"/>
                <w:szCs w:val="21"/>
                <w:highlight w:val="none"/>
              </w:rPr>
              <w:t>/</w:t>
            </w:r>
          </w:p>
        </w:tc>
        <w:tc>
          <w:tcPr>
            <w:tcW w:w="1650" w:type="dxa"/>
            <w:shd w:val="clear" w:color="auto" w:fill="auto"/>
            <w:vAlign w:val="center"/>
          </w:tcPr>
          <w:p w14:paraId="5D4B50EE">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0.108</w:t>
            </w:r>
          </w:p>
        </w:tc>
        <w:tc>
          <w:tcPr>
            <w:tcW w:w="1191" w:type="dxa"/>
            <w:shd w:val="clear" w:color="auto" w:fill="auto"/>
            <w:vAlign w:val="center"/>
          </w:tcPr>
          <w:p w14:paraId="20170A56">
            <w:pPr>
              <w:keepNext w:val="0"/>
              <w:keepLines w:val="0"/>
              <w:widowControl/>
              <w:suppressLineNumbers w:val="0"/>
              <w:jc w:val="center"/>
              <w:textAlignment w:val="center"/>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0.108</w:t>
            </w:r>
          </w:p>
        </w:tc>
      </w:tr>
      <w:tr w14:paraId="3C7BBA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restart"/>
            <w:vAlign w:val="center"/>
          </w:tcPr>
          <w:p w14:paraId="7403B8C7">
            <w:pPr>
              <w:pStyle w:val="73"/>
              <w:keepNext w:val="0"/>
              <w:keepLines w:val="0"/>
              <w:pageBreakBefore w:val="0"/>
              <w:kinsoku/>
              <w:wordWrap/>
              <w:overflowPunct/>
              <w:topLinePunct w:val="0"/>
              <w:bidi w:val="0"/>
              <w:spacing w:beforeLines="0" w:afterLines="0" w:line="240" w:lineRule="auto"/>
              <w:jc w:val="center"/>
              <w:rPr>
                <w:rFonts w:hint="eastAsia" w:ascii="黑体" w:hAnsi="黑体" w:eastAsia="黑体" w:cs="黑体"/>
                <w:snapToGrid w:val="0"/>
                <w:color w:val="auto"/>
                <w:kern w:val="21"/>
                <w:sz w:val="21"/>
                <w:szCs w:val="21"/>
                <w:highlight w:val="none"/>
                <w:lang w:val="en-US" w:eastAsia="zh-CN"/>
              </w:rPr>
            </w:pPr>
            <w:r>
              <w:rPr>
                <w:rFonts w:hint="eastAsia" w:ascii="黑体" w:hAnsi="黑体" w:eastAsia="黑体" w:cs="黑体"/>
                <w:snapToGrid w:val="0"/>
                <w:color w:val="auto"/>
                <w:kern w:val="21"/>
                <w:sz w:val="21"/>
                <w:szCs w:val="21"/>
                <w:highlight w:val="none"/>
                <w:lang w:val="en-US" w:eastAsia="zh-CN"/>
              </w:rPr>
              <w:t>一般工业固体废物</w:t>
            </w:r>
          </w:p>
        </w:tc>
        <w:tc>
          <w:tcPr>
            <w:tcW w:w="2357" w:type="dxa"/>
            <w:shd w:val="clear" w:color="auto" w:fill="auto"/>
            <w:vAlign w:val="center"/>
          </w:tcPr>
          <w:p w14:paraId="42490D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废包装物</w:t>
            </w:r>
          </w:p>
        </w:tc>
        <w:tc>
          <w:tcPr>
            <w:tcW w:w="1845" w:type="dxa"/>
            <w:vAlign w:val="center"/>
          </w:tcPr>
          <w:p w14:paraId="1E20C4C0">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00CC0C82">
            <w:pPr>
              <w:jc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515" w:type="dxa"/>
            <w:vAlign w:val="center"/>
          </w:tcPr>
          <w:p w14:paraId="70F8C35A">
            <w:pPr>
              <w:jc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440" w:type="dxa"/>
            <w:shd w:val="clear" w:color="auto" w:fill="auto"/>
            <w:vAlign w:val="center"/>
          </w:tcPr>
          <w:p w14:paraId="0BD02B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5</w:t>
            </w:r>
          </w:p>
        </w:tc>
        <w:tc>
          <w:tcPr>
            <w:tcW w:w="1305" w:type="dxa"/>
            <w:vAlign w:val="center"/>
          </w:tcPr>
          <w:p w14:paraId="268EC3B6">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650" w:type="dxa"/>
            <w:shd w:val="clear" w:color="auto" w:fill="auto"/>
            <w:vAlign w:val="center"/>
          </w:tcPr>
          <w:p w14:paraId="684319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5</w:t>
            </w:r>
          </w:p>
        </w:tc>
        <w:tc>
          <w:tcPr>
            <w:tcW w:w="1191" w:type="dxa"/>
            <w:shd w:val="clear" w:color="auto" w:fill="auto"/>
            <w:vAlign w:val="center"/>
          </w:tcPr>
          <w:p w14:paraId="0F07AC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+5</w:t>
            </w:r>
          </w:p>
        </w:tc>
      </w:tr>
      <w:tr w14:paraId="441ED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29E6BC7D">
            <w:pPr>
              <w:pStyle w:val="73"/>
              <w:keepNext w:val="0"/>
              <w:keepLines w:val="0"/>
              <w:pageBreakBefore w:val="0"/>
              <w:kinsoku/>
              <w:wordWrap/>
              <w:overflowPunct/>
              <w:topLinePunct w:val="0"/>
              <w:bidi w:val="0"/>
              <w:spacing w:beforeLines="0" w:afterLines="0" w:line="240" w:lineRule="auto"/>
              <w:jc w:val="center"/>
              <w:rPr>
                <w:rFonts w:hint="eastAsia" w:ascii="黑体" w:hAnsi="黑体" w:eastAsia="黑体" w:cs="黑体"/>
                <w:snapToGrid w:val="0"/>
                <w:color w:val="auto"/>
                <w:kern w:val="21"/>
                <w:sz w:val="21"/>
                <w:szCs w:val="21"/>
                <w:highlight w:val="none"/>
                <w:lang w:val="en-US" w:eastAsia="zh-CN"/>
              </w:rPr>
            </w:pPr>
          </w:p>
        </w:tc>
        <w:tc>
          <w:tcPr>
            <w:tcW w:w="2357" w:type="dxa"/>
            <w:shd w:val="clear" w:color="auto" w:fill="auto"/>
            <w:vAlign w:val="center"/>
          </w:tcPr>
          <w:p w14:paraId="1B551B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除尘器收集粉尘</w:t>
            </w:r>
          </w:p>
        </w:tc>
        <w:tc>
          <w:tcPr>
            <w:tcW w:w="1845" w:type="dxa"/>
            <w:vAlign w:val="center"/>
          </w:tcPr>
          <w:p w14:paraId="15861AA7">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36FAB983">
            <w:pPr>
              <w:jc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515" w:type="dxa"/>
            <w:vAlign w:val="center"/>
          </w:tcPr>
          <w:p w14:paraId="7F414AB8">
            <w:pPr>
              <w:jc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440" w:type="dxa"/>
            <w:shd w:val="clear" w:color="auto" w:fill="auto"/>
            <w:vAlign w:val="center"/>
          </w:tcPr>
          <w:p w14:paraId="58B57B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cs="Times New Roman"/>
                <w:color w:val="auto"/>
                <w:sz w:val="21"/>
                <w:szCs w:val="21"/>
                <w:highlight w:val="none"/>
                <w:lang w:val="en-US" w:eastAsia="zh-CN"/>
              </w:rPr>
              <w:t>1.88</w:t>
            </w:r>
          </w:p>
        </w:tc>
        <w:tc>
          <w:tcPr>
            <w:tcW w:w="1305" w:type="dxa"/>
            <w:vAlign w:val="center"/>
          </w:tcPr>
          <w:p w14:paraId="3D5D5C8C">
            <w:pPr>
              <w:keepNext w:val="0"/>
              <w:keepLines w:val="0"/>
              <w:widowControl/>
              <w:suppressLineNumbers w:val="0"/>
              <w:jc w:val="center"/>
              <w:textAlignment w:val="center"/>
              <w:rPr>
                <w:rFonts w:hint="default" w:eastAsia="宋体"/>
                <w:color w:val="auto"/>
                <w:szCs w:val="21"/>
                <w:highlight w:val="none"/>
                <w:lang w:val="en-US" w:eastAsia="zh-CN"/>
              </w:rPr>
            </w:pPr>
            <w:r>
              <w:rPr>
                <w:color w:val="auto"/>
                <w:szCs w:val="21"/>
                <w:highlight w:val="none"/>
              </w:rPr>
              <w:t>/</w:t>
            </w:r>
          </w:p>
        </w:tc>
        <w:tc>
          <w:tcPr>
            <w:tcW w:w="1650" w:type="dxa"/>
            <w:shd w:val="clear" w:color="auto" w:fill="auto"/>
            <w:vAlign w:val="center"/>
          </w:tcPr>
          <w:p w14:paraId="0347BE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cs="Times New Roman"/>
                <w:color w:val="auto"/>
                <w:sz w:val="21"/>
                <w:szCs w:val="21"/>
                <w:highlight w:val="none"/>
                <w:lang w:val="en-US" w:eastAsia="zh-CN"/>
              </w:rPr>
              <w:t>1.88</w:t>
            </w:r>
          </w:p>
        </w:tc>
        <w:tc>
          <w:tcPr>
            <w:tcW w:w="1191" w:type="dxa"/>
            <w:shd w:val="clear" w:color="auto" w:fill="auto"/>
            <w:vAlign w:val="center"/>
          </w:tcPr>
          <w:p w14:paraId="1C6DC7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1.88</w:t>
            </w:r>
          </w:p>
        </w:tc>
      </w:tr>
      <w:tr w14:paraId="314E03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32F16F07">
            <w:pPr>
              <w:pStyle w:val="73"/>
              <w:keepNext w:val="0"/>
              <w:keepLines w:val="0"/>
              <w:pageBreakBefore w:val="0"/>
              <w:kinsoku/>
              <w:wordWrap/>
              <w:overflowPunct/>
              <w:topLinePunct w:val="0"/>
              <w:bidi w:val="0"/>
              <w:spacing w:beforeLines="0" w:afterLines="0" w:line="240" w:lineRule="auto"/>
              <w:jc w:val="center"/>
              <w:rPr>
                <w:rFonts w:hint="eastAsia" w:ascii="黑体" w:hAnsi="黑体" w:eastAsia="黑体" w:cs="黑体"/>
                <w:snapToGrid w:val="0"/>
                <w:color w:val="auto"/>
                <w:kern w:val="21"/>
                <w:sz w:val="21"/>
                <w:szCs w:val="21"/>
                <w:highlight w:val="none"/>
                <w:lang w:val="en-US" w:eastAsia="zh-CN"/>
              </w:rPr>
            </w:pPr>
          </w:p>
        </w:tc>
        <w:tc>
          <w:tcPr>
            <w:tcW w:w="2357" w:type="dxa"/>
            <w:shd w:val="clear" w:color="auto" w:fill="auto"/>
            <w:vAlign w:val="center"/>
          </w:tcPr>
          <w:p w14:paraId="08BAD0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纺丝组件清洗废渣</w:t>
            </w:r>
          </w:p>
        </w:tc>
        <w:tc>
          <w:tcPr>
            <w:tcW w:w="1845" w:type="dxa"/>
            <w:vAlign w:val="center"/>
          </w:tcPr>
          <w:p w14:paraId="5F43B72E">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w:t>
            </w:r>
          </w:p>
        </w:tc>
        <w:tc>
          <w:tcPr>
            <w:tcW w:w="1185" w:type="dxa"/>
            <w:vAlign w:val="center"/>
          </w:tcPr>
          <w:p w14:paraId="60B74756">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515" w:type="dxa"/>
            <w:vAlign w:val="center"/>
          </w:tcPr>
          <w:p w14:paraId="04E54B29">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440" w:type="dxa"/>
            <w:shd w:val="clear" w:color="auto" w:fill="auto"/>
            <w:vAlign w:val="center"/>
          </w:tcPr>
          <w:p w14:paraId="70159B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2</w:t>
            </w:r>
          </w:p>
        </w:tc>
        <w:tc>
          <w:tcPr>
            <w:tcW w:w="1305" w:type="dxa"/>
            <w:vAlign w:val="center"/>
          </w:tcPr>
          <w:p w14:paraId="0B4AD665">
            <w:pPr>
              <w:keepNext w:val="0"/>
              <w:keepLines w:val="0"/>
              <w:widowControl/>
              <w:suppressLineNumbers w:val="0"/>
              <w:jc w:val="center"/>
              <w:textAlignment w:val="center"/>
              <w:rPr>
                <w:color w:val="auto"/>
                <w:szCs w:val="21"/>
                <w:highlight w:val="none"/>
              </w:rPr>
            </w:pPr>
          </w:p>
        </w:tc>
        <w:tc>
          <w:tcPr>
            <w:tcW w:w="1650" w:type="dxa"/>
            <w:shd w:val="clear" w:color="auto" w:fill="auto"/>
            <w:vAlign w:val="center"/>
          </w:tcPr>
          <w:p w14:paraId="1595EE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2</w:t>
            </w:r>
          </w:p>
        </w:tc>
        <w:tc>
          <w:tcPr>
            <w:tcW w:w="1191" w:type="dxa"/>
            <w:shd w:val="clear" w:color="auto" w:fill="auto"/>
            <w:vAlign w:val="center"/>
          </w:tcPr>
          <w:p w14:paraId="39915B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+2</w:t>
            </w:r>
          </w:p>
        </w:tc>
      </w:tr>
      <w:tr w14:paraId="704F4F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21BDE2C6">
            <w:pPr>
              <w:pStyle w:val="73"/>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highlight w:val="none"/>
                <w:lang w:val="en-US" w:eastAsia="zh-CN"/>
              </w:rPr>
            </w:pPr>
          </w:p>
        </w:tc>
        <w:tc>
          <w:tcPr>
            <w:tcW w:w="2357" w:type="dxa"/>
            <w:vAlign w:val="center"/>
          </w:tcPr>
          <w:p w14:paraId="21C88C59">
            <w:pPr>
              <w:pStyle w:val="73"/>
              <w:spacing w:beforeLines="0" w:afterLines="0" w:line="240" w:lineRule="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碎发丝</w:t>
            </w:r>
          </w:p>
        </w:tc>
        <w:tc>
          <w:tcPr>
            <w:tcW w:w="1845" w:type="dxa"/>
            <w:vAlign w:val="center"/>
          </w:tcPr>
          <w:p w14:paraId="0512C12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60D11090">
            <w:pPr>
              <w:jc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515" w:type="dxa"/>
            <w:vAlign w:val="center"/>
          </w:tcPr>
          <w:p w14:paraId="4CB535F0">
            <w:pPr>
              <w:jc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440" w:type="dxa"/>
            <w:shd w:val="clear" w:color="auto" w:fill="auto"/>
            <w:vAlign w:val="center"/>
          </w:tcPr>
          <w:p w14:paraId="5ED53D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0.2</w:t>
            </w:r>
          </w:p>
        </w:tc>
        <w:tc>
          <w:tcPr>
            <w:tcW w:w="1305" w:type="dxa"/>
            <w:vAlign w:val="center"/>
          </w:tcPr>
          <w:p w14:paraId="1B619621">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highlight w:val="none"/>
                <w:lang w:val="en-US" w:eastAsia="zh-CN"/>
              </w:rPr>
            </w:pPr>
            <w:r>
              <w:rPr>
                <w:color w:val="auto"/>
                <w:szCs w:val="21"/>
                <w:highlight w:val="none"/>
              </w:rPr>
              <w:t>/</w:t>
            </w:r>
          </w:p>
        </w:tc>
        <w:tc>
          <w:tcPr>
            <w:tcW w:w="1650" w:type="dxa"/>
            <w:shd w:val="clear" w:color="auto" w:fill="auto"/>
            <w:vAlign w:val="center"/>
          </w:tcPr>
          <w:p w14:paraId="294E70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0.2</w:t>
            </w:r>
          </w:p>
        </w:tc>
        <w:tc>
          <w:tcPr>
            <w:tcW w:w="1191" w:type="dxa"/>
            <w:shd w:val="clear" w:color="auto" w:fill="auto"/>
            <w:vAlign w:val="center"/>
          </w:tcPr>
          <w:p w14:paraId="3DA927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 New Roman" w:hAnsi="Times New Roman" w:eastAsia="宋体" w:cs="Times New Roman"/>
                <w:color w:val="auto"/>
                <w:sz w:val="21"/>
                <w:szCs w:val="21"/>
                <w:highlight w:val="none"/>
                <w:lang w:val="en-US" w:eastAsia="zh-CN"/>
              </w:rPr>
              <w:t>+0.2</w:t>
            </w:r>
          </w:p>
        </w:tc>
      </w:tr>
      <w:tr w14:paraId="3507FC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restart"/>
            <w:vAlign w:val="center"/>
          </w:tcPr>
          <w:p w14:paraId="52174DF5">
            <w:pPr>
              <w:pStyle w:val="73"/>
              <w:keepNext w:val="0"/>
              <w:keepLines w:val="0"/>
              <w:pageBreakBefore w:val="0"/>
              <w:kinsoku/>
              <w:wordWrap/>
              <w:overflowPunct/>
              <w:topLinePunct w:val="0"/>
              <w:bidi w:val="0"/>
              <w:spacing w:beforeLines="0" w:afterLines="0" w:line="240" w:lineRule="auto"/>
              <w:rPr>
                <w:rFonts w:hint="default" w:ascii="黑体" w:hAnsi="黑体" w:eastAsia="黑体" w:cs="黑体"/>
                <w:snapToGrid w:val="0"/>
                <w:color w:val="auto"/>
                <w:kern w:val="21"/>
                <w:sz w:val="21"/>
                <w:szCs w:val="21"/>
                <w:highlight w:val="none"/>
                <w:lang w:val="en-US" w:eastAsia="zh-CN"/>
              </w:rPr>
            </w:pPr>
            <w:r>
              <w:rPr>
                <w:rFonts w:hint="eastAsia" w:ascii="黑体" w:hAnsi="黑体" w:eastAsia="黑体" w:cs="黑体"/>
                <w:snapToGrid w:val="0"/>
                <w:color w:val="auto"/>
                <w:kern w:val="21"/>
                <w:sz w:val="21"/>
                <w:szCs w:val="21"/>
                <w:highlight w:val="none"/>
                <w:lang w:val="en-US" w:eastAsia="zh-CN"/>
              </w:rPr>
              <w:t>危险废物</w:t>
            </w:r>
          </w:p>
        </w:tc>
        <w:tc>
          <w:tcPr>
            <w:tcW w:w="2357" w:type="dxa"/>
            <w:vAlign w:val="center"/>
          </w:tcPr>
          <w:p w14:paraId="1DCCE867">
            <w:pPr>
              <w:pStyle w:val="73"/>
              <w:spacing w:beforeLines="0" w:afterLines="0" w:line="240" w:lineRule="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废油剂容器</w:t>
            </w:r>
          </w:p>
        </w:tc>
        <w:tc>
          <w:tcPr>
            <w:tcW w:w="1845" w:type="dxa"/>
            <w:vAlign w:val="center"/>
          </w:tcPr>
          <w:p w14:paraId="2556E057">
            <w:pPr>
              <w:adjustRightInd w:val="0"/>
              <w:snapToGrid w:val="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0D0602D8">
            <w:pPr>
              <w:jc w:val="center"/>
              <w:rPr>
                <w:color w:val="auto"/>
                <w:szCs w:val="21"/>
                <w:highlight w:val="none"/>
              </w:rPr>
            </w:pPr>
            <w:r>
              <w:rPr>
                <w:color w:val="auto"/>
                <w:szCs w:val="21"/>
                <w:highlight w:val="none"/>
              </w:rPr>
              <w:t>/</w:t>
            </w:r>
          </w:p>
        </w:tc>
        <w:tc>
          <w:tcPr>
            <w:tcW w:w="1515" w:type="dxa"/>
            <w:vAlign w:val="center"/>
          </w:tcPr>
          <w:p w14:paraId="73320B6B">
            <w:pPr>
              <w:jc w:val="center"/>
              <w:rPr>
                <w:color w:val="auto"/>
                <w:szCs w:val="21"/>
                <w:highlight w:val="none"/>
              </w:rPr>
            </w:pPr>
            <w:r>
              <w:rPr>
                <w:color w:val="auto"/>
                <w:szCs w:val="21"/>
                <w:highlight w:val="none"/>
              </w:rPr>
              <w:t>/</w:t>
            </w:r>
          </w:p>
        </w:tc>
        <w:tc>
          <w:tcPr>
            <w:tcW w:w="1440" w:type="dxa"/>
            <w:shd w:val="clear" w:color="auto" w:fill="auto"/>
            <w:vAlign w:val="center"/>
          </w:tcPr>
          <w:p w14:paraId="23F19C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2</w:t>
            </w:r>
          </w:p>
        </w:tc>
        <w:tc>
          <w:tcPr>
            <w:tcW w:w="1305" w:type="dxa"/>
            <w:vAlign w:val="center"/>
          </w:tcPr>
          <w:p w14:paraId="4261EC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color w:val="auto"/>
                <w:szCs w:val="21"/>
                <w:highlight w:val="none"/>
              </w:rPr>
              <w:t>/</w:t>
            </w:r>
          </w:p>
        </w:tc>
        <w:tc>
          <w:tcPr>
            <w:tcW w:w="1650" w:type="dxa"/>
            <w:shd w:val="clear" w:color="auto" w:fill="auto"/>
            <w:vAlign w:val="center"/>
          </w:tcPr>
          <w:p w14:paraId="456C0F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2</w:t>
            </w:r>
          </w:p>
        </w:tc>
        <w:tc>
          <w:tcPr>
            <w:tcW w:w="1191" w:type="dxa"/>
            <w:shd w:val="clear" w:color="auto" w:fill="auto"/>
            <w:vAlign w:val="center"/>
          </w:tcPr>
          <w:p w14:paraId="56FE2B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+2</w:t>
            </w:r>
          </w:p>
        </w:tc>
      </w:tr>
      <w:tr w14:paraId="5B348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285C0002">
            <w:pPr>
              <w:pStyle w:val="73"/>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highlight w:val="none"/>
                <w:lang w:val="en-US" w:eastAsia="zh-CN"/>
              </w:rPr>
            </w:pPr>
          </w:p>
        </w:tc>
        <w:tc>
          <w:tcPr>
            <w:tcW w:w="2357" w:type="dxa"/>
            <w:vAlign w:val="center"/>
          </w:tcPr>
          <w:p w14:paraId="12664C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w:t>
            </w:r>
          </w:p>
        </w:tc>
        <w:tc>
          <w:tcPr>
            <w:tcW w:w="1845" w:type="dxa"/>
            <w:vAlign w:val="center"/>
          </w:tcPr>
          <w:p w14:paraId="0AFE295A">
            <w:pPr>
              <w:adjustRightInd w:val="0"/>
              <w:snapToGrid w:val="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7FA78246">
            <w:pPr>
              <w:jc w:val="center"/>
              <w:rPr>
                <w:color w:val="auto"/>
                <w:szCs w:val="21"/>
                <w:highlight w:val="none"/>
              </w:rPr>
            </w:pPr>
            <w:r>
              <w:rPr>
                <w:rFonts w:hint="eastAsia"/>
                <w:color w:val="auto"/>
                <w:szCs w:val="21"/>
                <w:highlight w:val="none"/>
                <w:lang w:val="en-US" w:eastAsia="zh-CN"/>
              </w:rPr>
              <w:t>/</w:t>
            </w:r>
          </w:p>
        </w:tc>
        <w:tc>
          <w:tcPr>
            <w:tcW w:w="1515" w:type="dxa"/>
            <w:vAlign w:val="center"/>
          </w:tcPr>
          <w:p w14:paraId="47F852A1">
            <w:pPr>
              <w:jc w:val="center"/>
              <w:rPr>
                <w:color w:val="auto"/>
                <w:szCs w:val="21"/>
                <w:highlight w:val="none"/>
              </w:rPr>
            </w:pPr>
            <w:r>
              <w:rPr>
                <w:rFonts w:hint="eastAsia"/>
                <w:color w:val="auto"/>
                <w:szCs w:val="21"/>
                <w:highlight w:val="none"/>
                <w:lang w:val="en-US" w:eastAsia="zh-CN"/>
              </w:rPr>
              <w:t>/</w:t>
            </w:r>
          </w:p>
        </w:tc>
        <w:tc>
          <w:tcPr>
            <w:tcW w:w="1440" w:type="dxa"/>
            <w:shd w:val="clear" w:color="auto" w:fill="auto"/>
            <w:vAlign w:val="center"/>
          </w:tcPr>
          <w:p w14:paraId="2252EB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0.5</w:t>
            </w:r>
          </w:p>
        </w:tc>
        <w:tc>
          <w:tcPr>
            <w:tcW w:w="1305" w:type="dxa"/>
            <w:vAlign w:val="center"/>
          </w:tcPr>
          <w:p w14:paraId="7920F32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color w:val="auto"/>
                <w:szCs w:val="21"/>
                <w:highlight w:val="none"/>
              </w:rPr>
              <w:t>/</w:t>
            </w:r>
          </w:p>
        </w:tc>
        <w:tc>
          <w:tcPr>
            <w:tcW w:w="1650" w:type="dxa"/>
            <w:shd w:val="clear" w:color="auto" w:fill="auto"/>
            <w:vAlign w:val="center"/>
          </w:tcPr>
          <w:p w14:paraId="5E96CA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0.5</w:t>
            </w:r>
          </w:p>
        </w:tc>
        <w:tc>
          <w:tcPr>
            <w:tcW w:w="1191" w:type="dxa"/>
            <w:shd w:val="clear" w:color="auto" w:fill="auto"/>
            <w:vAlign w:val="center"/>
          </w:tcPr>
          <w:p w14:paraId="7E4420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+0.5</w:t>
            </w:r>
          </w:p>
        </w:tc>
      </w:tr>
      <w:tr w14:paraId="64A609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42F7E25D">
            <w:pPr>
              <w:pStyle w:val="73"/>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highlight w:val="none"/>
                <w:lang w:val="en-US" w:eastAsia="zh-CN"/>
              </w:rPr>
            </w:pPr>
          </w:p>
        </w:tc>
        <w:tc>
          <w:tcPr>
            <w:tcW w:w="2357" w:type="dxa"/>
            <w:vAlign w:val="center"/>
          </w:tcPr>
          <w:p w14:paraId="27CE28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废机油桶</w:t>
            </w:r>
          </w:p>
        </w:tc>
        <w:tc>
          <w:tcPr>
            <w:tcW w:w="1845" w:type="dxa"/>
            <w:vAlign w:val="center"/>
          </w:tcPr>
          <w:p w14:paraId="319F72FF">
            <w:pPr>
              <w:adjustRightInd w:val="0"/>
              <w:snapToGrid w:val="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02A4A0CF">
            <w:pPr>
              <w:jc w:val="center"/>
              <w:rPr>
                <w:color w:val="auto"/>
                <w:szCs w:val="21"/>
                <w:highlight w:val="none"/>
              </w:rPr>
            </w:pPr>
            <w:r>
              <w:rPr>
                <w:color w:val="auto"/>
                <w:szCs w:val="21"/>
                <w:highlight w:val="none"/>
              </w:rPr>
              <w:t>/</w:t>
            </w:r>
          </w:p>
        </w:tc>
        <w:tc>
          <w:tcPr>
            <w:tcW w:w="1515" w:type="dxa"/>
            <w:vAlign w:val="center"/>
          </w:tcPr>
          <w:p w14:paraId="795EFCA5">
            <w:pPr>
              <w:jc w:val="center"/>
              <w:rPr>
                <w:color w:val="auto"/>
                <w:szCs w:val="21"/>
                <w:highlight w:val="none"/>
              </w:rPr>
            </w:pPr>
            <w:r>
              <w:rPr>
                <w:color w:val="auto"/>
                <w:szCs w:val="21"/>
                <w:highlight w:val="none"/>
              </w:rPr>
              <w:t>/</w:t>
            </w:r>
          </w:p>
        </w:tc>
        <w:tc>
          <w:tcPr>
            <w:tcW w:w="1440" w:type="dxa"/>
            <w:shd w:val="clear" w:color="auto" w:fill="auto"/>
            <w:vAlign w:val="center"/>
          </w:tcPr>
          <w:p w14:paraId="096710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0.02</w:t>
            </w:r>
          </w:p>
        </w:tc>
        <w:tc>
          <w:tcPr>
            <w:tcW w:w="1305" w:type="dxa"/>
            <w:vAlign w:val="center"/>
          </w:tcPr>
          <w:p w14:paraId="3D4101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color w:val="auto"/>
                <w:szCs w:val="21"/>
                <w:highlight w:val="none"/>
              </w:rPr>
              <w:t>/</w:t>
            </w:r>
          </w:p>
        </w:tc>
        <w:tc>
          <w:tcPr>
            <w:tcW w:w="1650" w:type="dxa"/>
            <w:shd w:val="clear" w:color="auto" w:fill="auto"/>
            <w:vAlign w:val="center"/>
          </w:tcPr>
          <w:p w14:paraId="2BB170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0.02</w:t>
            </w:r>
          </w:p>
        </w:tc>
        <w:tc>
          <w:tcPr>
            <w:tcW w:w="1191" w:type="dxa"/>
            <w:shd w:val="clear" w:color="auto" w:fill="auto"/>
            <w:vAlign w:val="center"/>
          </w:tcPr>
          <w:p w14:paraId="2CC395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+0.02</w:t>
            </w:r>
          </w:p>
        </w:tc>
      </w:tr>
      <w:tr w14:paraId="30CAF8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1A5FAA25">
            <w:pPr>
              <w:pStyle w:val="73"/>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highlight w:val="none"/>
                <w:lang w:val="en-US" w:eastAsia="zh-CN"/>
              </w:rPr>
            </w:pPr>
          </w:p>
        </w:tc>
        <w:tc>
          <w:tcPr>
            <w:tcW w:w="2357" w:type="dxa"/>
            <w:vAlign w:val="center"/>
          </w:tcPr>
          <w:p w14:paraId="498F53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废活性炭</w:t>
            </w:r>
          </w:p>
        </w:tc>
        <w:tc>
          <w:tcPr>
            <w:tcW w:w="1845" w:type="dxa"/>
            <w:vAlign w:val="center"/>
          </w:tcPr>
          <w:p w14:paraId="505FEF12">
            <w:pPr>
              <w:adjustRightInd w:val="0"/>
              <w:snapToGrid w:val="0"/>
              <w:jc w:val="center"/>
              <w:rPr>
                <w:rFonts w:hint="eastAsia"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75904237">
            <w:pPr>
              <w:jc w:val="center"/>
              <w:rPr>
                <w:color w:val="auto"/>
                <w:szCs w:val="21"/>
                <w:highlight w:val="none"/>
              </w:rPr>
            </w:pPr>
            <w:r>
              <w:rPr>
                <w:rFonts w:hint="eastAsia"/>
                <w:color w:val="auto"/>
                <w:szCs w:val="21"/>
                <w:highlight w:val="none"/>
                <w:lang w:val="en-US" w:eastAsia="zh-CN"/>
              </w:rPr>
              <w:t>/</w:t>
            </w:r>
          </w:p>
        </w:tc>
        <w:tc>
          <w:tcPr>
            <w:tcW w:w="1515" w:type="dxa"/>
            <w:vAlign w:val="center"/>
          </w:tcPr>
          <w:p w14:paraId="240E97C7">
            <w:pPr>
              <w:jc w:val="center"/>
              <w:rPr>
                <w:color w:val="auto"/>
                <w:szCs w:val="21"/>
                <w:highlight w:val="none"/>
              </w:rPr>
            </w:pPr>
            <w:r>
              <w:rPr>
                <w:rFonts w:hint="eastAsia"/>
                <w:color w:val="auto"/>
                <w:szCs w:val="21"/>
                <w:highlight w:val="none"/>
                <w:lang w:val="en-US" w:eastAsia="zh-CN"/>
              </w:rPr>
              <w:t>/</w:t>
            </w:r>
          </w:p>
        </w:tc>
        <w:tc>
          <w:tcPr>
            <w:tcW w:w="1440" w:type="dxa"/>
            <w:shd w:val="clear" w:color="auto" w:fill="auto"/>
            <w:vAlign w:val="center"/>
          </w:tcPr>
          <w:p w14:paraId="1DA351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highlight w:val="none"/>
                <w:lang w:val="en-US" w:eastAsia="zh-CN"/>
              </w:rPr>
              <w:t>3.88</w:t>
            </w:r>
          </w:p>
        </w:tc>
        <w:tc>
          <w:tcPr>
            <w:tcW w:w="1305" w:type="dxa"/>
            <w:vAlign w:val="center"/>
          </w:tcPr>
          <w:p w14:paraId="5D2BF9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color w:val="auto"/>
                <w:szCs w:val="21"/>
                <w:highlight w:val="none"/>
              </w:rPr>
              <w:t>/</w:t>
            </w:r>
          </w:p>
        </w:tc>
        <w:tc>
          <w:tcPr>
            <w:tcW w:w="1650" w:type="dxa"/>
            <w:shd w:val="clear" w:color="auto" w:fill="auto"/>
            <w:vAlign w:val="center"/>
          </w:tcPr>
          <w:p w14:paraId="6A87D3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highlight w:val="none"/>
                <w:lang w:val="en-US" w:eastAsia="zh-CN"/>
              </w:rPr>
              <w:t>3.88</w:t>
            </w:r>
          </w:p>
        </w:tc>
        <w:tc>
          <w:tcPr>
            <w:tcW w:w="1191" w:type="dxa"/>
            <w:shd w:val="clear" w:color="auto" w:fill="auto"/>
            <w:vAlign w:val="center"/>
          </w:tcPr>
          <w:p w14:paraId="6444B4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3.88</w:t>
            </w:r>
          </w:p>
        </w:tc>
      </w:tr>
      <w:tr w14:paraId="2D2E44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Merge w:val="continue"/>
            <w:vAlign w:val="center"/>
          </w:tcPr>
          <w:p w14:paraId="2E721492">
            <w:pPr>
              <w:pStyle w:val="73"/>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highlight w:val="none"/>
                <w:lang w:val="en-US" w:eastAsia="zh-CN"/>
              </w:rPr>
            </w:pPr>
          </w:p>
        </w:tc>
        <w:tc>
          <w:tcPr>
            <w:tcW w:w="2357" w:type="dxa"/>
            <w:vAlign w:val="center"/>
          </w:tcPr>
          <w:p w14:paraId="268AD1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沉淀池污泥</w:t>
            </w:r>
          </w:p>
        </w:tc>
        <w:tc>
          <w:tcPr>
            <w:tcW w:w="1845" w:type="dxa"/>
            <w:vAlign w:val="center"/>
          </w:tcPr>
          <w:p w14:paraId="0C69B0CE">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w:t>
            </w:r>
          </w:p>
        </w:tc>
        <w:tc>
          <w:tcPr>
            <w:tcW w:w="1185" w:type="dxa"/>
            <w:vAlign w:val="center"/>
          </w:tcPr>
          <w:p w14:paraId="4C2B14AB">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515" w:type="dxa"/>
            <w:vAlign w:val="center"/>
          </w:tcPr>
          <w:p w14:paraId="7A4D3EC1">
            <w:pPr>
              <w:jc w:val="center"/>
              <w:rPr>
                <w:rFonts w:hint="default"/>
                <w:color w:val="auto"/>
                <w:szCs w:val="21"/>
                <w:highlight w:val="none"/>
                <w:lang w:val="en-US" w:eastAsia="zh-CN"/>
              </w:rPr>
            </w:pPr>
            <w:r>
              <w:rPr>
                <w:rFonts w:hint="eastAsia"/>
                <w:color w:val="auto"/>
                <w:szCs w:val="21"/>
                <w:highlight w:val="none"/>
                <w:lang w:val="en-US" w:eastAsia="zh-CN"/>
              </w:rPr>
              <w:t>/</w:t>
            </w:r>
          </w:p>
        </w:tc>
        <w:tc>
          <w:tcPr>
            <w:tcW w:w="1440" w:type="dxa"/>
            <w:shd w:val="clear" w:color="auto" w:fill="auto"/>
            <w:vAlign w:val="center"/>
          </w:tcPr>
          <w:p w14:paraId="272D7E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1305" w:type="dxa"/>
            <w:vAlign w:val="center"/>
          </w:tcPr>
          <w:p w14:paraId="7BFE2BAF">
            <w:pPr>
              <w:keepNext w:val="0"/>
              <w:keepLines w:val="0"/>
              <w:widowControl/>
              <w:suppressLineNumbers w:val="0"/>
              <w:jc w:val="center"/>
              <w:textAlignment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650" w:type="dxa"/>
            <w:shd w:val="clear" w:color="auto" w:fill="auto"/>
            <w:vAlign w:val="center"/>
          </w:tcPr>
          <w:p w14:paraId="77F0A2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1191" w:type="dxa"/>
            <w:shd w:val="clear" w:color="auto" w:fill="auto"/>
            <w:vAlign w:val="center"/>
          </w:tcPr>
          <w:p w14:paraId="1602B5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r>
      <w:tr w14:paraId="0ED3E5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00" w:type="dxa"/>
            <w:vAlign w:val="center"/>
          </w:tcPr>
          <w:p w14:paraId="1BDE0523">
            <w:pPr>
              <w:pStyle w:val="73"/>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highlight w:val="none"/>
                <w:lang w:val="en-US" w:eastAsia="zh-CN"/>
              </w:rPr>
            </w:pPr>
            <w:r>
              <w:rPr>
                <w:rFonts w:hint="eastAsia" w:ascii="黑体" w:hAnsi="黑体" w:eastAsia="黑体" w:cs="黑体"/>
                <w:snapToGrid w:val="0"/>
                <w:color w:val="auto"/>
                <w:kern w:val="21"/>
                <w:sz w:val="21"/>
                <w:szCs w:val="21"/>
                <w:highlight w:val="none"/>
              </w:rPr>
              <w:t>生活垃圾</w:t>
            </w:r>
          </w:p>
        </w:tc>
        <w:tc>
          <w:tcPr>
            <w:tcW w:w="2357" w:type="dxa"/>
            <w:vAlign w:val="center"/>
          </w:tcPr>
          <w:p w14:paraId="02682CD0">
            <w:pPr>
              <w:pStyle w:val="73"/>
              <w:spacing w:beforeLines="0" w:afterLines="0" w:line="240" w:lineRule="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生活垃圾</w:t>
            </w:r>
          </w:p>
        </w:tc>
        <w:tc>
          <w:tcPr>
            <w:tcW w:w="1845" w:type="dxa"/>
            <w:vAlign w:val="center"/>
          </w:tcPr>
          <w:p w14:paraId="5E0DE22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w:t>
            </w:r>
          </w:p>
        </w:tc>
        <w:tc>
          <w:tcPr>
            <w:tcW w:w="1185" w:type="dxa"/>
            <w:vAlign w:val="center"/>
          </w:tcPr>
          <w:p w14:paraId="3B54B066">
            <w:pPr>
              <w:jc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515" w:type="dxa"/>
            <w:vAlign w:val="center"/>
          </w:tcPr>
          <w:p w14:paraId="274CB956">
            <w:pPr>
              <w:jc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440" w:type="dxa"/>
            <w:shd w:val="clear" w:color="auto" w:fill="auto"/>
            <w:vAlign w:val="center"/>
          </w:tcPr>
          <w:p w14:paraId="00C827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4.5</w:t>
            </w:r>
          </w:p>
        </w:tc>
        <w:tc>
          <w:tcPr>
            <w:tcW w:w="1305" w:type="dxa"/>
            <w:vAlign w:val="center"/>
          </w:tcPr>
          <w:p w14:paraId="474ECF72">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color w:val="auto"/>
                <w:szCs w:val="21"/>
                <w:highlight w:val="none"/>
              </w:rPr>
              <w:t>/</w:t>
            </w:r>
          </w:p>
        </w:tc>
        <w:tc>
          <w:tcPr>
            <w:tcW w:w="1650" w:type="dxa"/>
            <w:shd w:val="clear" w:color="auto" w:fill="auto"/>
            <w:vAlign w:val="center"/>
          </w:tcPr>
          <w:p w14:paraId="0E67AB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4.5</w:t>
            </w:r>
          </w:p>
        </w:tc>
        <w:tc>
          <w:tcPr>
            <w:tcW w:w="1191" w:type="dxa"/>
            <w:shd w:val="clear" w:color="auto" w:fill="auto"/>
            <w:vAlign w:val="center"/>
          </w:tcPr>
          <w:p w14:paraId="673F6D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color w:val="auto"/>
                <w:sz w:val="21"/>
                <w:szCs w:val="21"/>
                <w:highlight w:val="none"/>
                <w:lang w:val="en-US" w:eastAsia="zh-CN"/>
              </w:rPr>
              <w:t>+4.5</w:t>
            </w:r>
          </w:p>
        </w:tc>
      </w:tr>
    </w:tbl>
    <w:p w14:paraId="2D11B7E2">
      <w:pPr>
        <w:pStyle w:val="73"/>
        <w:keepNext w:val="0"/>
        <w:keepLines w:val="0"/>
        <w:pageBreakBefore w:val="0"/>
        <w:widowControl w:val="0"/>
        <w:kinsoku/>
        <w:wordWrap/>
        <w:overflowPunct/>
        <w:topLinePunct w:val="0"/>
        <w:autoSpaceDE/>
        <w:autoSpaceDN/>
        <w:bidi w:val="0"/>
        <w:adjustRightInd w:val="0"/>
        <w:snapToGrid w:val="0"/>
        <w:spacing w:beforeLines="0" w:afterLines="0" w:line="360" w:lineRule="auto"/>
        <w:jc w:val="left"/>
        <w:textAlignment w:val="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注：（1）单位：t/a。</w:t>
      </w:r>
    </w:p>
    <w:p w14:paraId="2FFF07E1">
      <w:pPr>
        <w:pStyle w:val="73"/>
        <w:keepNext w:val="0"/>
        <w:keepLines w:val="0"/>
        <w:pageBreakBefore w:val="0"/>
        <w:widowControl w:val="0"/>
        <w:kinsoku/>
        <w:wordWrap/>
        <w:overflowPunct/>
        <w:topLinePunct w:val="0"/>
        <w:autoSpaceDE/>
        <w:autoSpaceDN/>
        <w:bidi w:val="0"/>
        <w:adjustRightInd w:val="0"/>
        <w:snapToGrid w:val="0"/>
        <w:spacing w:beforeLines="0" w:afterLines="0" w:line="360" w:lineRule="auto"/>
        <w:jc w:val="left"/>
        <w:textAlignment w:val="auto"/>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spacing w:val="-16"/>
          <w:kern w:val="21"/>
          <w:szCs w:val="21"/>
          <w:highlight w:val="none"/>
        </w:rPr>
        <w:t>（2）</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p>
    <w:p w14:paraId="1544EF23">
      <w:pPr>
        <w:rPr>
          <w:rFonts w:hint="eastAsia" w:ascii="Times New Roman" w:hAnsi="Times New Roman" w:eastAsia="宋体" w:cs="Times New Roman"/>
          <w:snapToGrid w:val="0"/>
          <w:color w:val="auto"/>
          <w:spacing w:val="-6"/>
          <w:kern w:val="21"/>
          <w:szCs w:val="21"/>
          <w:highlight w:val="none"/>
          <w:lang w:eastAsia="zh-CN"/>
        </w:rPr>
        <w:sectPr>
          <w:footerReference r:id="rId4"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0530BAC">
      <w:pPr>
        <w:pStyle w:val="48"/>
        <w:rPr>
          <w:rFonts w:hint="default" w:ascii="Times New Roman" w:hAnsi="Times New Roman" w:eastAsia="黑体" w:cs="Times New Roman"/>
          <w:b w:val="0"/>
          <w:bCs/>
          <w:color w:val="auto"/>
          <w:szCs w:val="24"/>
          <w:highlight w:val="none"/>
        </w:rPr>
      </w:pPr>
      <w:r>
        <w:rPr>
          <w:rFonts w:hint="default" w:ascii="Times New Roman" w:hAnsi="Times New Roman" w:eastAsia="黑体" w:cs="Times New Roman"/>
          <w:b w:val="0"/>
          <w:bCs/>
          <w:color w:val="auto"/>
          <w:szCs w:val="24"/>
          <w:highlight w:val="none"/>
        </w:rPr>
        <w:t>附件1：委托书</w:t>
      </w:r>
    </w:p>
    <w:p w14:paraId="10DC7383">
      <w:pPr>
        <w:pStyle w:val="48"/>
        <w:rPr>
          <w:rFonts w:hint="eastAsia" w:ascii="Times New Roman" w:hAnsi="Times New Roman" w:eastAsia="黑体" w:cs="Times New Roman"/>
          <w:b w:val="0"/>
          <w:bCs/>
          <w:color w:val="auto"/>
          <w:szCs w:val="24"/>
          <w:highlight w:val="none"/>
          <w:lang w:eastAsia="zh-CN"/>
        </w:rPr>
      </w:pPr>
    </w:p>
    <w:p w14:paraId="07AEEBAF">
      <w:pPr>
        <w:adjustRightInd w:val="0"/>
        <w:snapToGrid/>
        <w:spacing w:line="360" w:lineRule="auto"/>
        <w:ind w:firstLine="602"/>
        <w:jc w:val="both"/>
        <w:textAlignment w:val="baseline"/>
        <w:rPr>
          <w:rFonts w:hint="default" w:ascii="Times New Roman" w:hAnsi="Times New Roman" w:eastAsia="黑体" w:cs="Times New Roman"/>
          <w:b w:val="0"/>
          <w:bCs/>
          <w:color w:val="auto"/>
          <w:szCs w:val="24"/>
          <w:highlight w:val="none"/>
        </w:rPr>
      </w:pPr>
      <w:r>
        <w:rPr>
          <w:rFonts w:hint="default" w:ascii="Times New Roman" w:hAnsi="Times New Roman" w:eastAsia="宋体" w:cs="Times New Roman"/>
          <w:color w:val="auto"/>
        </w:rPr>
        <w:drawing>
          <wp:inline distT="0" distB="0" distL="114300" distR="114300">
            <wp:extent cx="4765675" cy="8118475"/>
            <wp:effectExtent l="0" t="0" r="15875" b="15875"/>
            <wp:docPr id="10" name="图片 10"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委托书"/>
                    <pic:cNvPicPr>
                      <a:picLocks noChangeAspect="1"/>
                    </pic:cNvPicPr>
                  </pic:nvPicPr>
                  <pic:blipFill>
                    <a:blip r:embed="rId24"/>
                    <a:stretch>
                      <a:fillRect/>
                    </a:stretch>
                  </pic:blipFill>
                  <pic:spPr>
                    <a:xfrm>
                      <a:off x="0" y="0"/>
                      <a:ext cx="4765675" cy="8118475"/>
                    </a:xfrm>
                    <a:prstGeom prst="rect">
                      <a:avLst/>
                    </a:prstGeom>
                  </pic:spPr>
                </pic:pic>
              </a:graphicData>
            </a:graphic>
          </wp:inline>
        </w:drawing>
      </w:r>
      <w:r>
        <w:rPr>
          <w:rFonts w:hint="default" w:ascii="Times New Roman" w:hAnsi="Times New Roman" w:eastAsia="宋体" w:cs="Times New Roman"/>
          <w:color w:val="auto"/>
        </w:rPr>
        <w:br w:type="page"/>
      </w:r>
    </w:p>
    <w:p w14:paraId="1FE1F554">
      <w:pPr>
        <w:pStyle w:val="48"/>
        <w:rPr>
          <w:rFonts w:hint="default" w:ascii="Times New Roman" w:hAnsi="Times New Roman" w:eastAsia="黑体" w:cs="Times New Roman"/>
          <w:b w:val="0"/>
          <w:bCs/>
          <w:color w:val="auto"/>
          <w:szCs w:val="24"/>
          <w:highlight w:val="none"/>
          <w:lang w:val="en-US" w:eastAsia="zh-CN"/>
        </w:rPr>
      </w:pPr>
      <w:r>
        <w:rPr>
          <w:rFonts w:hint="default" w:ascii="Times New Roman" w:hAnsi="Times New Roman" w:eastAsia="黑体" w:cs="Times New Roman"/>
          <w:b w:val="0"/>
          <w:bCs/>
          <w:color w:val="auto"/>
          <w:szCs w:val="24"/>
          <w:highlight w:val="none"/>
        </w:rPr>
        <w:t>附件2：关于资料提供和环评内容的确认承诺函</w:t>
      </w:r>
    </w:p>
    <w:p w14:paraId="748310A6">
      <w:pPr>
        <w:pStyle w:val="48"/>
        <w:rPr>
          <w:rFonts w:hint="eastAsia" w:eastAsia="宋体"/>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b/>
          <w:bCs/>
          <w:caps/>
          <w:sz w:val="28"/>
          <w:szCs w:val="28"/>
        </w:rPr>
        <w:drawing>
          <wp:inline distT="0" distB="0" distL="114300" distR="114300">
            <wp:extent cx="4601210" cy="8226425"/>
            <wp:effectExtent l="0" t="0" r="8890" b="3175"/>
            <wp:docPr id="11" name="图片 11" descr="真实性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真实性证明"/>
                    <pic:cNvPicPr>
                      <a:picLocks noChangeAspect="1"/>
                    </pic:cNvPicPr>
                  </pic:nvPicPr>
                  <pic:blipFill>
                    <a:blip r:embed="rId25"/>
                    <a:stretch>
                      <a:fillRect/>
                    </a:stretch>
                  </pic:blipFill>
                  <pic:spPr>
                    <a:xfrm>
                      <a:off x="0" y="0"/>
                      <a:ext cx="4601210" cy="8226425"/>
                    </a:xfrm>
                    <a:prstGeom prst="rect">
                      <a:avLst/>
                    </a:prstGeom>
                  </pic:spPr>
                </pic:pic>
              </a:graphicData>
            </a:graphic>
          </wp:inline>
        </w:drawing>
      </w:r>
      <w:r>
        <w:rPr>
          <w:rFonts w:hint="default" w:ascii="Times New Roman" w:hAnsi="Times New Roman" w:eastAsia="宋体" w:cs="Times New Roman"/>
          <w:b/>
          <w:bCs/>
          <w:caps/>
          <w:sz w:val="28"/>
          <w:szCs w:val="28"/>
        </w:rPr>
        <w:t xml:space="preserve"> </w:t>
      </w:r>
    </w:p>
    <w:p w14:paraId="3E20AD48">
      <w:pPr>
        <w:pStyle w:val="48"/>
        <w:rPr>
          <w:rFonts w:hint="default" w:ascii="Times New Roman" w:hAnsi="Times New Roman" w:eastAsia="黑体" w:cs="Times New Roman"/>
          <w:b w:val="0"/>
          <w:bCs/>
          <w:color w:val="auto"/>
          <w:szCs w:val="24"/>
          <w:highlight w:val="none"/>
          <w:lang w:eastAsia="zh-CN"/>
        </w:rPr>
      </w:pPr>
      <w:r>
        <w:rPr>
          <w:rFonts w:hint="default" w:ascii="Times New Roman" w:hAnsi="Times New Roman" w:eastAsia="黑体" w:cs="Times New Roman"/>
          <w:b w:val="0"/>
          <w:bCs/>
          <w:color w:val="auto"/>
          <w:szCs w:val="24"/>
          <w:highlight w:val="none"/>
        </w:rPr>
        <w:t>附件</w:t>
      </w:r>
      <w:r>
        <w:rPr>
          <w:rFonts w:hint="eastAsia" w:ascii="Times New Roman" w:hAnsi="Times New Roman" w:eastAsia="黑体" w:cs="Times New Roman"/>
          <w:b w:val="0"/>
          <w:bCs/>
          <w:color w:val="auto"/>
          <w:szCs w:val="24"/>
          <w:highlight w:val="none"/>
          <w:lang w:val="en-US" w:eastAsia="zh-CN"/>
        </w:rPr>
        <w:t>3</w:t>
      </w:r>
      <w:r>
        <w:rPr>
          <w:rFonts w:hint="default" w:ascii="Times New Roman" w:hAnsi="Times New Roman" w:eastAsia="黑体" w:cs="Times New Roman"/>
          <w:b w:val="0"/>
          <w:bCs/>
          <w:color w:val="auto"/>
          <w:szCs w:val="24"/>
          <w:highlight w:val="none"/>
        </w:rPr>
        <w:t>：</w:t>
      </w:r>
      <w:r>
        <w:rPr>
          <w:rFonts w:hint="default" w:ascii="Times New Roman" w:hAnsi="Times New Roman" w:eastAsia="黑体" w:cs="Times New Roman"/>
          <w:b w:val="0"/>
          <w:bCs/>
          <w:color w:val="auto"/>
          <w:szCs w:val="24"/>
          <w:highlight w:val="none"/>
          <w:lang w:eastAsia="zh-CN"/>
        </w:rPr>
        <w:t>企业营业执照</w:t>
      </w:r>
    </w:p>
    <w:p w14:paraId="0BAE1014">
      <w:pPr>
        <w:rPr>
          <w:rFonts w:hint="default" w:ascii="Times New Roman" w:hAnsi="Times New Roman" w:eastAsia="黑体" w:cs="Times New Roman"/>
          <w:b w:val="0"/>
          <w:bCs/>
          <w:color w:val="auto"/>
          <w:szCs w:val="24"/>
          <w:highlight w:val="none"/>
          <w:lang w:eastAsia="zh-CN"/>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rFonts w:hint="default" w:ascii="Times New Roman" w:hAnsi="Times New Roman" w:eastAsia="黑体" w:cs="Times New Roman"/>
          <w:b w:val="0"/>
          <w:bCs/>
          <w:color w:val="auto"/>
          <w:szCs w:val="24"/>
          <w:highlight w:val="none"/>
          <w:lang w:eastAsia="zh-CN"/>
        </w:rPr>
        <w:drawing>
          <wp:inline distT="0" distB="0" distL="114300" distR="114300">
            <wp:extent cx="8406130" cy="5196840"/>
            <wp:effectExtent l="0" t="0" r="13970" b="3810"/>
            <wp:docPr id="4" name="图片 4"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营业执照"/>
                    <pic:cNvPicPr>
                      <a:picLocks noChangeAspect="1"/>
                    </pic:cNvPicPr>
                  </pic:nvPicPr>
                  <pic:blipFill>
                    <a:blip r:embed="rId26"/>
                    <a:srcRect l="7076" t="15170" r="-11" b="8222"/>
                    <a:stretch>
                      <a:fillRect/>
                    </a:stretch>
                  </pic:blipFill>
                  <pic:spPr>
                    <a:xfrm>
                      <a:off x="0" y="0"/>
                      <a:ext cx="8406130" cy="5196840"/>
                    </a:xfrm>
                    <a:prstGeom prst="rect">
                      <a:avLst/>
                    </a:prstGeom>
                  </pic:spPr>
                </pic:pic>
              </a:graphicData>
            </a:graphic>
          </wp:inline>
        </w:drawing>
      </w:r>
      <w:r>
        <w:rPr>
          <w:rFonts w:hint="default" w:ascii="Times New Roman" w:hAnsi="Times New Roman" w:eastAsia="黑体" w:cs="Times New Roman"/>
          <w:b w:val="0"/>
          <w:bCs/>
          <w:color w:val="auto"/>
          <w:szCs w:val="24"/>
          <w:highlight w:val="none"/>
          <w:lang w:eastAsia="zh-CN"/>
        </w:rPr>
        <w:br w:type="page"/>
      </w:r>
    </w:p>
    <w:p w14:paraId="36CD9A95">
      <w:pPr>
        <w:rPr>
          <w:rFonts w:hint="eastAsia" w:ascii="Times New Roman" w:hAnsi="Times New Roman" w:eastAsia="黑体" w:cs="Times New Roman"/>
          <w:b w:val="0"/>
          <w:bCs/>
          <w:color w:val="auto"/>
          <w:kern w:val="2"/>
          <w:sz w:val="24"/>
          <w:szCs w:val="24"/>
          <w:highlight w:val="none"/>
          <w:lang w:val="en-US" w:eastAsia="zh-CN" w:bidi="ar-SA"/>
        </w:rPr>
      </w:pPr>
      <w:r>
        <w:rPr>
          <w:rFonts w:hint="default" w:ascii="Times New Roman" w:hAnsi="Times New Roman" w:eastAsia="黑体" w:cs="Times New Roman"/>
          <w:b w:val="0"/>
          <w:bCs/>
          <w:color w:val="auto"/>
          <w:kern w:val="2"/>
          <w:sz w:val="24"/>
          <w:szCs w:val="24"/>
          <w:highlight w:val="none"/>
          <w:lang w:val="en-US" w:eastAsia="zh-CN" w:bidi="ar-SA"/>
        </w:rPr>
        <w:t>附件</w:t>
      </w:r>
      <w:r>
        <w:rPr>
          <w:rFonts w:hint="eastAsia" w:ascii="Times New Roman" w:hAnsi="Times New Roman" w:eastAsia="黑体" w:cs="Times New Roman"/>
          <w:b w:val="0"/>
          <w:bCs/>
          <w:color w:val="auto"/>
          <w:kern w:val="2"/>
          <w:sz w:val="24"/>
          <w:szCs w:val="24"/>
          <w:highlight w:val="none"/>
          <w:lang w:val="en-US" w:eastAsia="zh-CN" w:bidi="ar-SA"/>
        </w:rPr>
        <w:t>4</w:t>
      </w:r>
      <w:r>
        <w:rPr>
          <w:rFonts w:hint="default" w:ascii="Times New Roman" w:hAnsi="Times New Roman" w:eastAsia="黑体" w:cs="Times New Roman"/>
          <w:b w:val="0"/>
          <w:bCs/>
          <w:color w:val="auto"/>
          <w:kern w:val="2"/>
          <w:sz w:val="24"/>
          <w:szCs w:val="24"/>
          <w:highlight w:val="none"/>
          <w:lang w:val="en-US" w:eastAsia="zh-CN" w:bidi="ar-SA"/>
        </w:rPr>
        <w:t>：项目备案证明</w:t>
      </w:r>
    </w:p>
    <w:p w14:paraId="74DE58F7">
      <w:pPr>
        <w:pStyle w:val="48"/>
        <w:rPr>
          <w:rFonts w:hint="eastAsia" w:ascii="Times New Roman" w:hAnsi="Times New Roman" w:eastAsia="宋体" w:cs="Times New Roman"/>
          <w:snapToGrid w:val="0"/>
          <w:color w:val="auto"/>
          <w:spacing w:val="-6"/>
          <w:kern w:val="21"/>
          <w:szCs w:val="21"/>
          <w:highlight w:val="none"/>
          <w:lang w:eastAsia="zh-CN"/>
        </w:rPr>
      </w:pPr>
      <w:r>
        <w:rPr>
          <w:rFonts w:hint="eastAsia" w:ascii="Times New Roman" w:hAnsi="Times New Roman" w:eastAsia="宋体" w:cs="Times New Roman"/>
          <w:snapToGrid w:val="0"/>
          <w:color w:val="auto"/>
          <w:spacing w:val="-6"/>
          <w:kern w:val="21"/>
          <w:szCs w:val="21"/>
          <w:highlight w:val="none"/>
          <w:lang w:eastAsia="zh-CN"/>
        </w:rPr>
        <w:drawing>
          <wp:inline distT="0" distB="0" distL="114300" distR="114300">
            <wp:extent cx="8106410" cy="5708650"/>
            <wp:effectExtent l="0" t="0" r="6350" b="8890"/>
            <wp:docPr id="23" name="图片 23" descr="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备案证明"/>
                    <pic:cNvPicPr>
                      <a:picLocks noChangeAspect="1"/>
                    </pic:cNvPicPr>
                  </pic:nvPicPr>
                  <pic:blipFill>
                    <a:blip r:embed="rId27"/>
                    <a:srcRect l="7772" t="9909" r="7517" b="10555"/>
                    <a:stretch>
                      <a:fillRect/>
                    </a:stretch>
                  </pic:blipFill>
                  <pic:spPr>
                    <a:xfrm rot="5400000">
                      <a:off x="0" y="0"/>
                      <a:ext cx="8106410" cy="5708650"/>
                    </a:xfrm>
                    <a:prstGeom prst="rect">
                      <a:avLst/>
                    </a:prstGeom>
                  </pic:spPr>
                </pic:pic>
              </a:graphicData>
            </a:graphic>
          </wp:inline>
        </w:drawing>
      </w:r>
    </w:p>
    <w:p w14:paraId="3EBE6D41">
      <w:pPr>
        <w:rPr>
          <w:rFonts w:hint="default" w:ascii="Times New Roman" w:hAnsi="Times New Roman" w:eastAsia="黑体" w:cs="Times New Roman"/>
          <w:b w:val="0"/>
          <w:bCs/>
          <w:color w:val="auto"/>
          <w:szCs w:val="24"/>
          <w:highlight w:val="none"/>
          <w:lang w:eastAsia="zh-CN"/>
        </w:rPr>
      </w:pPr>
    </w:p>
    <w:p w14:paraId="0AD7B726">
      <w:pPr>
        <w:rPr>
          <w:rFonts w:hint="default" w:ascii="Times New Roman" w:hAnsi="Times New Roman" w:eastAsia="黑体" w:cs="Times New Roman"/>
          <w:b w:val="0"/>
          <w:bCs/>
          <w:color w:val="auto"/>
          <w:szCs w:val="24"/>
          <w:highlight w:val="none"/>
          <w:lang w:eastAsia="zh-CN"/>
        </w:rPr>
      </w:pPr>
      <w:r>
        <w:rPr>
          <w:rFonts w:hint="default" w:ascii="Times New Roman" w:hAnsi="Times New Roman" w:eastAsia="黑体" w:cs="Times New Roman"/>
          <w:b w:val="0"/>
          <w:bCs/>
          <w:color w:val="auto"/>
          <w:szCs w:val="24"/>
          <w:highlight w:val="none"/>
          <w:lang w:eastAsia="zh-CN"/>
        </w:rPr>
        <w:br w:type="page"/>
      </w:r>
    </w:p>
    <w:p w14:paraId="07EEA6C7">
      <w:pPr>
        <w:pStyle w:val="48"/>
        <w:rPr>
          <w:rFonts w:hint="default" w:ascii="Times New Roman" w:hAnsi="Times New Roman" w:eastAsia="黑体" w:cs="Times New Roman"/>
          <w:b w:val="0"/>
          <w:bCs/>
          <w:color w:val="auto"/>
          <w:szCs w:val="24"/>
          <w:highlight w:val="none"/>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FED4BCF">
      <w:pPr>
        <w:pStyle w:val="48"/>
        <w:rPr>
          <w:rFonts w:hint="eastAsia" w:ascii="Times New Roman" w:hAnsi="Times New Roman" w:eastAsia="黑体" w:cs="Times New Roman"/>
          <w:b w:val="0"/>
          <w:bCs/>
          <w:color w:val="auto"/>
          <w:szCs w:val="24"/>
          <w:highlight w:val="none"/>
          <w:lang w:val="en-US" w:eastAsia="zh-CN"/>
        </w:rPr>
      </w:pP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5</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租赁合同</w:t>
      </w:r>
    </w:p>
    <w:p w14:paraId="5FCD8E91">
      <w:pPr>
        <w:pStyle w:val="50"/>
        <w:ind w:left="0" w:leftChars="0" w:firstLine="0" w:firstLineChars="0"/>
        <w:rPr>
          <w:rFonts w:hint="default"/>
          <w:color w:val="auto"/>
          <w:lang w:eastAsia="zh-CN"/>
        </w:rPr>
      </w:pPr>
      <w:r>
        <w:rPr>
          <w:rFonts w:hint="default"/>
          <w:color w:val="auto"/>
          <w:lang w:eastAsia="zh-CN"/>
        </w:rPr>
        <w:drawing>
          <wp:inline distT="0" distB="0" distL="114300" distR="114300">
            <wp:extent cx="5417820" cy="8178165"/>
            <wp:effectExtent l="0" t="0" r="11430" b="13335"/>
            <wp:docPr id="25" name="图片 25" descr="租赁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租赁合同"/>
                    <pic:cNvPicPr>
                      <a:picLocks noChangeAspect="1"/>
                    </pic:cNvPicPr>
                  </pic:nvPicPr>
                  <pic:blipFill>
                    <a:blip r:embed="rId28"/>
                    <a:srcRect b="15096"/>
                    <a:stretch>
                      <a:fillRect/>
                    </a:stretch>
                  </pic:blipFill>
                  <pic:spPr>
                    <a:xfrm>
                      <a:off x="0" y="0"/>
                      <a:ext cx="5417820" cy="8178165"/>
                    </a:xfrm>
                    <a:prstGeom prst="rect">
                      <a:avLst/>
                    </a:prstGeom>
                  </pic:spPr>
                </pic:pic>
              </a:graphicData>
            </a:graphic>
          </wp:inline>
        </w:drawing>
      </w:r>
      <w:r>
        <w:rPr>
          <w:rFonts w:hint="default"/>
          <w:color w:val="auto"/>
          <w:lang w:eastAsia="zh-CN"/>
        </w:rPr>
        <w:drawing>
          <wp:inline distT="0" distB="0" distL="114300" distR="114300">
            <wp:extent cx="5142865" cy="8380730"/>
            <wp:effectExtent l="0" t="0" r="635" b="1270"/>
            <wp:docPr id="24" name="图片 24" descr="租赁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租赁合同1"/>
                    <pic:cNvPicPr>
                      <a:picLocks noChangeAspect="1"/>
                    </pic:cNvPicPr>
                  </pic:nvPicPr>
                  <pic:blipFill>
                    <a:blip r:embed="rId29"/>
                    <a:srcRect t="5491" b="2846"/>
                    <a:stretch>
                      <a:fillRect/>
                    </a:stretch>
                  </pic:blipFill>
                  <pic:spPr>
                    <a:xfrm>
                      <a:off x="0" y="0"/>
                      <a:ext cx="5142865" cy="8380730"/>
                    </a:xfrm>
                    <a:prstGeom prst="rect">
                      <a:avLst/>
                    </a:prstGeom>
                  </pic:spPr>
                </pic:pic>
              </a:graphicData>
            </a:graphic>
          </wp:inline>
        </w:drawing>
      </w:r>
    </w:p>
    <w:p w14:paraId="7373A6C0">
      <w:pPr>
        <w:rPr>
          <w:rFonts w:hint="default"/>
          <w:color w:val="auto"/>
          <w:lang w:eastAsia="zh-CN"/>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053808D6">
      <w:pPr>
        <w:pStyle w:val="48"/>
        <w:rPr>
          <w:rFonts w:hint="default" w:ascii="Times New Roman" w:hAnsi="Times New Roman" w:eastAsia="黑体" w:cs="Times New Roman"/>
          <w:b w:val="0"/>
          <w:bCs/>
          <w:color w:val="auto"/>
          <w:szCs w:val="24"/>
          <w:highlight w:val="none"/>
          <w:lang w:val="en-US" w:eastAsia="zh-CN"/>
        </w:rPr>
      </w:pP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6</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关于公布各镇（街道）工业聚集区名单的通知</w:t>
      </w:r>
    </w:p>
    <w:p w14:paraId="4FDA8EE3">
      <w:pPr>
        <w:rPr>
          <w:rFonts w:hint="default" w:ascii="Times New Roman" w:hAnsi="Times New Roman" w:eastAsia="黑体" w:cs="Times New Roman"/>
          <w:b w:val="0"/>
          <w:bCs/>
          <w:color w:val="auto"/>
          <w:szCs w:val="24"/>
          <w:highlight w:val="none"/>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黑体" w:cs="Times New Roman"/>
          <w:b w:val="0"/>
          <w:bCs/>
          <w:color w:val="auto"/>
          <w:szCs w:val="24"/>
          <w:highlight w:val="none"/>
          <w:lang w:eastAsia="zh-CN"/>
        </w:rPr>
        <w:drawing>
          <wp:inline distT="0" distB="0" distL="114300" distR="114300">
            <wp:extent cx="5611495" cy="7938770"/>
            <wp:effectExtent l="0" t="0" r="8255" b="5080"/>
            <wp:docPr id="66" name="图片 66" descr="关于公布各镇（街道）工业集聚区名单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关于公布各镇（街道）工业集聚区名单的通知_00"/>
                    <pic:cNvPicPr>
                      <a:picLocks noChangeAspect="1"/>
                    </pic:cNvPicPr>
                  </pic:nvPicPr>
                  <pic:blipFill>
                    <a:blip r:embed="rId30"/>
                    <a:stretch>
                      <a:fillRect/>
                    </a:stretch>
                  </pic:blipFill>
                  <pic:spPr>
                    <a:xfrm>
                      <a:off x="0" y="0"/>
                      <a:ext cx="5611495" cy="7938770"/>
                    </a:xfrm>
                    <a:prstGeom prst="rect">
                      <a:avLst/>
                    </a:prstGeom>
                  </pic:spPr>
                </pic:pic>
              </a:graphicData>
            </a:graphic>
          </wp:inline>
        </w:drawing>
      </w:r>
      <w:r>
        <w:rPr>
          <w:rFonts w:hint="default" w:ascii="Times New Roman" w:hAnsi="Times New Roman" w:eastAsia="黑体" w:cs="Times New Roman"/>
          <w:b w:val="0"/>
          <w:bCs/>
          <w:color w:val="auto"/>
          <w:szCs w:val="24"/>
          <w:highlight w:val="none"/>
          <w:lang w:eastAsia="zh-CN"/>
        </w:rPr>
        <w:drawing>
          <wp:inline distT="0" distB="0" distL="114300" distR="114300">
            <wp:extent cx="5611495" cy="7938770"/>
            <wp:effectExtent l="0" t="0" r="8255" b="5080"/>
            <wp:docPr id="65" name="图片 65" descr="关于公布各镇（街道）工业集聚区名单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关于公布各镇（街道）工业集聚区名单的通知_01"/>
                    <pic:cNvPicPr>
                      <a:picLocks noChangeAspect="1"/>
                    </pic:cNvPicPr>
                  </pic:nvPicPr>
                  <pic:blipFill>
                    <a:blip r:embed="rId31"/>
                    <a:stretch>
                      <a:fillRect/>
                    </a:stretch>
                  </pic:blipFill>
                  <pic:spPr>
                    <a:xfrm>
                      <a:off x="0" y="0"/>
                      <a:ext cx="5611495" cy="7938770"/>
                    </a:xfrm>
                    <a:prstGeom prst="rect">
                      <a:avLst/>
                    </a:prstGeom>
                  </pic:spPr>
                </pic:pic>
              </a:graphicData>
            </a:graphic>
          </wp:inline>
        </w:drawing>
      </w:r>
      <w:r>
        <w:rPr>
          <w:rFonts w:hint="default" w:ascii="Times New Roman" w:hAnsi="Times New Roman" w:eastAsia="黑体" w:cs="Times New Roman"/>
          <w:b w:val="0"/>
          <w:bCs/>
          <w:color w:val="auto"/>
          <w:szCs w:val="24"/>
          <w:highlight w:val="none"/>
          <w:lang w:eastAsia="zh-CN"/>
        </w:rPr>
        <w:drawing>
          <wp:inline distT="0" distB="0" distL="114300" distR="114300">
            <wp:extent cx="5611495" cy="7938770"/>
            <wp:effectExtent l="0" t="0" r="8255" b="5080"/>
            <wp:docPr id="64" name="图片 64" descr="关于公布各镇（街道）工业集聚区名单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关于公布各镇（街道）工业集聚区名单的通知_02"/>
                    <pic:cNvPicPr>
                      <a:picLocks noChangeAspect="1"/>
                    </pic:cNvPicPr>
                  </pic:nvPicPr>
                  <pic:blipFill>
                    <a:blip r:embed="rId32"/>
                    <a:stretch>
                      <a:fillRect/>
                    </a:stretch>
                  </pic:blipFill>
                  <pic:spPr>
                    <a:xfrm>
                      <a:off x="0" y="0"/>
                      <a:ext cx="5611495" cy="7938770"/>
                    </a:xfrm>
                    <a:prstGeom prst="rect">
                      <a:avLst/>
                    </a:prstGeom>
                  </pic:spPr>
                </pic:pic>
              </a:graphicData>
            </a:graphic>
          </wp:inline>
        </w:drawing>
      </w:r>
    </w:p>
    <w:p w14:paraId="7388BEA0">
      <w:pPr>
        <w:rPr>
          <w:rFonts w:hint="default" w:ascii="Times New Roman" w:hAnsi="Times New Roman" w:eastAsia="黑体" w:cs="Times New Roman"/>
          <w:b w:val="0"/>
          <w:bCs/>
          <w:color w:val="auto"/>
          <w:szCs w:val="24"/>
          <w:highlight w:val="none"/>
          <w:lang w:eastAsia="zh-CN"/>
        </w:rPr>
      </w:pPr>
      <w:r>
        <w:rPr>
          <w:color w:val="auto"/>
          <w:highlight w:val="none"/>
        </w:rPr>
        <mc:AlternateContent>
          <mc:Choice Requires="wps">
            <w:drawing>
              <wp:anchor distT="0" distB="0" distL="114300" distR="114300" simplePos="0" relativeHeight="251710464" behindDoc="0" locked="0" layoutInCell="1" allowOverlap="1">
                <wp:simplePos x="0" y="0"/>
                <wp:positionH relativeFrom="column">
                  <wp:posOffset>2921000</wp:posOffset>
                </wp:positionH>
                <wp:positionV relativeFrom="paragraph">
                  <wp:posOffset>1480185</wp:posOffset>
                </wp:positionV>
                <wp:extent cx="810260" cy="241300"/>
                <wp:effectExtent l="315595" t="4445" r="17145" b="230505"/>
                <wp:wrapNone/>
                <wp:docPr id="1" name="矩形标注 1"/>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84482"/>
                            <a:gd name="adj2" fmla="val 136578"/>
                          </a:avLst>
                        </a:prstGeom>
                        <a:solidFill>
                          <a:srgbClr val="FFFFFF"/>
                        </a:solidFill>
                        <a:ln w="3175" cap="flat" cmpd="sng">
                          <a:solidFill>
                            <a:srgbClr val="FF0000"/>
                          </a:solidFill>
                          <a:prstDash val="solid"/>
                          <a:miter/>
                          <a:headEnd type="none" w="med" len="med"/>
                          <a:tailEnd type="none" w="med" len="med"/>
                        </a:ln>
                      </wps:spPr>
                      <wps:txbx>
                        <w:txbxContent>
                          <w:p w14:paraId="69ECD164">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230pt;margin-top:116.55pt;height:19pt;width:63.8pt;z-index:251710464;mso-width-relative:page;mso-height-relative:page;" fillcolor="#FFFFFF" filled="t" stroked="t" coordsize="21600,21600" o:gfxdata="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rSLgjcAAAACwEAAA8A&#10;AAAAAAAAAQAgAAAAIgAAAGRycy9kb3ducmV2LnhtbFBLAQIUABQAAAAIAIdO4kCKzlMnTAIAALkE&#10;AAAOAAAAAAAAAAEAIAAAACsBAABkcnMvZTJvRG9jLnhtbFBLBQYAAAAABgAGAFkBAADpBQAAAAA=&#10;" adj="-7448,40301">
                <v:fill on="t" focussize="0,0"/>
                <v:stroke weight="0.25pt" color="#FF0000" joinstyle="miter"/>
                <v:imagedata o:title=""/>
                <o:lock v:ext="edit" aspectratio="f"/>
                <v:textbox inset="2.54mm,0mm,2.54mm,0mm">
                  <w:txbxContent>
                    <w:p w14:paraId="69ECD164">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color w:val="auto"/>
          <w:highlight w:val="none"/>
        </w:rPr>
        <mc:AlternateContent>
          <mc:Choice Requires="wps">
            <w:drawing>
              <wp:anchor distT="0" distB="0" distL="114300" distR="114300" simplePos="0" relativeHeight="251711488" behindDoc="0" locked="0" layoutInCell="1" allowOverlap="1">
                <wp:simplePos x="0" y="0"/>
                <wp:positionH relativeFrom="column">
                  <wp:posOffset>2609850</wp:posOffset>
                </wp:positionH>
                <wp:positionV relativeFrom="paragraph">
                  <wp:posOffset>1924050</wp:posOffset>
                </wp:positionV>
                <wp:extent cx="75565" cy="75565"/>
                <wp:effectExtent l="4445" t="4445" r="15240" b="15240"/>
                <wp:wrapNone/>
                <wp:docPr id="2" name="矩形 2"/>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7AF5E681">
                            <w:pPr>
                              <w:rPr>
                                <w14:textOutline w14:w="9525">
                                  <w14:solidFill>
                                    <w14:srgbClr w14:val="FF0000"/>
                                  </w14:solidFill>
                                  <w14:round/>
                                </w14:textOutline>
                              </w:rPr>
                            </w:pPr>
                          </w:p>
                        </w:txbxContent>
                      </wps:txbx>
                      <wps:bodyPr upright="1"/>
                    </wps:wsp>
                  </a:graphicData>
                </a:graphic>
              </wp:anchor>
            </w:drawing>
          </mc:Choice>
          <mc:Fallback>
            <w:pict>
              <v:rect id="_x0000_s1026" o:spid="_x0000_s1026" o:spt="1" style="position:absolute;left:0pt;margin-left:205.5pt;margin-top:151.5pt;height:5.95pt;width:5.95pt;z-index:251711488;mso-width-relative:page;mso-height-relative:page;" filled="f" stroked="t" coordsize="21600,21600" o:gfxdata="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58d8HbAAAACwEAAA8AAAAAAAAAAQAgAAAAIgAAAGRycy9kb3ducmV2&#10;LnhtbFBLAQIUABQAAAAIAIdO4kBs33Zg+QEAAP0DAAAOAAAAAAAAAAEAIAAAACoBAABkcnMvZTJv&#10;RG9jLnhtbFBLBQYAAAAABgAGAFkBAACVBQAAAAA=&#10;">
                <v:fill on="f" focussize="0,0"/>
                <v:stroke color="#FF0000" joinstyle="miter"/>
                <v:imagedata o:title=""/>
                <o:lock v:ext="edit" aspectratio="f"/>
                <v:textbox>
                  <w:txbxContent>
                    <w:p w14:paraId="7AF5E681">
                      <w:pPr>
                        <w:rPr>
                          <w14:textOutline w14:w="9525">
                            <w14:solidFill>
                              <w14:srgbClr w14:val="FF0000"/>
                            </w14:solidFill>
                            <w14:round/>
                          </w14:textOutline>
                        </w:rPr>
                      </w:pPr>
                    </w:p>
                  </w:txbxContent>
                </v:textbox>
              </v:rect>
            </w:pict>
          </mc:Fallback>
        </mc:AlternateContent>
      </w:r>
      <w:r>
        <w:rPr>
          <w:rFonts w:hint="default" w:ascii="Times New Roman" w:hAnsi="Times New Roman" w:eastAsia="黑体" w:cs="Times New Roman"/>
          <w:b w:val="0"/>
          <w:bCs/>
          <w:color w:val="auto"/>
          <w:szCs w:val="24"/>
          <w:highlight w:val="none"/>
          <w:lang w:eastAsia="zh-CN"/>
        </w:rPr>
        <w:drawing>
          <wp:inline distT="0" distB="0" distL="114300" distR="114300">
            <wp:extent cx="8827135" cy="5565140"/>
            <wp:effectExtent l="0" t="0" r="12065" b="16510"/>
            <wp:docPr id="60" name="图片 60" descr="源政办字〔2021〕58号1_关于确认公布各镇（街道）工业集聚区的通知11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源政办字〔2021〕58号1_关于确认公布各镇（街道）工业集聚区的通知111_17"/>
                    <pic:cNvPicPr>
                      <a:picLocks noChangeAspect="1"/>
                    </pic:cNvPicPr>
                  </pic:nvPicPr>
                  <pic:blipFill>
                    <a:blip r:embed="rId33"/>
                    <a:srcRect l="3441" t="10861" r="5782" b="8201"/>
                    <a:stretch>
                      <a:fillRect/>
                    </a:stretch>
                  </pic:blipFill>
                  <pic:spPr>
                    <a:xfrm>
                      <a:off x="0" y="0"/>
                      <a:ext cx="8827135" cy="5565140"/>
                    </a:xfrm>
                    <a:prstGeom prst="rect">
                      <a:avLst/>
                    </a:prstGeom>
                  </pic:spPr>
                </pic:pic>
              </a:graphicData>
            </a:graphic>
          </wp:inline>
        </w:drawing>
      </w:r>
    </w:p>
    <w:p w14:paraId="300880E5">
      <w:pPr>
        <w:rPr>
          <w:rFonts w:hint="default" w:ascii="Times New Roman" w:hAnsi="Times New Roman" w:eastAsia="黑体" w:cs="Times New Roman"/>
          <w:b w:val="0"/>
          <w:bCs/>
          <w:color w:val="auto"/>
          <w:szCs w:val="24"/>
          <w:highlight w:val="none"/>
          <w:lang w:eastAsia="zh-CN"/>
        </w:rPr>
      </w:pPr>
      <w:r>
        <w:rPr>
          <w:rFonts w:hint="default" w:ascii="Times New Roman" w:hAnsi="Times New Roman" w:eastAsia="黑体" w:cs="Times New Roman"/>
          <w:b w:val="0"/>
          <w:bCs/>
          <w:color w:val="auto"/>
          <w:szCs w:val="24"/>
          <w:highlight w:val="none"/>
          <w:lang w:eastAsia="zh-CN"/>
        </w:rPr>
        <w:br w:type="page"/>
      </w:r>
    </w:p>
    <w:p w14:paraId="3BA7D831">
      <w:pPr>
        <w:pStyle w:val="48"/>
        <w:rPr>
          <w:rFonts w:hint="default" w:ascii="Times New Roman" w:hAnsi="Times New Roman" w:eastAsia="黑体" w:cs="Times New Roman"/>
          <w:b w:val="0"/>
          <w:bCs/>
          <w:color w:val="auto"/>
          <w:szCs w:val="24"/>
          <w:highlight w:val="none"/>
          <w:lang w:eastAsia="zh-CN"/>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3151EA2E">
      <w:pPr>
        <w:pStyle w:val="48"/>
        <w:rPr>
          <w:rFonts w:hint="default" w:ascii="Times New Roman" w:hAnsi="Times New Roman" w:eastAsia="黑体" w:cs="Times New Roman"/>
          <w:b w:val="0"/>
          <w:bCs/>
          <w:color w:val="auto"/>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黑体" w:cs="Times New Roman"/>
          <w:b w:val="0"/>
          <w:bCs/>
          <w:color w:val="auto"/>
          <w:szCs w:val="24"/>
          <w:highlight w:val="none"/>
          <w:lang w:eastAsia="zh-CN"/>
        </w:rPr>
        <w:drawing>
          <wp:anchor distT="0" distB="0" distL="114300" distR="114300" simplePos="0" relativeHeight="251706368" behindDoc="0" locked="0" layoutInCell="1" allowOverlap="1">
            <wp:simplePos x="0" y="0"/>
            <wp:positionH relativeFrom="column">
              <wp:posOffset>-36195</wp:posOffset>
            </wp:positionH>
            <wp:positionV relativeFrom="paragraph">
              <wp:posOffset>364490</wp:posOffset>
            </wp:positionV>
            <wp:extent cx="5608320" cy="7562215"/>
            <wp:effectExtent l="0" t="0" r="11430" b="635"/>
            <wp:wrapTopAndBottom/>
            <wp:docPr id="55" name="图片 55" descr="ebc6cea08981bef0cba4eb5ac5885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ebc6cea08981bef0cba4eb5ac5885f2"/>
                    <pic:cNvPicPr>
                      <a:picLocks noChangeAspect="1"/>
                    </pic:cNvPicPr>
                  </pic:nvPicPr>
                  <pic:blipFill>
                    <a:blip r:embed="rId34"/>
                    <a:stretch>
                      <a:fillRect/>
                    </a:stretch>
                  </pic:blipFill>
                  <pic:spPr>
                    <a:xfrm>
                      <a:off x="0" y="0"/>
                      <a:ext cx="5608320" cy="7562215"/>
                    </a:xfrm>
                    <a:prstGeom prst="rect">
                      <a:avLst/>
                    </a:prstGeom>
                  </pic:spPr>
                </pic:pic>
              </a:graphicData>
            </a:graphic>
          </wp:anchor>
        </w:drawing>
      </w: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7</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关于鲁村镇舍庄二村等单位使用土地的批复</w:t>
      </w:r>
    </w:p>
    <w:p w14:paraId="0DDD58CF">
      <w:pPr>
        <w:pStyle w:val="50"/>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eastAsia="zh-CN"/>
        </w:rPr>
        <w:drawing>
          <wp:inline distT="0" distB="0" distL="114300" distR="114300">
            <wp:extent cx="5608320" cy="7562215"/>
            <wp:effectExtent l="0" t="0" r="11430" b="635"/>
            <wp:docPr id="56" name="图片 56" descr="3a65b5469aba8326786379b854c21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3a65b5469aba8326786379b854c219f"/>
                    <pic:cNvPicPr>
                      <a:picLocks noChangeAspect="1"/>
                    </pic:cNvPicPr>
                  </pic:nvPicPr>
                  <pic:blipFill>
                    <a:blip r:embed="rId35"/>
                    <a:stretch>
                      <a:fillRect/>
                    </a:stretch>
                  </pic:blipFill>
                  <pic:spPr>
                    <a:xfrm>
                      <a:off x="0" y="0"/>
                      <a:ext cx="5608320" cy="7562215"/>
                    </a:xfrm>
                    <a:prstGeom prst="rect">
                      <a:avLst/>
                    </a:prstGeom>
                  </pic:spPr>
                </pic:pic>
              </a:graphicData>
            </a:graphic>
          </wp:inline>
        </w:drawing>
      </w:r>
    </w:p>
    <w:p w14:paraId="6C828E0F">
      <w:pPr>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anchor distT="0" distB="0" distL="114300" distR="114300" simplePos="0" relativeHeight="251722752" behindDoc="0" locked="0" layoutInCell="1" allowOverlap="1">
            <wp:simplePos x="0" y="0"/>
            <wp:positionH relativeFrom="column">
              <wp:posOffset>-42545</wp:posOffset>
            </wp:positionH>
            <wp:positionV relativeFrom="paragraph">
              <wp:posOffset>267970</wp:posOffset>
            </wp:positionV>
            <wp:extent cx="5615305" cy="7935595"/>
            <wp:effectExtent l="0" t="0" r="4445" b="8255"/>
            <wp:wrapTopAndBottom/>
            <wp:docPr id="26" name="图片 26" descr="噪声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噪声监测报告_01"/>
                    <pic:cNvPicPr>
                      <a:picLocks noChangeAspect="1"/>
                    </pic:cNvPicPr>
                  </pic:nvPicPr>
                  <pic:blipFill>
                    <a:blip r:embed="rId36"/>
                    <a:stretch>
                      <a:fillRect/>
                    </a:stretch>
                  </pic:blipFill>
                  <pic:spPr>
                    <a:xfrm>
                      <a:off x="0" y="0"/>
                      <a:ext cx="5615305" cy="7935595"/>
                    </a:xfrm>
                    <a:prstGeom prst="rect">
                      <a:avLst/>
                    </a:prstGeom>
                  </pic:spPr>
                </pic:pic>
              </a:graphicData>
            </a:graphic>
          </wp:anchor>
        </w:drawing>
      </w: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8</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噪声监测报告</w:t>
      </w:r>
    </w:p>
    <w:p w14:paraId="6C8F6A69">
      <w:pPr>
        <w:pStyle w:val="2"/>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eastAsia="zh-CN"/>
        </w:rPr>
        <w:drawing>
          <wp:inline distT="0" distB="0" distL="114300" distR="114300">
            <wp:extent cx="5615305" cy="7935595"/>
            <wp:effectExtent l="0" t="0" r="4445" b="8255"/>
            <wp:docPr id="67" name="图片 67" descr="噪声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噪声监测报告_02"/>
                    <pic:cNvPicPr>
                      <a:picLocks noChangeAspect="1"/>
                    </pic:cNvPicPr>
                  </pic:nvPicPr>
                  <pic:blipFill>
                    <a:blip r:embed="rId37"/>
                    <a:stretch>
                      <a:fillRect/>
                    </a:stretch>
                  </pic:blipFill>
                  <pic:spPr>
                    <a:xfrm>
                      <a:off x="0" y="0"/>
                      <a:ext cx="5615305" cy="7935595"/>
                    </a:xfrm>
                    <a:prstGeom prst="rect">
                      <a:avLst/>
                    </a:prstGeom>
                  </pic:spPr>
                </pic:pic>
              </a:graphicData>
            </a:graphic>
          </wp:inline>
        </w:drawing>
      </w:r>
    </w:p>
    <w:p w14:paraId="76C1054D">
      <w:pPr>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eastAsia="zh-CN"/>
        </w:rPr>
        <w:drawing>
          <wp:inline distT="0" distB="0" distL="114300" distR="114300">
            <wp:extent cx="5615305" cy="7935595"/>
            <wp:effectExtent l="0" t="0" r="4445" b="8255"/>
            <wp:docPr id="79" name="图片 79" descr="噪声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噪声监测报告_03"/>
                    <pic:cNvPicPr>
                      <a:picLocks noChangeAspect="1"/>
                    </pic:cNvPicPr>
                  </pic:nvPicPr>
                  <pic:blipFill>
                    <a:blip r:embed="rId38"/>
                    <a:stretch>
                      <a:fillRect/>
                    </a:stretch>
                  </pic:blipFill>
                  <pic:spPr>
                    <a:xfrm>
                      <a:off x="0" y="0"/>
                      <a:ext cx="5615305" cy="7935595"/>
                    </a:xfrm>
                    <a:prstGeom prst="rect">
                      <a:avLst/>
                    </a:prstGeom>
                  </pic:spPr>
                </pic:pic>
              </a:graphicData>
            </a:graphic>
          </wp:inline>
        </w:drawing>
      </w:r>
    </w:p>
    <w:p w14:paraId="23D8E811">
      <w:pPr>
        <w:pStyle w:val="2"/>
        <w:ind w:left="0" w:leftChars="0" w:firstLine="0" w:firstLineChars="0"/>
        <w:rPr>
          <w:rFonts w:hint="eastAsia"/>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lang w:eastAsia="zh-CN"/>
        </w:rPr>
        <w:drawing>
          <wp:inline distT="0" distB="0" distL="114300" distR="114300">
            <wp:extent cx="5615305" cy="7935595"/>
            <wp:effectExtent l="0" t="0" r="4445" b="8255"/>
            <wp:docPr id="80" name="图片 80" descr="噪声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噪声监测报告_04"/>
                    <pic:cNvPicPr>
                      <a:picLocks noChangeAspect="1"/>
                    </pic:cNvPicPr>
                  </pic:nvPicPr>
                  <pic:blipFill>
                    <a:blip r:embed="rId39"/>
                    <a:stretch>
                      <a:fillRect/>
                    </a:stretch>
                  </pic:blipFill>
                  <pic:spPr>
                    <a:xfrm>
                      <a:off x="0" y="0"/>
                      <a:ext cx="5615305" cy="7935595"/>
                    </a:xfrm>
                    <a:prstGeom prst="rect">
                      <a:avLst/>
                    </a:prstGeom>
                  </pic:spPr>
                </pic:pic>
              </a:graphicData>
            </a:graphic>
          </wp:inline>
        </w:drawing>
      </w:r>
    </w:p>
    <w:p w14:paraId="327972A4">
      <w:pPr>
        <w:pStyle w:val="48"/>
        <w:rPr>
          <w:rFonts w:hint="eastAsia" w:ascii="Times New Roman" w:hAnsi="Times New Roman" w:eastAsia="黑体" w:cs="Times New Roman"/>
          <w:b w:val="0"/>
          <w:bCs/>
          <w:color w:val="auto"/>
          <w:szCs w:val="24"/>
          <w:highlight w:val="none"/>
          <w:lang w:eastAsia="zh-CN"/>
        </w:rPr>
      </w:pPr>
      <w:r>
        <w:rPr>
          <w:rFonts w:hint="eastAsia" w:ascii="Times New Roman" w:hAnsi="Times New Roman" w:eastAsia="黑体" w:cs="Times New Roman"/>
          <w:b w:val="0"/>
          <w:bCs/>
          <w:color w:val="auto"/>
          <w:szCs w:val="24"/>
          <w:highlight w:val="none"/>
          <w:lang w:eastAsia="zh-CN"/>
        </w:rPr>
        <w:drawing>
          <wp:anchor distT="0" distB="0" distL="114300" distR="114300" simplePos="0" relativeHeight="251712512" behindDoc="0" locked="0" layoutInCell="1" allowOverlap="1">
            <wp:simplePos x="0" y="0"/>
            <wp:positionH relativeFrom="column">
              <wp:posOffset>-116840</wp:posOffset>
            </wp:positionH>
            <wp:positionV relativeFrom="paragraph">
              <wp:posOffset>334645</wp:posOffset>
            </wp:positionV>
            <wp:extent cx="5608320" cy="7477760"/>
            <wp:effectExtent l="0" t="0" r="11430" b="8890"/>
            <wp:wrapTopAndBottom/>
            <wp:docPr id="13" name="图片 13" descr="工程师踏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工程师踏勘"/>
                    <pic:cNvPicPr>
                      <a:picLocks noChangeAspect="1"/>
                    </pic:cNvPicPr>
                  </pic:nvPicPr>
                  <pic:blipFill>
                    <a:blip r:embed="rId40"/>
                    <a:stretch>
                      <a:fillRect/>
                    </a:stretch>
                  </pic:blipFill>
                  <pic:spPr>
                    <a:xfrm>
                      <a:off x="0" y="0"/>
                      <a:ext cx="5608320" cy="7477760"/>
                    </a:xfrm>
                    <a:prstGeom prst="rect">
                      <a:avLst/>
                    </a:prstGeom>
                  </pic:spPr>
                </pic:pic>
              </a:graphicData>
            </a:graphic>
          </wp:anchor>
        </w:drawing>
      </w: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9</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eastAsia="zh-CN"/>
        </w:rPr>
        <w:t>工程师现场踏勘照片</w:t>
      </w:r>
    </w:p>
    <w:p w14:paraId="5D70C333">
      <w:pPr>
        <w:rPr>
          <w:rFonts w:hint="default"/>
          <w:lang w:eastAsia="zh-CN"/>
        </w:rPr>
      </w:pPr>
      <w:r>
        <w:rPr>
          <w:rFonts w:hint="default"/>
          <w:lang w:eastAsia="zh-CN"/>
        </w:rPr>
        <w:br w:type="page"/>
      </w:r>
    </w:p>
    <w:p w14:paraId="534D8C1C">
      <w:pPr>
        <w:pStyle w:val="48"/>
        <w:rPr>
          <w:rFonts w:hint="default" w:ascii="Times New Roman" w:hAnsi="Times New Roman" w:eastAsia="黑体" w:cs="Times New Roman"/>
          <w:b w:val="0"/>
          <w:bCs/>
          <w:color w:val="auto"/>
          <w:szCs w:val="24"/>
          <w:highlight w:val="none"/>
          <w:lang w:val="en-US" w:eastAsia="zh-CN"/>
        </w:rPr>
      </w:pP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10</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专家函审意见</w:t>
      </w:r>
    </w:p>
    <w:p w14:paraId="50C7E4A5">
      <w:pPr>
        <w:rPr>
          <w:rFonts w:hint="default"/>
          <w:lang w:eastAsia="zh-CN"/>
        </w:rPr>
      </w:pPr>
      <w:r>
        <w:rPr>
          <w:rFonts w:hint="default"/>
          <w:lang w:eastAsia="zh-CN"/>
        </w:rPr>
        <w:drawing>
          <wp:inline distT="0" distB="0" distL="114300" distR="114300">
            <wp:extent cx="5602605" cy="7924800"/>
            <wp:effectExtent l="0" t="0" r="17145" b="0"/>
            <wp:docPr id="59" name="图片 59" descr="函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函审意见_01"/>
                    <pic:cNvPicPr>
                      <a:picLocks noChangeAspect="1"/>
                    </pic:cNvPicPr>
                  </pic:nvPicPr>
                  <pic:blipFill>
                    <a:blip r:embed="rId41"/>
                    <a:stretch>
                      <a:fillRect/>
                    </a:stretch>
                  </pic:blipFill>
                  <pic:spPr>
                    <a:xfrm>
                      <a:off x="0" y="0"/>
                      <a:ext cx="5602605" cy="7924800"/>
                    </a:xfrm>
                    <a:prstGeom prst="rect">
                      <a:avLst/>
                    </a:prstGeom>
                  </pic:spPr>
                </pic:pic>
              </a:graphicData>
            </a:graphic>
          </wp:inline>
        </w:drawing>
      </w:r>
      <w:r>
        <w:rPr>
          <w:rFonts w:hint="default"/>
          <w:lang w:eastAsia="zh-CN"/>
        </w:rPr>
        <w:br w:type="page"/>
      </w:r>
      <w:r>
        <w:rPr>
          <w:rFonts w:hint="default"/>
          <w:lang w:eastAsia="zh-CN"/>
        </w:rPr>
        <w:drawing>
          <wp:inline distT="0" distB="0" distL="114300" distR="114300">
            <wp:extent cx="5610860" cy="7934960"/>
            <wp:effectExtent l="0" t="0" r="8890" b="8890"/>
            <wp:docPr id="27" name="图片 27" descr="函审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函审意见_02"/>
                    <pic:cNvPicPr>
                      <a:picLocks noChangeAspect="1"/>
                    </pic:cNvPicPr>
                  </pic:nvPicPr>
                  <pic:blipFill>
                    <a:blip r:embed="rId42"/>
                    <a:stretch>
                      <a:fillRect/>
                    </a:stretch>
                  </pic:blipFill>
                  <pic:spPr>
                    <a:xfrm>
                      <a:off x="0" y="0"/>
                      <a:ext cx="5610860" cy="7934960"/>
                    </a:xfrm>
                    <a:prstGeom prst="rect">
                      <a:avLst/>
                    </a:prstGeom>
                  </pic:spPr>
                </pic:pic>
              </a:graphicData>
            </a:graphic>
          </wp:inline>
        </w:drawing>
      </w:r>
    </w:p>
    <w:p w14:paraId="2B68AC6B">
      <w:pPr>
        <w:rPr>
          <w:rFonts w:hint="default"/>
          <w:lang w:eastAsia="zh-CN"/>
        </w:rPr>
      </w:pPr>
      <w:r>
        <w:rPr>
          <w:rFonts w:hint="default"/>
          <w:lang w:eastAsia="zh-CN"/>
        </w:rPr>
        <w:br w:type="page"/>
      </w:r>
    </w:p>
    <w:p w14:paraId="648D0DF5">
      <w:pPr>
        <w:pStyle w:val="2"/>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lang w:val="en-US" w:eastAsia="zh-CN"/>
        </w:rPr>
      </w:pPr>
      <w:r>
        <w:rPr>
          <w:rFonts w:hint="default"/>
          <w:lang w:val="en-US" w:eastAsia="zh-CN"/>
        </w:rPr>
        <w:drawing>
          <wp:anchor distT="0" distB="0" distL="114300" distR="114300" simplePos="0" relativeHeight="251721728" behindDoc="0" locked="0" layoutInCell="1" allowOverlap="1">
            <wp:simplePos x="0" y="0"/>
            <wp:positionH relativeFrom="column">
              <wp:posOffset>-42545</wp:posOffset>
            </wp:positionH>
            <wp:positionV relativeFrom="paragraph">
              <wp:posOffset>309880</wp:posOffset>
            </wp:positionV>
            <wp:extent cx="5615305" cy="7945755"/>
            <wp:effectExtent l="0" t="0" r="4445" b="17145"/>
            <wp:wrapTopAndBottom/>
            <wp:docPr id="77" name="图片 77" descr="修改说明-专家签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修改说明-专家签字_01"/>
                    <pic:cNvPicPr>
                      <a:picLocks noChangeAspect="1"/>
                    </pic:cNvPicPr>
                  </pic:nvPicPr>
                  <pic:blipFill>
                    <a:blip r:embed="rId43"/>
                    <a:stretch>
                      <a:fillRect/>
                    </a:stretch>
                  </pic:blipFill>
                  <pic:spPr>
                    <a:xfrm>
                      <a:off x="0" y="0"/>
                      <a:ext cx="5615305" cy="7945755"/>
                    </a:xfrm>
                    <a:prstGeom prst="rect">
                      <a:avLst/>
                    </a:prstGeom>
                  </pic:spPr>
                </pic:pic>
              </a:graphicData>
            </a:graphic>
          </wp:anchor>
        </w:drawing>
      </w:r>
      <w:r>
        <w:rPr>
          <w:rFonts w:hint="default" w:ascii="Times New Roman" w:hAnsi="Times New Roman" w:eastAsia="黑体" w:cs="Times New Roman"/>
          <w:b w:val="0"/>
          <w:bCs/>
          <w:color w:val="auto"/>
          <w:szCs w:val="24"/>
          <w:highlight w:val="none"/>
          <w:lang w:eastAsia="zh-CN"/>
        </w:rPr>
        <w:t>附件</w:t>
      </w:r>
      <w:r>
        <w:rPr>
          <w:rFonts w:hint="eastAsia" w:ascii="Times New Roman" w:hAnsi="Times New Roman" w:eastAsia="黑体" w:cs="Times New Roman"/>
          <w:b w:val="0"/>
          <w:bCs/>
          <w:color w:val="auto"/>
          <w:szCs w:val="24"/>
          <w:highlight w:val="none"/>
          <w:lang w:val="en-US" w:eastAsia="zh-CN"/>
        </w:rPr>
        <w:t>11</w:t>
      </w:r>
      <w:r>
        <w:rPr>
          <w:rFonts w:hint="default"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修改说明及专家签字</w:t>
      </w:r>
    </w:p>
    <w:p w14:paraId="1DADBCDD">
      <w:pPr>
        <w:rPr>
          <w:rFonts w:hint="default"/>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160DF1B">
      <w:pPr>
        <w:rPr>
          <w:rFonts w:hint="default" w:ascii="Times New Roman" w:hAnsi="Times New Roman" w:eastAsia="黑体" w:cs="Times New Roman"/>
          <w:b w:val="0"/>
          <w:bCs/>
          <w:color w:val="auto"/>
          <w:szCs w:val="24"/>
          <w:highlight w:val="none"/>
          <w:lang w:eastAsia="zh-CN"/>
        </w:rPr>
      </w:pPr>
      <w:r>
        <w:rPr>
          <w:rFonts w:hint="default" w:ascii="Times New Roman" w:hAnsi="Times New Roman" w:eastAsia="黑体" w:cs="Times New Roman"/>
          <w:b w:val="0"/>
          <w:bCs/>
          <w:color w:val="auto"/>
          <w:szCs w:val="24"/>
          <w:highlight w:val="none"/>
          <w:lang w:eastAsia="zh-CN"/>
        </w:rPr>
        <w:drawing>
          <wp:inline distT="0" distB="0" distL="114300" distR="114300">
            <wp:extent cx="5615305" cy="7945755"/>
            <wp:effectExtent l="0" t="0" r="4445" b="17145"/>
            <wp:docPr id="78" name="图片 78" descr="修改说明-专家签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修改说明-专家签字_02"/>
                    <pic:cNvPicPr>
                      <a:picLocks noChangeAspect="1"/>
                    </pic:cNvPicPr>
                  </pic:nvPicPr>
                  <pic:blipFill>
                    <a:blip r:embed="rId44"/>
                    <a:stretch>
                      <a:fillRect/>
                    </a:stretch>
                  </pic:blipFill>
                  <pic:spPr>
                    <a:xfrm>
                      <a:off x="0" y="0"/>
                      <a:ext cx="5615305" cy="7945755"/>
                    </a:xfrm>
                    <a:prstGeom prst="rect">
                      <a:avLst/>
                    </a:prstGeom>
                  </pic:spPr>
                </pic:pic>
              </a:graphicData>
            </a:graphic>
          </wp:inline>
        </w:drawing>
      </w:r>
      <w:r>
        <w:rPr>
          <w:rFonts w:hint="default" w:ascii="Times New Roman" w:hAnsi="Times New Roman" w:eastAsia="黑体" w:cs="Times New Roman"/>
          <w:b w:val="0"/>
          <w:bCs/>
          <w:color w:val="auto"/>
          <w:szCs w:val="24"/>
          <w:highlight w:val="none"/>
          <w:lang w:eastAsia="zh-CN"/>
        </w:rPr>
        <w:br w:type="page"/>
      </w:r>
    </w:p>
    <w:p w14:paraId="134FC6AA">
      <w:pPr>
        <w:pStyle w:val="48"/>
        <w:rPr>
          <w:rFonts w:hint="default" w:ascii="Times New Roman" w:hAnsi="Times New Roman" w:eastAsia="黑体" w:cs="Times New Roman"/>
          <w:b w:val="0"/>
          <w:bCs/>
          <w:color w:val="auto"/>
          <w:szCs w:val="24"/>
          <w:highlight w:val="none"/>
          <w:lang w:val="en-US" w:eastAsia="zh-CN"/>
        </w:rPr>
      </w:pPr>
      <w:r>
        <w:rPr>
          <w:rFonts w:hint="default" w:ascii="Times New Roman" w:hAnsi="Times New Roman" w:eastAsia="黑体" w:cs="Times New Roman"/>
          <w:b w:val="0"/>
          <w:bCs/>
          <w:color w:val="auto"/>
          <w:szCs w:val="24"/>
          <w:highlight w:val="none"/>
          <w:lang w:eastAsia="zh-CN"/>
        </w:rPr>
        <w:t>附图1：</w:t>
      </w:r>
      <w:r>
        <w:rPr>
          <w:rFonts w:hint="default" w:ascii="Times New Roman" w:hAnsi="Times New Roman" w:eastAsia="黑体" w:cs="Times New Roman"/>
          <w:b w:val="0"/>
          <w:bCs/>
          <w:color w:val="auto"/>
          <w:szCs w:val="24"/>
          <w:highlight w:val="none"/>
          <w:lang w:val="en-US" w:eastAsia="zh-CN"/>
        </w:rPr>
        <w:t>项目地理位置图</w:t>
      </w:r>
      <w:r>
        <w:rPr>
          <w:rFonts w:hint="eastAsia" w:ascii="Times New Roman" w:hAnsi="Times New Roman" w:eastAsia="黑体" w:cs="Times New Roman"/>
          <w:b w:val="0"/>
          <w:bCs/>
          <w:color w:val="auto"/>
          <w:szCs w:val="24"/>
          <w:highlight w:val="none"/>
          <w:lang w:val="en-US" w:eastAsia="zh-CN"/>
        </w:rPr>
        <w:t xml:space="preserve"> </w:t>
      </w:r>
    </w:p>
    <w:p w14:paraId="5726C7B0">
      <w:pPr>
        <w:rPr>
          <w:rFonts w:hint="default" w:ascii="Times New Roman" w:hAnsi="Times New Roman" w:cs="Times New Roman"/>
          <w:b/>
          <w:bCs/>
          <w:color w:val="auto"/>
          <w:sz w:val="24"/>
          <w:szCs w:val="22"/>
          <w:highlight w:val="none"/>
          <w14:textOutline w14:w="19050" w14:cmpd="sng">
            <w14:solidFill>
              <w14:schemeClr w14:val="tx1">
                <w14:alpha w14:val="0"/>
              </w14:schemeClr>
            </w14:solidFill>
            <w14:prstDash w14:val="solid"/>
            <w14:round/>
          </w14:textOutline>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lang w:eastAsia="zh-CN"/>
        </w:rPr>
        <w:drawing>
          <wp:anchor distT="0" distB="0" distL="114300" distR="114300" simplePos="0" relativeHeight="251666432" behindDoc="0" locked="0" layoutInCell="1" allowOverlap="1">
            <wp:simplePos x="0" y="0"/>
            <wp:positionH relativeFrom="column">
              <wp:posOffset>7784465</wp:posOffset>
            </wp:positionH>
            <wp:positionV relativeFrom="paragraph">
              <wp:posOffset>-4696460</wp:posOffset>
            </wp:positionV>
            <wp:extent cx="695325" cy="650240"/>
            <wp:effectExtent l="0" t="0" r="5715" b="5080"/>
            <wp:wrapNone/>
            <wp:docPr id="134" name="图片 134" descr="风玫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风玫瑰_00"/>
                    <pic:cNvPicPr>
                      <a:picLocks noChangeAspect="1"/>
                    </pic:cNvPicPr>
                  </pic:nvPicPr>
                  <pic:blipFill>
                    <a:blip r:embed="rId45"/>
                    <a:srcRect l="31928" t="11983" b="-1948"/>
                    <a:stretch>
                      <a:fillRect/>
                    </a:stretch>
                  </pic:blipFill>
                  <pic:spPr>
                    <a:xfrm>
                      <a:off x="0" y="0"/>
                      <a:ext cx="695325" cy="650240"/>
                    </a:xfrm>
                    <a:prstGeom prst="rect">
                      <a:avLst/>
                    </a:prstGeom>
                  </pic:spPr>
                </pic:pic>
              </a:graphicData>
            </a:graphic>
          </wp:anchor>
        </w:drawing>
      </w:r>
    </w:p>
    <w:p w14:paraId="34C57BCF">
      <w:pPr>
        <w:adjustRightInd w:val="0"/>
        <w:snapToGrid w:val="0"/>
        <w:rPr>
          <w:rFonts w:hint="default" w:ascii="Times New Roman" w:hAnsi="Times New Roman" w:cs="Times New Roman"/>
          <w:b/>
          <w:bCs/>
          <w:color w:val="auto"/>
          <w:sz w:val="24"/>
          <w:szCs w:val="22"/>
          <w:highlight w:val="none"/>
        </w:rPr>
        <w:sectPr>
          <w:type w:val="continuous"/>
          <w:pgSz w:w="11906" w:h="16838"/>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color w:val="000000"/>
          <w:sz w:val="21"/>
          <w:highlight w:val="none"/>
        </w:rPr>
        <w:drawing>
          <wp:anchor distT="0" distB="0" distL="114300" distR="114300" simplePos="0" relativeHeight="251685888" behindDoc="0" locked="0" layoutInCell="1" allowOverlap="1">
            <wp:simplePos x="0" y="0"/>
            <wp:positionH relativeFrom="column">
              <wp:posOffset>4862195</wp:posOffset>
            </wp:positionH>
            <wp:positionV relativeFrom="paragraph">
              <wp:posOffset>12065</wp:posOffset>
            </wp:positionV>
            <wp:extent cx="709295" cy="661670"/>
            <wp:effectExtent l="0" t="0" r="14605" b="5080"/>
            <wp:wrapNone/>
            <wp:docPr id="22"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84864" behindDoc="1" locked="0" layoutInCell="1" allowOverlap="1">
            <wp:simplePos x="0" y="0"/>
            <wp:positionH relativeFrom="column">
              <wp:posOffset>-100330</wp:posOffset>
            </wp:positionH>
            <wp:positionV relativeFrom="paragraph">
              <wp:posOffset>24130</wp:posOffset>
            </wp:positionV>
            <wp:extent cx="5720080" cy="8192770"/>
            <wp:effectExtent l="0" t="0" r="13970" b="17780"/>
            <wp:wrapNone/>
            <wp:docPr id="17" name="图片 1" descr="淄博市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淄博市行政区划图"/>
                    <pic:cNvPicPr>
                      <a:picLocks noChangeAspect="1"/>
                    </pic:cNvPicPr>
                  </pic:nvPicPr>
                  <pic:blipFill>
                    <a:blip r:embed="rId47"/>
                    <a:srcRect t="3065"/>
                    <a:stretch>
                      <a:fillRect/>
                    </a:stretch>
                  </pic:blipFill>
                  <pic:spPr>
                    <a:xfrm>
                      <a:off x="0" y="0"/>
                      <a:ext cx="5720080" cy="8192770"/>
                    </a:xfrm>
                    <a:prstGeom prst="rect">
                      <a:avLst/>
                    </a:prstGeom>
                    <a:noFill/>
                    <a:ln>
                      <a:noFill/>
                    </a:ln>
                  </pic:spPr>
                </pic:pic>
              </a:graphicData>
            </a:graphic>
          </wp:anchor>
        </w:drawing>
      </w:r>
      <w:r>
        <w:rPr>
          <w:sz w:val="21"/>
          <w:highlight w:val="none"/>
        </w:rPr>
        <mc:AlternateContent>
          <mc:Choice Requires="wps">
            <w:drawing>
              <wp:anchor distT="0" distB="0" distL="114300" distR="114300" simplePos="0" relativeHeight="251665408" behindDoc="0" locked="0" layoutInCell="1" allowOverlap="1">
                <wp:simplePos x="0" y="0"/>
                <wp:positionH relativeFrom="column">
                  <wp:posOffset>3491230</wp:posOffset>
                </wp:positionH>
                <wp:positionV relativeFrom="paragraph">
                  <wp:posOffset>6283960</wp:posOffset>
                </wp:positionV>
                <wp:extent cx="1041400" cy="308610"/>
                <wp:effectExtent l="12700" t="12700" r="119380" b="440690"/>
                <wp:wrapNone/>
                <wp:docPr id="97" name="矩形标注 97"/>
                <wp:cNvGraphicFramePr/>
                <a:graphic xmlns:a="http://schemas.openxmlformats.org/drawingml/2006/main">
                  <a:graphicData uri="http://schemas.microsoft.com/office/word/2010/wordprocessingShape">
                    <wps:wsp>
                      <wps:cNvSpPr/>
                      <wps:spPr>
                        <a:xfrm>
                          <a:off x="0" y="0"/>
                          <a:ext cx="1041400" cy="308610"/>
                        </a:xfrm>
                        <a:prstGeom prst="wedgeRectCallout">
                          <a:avLst>
                            <a:gd name="adj1" fmla="val 59269"/>
                            <a:gd name="adj2" fmla="val 185389"/>
                          </a:avLst>
                        </a:prstGeom>
                        <a:solidFill>
                          <a:srgbClr val="FFFFFF"/>
                        </a:solidFill>
                        <a:ln w="25400" cap="flat" cmpd="sng">
                          <a:solidFill>
                            <a:srgbClr val="FF0000"/>
                          </a:solidFill>
                          <a:prstDash val="solid"/>
                          <a:round/>
                          <a:headEnd type="none" w="med" len="med"/>
                          <a:tailEnd type="none" w="med" len="med"/>
                        </a:ln>
                      </wps:spPr>
                      <wps:txbx>
                        <w:txbxContent>
                          <w:p w14:paraId="27CE44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FF0000"/>
                                <w:lang w:eastAsia="zh-CN"/>
                              </w:rPr>
                            </w:pPr>
                            <w:r>
                              <w:rPr>
                                <w:rFonts w:hint="eastAsia"/>
                                <w:color w:val="FF0000"/>
                                <w:sz w:val="21"/>
                                <w:szCs w:val="21"/>
                                <w:lang w:eastAsia="zh-CN"/>
                              </w:rPr>
                              <w:t>项目位</w:t>
                            </w:r>
                            <w:r>
                              <w:rPr>
                                <w:rFonts w:hint="eastAsia"/>
                                <w:color w:val="FF0000"/>
                                <w:lang w:eastAsia="zh-CN"/>
                              </w:rPr>
                              <w:t>置</w:t>
                            </w:r>
                          </w:p>
                        </w:txbxContent>
                      </wps:txbx>
                      <wps:bodyPr anchor="ctr" anchorCtr="0" upright="1"/>
                    </wps:wsp>
                  </a:graphicData>
                </a:graphic>
              </wp:anchor>
            </w:drawing>
          </mc:Choice>
          <mc:Fallback>
            <w:pict>
              <v:shape id="_x0000_s1026" o:spid="_x0000_s1026" o:spt="61" type="#_x0000_t61" style="position:absolute;left:0pt;margin-left:274.9pt;margin-top:494.8pt;height:24.3pt;width:82pt;z-index:251665408;v-text-anchor:middle;mso-width-relative:page;mso-height-relative:page;" fillcolor="#FFFFFF" filled="t" stroked="t" coordsize="21600,21600" o:gfxdata="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O74YbZAAAADAEAAA8AAAAAAAAAAQAg&#10;AAAAIgAAAGRycy9kb3ducmV2LnhtbFBLAQIUABQAAAAIAIdO4kCRxkd1RgIAAKsEAAAOAAAAAAAA&#10;AAEAIAAAACgBAABkcnMvZTJvRG9jLnhtbFBLBQYAAAAABgAGAFkBAADgBQAAAAA=&#10;" adj="23602,50844">
                <v:fill on="t" focussize="0,0"/>
                <v:stroke weight="2pt" color="#FF0000" joinstyle="round"/>
                <v:imagedata o:title=""/>
                <o:lock v:ext="edit" aspectratio="f"/>
                <v:textbox>
                  <w:txbxContent>
                    <w:p w14:paraId="27CE44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FF0000"/>
                          <w:lang w:eastAsia="zh-CN"/>
                        </w:rPr>
                      </w:pPr>
                      <w:r>
                        <w:rPr>
                          <w:rFonts w:hint="eastAsia"/>
                          <w:color w:val="FF0000"/>
                          <w:sz w:val="21"/>
                          <w:szCs w:val="21"/>
                          <w:lang w:eastAsia="zh-CN"/>
                        </w:rPr>
                        <w:t>项目位</w:t>
                      </w:r>
                      <w:r>
                        <w:rPr>
                          <w:rFonts w:hint="eastAsia"/>
                          <w:color w:val="FF0000"/>
                          <w:lang w:eastAsia="zh-CN"/>
                        </w:rPr>
                        <w:t>置</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4600575</wp:posOffset>
                </wp:positionH>
                <wp:positionV relativeFrom="paragraph">
                  <wp:posOffset>7002780</wp:posOffset>
                </wp:positionV>
                <wp:extent cx="75565" cy="75565"/>
                <wp:effectExtent l="12700" t="12700" r="26035" b="26035"/>
                <wp:wrapNone/>
                <wp:docPr id="18" name="矩形 18"/>
                <wp:cNvGraphicFramePr/>
                <a:graphic xmlns:a="http://schemas.openxmlformats.org/drawingml/2006/main">
                  <a:graphicData uri="http://schemas.microsoft.com/office/word/2010/wordprocessingShape">
                    <wps:wsp>
                      <wps:cNvSpPr/>
                      <wps:spPr>
                        <a:xfrm>
                          <a:off x="5772150" y="8754745"/>
                          <a:ext cx="75565" cy="755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2.25pt;margin-top:551.4pt;height:5.95pt;width:5.95pt;z-index:251683840;v-text-anchor:middle;mso-width-relative:page;mso-height-relative:page;" filled="f" stroked="t" coordsize="21600,21600" o:gfxdata="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3wcvbAAAADQEAAA8AAAAAAAAAAQAgAAAAIgAAAGRycy9kb3ducmV2Lnht&#10;bFBLAQIUABQAAAAIAIdO4kC2RLwTaAIAAL8EAAAOAAAAAAAAAAEAIAAAACoBAABkcnMvZTJvRG9j&#10;LnhtbFBLBQYAAAAABgAGAFkBAAAEBgAAAAA=&#10;">
                <v:fill on="f" focussize="0,0"/>
                <v:stroke weight="2pt" color="#FF0000 [2404]" joinstyle="round"/>
                <v:imagedata o:title=""/>
                <o:lock v:ext="edit" aspectratio="f"/>
              </v:rect>
            </w:pict>
          </mc:Fallback>
        </mc:AlternateContent>
      </w:r>
    </w:p>
    <w:p w14:paraId="34EB2168">
      <w:pPr>
        <w:pStyle w:val="48"/>
        <w:rPr>
          <w:rFonts w:hint="default" w:ascii="Times New Roman" w:hAnsi="Times New Roman" w:eastAsia="黑体" w:cs="Times New Roman"/>
          <w:b w:val="0"/>
          <w:bCs/>
          <w:color w:val="auto"/>
          <w:szCs w:val="24"/>
          <w:highlight w:val="none"/>
          <w:lang w:val="en-US" w:eastAsia="zh-CN"/>
        </w:rPr>
      </w:pPr>
      <w:r>
        <w:rPr>
          <w:rFonts w:hint="default" w:ascii="Times New Roman" w:hAnsi="Times New Roman" w:eastAsia="黑体" w:cs="Times New Roman"/>
          <w:b w:val="0"/>
          <w:bCs/>
          <w:color w:val="auto"/>
          <w:szCs w:val="24"/>
          <w:highlight w:val="none"/>
          <w:lang w:eastAsia="zh-CN"/>
        </w:rPr>
        <w:t>附图</w:t>
      </w:r>
      <w:r>
        <w:rPr>
          <w:rFonts w:hint="eastAsia" w:ascii="Times New Roman" w:hAnsi="Times New Roman" w:eastAsia="黑体" w:cs="Times New Roman"/>
          <w:b w:val="0"/>
          <w:bCs/>
          <w:color w:val="auto"/>
          <w:szCs w:val="24"/>
          <w:highlight w:val="none"/>
          <w:lang w:val="en-US" w:eastAsia="zh-CN"/>
        </w:rPr>
        <w:t>2：</w:t>
      </w:r>
      <w:r>
        <w:rPr>
          <w:rFonts w:hint="default" w:ascii="Times New Roman" w:hAnsi="Times New Roman" w:eastAsia="黑体" w:cs="Times New Roman"/>
          <w:b w:val="0"/>
          <w:bCs/>
          <w:color w:val="auto"/>
          <w:szCs w:val="24"/>
          <w:highlight w:val="none"/>
          <w:lang w:eastAsia="zh-CN"/>
        </w:rPr>
        <w:t>项目保护目标分布图</w:t>
      </w:r>
      <w:r>
        <w:rPr>
          <w:rFonts w:hint="eastAsia" w:ascii="Times New Roman" w:hAnsi="Times New Roman" w:eastAsia="黑体" w:cs="Times New Roman"/>
          <w:b w:val="0"/>
          <w:bCs/>
          <w:color w:val="auto"/>
          <w:szCs w:val="24"/>
          <w:highlight w:val="none"/>
          <w:lang w:eastAsia="zh-CN"/>
        </w:rPr>
        <w:t>（</w:t>
      </w:r>
      <w:r>
        <w:rPr>
          <w:rFonts w:hint="eastAsia" w:ascii="Times New Roman" w:hAnsi="Times New Roman" w:eastAsia="黑体" w:cs="Times New Roman"/>
          <w:b w:val="0"/>
          <w:bCs/>
          <w:color w:val="auto"/>
          <w:szCs w:val="24"/>
          <w:highlight w:val="none"/>
          <w:lang w:val="en-US" w:eastAsia="zh-CN"/>
        </w:rPr>
        <w:t>比例尺1：1000</w:t>
      </w:r>
      <w:r>
        <w:rPr>
          <w:rFonts w:hint="eastAsia" w:ascii="Times New Roman" w:hAnsi="Times New Roman" w:eastAsia="黑体" w:cs="Times New Roman"/>
          <w:b w:val="0"/>
          <w:bCs/>
          <w:color w:val="auto"/>
          <w:szCs w:val="24"/>
          <w:highlight w:val="none"/>
          <w:lang w:eastAsia="zh-CN"/>
        </w:rPr>
        <w:t>）</w:t>
      </w:r>
    </w:p>
    <w:p w14:paraId="0E36B9C2">
      <w:pPr>
        <w:adjustRightInd w:val="0"/>
        <w:snapToGrid w:val="0"/>
        <w:rPr>
          <w:rFonts w:hint="eastAsia" w:ascii="Times New Roman" w:hAnsi="Times New Roman" w:eastAsia="宋体" w:cs="Times New Roman"/>
          <w:b/>
          <w:bCs/>
          <w:color w:val="auto"/>
          <w:sz w:val="24"/>
          <w:szCs w:val="22"/>
          <w:highlight w:val="none"/>
          <w:lang w:eastAsia="zh-CN"/>
        </w:rPr>
      </w:pPr>
      <w:r>
        <w:rPr>
          <w:color w:val="000000"/>
          <w:sz w:val="21"/>
          <w:highlight w:val="none"/>
        </w:rPr>
        <w:drawing>
          <wp:anchor distT="0" distB="0" distL="114300" distR="114300" simplePos="0" relativeHeight="251686912" behindDoc="0" locked="0" layoutInCell="1" allowOverlap="1">
            <wp:simplePos x="0" y="0"/>
            <wp:positionH relativeFrom="column">
              <wp:posOffset>7915275</wp:posOffset>
            </wp:positionH>
            <wp:positionV relativeFrom="paragraph">
              <wp:posOffset>90805</wp:posOffset>
            </wp:positionV>
            <wp:extent cx="709295" cy="661670"/>
            <wp:effectExtent l="0" t="0" r="14605" b="5080"/>
            <wp:wrapNone/>
            <wp:docPr id="28"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rFonts w:hint="eastAsia" w:ascii="Times New Roman" w:hAnsi="Times New Roman" w:eastAsia="宋体" w:cs="Times New Roman"/>
          <w:b/>
          <w:bCs/>
          <w:color w:val="auto"/>
          <w:sz w:val="24"/>
          <w:szCs w:val="22"/>
          <w:highlight w:val="none"/>
          <w:lang w:eastAsia="zh-CN"/>
        </w:rPr>
        <w:drawing>
          <wp:anchor distT="0" distB="0" distL="114300" distR="114300" simplePos="0" relativeHeight="251712512" behindDoc="1" locked="0" layoutInCell="1" allowOverlap="1">
            <wp:simplePos x="0" y="0"/>
            <wp:positionH relativeFrom="column">
              <wp:posOffset>-10795</wp:posOffset>
            </wp:positionH>
            <wp:positionV relativeFrom="paragraph">
              <wp:posOffset>70485</wp:posOffset>
            </wp:positionV>
            <wp:extent cx="8645525" cy="5281295"/>
            <wp:effectExtent l="0" t="0" r="3175" b="14605"/>
            <wp:wrapNone/>
            <wp:docPr id="5" name="图片 5" descr="626f9fd10a027b0f95e9c56ec895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26f9fd10a027b0f95e9c56ec895b3a"/>
                    <pic:cNvPicPr>
                      <a:picLocks noChangeAspect="1"/>
                    </pic:cNvPicPr>
                  </pic:nvPicPr>
                  <pic:blipFill>
                    <a:blip r:embed="rId48"/>
                    <a:srcRect l="12147" t="5227" r="13510" b="3536"/>
                    <a:stretch>
                      <a:fillRect/>
                    </a:stretch>
                  </pic:blipFill>
                  <pic:spPr>
                    <a:xfrm>
                      <a:off x="0" y="0"/>
                      <a:ext cx="8645525" cy="5281295"/>
                    </a:xfrm>
                    <a:prstGeom prst="rect">
                      <a:avLst/>
                    </a:prstGeom>
                  </pic:spPr>
                </pic:pic>
              </a:graphicData>
            </a:graphic>
          </wp:anchor>
        </w:drawing>
      </w:r>
    </w:p>
    <w:p w14:paraId="604DBA33">
      <w:pPr>
        <w:pStyle w:val="50"/>
        <w:ind w:left="0" w:leftChars="0" w:firstLine="0" w:firstLineChars="0"/>
        <w:rPr>
          <w:rFonts w:hint="default"/>
          <w:color w:val="auto"/>
          <w:highlight w:val="none"/>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sz w:val="28"/>
        </w:rPr>
        <mc:AlternateContent>
          <mc:Choice Requires="wps">
            <w:drawing>
              <wp:anchor distT="0" distB="0" distL="114300" distR="114300" simplePos="0" relativeHeight="251707392" behindDoc="0" locked="0" layoutInCell="1" allowOverlap="1">
                <wp:simplePos x="0" y="0"/>
                <wp:positionH relativeFrom="column">
                  <wp:posOffset>7385685</wp:posOffset>
                </wp:positionH>
                <wp:positionV relativeFrom="paragraph">
                  <wp:posOffset>4450715</wp:posOffset>
                </wp:positionV>
                <wp:extent cx="116840" cy="116840"/>
                <wp:effectExtent l="12700" t="12700" r="22860" b="22860"/>
                <wp:wrapNone/>
                <wp:docPr id="57" name="椭圆 57"/>
                <wp:cNvGraphicFramePr/>
                <a:graphic xmlns:a="http://schemas.openxmlformats.org/drawingml/2006/main">
                  <a:graphicData uri="http://schemas.microsoft.com/office/word/2010/wordprocessingShape">
                    <wps:wsp>
                      <wps:cNvSpPr/>
                      <wps:spPr>
                        <a:xfrm flipV="1">
                          <a:off x="8728075" y="5689600"/>
                          <a:ext cx="116840" cy="116840"/>
                        </a:xfrm>
                        <a:prstGeom prst="ellips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y;margin-left:581.55pt;margin-top:350.45pt;height:9.2pt;width:9.2pt;z-index:251707392;v-text-anchor:middle;mso-width-relative:page;mso-height-relative:page;" filled="f" stroked="t" coordsize="21600,21600" o:gfxdata="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k21EM2AAAAA0BAAAPAAAAAAAAAAEAIAAAACIAAABkcnMvZG93&#10;bnJldi54bWxQSwECFAAUAAAACACHTuJAXbxgbXICAADOBAAADgAAAAAAAAABACAAAAAnAQAAZHJz&#10;L2Uyb0RvYy54bWxQSwUGAAAAAAYABgBZAQAACwYAAAAA&#10;">
                <v:fill on="f"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7209155</wp:posOffset>
                </wp:positionH>
                <wp:positionV relativeFrom="paragraph">
                  <wp:posOffset>3800475</wp:posOffset>
                </wp:positionV>
                <wp:extent cx="1405255" cy="966470"/>
                <wp:effectExtent l="4445" t="4445" r="19050" b="19685"/>
                <wp:wrapNone/>
                <wp:docPr id="100" name="文本框 100"/>
                <wp:cNvGraphicFramePr/>
                <a:graphic xmlns:a="http://schemas.openxmlformats.org/drawingml/2006/main">
                  <a:graphicData uri="http://schemas.microsoft.com/office/word/2010/wordprocessingShape">
                    <wps:wsp>
                      <wps:cNvSpPr txBox="1"/>
                      <wps:spPr>
                        <a:xfrm>
                          <a:off x="0" y="0"/>
                          <a:ext cx="1405255" cy="966470"/>
                        </a:xfrm>
                        <a:prstGeom prst="rect">
                          <a:avLst/>
                        </a:prstGeom>
                        <a:solidFill>
                          <a:srgbClr val="FFFFFF"/>
                        </a:solidFill>
                        <a:ln w="6350" cap="flat" cmpd="sng">
                          <a:solidFill>
                            <a:srgbClr val="FBFB03"/>
                          </a:solidFill>
                          <a:prstDash val="solid"/>
                          <a:round/>
                          <a:headEnd type="none" w="med" len="med"/>
                          <a:tailEnd type="none" w="med" len="med"/>
                        </a:ln>
                      </wps:spPr>
                      <wps:txbx>
                        <w:txbxContent>
                          <w:p w14:paraId="1502DB22">
                            <w:pPr>
                              <w:spacing w:line="312" w:lineRule="exact"/>
                              <w:ind w:firstLine="0" w:firstLineChars="0"/>
                              <w:jc w:val="center"/>
                            </w:pPr>
                            <w:r>
                              <w:rPr>
                                <w:rFonts w:hint="eastAsia"/>
                                <w:b/>
                                <w:bCs/>
                                <w:sz w:val="21"/>
                                <w:szCs w:val="21"/>
                              </w:rPr>
                              <w:t>图例</w:t>
                            </w:r>
                          </w:p>
                          <w:p w14:paraId="69648CA3">
                            <w:pPr>
                              <w:pStyle w:val="2"/>
                              <w:spacing w:after="0" w:line="312" w:lineRule="exact"/>
                              <w:ind w:left="0" w:leftChars="0" w:firstLine="0" w:firstLineChars="0"/>
                              <w:jc w:val="left"/>
                            </w:pPr>
                            <w:r>
                              <w:rPr>
                                <w:rFonts w:hint="eastAsia" w:ascii="华文琥珀" w:hAnsi="华文琥珀" w:eastAsia="华文琥珀" w:cs="华文琥珀"/>
                                <w:b/>
                                <w:bCs/>
                                <w:color w:val="FF0000"/>
                                <w:sz w:val="28"/>
                                <w:szCs w:val="28"/>
                              </w:rPr>
                              <w:sym w:font="Wingdings 2" w:char="00A3"/>
                            </w:r>
                            <w:r>
                              <w:rPr>
                                <w:rFonts w:hint="eastAsia" w:ascii="华文琥珀" w:hAnsi="华文琥珀" w:eastAsia="华文琥珀" w:cs="华文琥珀"/>
                                <w:b/>
                                <w:bCs/>
                                <w:color w:val="FF0000"/>
                                <w:sz w:val="28"/>
                                <w:szCs w:val="28"/>
                                <w:lang w:val="en-US" w:eastAsia="zh-CN"/>
                              </w:rPr>
                              <w:t xml:space="preserve">  </w:t>
                            </w:r>
                            <w:r>
                              <w:rPr>
                                <w:rFonts w:hint="eastAsia" w:ascii="宋体" w:hAnsi="宋体" w:cs="宋体"/>
                                <w:sz w:val="21"/>
                                <w:szCs w:val="21"/>
                              </w:rPr>
                              <w:t>厂区边界</w:t>
                            </w:r>
                          </w:p>
                          <w:p w14:paraId="3EE32703">
                            <w:pPr>
                              <w:pStyle w:val="2"/>
                              <w:spacing w:after="0" w:line="312" w:lineRule="exact"/>
                              <w:ind w:left="0" w:leftChars="0" w:firstLine="0" w:firstLineChars="0"/>
                              <w:jc w:val="left"/>
                              <w:rPr>
                                <w:rFonts w:hint="eastAsia" w:ascii="宋体" w:hAnsi="宋体" w:cs="宋体"/>
                                <w:sz w:val="21"/>
                                <w:szCs w:val="21"/>
                                <w:lang w:eastAsia="zh-CN"/>
                              </w:rPr>
                            </w:pPr>
                            <w:r>
                              <w:rPr>
                                <w:rFonts w:hint="eastAsia" w:ascii="华文琥珀" w:hAnsi="华文琥珀" w:eastAsia="华文琥珀" w:cs="华文琥珀"/>
                                <w:b/>
                                <w:bCs/>
                                <w:color w:val="FBEE5E"/>
                                <w:sz w:val="28"/>
                                <w:szCs w:val="28"/>
                              </w:rPr>
                              <w:sym w:font="Wingdings 2" w:char="00A3"/>
                            </w:r>
                            <w:r>
                              <w:rPr>
                                <w:rFonts w:hint="eastAsia" w:ascii="华文琥珀" w:hAnsi="华文琥珀" w:eastAsia="华文琥珀" w:cs="华文琥珀"/>
                                <w:b/>
                                <w:bCs/>
                                <w:color w:val="FBEE5E"/>
                                <w:sz w:val="28"/>
                                <w:szCs w:val="28"/>
                                <w:lang w:val="en-US" w:eastAsia="zh-CN"/>
                              </w:rPr>
                              <w:t xml:space="preserve"> </w:t>
                            </w:r>
                            <w:r>
                              <w:rPr>
                                <w:rFonts w:hint="eastAsia" w:ascii="华文琥珀" w:hAnsi="华文琥珀" w:eastAsia="华文琥珀" w:cs="华文琥珀"/>
                                <w:b/>
                                <w:bCs/>
                                <w:color w:val="CCC0D9"/>
                                <w:sz w:val="28"/>
                                <w:szCs w:val="28"/>
                                <w:lang w:val="en-US" w:eastAsia="zh-CN"/>
                              </w:rPr>
                              <w:t xml:space="preserve"> </w:t>
                            </w:r>
                            <w:r>
                              <w:rPr>
                                <w:rFonts w:hint="eastAsia" w:ascii="宋体" w:hAnsi="宋体" w:cs="宋体"/>
                                <w:sz w:val="21"/>
                                <w:szCs w:val="21"/>
                                <w:lang w:eastAsia="zh-CN"/>
                              </w:rPr>
                              <w:t>保护目标</w:t>
                            </w:r>
                          </w:p>
                          <w:p w14:paraId="27070659">
                            <w:pPr>
                              <w:rPr>
                                <w:rFonts w:hint="default"/>
                                <w:lang w:val="en-US" w:eastAsia="zh-CN"/>
                              </w:rPr>
                            </w:pPr>
                            <w:r>
                              <w:rPr>
                                <w:rFonts w:hint="eastAsia" w:ascii="宋体" w:hAnsi="宋体" w:cs="宋体"/>
                                <w:sz w:val="21"/>
                                <w:szCs w:val="21"/>
                                <w:lang w:val="en-US" w:eastAsia="zh-CN"/>
                              </w:rPr>
                              <w:t xml:space="preserve">     500米范围</w:t>
                            </w:r>
                          </w:p>
                        </w:txbxContent>
                      </wps:txbx>
                      <wps:bodyPr upright="1"/>
                    </wps:wsp>
                  </a:graphicData>
                </a:graphic>
              </wp:anchor>
            </w:drawing>
          </mc:Choice>
          <mc:Fallback>
            <w:pict>
              <v:shape id="_x0000_s1026" o:spid="_x0000_s1026" o:spt="202" type="#_x0000_t202" style="position:absolute;left:0pt;margin-left:567.65pt;margin-top:299.25pt;height:76.1pt;width:110.65pt;z-index:251669504;mso-width-relative:page;mso-height-relative:page;" fillcolor="#FFFFFF" filled="t" stroked="t" coordsize="21600,21600" o:gfxdata="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4rnatoAAAANAQAADwAAAAAA&#10;AAABACAAAAAiAAAAZHJzL2Rvd25yZXYueG1sUEsBAhQAFAAAAAgAh07iQPtutdMRAgAAOgQAAA4A&#10;AAAAAAAAAQAgAAAAKQEAAGRycy9lMm9Eb2MueG1sUEsFBgAAAAAGAAYAWQEAAKwFAAAAAA==&#10;">
                <v:fill on="t" focussize="0,0"/>
                <v:stroke weight="0.5pt" color="#FBFB03" joinstyle="round"/>
                <v:imagedata o:title=""/>
                <o:lock v:ext="edit" aspectratio="f"/>
                <v:textbox>
                  <w:txbxContent>
                    <w:p w14:paraId="1502DB22">
                      <w:pPr>
                        <w:spacing w:line="312" w:lineRule="exact"/>
                        <w:ind w:firstLine="0" w:firstLineChars="0"/>
                        <w:jc w:val="center"/>
                      </w:pPr>
                      <w:r>
                        <w:rPr>
                          <w:rFonts w:hint="eastAsia"/>
                          <w:b/>
                          <w:bCs/>
                          <w:sz w:val="21"/>
                          <w:szCs w:val="21"/>
                        </w:rPr>
                        <w:t>图例</w:t>
                      </w:r>
                    </w:p>
                    <w:p w14:paraId="69648CA3">
                      <w:pPr>
                        <w:pStyle w:val="2"/>
                        <w:spacing w:after="0" w:line="312" w:lineRule="exact"/>
                        <w:ind w:left="0" w:leftChars="0" w:firstLine="0" w:firstLineChars="0"/>
                        <w:jc w:val="left"/>
                      </w:pPr>
                      <w:r>
                        <w:rPr>
                          <w:rFonts w:hint="eastAsia" w:ascii="华文琥珀" w:hAnsi="华文琥珀" w:eastAsia="华文琥珀" w:cs="华文琥珀"/>
                          <w:b/>
                          <w:bCs/>
                          <w:color w:val="FF0000"/>
                          <w:sz w:val="28"/>
                          <w:szCs w:val="28"/>
                        </w:rPr>
                        <w:sym w:font="Wingdings 2" w:char="00A3"/>
                      </w:r>
                      <w:r>
                        <w:rPr>
                          <w:rFonts w:hint="eastAsia" w:ascii="华文琥珀" w:hAnsi="华文琥珀" w:eastAsia="华文琥珀" w:cs="华文琥珀"/>
                          <w:b/>
                          <w:bCs/>
                          <w:color w:val="FF0000"/>
                          <w:sz w:val="28"/>
                          <w:szCs w:val="28"/>
                          <w:lang w:val="en-US" w:eastAsia="zh-CN"/>
                        </w:rPr>
                        <w:t xml:space="preserve">  </w:t>
                      </w:r>
                      <w:r>
                        <w:rPr>
                          <w:rFonts w:hint="eastAsia" w:ascii="宋体" w:hAnsi="宋体" w:cs="宋体"/>
                          <w:sz w:val="21"/>
                          <w:szCs w:val="21"/>
                        </w:rPr>
                        <w:t>厂区边界</w:t>
                      </w:r>
                    </w:p>
                    <w:p w14:paraId="3EE32703">
                      <w:pPr>
                        <w:pStyle w:val="2"/>
                        <w:spacing w:after="0" w:line="312" w:lineRule="exact"/>
                        <w:ind w:left="0" w:leftChars="0" w:firstLine="0" w:firstLineChars="0"/>
                        <w:jc w:val="left"/>
                        <w:rPr>
                          <w:rFonts w:hint="eastAsia" w:ascii="宋体" w:hAnsi="宋体" w:cs="宋体"/>
                          <w:sz w:val="21"/>
                          <w:szCs w:val="21"/>
                          <w:lang w:eastAsia="zh-CN"/>
                        </w:rPr>
                      </w:pPr>
                      <w:r>
                        <w:rPr>
                          <w:rFonts w:hint="eastAsia" w:ascii="华文琥珀" w:hAnsi="华文琥珀" w:eastAsia="华文琥珀" w:cs="华文琥珀"/>
                          <w:b/>
                          <w:bCs/>
                          <w:color w:val="FBEE5E"/>
                          <w:sz w:val="28"/>
                          <w:szCs w:val="28"/>
                        </w:rPr>
                        <w:sym w:font="Wingdings 2" w:char="00A3"/>
                      </w:r>
                      <w:r>
                        <w:rPr>
                          <w:rFonts w:hint="eastAsia" w:ascii="华文琥珀" w:hAnsi="华文琥珀" w:eastAsia="华文琥珀" w:cs="华文琥珀"/>
                          <w:b/>
                          <w:bCs/>
                          <w:color w:val="FBEE5E"/>
                          <w:sz w:val="28"/>
                          <w:szCs w:val="28"/>
                          <w:lang w:val="en-US" w:eastAsia="zh-CN"/>
                        </w:rPr>
                        <w:t xml:space="preserve"> </w:t>
                      </w:r>
                      <w:r>
                        <w:rPr>
                          <w:rFonts w:hint="eastAsia" w:ascii="华文琥珀" w:hAnsi="华文琥珀" w:eastAsia="华文琥珀" w:cs="华文琥珀"/>
                          <w:b/>
                          <w:bCs/>
                          <w:color w:val="CCC0D9"/>
                          <w:sz w:val="28"/>
                          <w:szCs w:val="28"/>
                          <w:lang w:val="en-US" w:eastAsia="zh-CN"/>
                        </w:rPr>
                        <w:t xml:space="preserve"> </w:t>
                      </w:r>
                      <w:r>
                        <w:rPr>
                          <w:rFonts w:hint="eastAsia" w:ascii="宋体" w:hAnsi="宋体" w:cs="宋体"/>
                          <w:sz w:val="21"/>
                          <w:szCs w:val="21"/>
                          <w:lang w:eastAsia="zh-CN"/>
                        </w:rPr>
                        <w:t>保护目标</w:t>
                      </w:r>
                    </w:p>
                    <w:p w14:paraId="27070659">
                      <w:pPr>
                        <w:rPr>
                          <w:rFonts w:hint="default"/>
                          <w:lang w:val="en-US" w:eastAsia="zh-CN"/>
                        </w:rPr>
                      </w:pPr>
                      <w:r>
                        <w:rPr>
                          <w:rFonts w:hint="eastAsia" w:ascii="宋体" w:hAnsi="宋体" w:cs="宋体"/>
                          <w:sz w:val="21"/>
                          <w:szCs w:val="21"/>
                          <w:lang w:val="en-US" w:eastAsia="zh-CN"/>
                        </w:rPr>
                        <w:t xml:space="preserve">     500米范围</w:t>
                      </w:r>
                    </w:p>
                  </w:txbxContent>
                </v:textbox>
              </v:shape>
            </w:pict>
          </mc:Fallback>
        </mc:AlternateContent>
      </w:r>
      <w:r>
        <w:rPr>
          <w:sz w:val="21"/>
        </w:rPr>
        <w:drawing>
          <wp:anchor distT="0" distB="0" distL="114300" distR="114300" simplePos="0" relativeHeight="251670528" behindDoc="0" locked="0" layoutInCell="1" allowOverlap="1">
            <wp:simplePos x="0" y="0"/>
            <wp:positionH relativeFrom="column">
              <wp:posOffset>6637655</wp:posOffset>
            </wp:positionH>
            <wp:positionV relativeFrom="paragraph">
              <wp:posOffset>4817110</wp:posOffset>
            </wp:positionV>
            <wp:extent cx="1974215" cy="351790"/>
            <wp:effectExtent l="0" t="0" r="6985" b="10160"/>
            <wp:wrapNone/>
            <wp:docPr id="51" name="图片 8" descr="8fcbe81e62041ad8636dab990e8d5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descr="8fcbe81e62041ad8636dab990e8d5c5"/>
                    <pic:cNvPicPr>
                      <a:picLocks noChangeAspect="1"/>
                    </pic:cNvPicPr>
                  </pic:nvPicPr>
                  <pic:blipFill>
                    <a:blip r:embed="rId49"/>
                    <a:stretch>
                      <a:fillRect/>
                    </a:stretch>
                  </pic:blipFill>
                  <pic:spPr>
                    <a:xfrm>
                      <a:off x="0" y="0"/>
                      <a:ext cx="1974215" cy="351790"/>
                    </a:xfrm>
                    <a:prstGeom prst="rect">
                      <a:avLst/>
                    </a:prstGeom>
                    <a:noFill/>
                    <a:ln>
                      <a:noFill/>
                    </a:ln>
                  </pic:spPr>
                </pic:pic>
              </a:graphicData>
            </a:graphic>
          </wp:anchor>
        </w:drawing>
      </w:r>
      <w:r>
        <w:rPr>
          <w:sz w:val="28"/>
        </w:rPr>
        <mc:AlternateContent>
          <mc:Choice Requires="wps">
            <w:drawing>
              <wp:anchor distT="0" distB="0" distL="114300" distR="114300" simplePos="0" relativeHeight="251676672" behindDoc="0" locked="0" layoutInCell="1" allowOverlap="1">
                <wp:simplePos x="0" y="0"/>
                <wp:positionH relativeFrom="column">
                  <wp:posOffset>4866005</wp:posOffset>
                </wp:positionH>
                <wp:positionV relativeFrom="paragraph">
                  <wp:posOffset>2546985</wp:posOffset>
                </wp:positionV>
                <wp:extent cx="555625" cy="25844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55562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7408B4">
                            <w:pPr>
                              <w:rPr>
                                <w:rFonts w:hint="default" w:eastAsia="宋体"/>
                                <w:color w:val="FFFF00"/>
                                <w:highlight w:val="none"/>
                                <w:lang w:val="en-US" w:eastAsia="zh-CN"/>
                              </w:rPr>
                            </w:pPr>
                            <w:r>
                              <w:rPr>
                                <w:rFonts w:hint="eastAsia"/>
                                <w:color w:val="FFFF00"/>
                                <w:highlight w:val="none"/>
                                <w:lang w:val="en-US" w:eastAsia="zh-CN"/>
                              </w:rPr>
                              <w:t>42m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15pt;margin-top:200.55pt;height:20.35pt;width:43.75pt;z-index:251676672;mso-width-relative:page;mso-height-relative:page;" filled="f" stroked="f" coordsize="21600,21600" o:gfxdata="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&#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Kn/2wAAAAsBAAAPAAAAAAAAAAEAIAAAACIAAABk&#10;cnMvZG93bnJldi54bWxQSwECFAAUAAAACACHTuJAH5RP1DwCAABnBAAADgAAAAAAAAABACAAAAAq&#10;AQAAZHJzL2Uyb0RvYy54bWxQSwUGAAAAAAYABgBZAQAA2AUAAAAA&#10;">
                <v:fill on="f" focussize="0,0"/>
                <v:stroke on="f" weight="0.5pt"/>
                <v:imagedata o:title=""/>
                <o:lock v:ext="edit" aspectratio="f"/>
                <v:textbox>
                  <w:txbxContent>
                    <w:p w14:paraId="477408B4">
                      <w:pPr>
                        <w:rPr>
                          <w:rFonts w:hint="default" w:eastAsia="宋体"/>
                          <w:color w:val="FFFF00"/>
                          <w:highlight w:val="none"/>
                          <w:lang w:val="en-US" w:eastAsia="zh-CN"/>
                        </w:rPr>
                      </w:pPr>
                      <w:r>
                        <w:rPr>
                          <w:rFonts w:hint="eastAsia"/>
                          <w:color w:val="FFFF00"/>
                          <w:highlight w:val="none"/>
                          <w:lang w:val="en-US" w:eastAsia="zh-CN"/>
                        </w:rPr>
                        <w:t>42m</w:t>
                      </w:r>
                    </w:p>
                  </w:txbxContent>
                </v:textbox>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4191635</wp:posOffset>
                </wp:positionH>
                <wp:positionV relativeFrom="paragraph">
                  <wp:posOffset>1979930</wp:posOffset>
                </wp:positionV>
                <wp:extent cx="594995" cy="258445"/>
                <wp:effectExtent l="0" t="0" r="0" b="0"/>
                <wp:wrapNone/>
                <wp:docPr id="9" name="文本框 9"/>
                <wp:cNvGraphicFramePr/>
                <a:graphic xmlns:a="http://schemas.openxmlformats.org/drawingml/2006/main">
                  <a:graphicData uri="http://schemas.microsoft.com/office/word/2010/wordprocessingShape">
                    <wps:wsp>
                      <wps:cNvSpPr txBox="1"/>
                      <wps:spPr>
                        <a:xfrm>
                          <a:off x="5741035" y="3271520"/>
                          <a:ext cx="59499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1E30D2">
                            <w:pPr>
                              <w:rPr>
                                <w:rFonts w:hint="default" w:eastAsia="宋体"/>
                                <w:color w:val="FFFF00"/>
                                <w:highlight w:val="none"/>
                                <w:lang w:val="en-US" w:eastAsia="zh-CN"/>
                              </w:rPr>
                            </w:pPr>
                            <w:r>
                              <w:rPr>
                                <w:rFonts w:hint="eastAsia"/>
                                <w:color w:val="FFFF00"/>
                                <w:highlight w:val="none"/>
                                <w:lang w:val="en-US" w:eastAsia="zh-CN"/>
                              </w:rPr>
                              <w:t>215m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05pt;margin-top:155.9pt;height:20.35pt;width:46.85pt;z-index:251672576;mso-width-relative:page;mso-height-relative:page;" filled="f" stroked="f" coordsize="21600,21600" o:gfxdata="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In7vbbAAAACwEAAA8AAAAAAAAA&#10;AQAgAAAAIgAAAGRycy9kb3ducmV2LnhtbFBLAQIUABQAAAAIAIdO4kBI5yiGRwIAAHEEAAAOAAAA&#10;AAAAAAEAIAAAACoBAABkcnMvZTJvRG9jLnhtbFBLBQYAAAAABgAGAFkBAADjBQAAAAA=&#10;">
                <v:fill on="f" focussize="0,0"/>
                <v:stroke on="f" weight="0.5pt"/>
                <v:imagedata o:title=""/>
                <o:lock v:ext="edit" aspectratio="f"/>
                <v:textbox>
                  <w:txbxContent>
                    <w:p w14:paraId="6B1E30D2">
                      <w:pPr>
                        <w:rPr>
                          <w:rFonts w:hint="default" w:eastAsia="宋体"/>
                          <w:color w:val="FFFF00"/>
                          <w:highlight w:val="none"/>
                          <w:lang w:val="en-US" w:eastAsia="zh-CN"/>
                        </w:rPr>
                      </w:pPr>
                      <w:r>
                        <w:rPr>
                          <w:rFonts w:hint="eastAsia"/>
                          <w:color w:val="FFFF00"/>
                          <w:highlight w:val="none"/>
                          <w:lang w:val="en-US" w:eastAsia="zh-CN"/>
                        </w:rPr>
                        <w:t>215m</w:t>
                      </w:r>
                    </w:p>
                  </w:txbxContent>
                </v:textbox>
              </v:shape>
            </w:pict>
          </mc:Fallback>
        </mc:AlternateContent>
      </w:r>
      <w:r>
        <w:rPr>
          <w:sz w:val="28"/>
        </w:rPr>
        <mc:AlternateContent>
          <mc:Choice Requires="wps">
            <w:drawing>
              <wp:anchor distT="0" distB="0" distL="114300" distR="114300" simplePos="0" relativeHeight="251671552" behindDoc="0" locked="0" layoutInCell="1" allowOverlap="1">
                <wp:simplePos x="0" y="0"/>
                <wp:positionH relativeFrom="column">
                  <wp:posOffset>3951605</wp:posOffset>
                </wp:positionH>
                <wp:positionV relativeFrom="paragraph">
                  <wp:posOffset>2063750</wp:posOffset>
                </wp:positionV>
                <wp:extent cx="891540" cy="359410"/>
                <wp:effectExtent l="0" t="14605" r="3810" b="6985"/>
                <wp:wrapNone/>
                <wp:docPr id="8" name="直接箭头连接符 8"/>
                <wp:cNvGraphicFramePr/>
                <a:graphic xmlns:a="http://schemas.openxmlformats.org/drawingml/2006/main">
                  <a:graphicData uri="http://schemas.microsoft.com/office/word/2010/wordprocessingShape">
                    <wps:wsp>
                      <wps:cNvCnPr/>
                      <wps:spPr>
                        <a:xfrm flipH="1" flipV="1">
                          <a:off x="5647690" y="3422650"/>
                          <a:ext cx="891540" cy="359410"/>
                        </a:xfrm>
                        <a:prstGeom prst="straightConnector1">
                          <a:avLst/>
                        </a:prstGeom>
                        <a:ln w="1270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11.15pt;margin-top:162.5pt;height:28.3pt;width:70.2pt;z-index:251671552;mso-width-relative:page;mso-height-relative:page;" filled="f" stroked="t" coordsize="21600,21600" o:gfxdata="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a+qXjtwAAAALAQAA&#10;DwAAAAAAAAABACAAAAAiAAAAZHJzL2Rvd25yZXYueG1sUEsBAhQAFAAAAAgAh07iQLnmq5MVAgAA&#10;7AMAAA4AAAAAAAAAAQAgAAAAKwEAAGRycy9lMm9Eb2MueG1sUEsFBgAAAAAGAAYAWQEAALIFAAAA&#10;AA==&#10;">
                <v:fill on="f" focussize="0,0"/>
                <v:stroke weight="1pt" color="#FFFF00 [3204]" joinstyle="round" endarrow="open"/>
                <v:imagedata o:title=""/>
                <o:lock v:ext="edit" aspectratio="f"/>
              </v:shape>
            </w:pict>
          </mc:Fallback>
        </mc:AlternateContent>
      </w:r>
      <w:r>
        <w:rPr>
          <w:sz w:val="28"/>
        </w:rPr>
        <mc:AlternateContent>
          <mc:Choice Requires="wps">
            <w:drawing>
              <wp:anchor distT="0" distB="0" distL="114300" distR="114300" simplePos="0" relativeHeight="251675648" behindDoc="0" locked="0" layoutInCell="1" allowOverlap="1">
                <wp:simplePos x="0" y="0"/>
                <wp:positionH relativeFrom="column">
                  <wp:posOffset>4791710</wp:posOffset>
                </wp:positionH>
                <wp:positionV relativeFrom="paragraph">
                  <wp:posOffset>2461260</wp:posOffset>
                </wp:positionV>
                <wp:extent cx="137795" cy="123190"/>
                <wp:effectExtent l="0" t="4445" r="14605" b="5715"/>
                <wp:wrapNone/>
                <wp:docPr id="41" name="直接箭头连接符 41"/>
                <wp:cNvGraphicFramePr/>
                <a:graphic xmlns:a="http://schemas.openxmlformats.org/drawingml/2006/main">
                  <a:graphicData uri="http://schemas.microsoft.com/office/word/2010/wordprocessingShape">
                    <wps:wsp>
                      <wps:cNvCnPr/>
                      <wps:spPr>
                        <a:xfrm flipH="1">
                          <a:off x="0" y="0"/>
                          <a:ext cx="137795" cy="123190"/>
                        </a:xfrm>
                        <a:prstGeom prst="straightConnector1">
                          <a:avLst/>
                        </a:prstGeom>
                        <a:ln w="12700">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77.3pt;margin-top:193.8pt;height:9.7pt;width:10.85pt;z-index:251675648;mso-width-relative:page;mso-height-relative:page;" filled="f" stroked="t" coordsize="21600,21600" o:gfxdata="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e68a39oAAAALAQAADwAAAAAAAAABACAAAAAiAAAA&#10;ZHJzL2Rvd25yZXYueG1sUEsBAhQAFAAAAAgAh07iQAZNH94FAgAA2AMAAA4AAAAAAAAAAQAgAAAA&#10;KQEAAGRycy9lMm9Eb2MueG1sUEsFBgAAAAAGAAYAWQEAAKAFAAAAAA==&#10;">
                <v:fill on="f" focussize="0,0"/>
                <v:stroke weight="1pt" color="#FFFF00 [3204]" joinstyle="round" endarrow="open"/>
                <v:imagedata o:title=""/>
                <o:lock v:ext="edit" aspectratio="f"/>
              </v:shap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5696585</wp:posOffset>
                </wp:positionH>
                <wp:positionV relativeFrom="paragraph">
                  <wp:posOffset>2252980</wp:posOffset>
                </wp:positionV>
                <wp:extent cx="555625" cy="25844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55562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2D3389">
                            <w:pPr>
                              <w:rPr>
                                <w:rFonts w:hint="default" w:eastAsia="宋体"/>
                                <w:color w:val="FF0000"/>
                                <w:highlight w:val="none"/>
                                <w:lang w:val="en-US" w:eastAsia="zh-CN"/>
                              </w:rPr>
                            </w:pPr>
                            <w:r>
                              <w:rPr>
                                <w:rFonts w:hint="eastAsia"/>
                                <w:color w:val="FF0000"/>
                                <w:highlight w:val="none"/>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55pt;margin-top:177.4pt;height:20.35pt;width:43.75pt;z-index:251674624;mso-width-relative:page;mso-height-relative:page;" filled="f" stroked="f" coordsize="21600,21600" o:gfxdata="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V1jPtwAAAALAQAADwAAAAAAAAABACAAAAAiAAAA&#10;ZHJzL2Rvd25yZXYueG1sUEsBAhQAFAAAAAgAh07iQFh9COg8AgAAZwQAAA4AAAAAAAAAAQAgAAAA&#10;KwEAAGRycy9lMm9Eb2MueG1sUEsFBgAAAAAGAAYAWQEAANkFAAAAAA==&#10;">
                <v:fill on="f" focussize="0,0"/>
                <v:stroke on="f" weight="0.5pt"/>
                <v:imagedata o:title=""/>
                <o:lock v:ext="edit" aspectratio="f"/>
                <v:textbox>
                  <w:txbxContent>
                    <w:p w14:paraId="232D3389">
                      <w:pPr>
                        <w:rPr>
                          <w:rFonts w:hint="default" w:eastAsia="宋体"/>
                          <w:color w:val="FF0000"/>
                          <w:highlight w:val="none"/>
                          <w:lang w:val="en-US" w:eastAsia="zh-CN"/>
                        </w:rPr>
                      </w:pPr>
                      <w:r>
                        <w:rPr>
                          <w:rFonts w:hint="eastAsia"/>
                          <w:color w:val="FF0000"/>
                          <w:highlight w:val="none"/>
                          <w:lang w:val="en-US" w:eastAsia="zh-CN"/>
                        </w:rPr>
                        <w:t>500m</w:t>
                      </w:r>
                    </w:p>
                  </w:txbxContent>
                </v:textbox>
              </v:shape>
            </w:pict>
          </mc:Fallback>
        </mc:AlternateContent>
      </w:r>
      <w:r>
        <w:rPr>
          <w:sz w:val="28"/>
        </w:rPr>
        <mc:AlternateContent>
          <mc:Choice Requires="wps">
            <w:drawing>
              <wp:anchor distT="0" distB="0" distL="114300" distR="114300" simplePos="0" relativeHeight="251673600" behindDoc="0" locked="0" layoutInCell="1" allowOverlap="1">
                <wp:simplePos x="0" y="0"/>
                <wp:positionH relativeFrom="column">
                  <wp:posOffset>5341620</wp:posOffset>
                </wp:positionH>
                <wp:positionV relativeFrom="paragraph">
                  <wp:posOffset>2547620</wp:posOffset>
                </wp:positionV>
                <wp:extent cx="1706880" cy="29845"/>
                <wp:effectExtent l="0" t="48895" r="7620" b="35560"/>
                <wp:wrapNone/>
                <wp:docPr id="14" name="直接箭头连接符 14"/>
                <wp:cNvGraphicFramePr/>
                <a:graphic xmlns:a="http://schemas.openxmlformats.org/drawingml/2006/main">
                  <a:graphicData uri="http://schemas.microsoft.com/office/word/2010/wordprocessingShape">
                    <wps:wsp>
                      <wps:cNvCnPr/>
                      <wps:spPr>
                        <a:xfrm flipV="1">
                          <a:off x="0" y="0"/>
                          <a:ext cx="1706880" cy="29845"/>
                        </a:xfrm>
                        <a:prstGeom prst="straightConnector1">
                          <a:avLst/>
                        </a:prstGeom>
                        <a:ln w="12700">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20.6pt;margin-top:200.6pt;height:2.35pt;width:134.4pt;z-index:251673600;mso-width-relative:page;mso-height-relative:page;" filled="f" stroked="t" coordsize="21600,21600" o:gfxdata="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&#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Zss8D2AAAAAwBAAAPAAAAAAAAAAEAIAAAACIAAABk&#10;cnMvZG93bnJldi54bWxQSwECFAAUAAAACACHTuJAVxcqAAYCAADYAwAADgAAAAAAAAABACAAAAAn&#10;AQAAZHJzL2Uyb0RvYy54bWxQSwUGAAAAAAYABgBZAQAAnwUAAAAA&#10;">
                <v:fill on="f" focussize="0,0"/>
                <v:stroke weight="1pt" color="#FF0000 [3204]" joinstyle="round" endarrow="open"/>
                <v:imagedata o:title=""/>
                <o:lock v:ext="edit" aspectratio="f"/>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1781810</wp:posOffset>
                </wp:positionH>
                <wp:positionV relativeFrom="paragraph">
                  <wp:posOffset>443865</wp:posOffset>
                </wp:positionV>
                <wp:extent cx="963930" cy="40068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963930" cy="400685"/>
                        </a:xfrm>
                        <a:prstGeom prst="rect">
                          <a:avLst/>
                        </a:prstGeom>
                        <a:noFill/>
                        <a:ln>
                          <a:noFill/>
                        </a:ln>
                      </wps:spPr>
                      <wps:txbx>
                        <w:txbxContent>
                          <w:p w14:paraId="3E675F5D">
                            <w:pPr>
                              <w:jc w:val="center"/>
                              <w:rPr>
                                <w:rFonts w:hint="eastAsia" w:eastAsia="宋体"/>
                                <w:b w:val="0"/>
                                <w:bCs w:val="0"/>
                                <w:color w:val="FF0000"/>
                                <w:sz w:val="36"/>
                                <w:szCs w:val="36"/>
                                <w:lang w:eastAsia="zh-CN"/>
                              </w:rPr>
                            </w:pPr>
                            <w:r>
                              <w:rPr>
                                <w:rFonts w:hint="eastAsia"/>
                                <w:b w:val="0"/>
                                <w:bCs w:val="0"/>
                                <w:color w:val="FF0000"/>
                                <w:sz w:val="36"/>
                                <w:szCs w:val="36"/>
                                <w:lang w:eastAsia="zh-CN"/>
                              </w:rPr>
                              <w:t>耕地</w:t>
                            </w:r>
                          </w:p>
                        </w:txbxContent>
                      </wps:txbx>
                      <wps:bodyPr upright="1"/>
                    </wps:wsp>
                  </a:graphicData>
                </a:graphic>
              </wp:anchor>
            </w:drawing>
          </mc:Choice>
          <mc:Fallback>
            <w:pict>
              <v:shape id="_x0000_s1026" o:spid="_x0000_s1026" o:spt="202" type="#_x0000_t202" style="position:absolute;left:0pt;margin-left:140.3pt;margin-top:34.95pt;height:31.55pt;width:75.9pt;z-index:251667456;mso-width-relative:page;mso-height-relative:page;" filled="f" stroked="f" coordsize="21600,21600" o:gfxdata="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Cjn/Z1wAA&#10;AAoBAAAPAAAAAAAAAAEAIAAAACIAAABkcnMvZG93bnJldi54bWxQSwECFAAUAAAACACHTuJA6tQu&#10;Ra0BAABRAwAADgAAAAAAAAABACAAAAAmAQAAZHJzL2Uyb0RvYy54bWxQSwUGAAAAAAYABgBZAQAA&#10;RQUAAAAA&#10;">
                <v:fill on="f" focussize="0,0"/>
                <v:stroke on="f"/>
                <v:imagedata o:title=""/>
                <o:lock v:ext="edit" aspectratio="f"/>
                <v:textbox>
                  <w:txbxContent>
                    <w:p w14:paraId="3E675F5D">
                      <w:pPr>
                        <w:jc w:val="center"/>
                        <w:rPr>
                          <w:rFonts w:hint="eastAsia" w:eastAsia="宋体"/>
                          <w:b w:val="0"/>
                          <w:bCs w:val="0"/>
                          <w:color w:val="FF0000"/>
                          <w:sz w:val="36"/>
                          <w:szCs w:val="36"/>
                          <w:lang w:eastAsia="zh-CN"/>
                        </w:rPr>
                      </w:pPr>
                      <w:r>
                        <w:rPr>
                          <w:rFonts w:hint="eastAsia"/>
                          <w:b w:val="0"/>
                          <w:bCs w:val="0"/>
                          <w:color w:val="FF0000"/>
                          <w:sz w:val="36"/>
                          <w:szCs w:val="36"/>
                          <w:lang w:eastAsia="zh-CN"/>
                        </w:rPr>
                        <w:t>耕地</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1677035</wp:posOffset>
                </wp:positionH>
                <wp:positionV relativeFrom="paragraph">
                  <wp:posOffset>3041650</wp:posOffset>
                </wp:positionV>
                <wp:extent cx="963930" cy="400685"/>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963930" cy="400685"/>
                        </a:xfrm>
                        <a:prstGeom prst="rect">
                          <a:avLst/>
                        </a:prstGeom>
                        <a:noFill/>
                        <a:ln>
                          <a:noFill/>
                        </a:ln>
                      </wps:spPr>
                      <wps:txbx>
                        <w:txbxContent>
                          <w:p w14:paraId="0C7538BF">
                            <w:pPr>
                              <w:jc w:val="center"/>
                              <w:rPr>
                                <w:rFonts w:hint="eastAsia" w:eastAsia="宋体"/>
                                <w:b w:val="0"/>
                                <w:bCs w:val="0"/>
                                <w:color w:val="FF0000"/>
                                <w:sz w:val="36"/>
                                <w:szCs w:val="36"/>
                                <w:lang w:eastAsia="zh-CN"/>
                              </w:rPr>
                            </w:pPr>
                            <w:r>
                              <w:rPr>
                                <w:rFonts w:hint="eastAsia"/>
                                <w:b w:val="0"/>
                                <w:bCs w:val="0"/>
                                <w:color w:val="FF0000"/>
                                <w:sz w:val="36"/>
                                <w:szCs w:val="36"/>
                                <w:lang w:eastAsia="zh-CN"/>
                              </w:rPr>
                              <w:t>耕地</w:t>
                            </w:r>
                          </w:p>
                        </w:txbxContent>
                      </wps:txbx>
                      <wps:bodyPr upright="1"/>
                    </wps:wsp>
                  </a:graphicData>
                </a:graphic>
              </wp:anchor>
            </w:drawing>
          </mc:Choice>
          <mc:Fallback>
            <w:pict>
              <v:shape id="_x0000_s1026" o:spid="_x0000_s1026" o:spt="202" type="#_x0000_t202" style="position:absolute;left:0pt;margin-left:132.05pt;margin-top:239.5pt;height:31.55pt;width:75.9pt;z-index:251668480;mso-width-relative:page;mso-height-relative:page;" filled="f" stroked="f" coordsize="21600,21600" o:gfxdata="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Jxejd2AAA&#10;AAsBAAAPAAAAAAAAAAEAIAAAACIAAABkcnMvZG93bnJldi54bWxQSwECFAAUAAAACACHTuJAOMy1&#10;cKwBAABPAwAADgAAAAAAAAABACAAAAAnAQAAZHJzL2Uyb0RvYy54bWxQSwUGAAAAAAYABgBZAQAA&#10;RQUAAAAA&#10;">
                <v:fill on="f" focussize="0,0"/>
                <v:stroke on="f"/>
                <v:imagedata o:title=""/>
                <o:lock v:ext="edit" aspectratio="f"/>
                <v:textbox>
                  <w:txbxContent>
                    <w:p w14:paraId="0C7538BF">
                      <w:pPr>
                        <w:jc w:val="center"/>
                        <w:rPr>
                          <w:rFonts w:hint="eastAsia" w:eastAsia="宋体"/>
                          <w:b w:val="0"/>
                          <w:bCs w:val="0"/>
                          <w:color w:val="FF0000"/>
                          <w:sz w:val="36"/>
                          <w:szCs w:val="36"/>
                          <w:lang w:eastAsia="zh-CN"/>
                        </w:rPr>
                      </w:pPr>
                      <w:r>
                        <w:rPr>
                          <w:rFonts w:hint="eastAsia"/>
                          <w:b w:val="0"/>
                          <w:bCs w:val="0"/>
                          <w:color w:val="FF0000"/>
                          <w:sz w:val="36"/>
                          <w:szCs w:val="36"/>
                          <w:lang w:eastAsia="zh-CN"/>
                        </w:rPr>
                        <w:t>耕地</w:t>
                      </w:r>
                    </w:p>
                  </w:txbxContent>
                </v:textbox>
              </v:shape>
            </w:pict>
          </mc:Fallback>
        </mc:AlternateContent>
      </w:r>
    </w:p>
    <w:p w14:paraId="2A63DD20">
      <w:pPr>
        <w:pStyle w:val="50"/>
        <w:ind w:left="0" w:leftChars="0" w:firstLine="0" w:firstLineChars="0"/>
        <w:sectPr>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6364605</wp:posOffset>
                </wp:positionH>
                <wp:positionV relativeFrom="paragraph">
                  <wp:posOffset>325755</wp:posOffset>
                </wp:positionV>
                <wp:extent cx="1802130" cy="290830"/>
                <wp:effectExtent l="0" t="0" r="7620" b="13970"/>
                <wp:wrapNone/>
                <wp:docPr id="47" name="矩形 47"/>
                <wp:cNvGraphicFramePr/>
                <a:graphic xmlns:a="http://schemas.openxmlformats.org/drawingml/2006/main">
                  <a:graphicData uri="http://schemas.microsoft.com/office/word/2010/wordprocessingShape">
                    <wps:wsp>
                      <wps:cNvSpPr/>
                      <wps:spPr>
                        <a:xfrm>
                          <a:off x="0" y="0"/>
                          <a:ext cx="1802130" cy="290830"/>
                        </a:xfrm>
                        <a:prstGeom prst="rect">
                          <a:avLst/>
                        </a:prstGeom>
                        <a:solidFill>
                          <a:srgbClr val="FFFFFF"/>
                        </a:solidFill>
                        <a:ln>
                          <a:noFill/>
                        </a:ln>
                      </wps:spPr>
                      <wps:txbx>
                        <w:txbxContent>
                          <w:p w14:paraId="0489E385">
                            <w:pPr>
                              <w:rPr>
                                <w:rFonts w:hint="default" w:eastAsia="宋体"/>
                                <w:sz w:val="28"/>
                                <w:szCs w:val="36"/>
                                <w:lang w:val="en-US" w:eastAsia="zh-CN"/>
                              </w:rPr>
                            </w:pPr>
                            <w:r>
                              <w:rPr>
                                <w:rFonts w:hint="eastAsia" w:ascii="Times New Roman" w:eastAsia="黑体" w:cs="Times New Roman"/>
                                <w:bCs/>
                                <w:color w:val="auto"/>
                                <w:sz w:val="28"/>
                                <w:szCs w:val="36"/>
                                <w:lang w:val="en-US" w:eastAsia="zh-CN"/>
                              </w:rPr>
                              <w:t>张家坡镇工业聚集区</w:t>
                            </w:r>
                          </w:p>
                        </w:txbxContent>
                      </wps:txbx>
                      <wps:bodyPr upright="1"/>
                    </wps:wsp>
                  </a:graphicData>
                </a:graphic>
              </wp:anchor>
            </w:drawing>
          </mc:Choice>
          <mc:Fallback>
            <w:pict>
              <v:rect id="_x0000_s1026" o:spid="_x0000_s1026" o:spt="1" style="position:absolute;left:0pt;margin-left:501.15pt;margin-top:25.65pt;height:22.9pt;width:141.9pt;z-index:251700224;mso-width-relative:page;mso-height-relative:page;" fillcolor="#FFFFFF" filled="t" stroked="f" coordsize="21600,21600" o:gfxdata="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Ubmo2AAAAAsBAAAPAAAAAAAAAAEAIAAAACIAAABkcnMvZG93bnJldi54bWxQSwECFAAUAAAA&#10;CACHTuJAVsOSGbUBAABsAwAADgAAAAAAAAABACAAAAAnAQAAZHJzL2Uyb0RvYy54bWxQSwUGAAAA&#10;AAYABgBZAQAATgUAAAAA&#10;">
                <v:fill on="t" focussize="0,0"/>
                <v:stroke on="f"/>
                <v:imagedata o:title=""/>
                <o:lock v:ext="edit" aspectratio="f"/>
                <v:textbox>
                  <w:txbxContent>
                    <w:p w14:paraId="0489E385">
                      <w:pPr>
                        <w:rPr>
                          <w:rFonts w:hint="default" w:eastAsia="宋体"/>
                          <w:sz w:val="28"/>
                          <w:szCs w:val="36"/>
                          <w:lang w:val="en-US" w:eastAsia="zh-CN"/>
                        </w:rPr>
                      </w:pPr>
                      <w:r>
                        <w:rPr>
                          <w:rFonts w:hint="eastAsia" w:ascii="Times New Roman" w:eastAsia="黑体" w:cs="Times New Roman"/>
                          <w:bCs/>
                          <w:color w:val="auto"/>
                          <w:sz w:val="28"/>
                          <w:szCs w:val="36"/>
                          <w:lang w:val="en-US" w:eastAsia="zh-CN"/>
                        </w:rPr>
                        <w:t>张家坡镇工业聚集区</w:t>
                      </w:r>
                    </w:p>
                  </w:txbxContent>
                </v:textbox>
              </v:rect>
            </w:pict>
          </mc:Fallback>
        </mc:AlternateContent>
      </w:r>
      <w:r>
        <w:rPr>
          <w:color w:val="000000"/>
          <w:sz w:val="21"/>
          <w:highlight w:val="none"/>
        </w:rPr>
        <w:drawing>
          <wp:anchor distT="0" distB="0" distL="114300" distR="114300" simplePos="0" relativeHeight="251701248" behindDoc="0" locked="0" layoutInCell="1" allowOverlap="1">
            <wp:simplePos x="0" y="0"/>
            <wp:positionH relativeFrom="column">
              <wp:posOffset>7435850</wp:posOffset>
            </wp:positionH>
            <wp:positionV relativeFrom="paragraph">
              <wp:posOffset>670560</wp:posOffset>
            </wp:positionV>
            <wp:extent cx="709295" cy="661670"/>
            <wp:effectExtent l="0" t="0" r="14605" b="5080"/>
            <wp:wrapNone/>
            <wp:docPr id="44"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698176" behindDoc="0" locked="0" layoutInCell="1" allowOverlap="1">
                <wp:simplePos x="0" y="0"/>
                <wp:positionH relativeFrom="column">
                  <wp:posOffset>2457450</wp:posOffset>
                </wp:positionH>
                <wp:positionV relativeFrom="paragraph">
                  <wp:posOffset>1428115</wp:posOffset>
                </wp:positionV>
                <wp:extent cx="810260" cy="241300"/>
                <wp:effectExtent l="202565" t="4445" r="15875" b="554355"/>
                <wp:wrapNone/>
                <wp:docPr id="45" name="矩形标注 45"/>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76B48C37">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193.5pt;margin-top:112.45pt;height:19pt;width:63.8pt;z-index:251698176;mso-width-relative:page;mso-height-relative:page;" fillcolor="#FFFFFF" filled="t" stroked="t" coordsize="21600,21600" o:gfxdata="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TR10LcAAAACwEA&#10;AA8AAAAAAAAAAQAgAAAAIgAAAGRycy9kb3ducmV2LnhtbFBLAQIUABQAAAAIAIdO4kBOmT7yTwIA&#10;ALsEAAAOAAAAAAAAAAEAIAAAACsBAABkcnMvZTJvRG9jLnhtbFBLBQYAAAAABgAGAFkBAADsBQAA&#10;AAA=&#10;" adj="-4774,67813">
                <v:fill on="t" focussize="0,0"/>
                <v:stroke weight="0.25pt" color="#FF0000" joinstyle="miter"/>
                <v:imagedata o:title=""/>
                <o:lock v:ext="edit" aspectratio="f"/>
                <v:textbox inset="2.54mm,0mm,2.54mm,0mm">
                  <w:txbxContent>
                    <w:p w14:paraId="76B48C37">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color w:val="auto"/>
          <w:highlight w:val="none"/>
        </w:rPr>
        <mc:AlternateContent>
          <mc:Choice Requires="wps">
            <w:drawing>
              <wp:anchor distT="0" distB="0" distL="114300" distR="114300" simplePos="0" relativeHeight="251699200" behindDoc="0" locked="0" layoutInCell="1" allowOverlap="1">
                <wp:simplePos x="0" y="0"/>
                <wp:positionH relativeFrom="column">
                  <wp:posOffset>2214880</wp:posOffset>
                </wp:positionH>
                <wp:positionV relativeFrom="paragraph">
                  <wp:posOffset>2189480</wp:posOffset>
                </wp:positionV>
                <wp:extent cx="75565" cy="75565"/>
                <wp:effectExtent l="4445" t="4445" r="15240" b="15240"/>
                <wp:wrapNone/>
                <wp:docPr id="46" name="矩形 46"/>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0C2C7AB3">
                            <w:pPr>
                              <w:rPr>
                                <w14:textOutline w14:w="9525">
                                  <w14:solidFill>
                                    <w14:srgbClr w14:val="FF0000"/>
                                  </w14:solidFill>
                                  <w14:round/>
                                </w14:textOutline>
                              </w:rPr>
                            </w:pPr>
                          </w:p>
                        </w:txbxContent>
                      </wps:txbx>
                      <wps:bodyPr upright="1"/>
                    </wps:wsp>
                  </a:graphicData>
                </a:graphic>
              </wp:anchor>
            </w:drawing>
          </mc:Choice>
          <mc:Fallback>
            <w:pict>
              <v:rect id="_x0000_s1026" o:spid="_x0000_s1026" o:spt="1" style="position:absolute;left:0pt;margin-left:174.4pt;margin-top:172.4pt;height:5.95pt;width:5.95pt;z-index:251699200;mso-width-relative:page;mso-height-relative:page;" filled="f" stroked="t" coordsize="21600,21600" o:gfxdata="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MwX7zaAAAACwEAAA8AAAAAAAAAAQAgAAAAIgAAAGRycy9kb3ducmV2&#10;LnhtbFBLAQIUABQAAAAIAIdO4kAcpBgU+gEAAP8DAAAOAAAAAAAAAAEAIAAAACkBAABkcnMvZTJv&#10;RG9jLnhtbFBLBQYAAAAABgAGAFkBAACVBQAAAAA=&#10;">
                <v:fill on="f" focussize="0,0"/>
                <v:stroke color="#FF0000" joinstyle="miter"/>
                <v:imagedata o:title=""/>
                <o:lock v:ext="edit" aspectratio="f"/>
                <v:textbox>
                  <w:txbxContent>
                    <w:p w14:paraId="0C2C7AB3">
                      <w:pPr>
                        <w:rPr>
                          <w14:textOutline w14:w="9525">
                            <w14:solidFill>
                              <w14:srgbClr w14:val="FF0000"/>
                            </w14:solidFill>
                            <w14:round/>
                          </w14:textOutline>
                        </w:rPr>
                      </w:pPr>
                    </w:p>
                  </w:txbxContent>
                </v:textbox>
              </v:rect>
            </w:pict>
          </mc:Fallback>
        </mc:AlternateContent>
      </w:r>
      <w:r>
        <w:rPr>
          <w:rFonts w:hint="default" w:ascii="Times New Roman" w:hAnsi="Times New Roman" w:eastAsia="黑体" w:cs="Times New Roman"/>
          <w:b w:val="0"/>
          <w:bCs/>
          <w:color w:val="auto"/>
          <w:szCs w:val="24"/>
          <w:highlight w:val="none"/>
          <w:lang w:eastAsia="zh-CN"/>
        </w:rPr>
        <w:drawing>
          <wp:anchor distT="0" distB="0" distL="114300" distR="114300" simplePos="0" relativeHeight="251697152" behindDoc="0" locked="0" layoutInCell="1" allowOverlap="1">
            <wp:simplePos x="0" y="0"/>
            <wp:positionH relativeFrom="column">
              <wp:posOffset>88900</wp:posOffset>
            </wp:positionH>
            <wp:positionV relativeFrom="paragraph">
              <wp:posOffset>318135</wp:posOffset>
            </wp:positionV>
            <wp:extent cx="8110220" cy="5268595"/>
            <wp:effectExtent l="9525" t="9525" r="14605" b="17780"/>
            <wp:wrapTopAndBottom/>
            <wp:docPr id="43" name="图片 43" descr="源政办字〔2021〕58号1_关于确认公布各镇（街道）工业集聚区的通知11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源政办字〔2021〕58号1_关于确认公布各镇（街道）工业集聚区的通知111_17"/>
                    <pic:cNvPicPr>
                      <a:picLocks noChangeAspect="1"/>
                    </pic:cNvPicPr>
                  </pic:nvPicPr>
                  <pic:blipFill>
                    <a:blip r:embed="rId33"/>
                    <a:srcRect l="9606" t="13114" r="10908" b="13862"/>
                    <a:stretch>
                      <a:fillRect/>
                    </a:stretch>
                  </pic:blipFill>
                  <pic:spPr>
                    <a:xfrm>
                      <a:off x="0" y="0"/>
                      <a:ext cx="8110220" cy="5268595"/>
                    </a:xfrm>
                    <a:prstGeom prst="rect">
                      <a:avLst/>
                    </a:prstGeom>
                    <a:ln>
                      <a:solidFill>
                        <a:schemeClr val="tx1"/>
                      </a:solidFill>
                    </a:ln>
                  </pic:spPr>
                </pic:pic>
              </a:graphicData>
            </a:graphic>
          </wp:anchor>
        </w:drawing>
      </w:r>
      <w:r>
        <w:rPr>
          <w:rFonts w:hint="default" w:ascii="Times New Roman" w:hAnsi="Times New Roman" w:eastAsia="黑体" w:cs="Times New Roman"/>
          <w:b w:val="0"/>
          <w:bCs/>
          <w:color w:val="auto"/>
          <w:szCs w:val="24"/>
          <w:highlight w:val="none"/>
          <w:lang w:eastAsia="zh-CN"/>
        </w:rPr>
        <w:t>附图</w:t>
      </w:r>
      <w:r>
        <w:rPr>
          <w:rFonts w:hint="eastAsia" w:ascii="Times New Roman" w:hAnsi="Times New Roman" w:eastAsia="黑体" w:cs="Times New Roman"/>
          <w:b w:val="0"/>
          <w:bCs/>
          <w:color w:val="auto"/>
          <w:szCs w:val="24"/>
          <w:highlight w:val="none"/>
          <w:lang w:val="en-US" w:eastAsia="zh-CN"/>
        </w:rPr>
        <w:t>3：</w:t>
      </w:r>
      <w:r>
        <w:rPr>
          <w:rFonts w:hint="default" w:ascii="Times New Roman" w:hAnsi="Times New Roman" w:eastAsia="黑体" w:cs="Times New Roman"/>
          <w:b w:val="0"/>
          <w:bCs/>
          <w:color w:val="auto"/>
          <w:szCs w:val="24"/>
          <w:highlight w:val="none"/>
          <w:lang w:eastAsia="zh-CN"/>
        </w:rPr>
        <w:t>项目</w:t>
      </w:r>
      <w:r>
        <w:rPr>
          <w:rFonts w:hint="eastAsia" w:ascii="Times New Roman" w:hAnsi="Times New Roman" w:eastAsia="黑体" w:cs="Times New Roman"/>
          <w:b w:val="0"/>
          <w:bCs/>
          <w:color w:val="auto"/>
          <w:szCs w:val="24"/>
          <w:highlight w:val="none"/>
          <w:lang w:val="en-US" w:eastAsia="zh-CN"/>
        </w:rPr>
        <w:t>与张家坡镇工业聚集区位置关系</w:t>
      </w:r>
      <w:r>
        <w:rPr>
          <w:rFonts w:hint="default" w:ascii="Times New Roman" w:hAnsi="Times New Roman" w:eastAsia="黑体" w:cs="Times New Roman"/>
          <w:b w:val="0"/>
          <w:bCs/>
          <w:color w:val="auto"/>
          <w:szCs w:val="24"/>
          <w:highlight w:val="none"/>
          <w:lang w:eastAsia="zh-CN"/>
        </w:rPr>
        <w:t>图</w:t>
      </w:r>
    </w:p>
    <w:p w14:paraId="5090ABA9">
      <w:pPr>
        <w:pStyle w:val="48"/>
        <w:rPr>
          <w:rFonts w:hint="eastAsia" w:ascii="Times New Roman" w:eastAsia="黑体" w:cs="Times New Roman"/>
          <w:bCs/>
          <w:color w:val="auto"/>
          <w:highlight w:val="none"/>
          <w:lang w:eastAsia="zh-CN"/>
        </w:rPr>
      </w:pPr>
      <w:r>
        <w:rPr>
          <w:rFonts w:ascii="Times New Roman" w:eastAsia="黑体" w:cs="Times New Roman"/>
          <w:bCs/>
          <w:color w:val="auto"/>
          <w:highlight w:val="none"/>
        </w:rPr>
        <w:t>附图</w:t>
      </w:r>
      <w:r>
        <w:rPr>
          <w:rFonts w:hint="eastAsia" w:ascii="Times New Roman" w:eastAsia="黑体" w:cs="Times New Roman"/>
          <w:bCs/>
          <w:color w:val="auto"/>
          <w:highlight w:val="none"/>
          <w:lang w:val="en-US" w:eastAsia="zh-CN"/>
        </w:rPr>
        <w:t>4</w:t>
      </w:r>
      <w:r>
        <w:rPr>
          <w:rFonts w:ascii="Times New Roman" w:eastAsia="黑体" w:cs="Times New Roman"/>
          <w:bCs/>
          <w:color w:val="auto"/>
          <w:highlight w:val="none"/>
        </w:rPr>
        <w:t>：淄博市</w:t>
      </w:r>
      <w:r>
        <w:rPr>
          <w:rFonts w:hint="eastAsia" w:ascii="Times New Roman" w:eastAsia="黑体" w:cs="Times New Roman"/>
          <w:bCs/>
          <w:color w:val="auto"/>
          <w:highlight w:val="none"/>
          <w:lang w:eastAsia="zh-CN"/>
        </w:rPr>
        <w:t>饮用水水源地分布图</w:t>
      </w:r>
    </w:p>
    <w:p w14:paraId="55974EF1">
      <w:pPr>
        <w:pStyle w:val="48"/>
        <w:rPr>
          <w:rFonts w:ascii="Times New Roman" w:cs="Times New Roman"/>
          <w:color w:val="auto"/>
          <w:highlight w:val="none"/>
        </w:rPr>
      </w:pPr>
      <w:r>
        <w:rPr>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2757805</wp:posOffset>
                </wp:positionH>
                <wp:positionV relativeFrom="paragraph">
                  <wp:posOffset>20955</wp:posOffset>
                </wp:positionV>
                <wp:extent cx="2790190" cy="540385"/>
                <wp:effectExtent l="0" t="0" r="10160" b="12065"/>
                <wp:wrapNone/>
                <wp:docPr id="20" name="矩形 20"/>
                <wp:cNvGraphicFramePr/>
                <a:graphic xmlns:a="http://schemas.openxmlformats.org/drawingml/2006/main">
                  <a:graphicData uri="http://schemas.microsoft.com/office/word/2010/wordprocessingShape">
                    <wps:wsp>
                      <wps:cNvSpPr/>
                      <wps:spPr>
                        <a:xfrm>
                          <a:off x="0" y="0"/>
                          <a:ext cx="2790190" cy="540385"/>
                        </a:xfrm>
                        <a:prstGeom prst="rect">
                          <a:avLst/>
                        </a:prstGeom>
                        <a:solidFill>
                          <a:srgbClr val="FFFFFF"/>
                        </a:solidFill>
                        <a:ln>
                          <a:noFill/>
                        </a:ln>
                      </wps:spPr>
                      <wps:txbx>
                        <w:txbxContent>
                          <w:p w14:paraId="19E5908A">
                            <w:pPr>
                              <w:rPr>
                                <w:rFonts w:hint="eastAsia"/>
                                <w:sz w:val="28"/>
                                <w:szCs w:val="36"/>
                                <w:lang w:eastAsia="zh-CN"/>
                              </w:rPr>
                            </w:pPr>
                            <w:r>
                              <w:rPr>
                                <w:rFonts w:ascii="Times New Roman" w:eastAsia="黑体" w:cs="Times New Roman"/>
                                <w:bCs/>
                                <w:color w:val="auto"/>
                                <w:sz w:val="28"/>
                                <w:szCs w:val="36"/>
                              </w:rPr>
                              <w:t>淄博市</w:t>
                            </w:r>
                            <w:r>
                              <w:rPr>
                                <w:rFonts w:hint="eastAsia" w:ascii="Times New Roman" w:eastAsia="黑体" w:cs="Times New Roman"/>
                                <w:bCs/>
                                <w:color w:val="auto"/>
                                <w:sz w:val="28"/>
                                <w:szCs w:val="36"/>
                                <w:lang w:eastAsia="zh-CN"/>
                              </w:rPr>
                              <w:t>饮用水水源地分布图</w:t>
                            </w:r>
                          </w:p>
                        </w:txbxContent>
                      </wps:txbx>
                      <wps:bodyPr upright="1"/>
                    </wps:wsp>
                  </a:graphicData>
                </a:graphic>
              </wp:anchor>
            </w:drawing>
          </mc:Choice>
          <mc:Fallback>
            <w:pict>
              <v:rect id="_x0000_s1026" o:spid="_x0000_s1026" o:spt="1" style="position:absolute;left:0pt;margin-left:217.15pt;margin-top:1.65pt;height:42.55pt;width:219.7pt;z-index:251663360;mso-width-relative:page;mso-height-relative:page;" fillcolor="#FFFFFF" filled="t" stroked="f" coordsize="21600,21600" o:gfxdata="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b+lF51wAAAAgBAAAPAAAAAAAAAAEAIAAAACIAAABkcnMvZG93bnJldi54bWxQSwECFAAUAAAA&#10;CACHTuJA5gd4DrYBAABsAwAADgAAAAAAAAABACAAAAAmAQAAZHJzL2Uyb0RvYy54bWxQSwUGAAAA&#10;AAYABgBZAQAATgUAAAAA&#10;">
                <v:fill on="t" focussize="0,0"/>
                <v:stroke on="f"/>
                <v:imagedata o:title=""/>
                <o:lock v:ext="edit" aspectratio="f"/>
                <v:textbox>
                  <w:txbxContent>
                    <w:p w14:paraId="19E5908A">
                      <w:pPr>
                        <w:rPr>
                          <w:rFonts w:hint="eastAsia"/>
                          <w:sz w:val="28"/>
                          <w:szCs w:val="36"/>
                          <w:lang w:eastAsia="zh-CN"/>
                        </w:rPr>
                      </w:pPr>
                      <w:r>
                        <w:rPr>
                          <w:rFonts w:ascii="Times New Roman" w:eastAsia="黑体" w:cs="Times New Roman"/>
                          <w:bCs/>
                          <w:color w:val="auto"/>
                          <w:sz w:val="28"/>
                          <w:szCs w:val="36"/>
                        </w:rPr>
                        <w:t>淄博市</w:t>
                      </w:r>
                      <w:r>
                        <w:rPr>
                          <w:rFonts w:hint="eastAsia" w:ascii="Times New Roman" w:eastAsia="黑体" w:cs="Times New Roman"/>
                          <w:bCs/>
                          <w:color w:val="auto"/>
                          <w:sz w:val="28"/>
                          <w:szCs w:val="36"/>
                          <w:lang w:eastAsia="zh-CN"/>
                        </w:rPr>
                        <w:t>饮用水水源地分布图</w:t>
                      </w:r>
                    </w:p>
                  </w:txbxContent>
                </v:textbox>
              </v:rect>
            </w:pict>
          </mc:Fallback>
        </mc:AlternateContent>
      </w:r>
      <w:r>
        <w:rPr>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4719320</wp:posOffset>
                </wp:positionH>
                <wp:positionV relativeFrom="paragraph">
                  <wp:posOffset>6102350</wp:posOffset>
                </wp:positionV>
                <wp:extent cx="810260" cy="241300"/>
                <wp:effectExtent l="202565" t="4445" r="15875" b="554355"/>
                <wp:wrapNone/>
                <wp:docPr id="16" name="矩形标注 16"/>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350DE6F7">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371.6pt;margin-top:480.5pt;height:19pt;width:63.8pt;z-index:251661312;mso-width-relative:page;mso-height-relative:page;" fillcolor="#FFFFFF" filled="t" stroked="t" coordsize="21600,21600" o:gfxdata="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yyojc2gAAAAsBAAAP&#10;AAAAAAAAAAEAIAAAACIAAABkcnMvZG93bnJldi54bWxQSwECFAAUAAAACACHTuJAoC5Nk08CAAC7&#10;BAAADgAAAAAAAAABACAAAAApAQAAZHJzL2Uyb0RvYy54bWxQSwUGAAAAAAYABgBZAQAA6gUAAAAA&#10;" adj="-4774,67813">
                <v:fill on="t" focussize="0,0"/>
                <v:stroke weight="0.25pt" color="#FF0000" joinstyle="miter"/>
                <v:imagedata o:title=""/>
                <o:lock v:ext="edit" aspectratio="f"/>
                <v:textbox inset="2.54mm,0mm,2.54mm,0mm">
                  <w:txbxContent>
                    <w:p w14:paraId="350DE6F7">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4476750</wp:posOffset>
                </wp:positionH>
                <wp:positionV relativeFrom="paragraph">
                  <wp:posOffset>6863715</wp:posOffset>
                </wp:positionV>
                <wp:extent cx="75565" cy="75565"/>
                <wp:effectExtent l="4445" t="4445" r="15240" b="15240"/>
                <wp:wrapNone/>
                <wp:docPr id="19" name="矩形 19"/>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6F772AC4"/>
                        </w:txbxContent>
                      </wps:txbx>
                      <wps:bodyPr upright="1"/>
                    </wps:wsp>
                  </a:graphicData>
                </a:graphic>
              </wp:anchor>
            </w:drawing>
          </mc:Choice>
          <mc:Fallback>
            <w:pict>
              <v:rect id="_x0000_s1026" o:spid="_x0000_s1026" o:spt="1" style="position:absolute;left:0pt;margin-left:352.5pt;margin-top:540.45pt;height:5.95pt;width:5.95pt;z-index:251662336;mso-width-relative:page;mso-height-relative:page;" filled="f" stroked="t" coordsize="21600,21600" o:gfxdata="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UYD7NwAAAANAQAADwAAAAAAAAABACAAAAAiAAAAZHJzL2Rvd25y&#10;ZXYueG1sUEsBAhQAFAAAAAgAh07iQIsCIID6AQAA/wMAAA4AAAAAAAAAAQAgAAAAKwEAAGRycy9l&#10;Mm9Eb2MueG1sUEsFBgAAAAAGAAYAWQEAAJcFAAAAAA==&#10;">
                <v:fill on="f" focussize="0,0"/>
                <v:stroke color="#FF0000" joinstyle="miter"/>
                <v:imagedata o:title=""/>
                <o:lock v:ext="edit" aspectratio="f"/>
                <v:textbox>
                  <w:txbxContent>
                    <w:p w14:paraId="6F772AC4"/>
                  </w:txbxContent>
                </v:textbox>
              </v:rect>
            </w:pict>
          </mc:Fallback>
        </mc:AlternateContent>
      </w:r>
      <w:r>
        <w:rPr>
          <w:color w:val="000000"/>
          <w:sz w:val="21"/>
          <w:highlight w:val="none"/>
        </w:rPr>
        <w:drawing>
          <wp:anchor distT="0" distB="0" distL="114300" distR="114300" simplePos="0" relativeHeight="251687936" behindDoc="0" locked="0" layoutInCell="1" allowOverlap="1">
            <wp:simplePos x="0" y="0"/>
            <wp:positionH relativeFrom="column">
              <wp:posOffset>4839970</wp:posOffset>
            </wp:positionH>
            <wp:positionV relativeFrom="paragraph">
              <wp:posOffset>26670</wp:posOffset>
            </wp:positionV>
            <wp:extent cx="709295" cy="661670"/>
            <wp:effectExtent l="0" t="0" r="14605" b="5080"/>
            <wp:wrapNone/>
            <wp:docPr id="29"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rFonts w:ascii="Times New Roman" w:cs="Times New Roman"/>
          <w:color w:val="auto"/>
          <w:highlight w:val="none"/>
        </w:rPr>
        <w:drawing>
          <wp:inline distT="0" distB="0" distL="114300" distR="114300">
            <wp:extent cx="7857490" cy="5568315"/>
            <wp:effectExtent l="9525" t="9525" r="22860" b="19685"/>
            <wp:docPr id="21" name="图片 3" descr="F:\猴子果果（山东）食品科技有限公司-猴子果果（山东）食品科技有限公司高端鲜榨果汁生产基地建设项目\1654824229(1).jpg1654824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F:\猴子果果（山东）食品科技有限公司-猴子果果（山东）食品科技有限公司高端鲜榨果汁生产基地建设项目\1654824229(1).jpg1654824229(1)"/>
                    <pic:cNvPicPr>
                      <a:picLocks noChangeAspect="1"/>
                    </pic:cNvPicPr>
                  </pic:nvPicPr>
                  <pic:blipFill>
                    <a:blip r:embed="rId50"/>
                    <a:stretch>
                      <a:fillRect/>
                    </a:stretch>
                  </pic:blipFill>
                  <pic:spPr>
                    <a:xfrm rot="5400000">
                      <a:off x="0" y="0"/>
                      <a:ext cx="7857490" cy="5568315"/>
                    </a:xfrm>
                    <a:prstGeom prst="rect">
                      <a:avLst/>
                    </a:prstGeom>
                    <a:noFill/>
                    <a:ln w="3175" cap="flat" cmpd="sng">
                      <a:solidFill>
                        <a:srgbClr val="000000"/>
                      </a:solidFill>
                      <a:prstDash val="solid"/>
                      <a:round/>
                      <a:headEnd type="none" w="med" len="med"/>
                      <a:tailEnd type="none" w="med" len="med"/>
                    </a:ln>
                  </pic:spPr>
                </pic:pic>
              </a:graphicData>
            </a:graphic>
          </wp:inline>
        </w:drawing>
      </w:r>
    </w:p>
    <w:p w14:paraId="2E3C028F">
      <w:pPr>
        <w:pStyle w:val="48"/>
        <w:rPr>
          <w:rFonts w:hint="default" w:ascii="Times New Roman" w:hAnsi="Times New Roman" w:eastAsia="黑体" w:cs="Times New Roman"/>
          <w:b w:val="0"/>
          <w:bCs/>
          <w:color w:val="auto"/>
          <w:szCs w:val="24"/>
          <w:highlight w:val="none"/>
          <w:lang w:eastAsia="zh-CN"/>
        </w:rPr>
      </w:pPr>
    </w:p>
    <w:p w14:paraId="4BB53980">
      <w:pPr>
        <w:pStyle w:val="48"/>
        <w:rPr>
          <w:rFonts w:hint="default" w:ascii="Times New Roman" w:hAnsi="Times New Roman" w:eastAsia="黑体" w:cs="Times New Roman"/>
          <w:b w:val="0"/>
          <w:bCs/>
          <w:color w:val="auto"/>
          <w:szCs w:val="24"/>
          <w:highlight w:val="none"/>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6BB0D3D">
      <w:pPr>
        <w:rPr>
          <w:rFonts w:hint="default" w:ascii="Times New Roman" w:hAnsi="宋体" w:eastAsia="黑体" w:cs="Times New Roman"/>
          <w:bCs/>
          <w:color w:val="auto"/>
          <w:kern w:val="2"/>
          <w:sz w:val="24"/>
          <w:szCs w:val="22"/>
          <w:highlight w:val="none"/>
          <w:lang w:val="en-US" w:eastAsia="zh-CN" w:bidi="ar-SA"/>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bookmarkStart w:id="2" w:name="OLE_LINK1"/>
      <w:r>
        <w:rPr>
          <w:color w:val="000000"/>
          <w:sz w:val="21"/>
          <w:highlight w:val="none"/>
        </w:rPr>
        <w:drawing>
          <wp:anchor distT="0" distB="0" distL="114300" distR="114300" simplePos="0" relativeHeight="251682816" behindDoc="0" locked="0" layoutInCell="1" allowOverlap="1">
            <wp:simplePos x="0" y="0"/>
            <wp:positionH relativeFrom="column">
              <wp:posOffset>5154295</wp:posOffset>
            </wp:positionH>
            <wp:positionV relativeFrom="paragraph">
              <wp:posOffset>218440</wp:posOffset>
            </wp:positionV>
            <wp:extent cx="709295" cy="661670"/>
            <wp:effectExtent l="0" t="0" r="14605" b="5080"/>
            <wp:wrapNone/>
            <wp:docPr id="12"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4667250</wp:posOffset>
                </wp:positionH>
                <wp:positionV relativeFrom="paragraph">
                  <wp:posOffset>8264525</wp:posOffset>
                </wp:positionV>
                <wp:extent cx="154940" cy="154940"/>
                <wp:effectExtent l="12700" t="12700" r="22860" b="22860"/>
                <wp:wrapNone/>
                <wp:docPr id="52" name="椭圆 52"/>
                <wp:cNvGraphicFramePr/>
                <a:graphic xmlns:a="http://schemas.openxmlformats.org/drawingml/2006/main">
                  <a:graphicData uri="http://schemas.microsoft.com/office/word/2010/wordprocessingShape">
                    <wps:wsp>
                      <wps:cNvSpPr/>
                      <wps:spPr>
                        <a:xfrm>
                          <a:off x="0" y="0"/>
                          <a:ext cx="154940" cy="154940"/>
                        </a:xfrm>
                        <a:prstGeom prst="ellipse">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7.5pt;margin-top:650.75pt;height:12.2pt;width:12.2pt;z-index:251678720;v-text-anchor:middle;mso-width-relative:page;mso-height-relative:page;" filled="f" stroked="t" coordsize="21600,21600" o:gfxdata="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F&#10;GB0f3AAAAA0BAAAPAAAAAAAAAAEAIAAAACIAAABkcnMvZG93bnJldi54bWxQSwECFAAUAAAACACH&#10;TuJAvp+ckVkCAAC4BAAADgAAAAAAAAABACAAAAArAQAAZHJzL2Uyb0RvYy54bWxQSwUGAAAAAAYA&#10;BgBZAQAA9gUAAAAA&#10;">
                <v:fill on="f" focussize="0,0"/>
                <v:stroke weight="2pt" color="#000000 [3213]" joinstyle="round"/>
                <v:imagedata o:title=""/>
                <o:lock v:ext="edit" aspectratio="f"/>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4667250</wp:posOffset>
                </wp:positionH>
                <wp:positionV relativeFrom="paragraph">
                  <wp:posOffset>8077200</wp:posOffset>
                </wp:positionV>
                <wp:extent cx="130810" cy="119380"/>
                <wp:effectExtent l="12700" t="12700" r="27940" b="20320"/>
                <wp:wrapNone/>
                <wp:docPr id="54" name="矩形 54"/>
                <wp:cNvGraphicFramePr/>
                <a:graphic xmlns:a="http://schemas.openxmlformats.org/drawingml/2006/main">
                  <a:graphicData uri="http://schemas.microsoft.com/office/word/2010/wordprocessingShape">
                    <wps:wsp>
                      <wps:cNvSpPr/>
                      <wps:spPr>
                        <a:xfrm>
                          <a:off x="0" y="0"/>
                          <a:ext cx="130810" cy="11938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7.5pt;margin-top:636pt;height:9.4pt;width:10.3pt;z-index:251679744;v-text-anchor:middle;mso-width-relative:page;mso-height-relative:page;" filled="f" stroked="t" coordsize="21600,21600" o:gfxdata="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UczRDbAAAADQEAAA8AAAAAAAAAAQAgAAAAIgAAAGRycy9kb3ducmV2LnhtbFBLAQIUABQA&#10;AAAIAIdO4kAdUoL1XwIAALUEAAAOAAAAAAAAAAEAIAAAACoBAABkcnMvZTJvRG9jLnhtbFBLBQYA&#10;AAAABgAGAFkBAAD7BQAAAAA=&#10;">
                <v:fill on="f" focussize="0,0"/>
                <v:stroke weight="2pt" color="#FF0000 [2404]" joinstyle="round"/>
                <v:imagedata o:title=""/>
                <o:lock v:ext="edit" aspectratio="f"/>
              </v:rect>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4522470</wp:posOffset>
                </wp:positionH>
                <wp:positionV relativeFrom="paragraph">
                  <wp:posOffset>7783830</wp:posOffset>
                </wp:positionV>
                <wp:extent cx="1357630" cy="706120"/>
                <wp:effectExtent l="4445" t="4445" r="9525" b="13335"/>
                <wp:wrapNone/>
                <wp:docPr id="50" name="文本框 50"/>
                <wp:cNvGraphicFramePr/>
                <a:graphic xmlns:a="http://schemas.openxmlformats.org/drawingml/2006/main">
                  <a:graphicData uri="http://schemas.microsoft.com/office/word/2010/wordprocessingShape">
                    <wps:wsp>
                      <wps:cNvSpPr txBox="1"/>
                      <wps:spPr>
                        <a:xfrm>
                          <a:off x="0" y="0"/>
                          <a:ext cx="1357630" cy="706120"/>
                        </a:xfrm>
                        <a:prstGeom prst="rect">
                          <a:avLst/>
                        </a:prstGeom>
                        <a:solidFill>
                          <a:srgbClr val="FFFFFF"/>
                        </a:solidFill>
                        <a:ln w="6350" cap="flat" cmpd="sng">
                          <a:solidFill>
                            <a:srgbClr val="FBFB03"/>
                          </a:solidFill>
                          <a:prstDash val="solid"/>
                          <a:round/>
                          <a:headEnd type="none" w="med" len="med"/>
                          <a:tailEnd type="none" w="med" len="med"/>
                        </a:ln>
                      </wps:spPr>
                      <wps:txbx>
                        <w:txbxContent>
                          <w:p w14:paraId="42FBEA30">
                            <w:pPr>
                              <w:spacing w:line="312" w:lineRule="exact"/>
                              <w:ind w:firstLine="0" w:firstLineChars="0"/>
                              <w:jc w:val="center"/>
                            </w:pPr>
                            <w:r>
                              <w:rPr>
                                <w:rFonts w:hint="eastAsia"/>
                                <w:b/>
                                <w:bCs/>
                                <w:sz w:val="21"/>
                                <w:szCs w:val="21"/>
                              </w:rPr>
                              <w:t>图例</w:t>
                            </w:r>
                          </w:p>
                          <w:p w14:paraId="5984864A">
                            <w:pPr>
                              <w:pStyle w:val="2"/>
                              <w:spacing w:after="0" w:line="312" w:lineRule="exact"/>
                              <w:ind w:left="0" w:leftChars="0" w:firstLine="420" w:firstLineChars="200"/>
                              <w:jc w:val="left"/>
                              <w:rPr>
                                <w:rFonts w:hint="eastAsia" w:ascii="宋体" w:hAnsi="宋体" w:cs="宋体"/>
                                <w:sz w:val="21"/>
                                <w:szCs w:val="21"/>
                                <w:lang w:val="en-US" w:eastAsia="zh-CN"/>
                              </w:rPr>
                            </w:pPr>
                            <w:r>
                              <w:rPr>
                                <w:rFonts w:hint="eastAsia" w:ascii="宋体" w:hAnsi="宋体" w:cs="宋体"/>
                                <w:sz w:val="21"/>
                                <w:szCs w:val="21"/>
                                <w:lang w:val="en-US" w:eastAsia="zh-CN"/>
                              </w:rPr>
                              <w:t>厂区边界</w:t>
                            </w:r>
                          </w:p>
                          <w:p w14:paraId="1756F5BC">
                            <w:pPr>
                              <w:rPr>
                                <w:rFonts w:hint="default"/>
                                <w:lang w:val="en-US" w:eastAsia="zh-CN"/>
                              </w:rPr>
                            </w:pPr>
                            <w:r>
                              <w:rPr>
                                <w:rFonts w:hint="eastAsia" w:ascii="宋体" w:hAnsi="宋体" w:cs="宋体"/>
                                <w:sz w:val="21"/>
                                <w:szCs w:val="21"/>
                                <w:lang w:val="en-US" w:eastAsia="zh-CN"/>
                              </w:rPr>
                              <w:t xml:space="preserve">    排气筒</w:t>
                            </w:r>
                          </w:p>
                        </w:txbxContent>
                      </wps:txbx>
                      <wps:bodyPr upright="1"/>
                    </wps:wsp>
                  </a:graphicData>
                </a:graphic>
              </wp:anchor>
            </w:drawing>
          </mc:Choice>
          <mc:Fallback>
            <w:pict>
              <v:shape id="_x0000_s1026" o:spid="_x0000_s1026" o:spt="202" type="#_x0000_t202" style="position:absolute;left:0pt;margin-left:356.1pt;margin-top:612.9pt;height:55.6pt;width:106.9pt;z-index:251677696;mso-width-relative:page;mso-height-relative:page;" fillcolor="#FFFFFF" filled="t" stroked="t" coordsize="21600,21600" o:gfxdata="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JwtZO2QAAAA0BAAAPAAAAAAAAAAEA&#10;IAAAACIAAABkcnMvZG93bnJldi54bWxQSwECFAAUAAAACACHTuJAJKPQ5Q4CAAA4BAAADgAAAAAA&#10;AAABACAAAAAoAQAAZHJzL2Uyb0RvYy54bWxQSwUGAAAAAAYABgBZAQAAqAUAAAAA&#10;">
                <v:fill on="t" focussize="0,0"/>
                <v:stroke weight="0.5pt" color="#FBFB03" joinstyle="round"/>
                <v:imagedata o:title=""/>
                <o:lock v:ext="edit" aspectratio="f"/>
                <v:textbox>
                  <w:txbxContent>
                    <w:p w14:paraId="42FBEA30">
                      <w:pPr>
                        <w:spacing w:line="312" w:lineRule="exact"/>
                        <w:ind w:firstLine="0" w:firstLineChars="0"/>
                        <w:jc w:val="center"/>
                      </w:pPr>
                      <w:r>
                        <w:rPr>
                          <w:rFonts w:hint="eastAsia"/>
                          <w:b/>
                          <w:bCs/>
                          <w:sz w:val="21"/>
                          <w:szCs w:val="21"/>
                        </w:rPr>
                        <w:t>图例</w:t>
                      </w:r>
                    </w:p>
                    <w:p w14:paraId="5984864A">
                      <w:pPr>
                        <w:pStyle w:val="2"/>
                        <w:spacing w:after="0" w:line="312" w:lineRule="exact"/>
                        <w:ind w:left="0" w:leftChars="0" w:firstLine="420" w:firstLineChars="200"/>
                        <w:jc w:val="left"/>
                        <w:rPr>
                          <w:rFonts w:hint="eastAsia" w:ascii="宋体" w:hAnsi="宋体" w:cs="宋体"/>
                          <w:sz w:val="21"/>
                          <w:szCs w:val="21"/>
                          <w:lang w:val="en-US" w:eastAsia="zh-CN"/>
                        </w:rPr>
                      </w:pPr>
                      <w:r>
                        <w:rPr>
                          <w:rFonts w:hint="eastAsia" w:ascii="宋体" w:hAnsi="宋体" w:cs="宋体"/>
                          <w:sz w:val="21"/>
                          <w:szCs w:val="21"/>
                          <w:lang w:val="en-US" w:eastAsia="zh-CN"/>
                        </w:rPr>
                        <w:t>厂区边界</w:t>
                      </w:r>
                    </w:p>
                    <w:p w14:paraId="1756F5BC">
                      <w:pPr>
                        <w:rPr>
                          <w:rFonts w:hint="default"/>
                          <w:lang w:val="en-US" w:eastAsia="zh-CN"/>
                        </w:rPr>
                      </w:pPr>
                      <w:r>
                        <w:rPr>
                          <w:rFonts w:hint="eastAsia" w:ascii="宋体" w:hAnsi="宋体" w:cs="宋体"/>
                          <w:sz w:val="21"/>
                          <w:szCs w:val="21"/>
                          <w:lang w:val="en-US" w:eastAsia="zh-CN"/>
                        </w:rPr>
                        <w:t xml:space="preserve">    排气筒</w:t>
                      </w:r>
                    </w:p>
                  </w:txbxContent>
                </v:textbox>
              </v:shape>
            </w:pict>
          </mc:Fallback>
        </mc:AlternateContent>
      </w:r>
      <w:r>
        <w:rPr>
          <w:rFonts w:hint="default" w:ascii="Times New Roman" w:hAnsi="宋体" w:eastAsia="黑体" w:cs="Times New Roman"/>
          <w:bCs/>
          <w:color w:val="auto"/>
          <w:kern w:val="2"/>
          <w:sz w:val="24"/>
          <w:szCs w:val="22"/>
          <w:highlight w:val="none"/>
          <w:lang w:val="en-US" w:eastAsia="zh-CN" w:bidi="ar-SA"/>
        </w:rPr>
        <w:t>附图</w:t>
      </w:r>
      <w:r>
        <w:rPr>
          <w:rFonts w:hint="eastAsia" w:hAnsi="宋体" w:eastAsia="黑体" w:cs="Times New Roman"/>
          <w:bCs/>
          <w:color w:val="auto"/>
          <w:kern w:val="2"/>
          <w:sz w:val="24"/>
          <w:szCs w:val="22"/>
          <w:highlight w:val="none"/>
          <w:lang w:val="en-US" w:eastAsia="zh-CN" w:bidi="ar-SA"/>
        </w:rPr>
        <w:t>5</w:t>
      </w:r>
      <w:r>
        <w:rPr>
          <w:rFonts w:hint="eastAsia" w:ascii="Times New Roman" w:hAnsi="宋体" w:eastAsia="黑体" w:cs="Times New Roman"/>
          <w:bCs/>
          <w:color w:val="auto"/>
          <w:kern w:val="2"/>
          <w:sz w:val="24"/>
          <w:szCs w:val="22"/>
          <w:highlight w:val="none"/>
          <w:lang w:val="en-US" w:eastAsia="zh-CN" w:bidi="ar-SA"/>
        </w:rPr>
        <w:t>：</w:t>
      </w:r>
      <w:r>
        <w:rPr>
          <w:rFonts w:hint="default" w:ascii="Times New Roman" w:hAnsi="宋体" w:eastAsia="黑体" w:cs="Times New Roman"/>
          <w:bCs/>
          <w:color w:val="auto"/>
          <w:kern w:val="2"/>
          <w:sz w:val="24"/>
          <w:szCs w:val="22"/>
          <w:highlight w:val="none"/>
          <w:lang w:val="en-US" w:eastAsia="zh-CN" w:bidi="ar-SA"/>
        </w:rPr>
        <w:t>项目厂区平面布置图</w:t>
      </w:r>
      <w:r>
        <w:rPr>
          <w:color w:val="000000"/>
          <w:sz w:val="21"/>
          <w:highlight w:val="none"/>
        </w:rPr>
        <w:drawing>
          <wp:anchor distT="0" distB="0" distL="114300" distR="114300" simplePos="0" relativeHeight="251681792" behindDoc="0" locked="0" layoutInCell="1" allowOverlap="1">
            <wp:simplePos x="0" y="0"/>
            <wp:positionH relativeFrom="column">
              <wp:posOffset>11816080</wp:posOffset>
            </wp:positionH>
            <wp:positionV relativeFrom="paragraph">
              <wp:posOffset>1069539390</wp:posOffset>
            </wp:positionV>
            <wp:extent cx="986790" cy="920115"/>
            <wp:effectExtent l="0" t="0" r="3810" b="13335"/>
            <wp:wrapNone/>
            <wp:docPr id="7"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沂源县风玫瑰"/>
                    <pic:cNvPicPr>
                      <a:picLocks noChangeAspect="1"/>
                    </pic:cNvPicPr>
                  </pic:nvPicPr>
                  <pic:blipFill>
                    <a:blip r:embed="rId46"/>
                    <a:stretch>
                      <a:fillRect/>
                    </a:stretch>
                  </pic:blipFill>
                  <pic:spPr>
                    <a:xfrm>
                      <a:off x="0" y="0"/>
                      <a:ext cx="986790" cy="920115"/>
                    </a:xfrm>
                    <a:prstGeom prst="rect">
                      <a:avLst/>
                    </a:prstGeom>
                    <a:noFill/>
                    <a:ln>
                      <a:noFill/>
                    </a:ln>
                  </pic:spPr>
                </pic:pic>
              </a:graphicData>
            </a:graphic>
          </wp:anchor>
        </w:drawing>
      </w:r>
      <w:r>
        <w:rPr>
          <w:rFonts w:hint="default" w:ascii="Times New Roman" w:hAnsi="宋体" w:eastAsia="黑体" w:cs="Times New Roman"/>
          <w:bCs/>
          <w:color w:val="auto"/>
          <w:kern w:val="2"/>
          <w:sz w:val="24"/>
          <w:szCs w:val="22"/>
          <w:highlight w:val="none"/>
          <w:lang w:val="en-US" w:eastAsia="zh-CN" w:bidi="ar-SA"/>
        </w:rPr>
        <w:drawing>
          <wp:anchor distT="0" distB="0" distL="114300" distR="114300" simplePos="0" relativeHeight="251680768" behindDoc="1" locked="0" layoutInCell="1" allowOverlap="1">
            <wp:simplePos x="0" y="0"/>
            <wp:positionH relativeFrom="column">
              <wp:posOffset>0</wp:posOffset>
            </wp:positionH>
            <wp:positionV relativeFrom="paragraph">
              <wp:posOffset>197485</wp:posOffset>
            </wp:positionV>
            <wp:extent cx="5896610" cy="8338820"/>
            <wp:effectExtent l="12700" t="12700" r="15240" b="30480"/>
            <wp:wrapNone/>
            <wp:docPr id="3" name="图片 3" descr="厂区平面图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厂区平面图_00(1)"/>
                    <pic:cNvPicPr>
                      <a:picLocks noChangeAspect="1"/>
                    </pic:cNvPicPr>
                  </pic:nvPicPr>
                  <pic:blipFill>
                    <a:blip r:embed="rId51"/>
                    <a:stretch>
                      <a:fillRect/>
                    </a:stretch>
                  </pic:blipFill>
                  <pic:spPr>
                    <a:xfrm>
                      <a:off x="0" y="0"/>
                      <a:ext cx="5896610" cy="8338820"/>
                    </a:xfrm>
                    <a:prstGeom prst="rect">
                      <a:avLst/>
                    </a:prstGeom>
                    <a:ln w="12700">
                      <a:solidFill>
                        <a:schemeClr val="tx1"/>
                      </a:solidFill>
                    </a:ln>
                  </pic:spPr>
                </pic:pic>
              </a:graphicData>
            </a:graphic>
          </wp:anchor>
        </w:drawing>
      </w:r>
      <w:r>
        <w:rPr>
          <w:rFonts w:hint="eastAsia" w:hAnsi="宋体" w:eastAsia="黑体" w:cs="Times New Roman"/>
          <w:bCs/>
          <w:color w:val="auto"/>
          <w:kern w:val="2"/>
          <w:sz w:val="24"/>
          <w:szCs w:val="22"/>
          <w:highlight w:val="none"/>
          <w:lang w:val="en-US" w:eastAsia="zh-CN" w:bidi="ar-SA"/>
        </w:rPr>
        <w:t>（比例尺1：500）</w:t>
      </w:r>
    </w:p>
    <w:bookmarkEnd w:id="2"/>
    <w:p w14:paraId="5A679419">
      <w:pPr>
        <w:pStyle w:val="2"/>
        <w:keepNext w:val="0"/>
        <w:keepLines w:val="0"/>
        <w:pageBreakBefore w:val="0"/>
        <w:widowControl w:val="0"/>
        <w:kinsoku/>
        <w:wordWrap/>
        <w:overflowPunct/>
        <w:topLinePunct w:val="0"/>
        <w:autoSpaceDE/>
        <w:autoSpaceDN/>
        <w:bidi w:val="0"/>
        <w:adjustRightInd/>
        <w:snapToGrid/>
        <w:ind w:left="0" w:leftChars="0" w:firstLine="0" w:firstLineChars="0"/>
        <w:jc w:val="left"/>
        <w:textAlignment w:val="auto"/>
        <w:rPr>
          <w:rFonts w:hint="default"/>
          <w:lang w:val="en-US" w:eastAsia="zh-CN"/>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color w:val="000000"/>
          <w:sz w:val="21"/>
          <w:highlight w:val="none"/>
        </w:rPr>
        <w:drawing>
          <wp:anchor distT="0" distB="0" distL="114300" distR="114300" simplePos="0" relativeHeight="251713536" behindDoc="0" locked="0" layoutInCell="1" allowOverlap="1">
            <wp:simplePos x="0" y="0"/>
            <wp:positionH relativeFrom="column">
              <wp:posOffset>8109585</wp:posOffset>
            </wp:positionH>
            <wp:positionV relativeFrom="paragraph">
              <wp:posOffset>219075</wp:posOffset>
            </wp:positionV>
            <wp:extent cx="658495" cy="614680"/>
            <wp:effectExtent l="0" t="0" r="8255" b="13970"/>
            <wp:wrapNone/>
            <wp:docPr id="69"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descr="沂源县风玫瑰"/>
                    <pic:cNvPicPr>
                      <a:picLocks noChangeAspect="1"/>
                    </pic:cNvPicPr>
                  </pic:nvPicPr>
                  <pic:blipFill>
                    <a:blip r:embed="rId46"/>
                    <a:stretch>
                      <a:fillRect/>
                    </a:stretch>
                  </pic:blipFill>
                  <pic:spPr>
                    <a:xfrm>
                      <a:off x="0" y="0"/>
                      <a:ext cx="658495" cy="614680"/>
                    </a:xfrm>
                    <a:prstGeom prst="rect">
                      <a:avLst/>
                    </a:prstGeom>
                    <a:noFill/>
                    <a:ln>
                      <a:noFill/>
                    </a:ln>
                  </pic:spPr>
                </pic:pic>
              </a:graphicData>
            </a:graphic>
          </wp:anchor>
        </w:drawing>
      </w:r>
      <w:r>
        <w:rPr>
          <w:rFonts w:hint="default" w:ascii="Times New Roman" w:hAnsi="宋体" w:eastAsia="黑体" w:cs="Times New Roman"/>
          <w:bCs/>
          <w:color w:val="auto"/>
          <w:kern w:val="2"/>
          <w:sz w:val="24"/>
          <w:szCs w:val="22"/>
          <w:highlight w:val="none"/>
          <w:lang w:val="en-US" w:eastAsia="zh-CN" w:bidi="ar-SA"/>
        </w:rPr>
        <w:t>附图</w:t>
      </w:r>
      <w:r>
        <w:rPr>
          <w:rFonts w:hint="eastAsia" w:hAnsi="宋体" w:eastAsia="黑体" w:cs="Times New Roman"/>
          <w:bCs/>
          <w:color w:val="auto"/>
          <w:kern w:val="2"/>
          <w:sz w:val="24"/>
          <w:szCs w:val="22"/>
          <w:highlight w:val="none"/>
          <w:lang w:val="en-US" w:eastAsia="zh-CN" w:bidi="ar-SA"/>
        </w:rPr>
        <w:t>6</w:t>
      </w:r>
      <w:r>
        <w:rPr>
          <w:rFonts w:hint="eastAsia" w:ascii="Times New Roman" w:hAnsi="宋体" w:eastAsia="黑体" w:cs="Times New Roman"/>
          <w:bCs/>
          <w:color w:val="auto"/>
          <w:kern w:val="2"/>
          <w:sz w:val="24"/>
          <w:szCs w:val="22"/>
          <w:highlight w:val="none"/>
          <w:lang w:val="en-US" w:eastAsia="zh-CN" w:bidi="ar-SA"/>
        </w:rPr>
        <w:t>：抽丝车间</w:t>
      </w:r>
      <w:r>
        <w:rPr>
          <w:rFonts w:hint="default" w:ascii="Times New Roman" w:hAnsi="宋体" w:eastAsia="黑体" w:cs="Times New Roman"/>
          <w:bCs/>
          <w:color w:val="auto"/>
          <w:kern w:val="2"/>
          <w:sz w:val="24"/>
          <w:szCs w:val="22"/>
          <w:highlight w:val="none"/>
          <w:lang w:val="en-US" w:eastAsia="zh-CN" w:bidi="ar-SA"/>
        </w:rPr>
        <w:t>平面布置图</w:t>
      </w:r>
      <w:r>
        <w:rPr>
          <w:rFonts w:hint="eastAsia" w:ascii="Times New Roman" w:hAnsi="宋体" w:eastAsia="黑体" w:cs="Times New Roman"/>
          <w:bCs/>
          <w:color w:val="auto"/>
          <w:kern w:val="2"/>
          <w:sz w:val="24"/>
          <w:szCs w:val="22"/>
          <w:highlight w:val="none"/>
          <w:lang w:val="en-US" w:eastAsia="zh-CN" w:bidi="ar-SA"/>
        </w:rPr>
        <w:t>（比例尺1：400）</w:t>
      </w:r>
      <w:r>
        <w:rPr>
          <w:rFonts w:hint="default"/>
          <w:lang w:val="en-US" w:eastAsia="zh-CN"/>
        </w:rPr>
        <w:drawing>
          <wp:inline distT="0" distB="0" distL="114300" distR="114300">
            <wp:extent cx="8757285" cy="5372100"/>
            <wp:effectExtent l="0" t="0" r="5715" b="0"/>
            <wp:docPr id="75" name="图片 75" descr="抽丝车间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抽丝车间平面图_01"/>
                    <pic:cNvPicPr>
                      <a:picLocks noChangeAspect="1"/>
                    </pic:cNvPicPr>
                  </pic:nvPicPr>
                  <pic:blipFill>
                    <a:blip r:embed="rId52"/>
                    <a:srcRect b="13253"/>
                    <a:stretch>
                      <a:fillRect/>
                    </a:stretch>
                  </pic:blipFill>
                  <pic:spPr>
                    <a:xfrm>
                      <a:off x="0" y="0"/>
                      <a:ext cx="8757285" cy="5372100"/>
                    </a:xfrm>
                    <a:prstGeom prst="rect">
                      <a:avLst/>
                    </a:prstGeom>
                  </pic:spPr>
                </pic:pic>
              </a:graphicData>
            </a:graphic>
          </wp:inline>
        </w:drawing>
      </w:r>
    </w:p>
    <w:p w14:paraId="4F145A71">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lang w:val="en-US" w:eastAsia="zh-CN"/>
        </w:rPr>
        <w:sectPr>
          <w:pgSz w:w="16838" w:h="11906" w:orient="landscape"/>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color w:val="000000"/>
          <w:sz w:val="21"/>
          <w:highlight w:val="none"/>
        </w:rPr>
        <w:drawing>
          <wp:anchor distT="0" distB="0" distL="114300" distR="114300" simplePos="0" relativeHeight="251714560" behindDoc="0" locked="0" layoutInCell="1" allowOverlap="1">
            <wp:simplePos x="0" y="0"/>
            <wp:positionH relativeFrom="column">
              <wp:posOffset>7882890</wp:posOffset>
            </wp:positionH>
            <wp:positionV relativeFrom="paragraph">
              <wp:posOffset>195580</wp:posOffset>
            </wp:positionV>
            <wp:extent cx="658495" cy="614680"/>
            <wp:effectExtent l="0" t="0" r="8255" b="13970"/>
            <wp:wrapNone/>
            <wp:docPr id="73"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descr="沂源县风玫瑰"/>
                    <pic:cNvPicPr>
                      <a:picLocks noChangeAspect="1"/>
                    </pic:cNvPicPr>
                  </pic:nvPicPr>
                  <pic:blipFill>
                    <a:blip r:embed="rId46"/>
                    <a:stretch>
                      <a:fillRect/>
                    </a:stretch>
                  </pic:blipFill>
                  <pic:spPr>
                    <a:xfrm>
                      <a:off x="0" y="0"/>
                      <a:ext cx="658495" cy="614680"/>
                    </a:xfrm>
                    <a:prstGeom prst="rect">
                      <a:avLst/>
                    </a:prstGeom>
                    <a:noFill/>
                    <a:ln>
                      <a:noFill/>
                    </a:ln>
                  </pic:spPr>
                </pic:pic>
              </a:graphicData>
            </a:graphic>
          </wp:anchor>
        </w:drawing>
      </w:r>
      <w:r>
        <w:rPr>
          <w:rFonts w:hint="default" w:ascii="Times New Roman" w:hAnsi="宋体" w:eastAsia="黑体" w:cs="Times New Roman"/>
          <w:bCs/>
          <w:color w:val="auto"/>
          <w:kern w:val="2"/>
          <w:sz w:val="24"/>
          <w:szCs w:val="22"/>
          <w:highlight w:val="none"/>
          <w:lang w:val="en-US" w:eastAsia="zh-CN" w:bidi="ar-SA"/>
        </w:rPr>
        <w:t>附图</w:t>
      </w:r>
      <w:r>
        <w:rPr>
          <w:rFonts w:hint="eastAsia" w:ascii="Times New Roman" w:hAnsi="宋体" w:eastAsia="黑体" w:cs="Times New Roman"/>
          <w:bCs/>
          <w:color w:val="auto"/>
          <w:kern w:val="2"/>
          <w:sz w:val="24"/>
          <w:szCs w:val="22"/>
          <w:highlight w:val="none"/>
          <w:lang w:val="en-US" w:eastAsia="zh-CN" w:bidi="ar-SA"/>
        </w:rPr>
        <w:t>7：综合车间</w:t>
      </w:r>
      <w:r>
        <w:rPr>
          <w:rFonts w:hint="default" w:ascii="Times New Roman" w:hAnsi="宋体" w:eastAsia="黑体" w:cs="Times New Roman"/>
          <w:bCs/>
          <w:color w:val="auto"/>
          <w:kern w:val="2"/>
          <w:sz w:val="24"/>
          <w:szCs w:val="22"/>
          <w:highlight w:val="none"/>
          <w:lang w:val="en-US" w:eastAsia="zh-CN" w:bidi="ar-SA"/>
        </w:rPr>
        <w:t>平面布置图</w:t>
      </w:r>
      <w:r>
        <w:rPr>
          <w:rFonts w:hint="eastAsia" w:ascii="Times New Roman" w:hAnsi="宋体" w:eastAsia="黑体" w:cs="Times New Roman"/>
          <w:bCs/>
          <w:color w:val="auto"/>
          <w:kern w:val="2"/>
          <w:sz w:val="24"/>
          <w:szCs w:val="22"/>
          <w:highlight w:val="none"/>
          <w:lang w:val="en-US" w:eastAsia="zh-CN" w:bidi="ar-SA"/>
        </w:rPr>
        <w:t>（比例尺1：400）</w:t>
      </w:r>
      <w:r>
        <w:rPr>
          <w:rFonts w:hint="default"/>
          <w:lang w:val="en-US" w:eastAsia="zh-CN"/>
        </w:rPr>
        <w:drawing>
          <wp:inline distT="0" distB="0" distL="114300" distR="114300">
            <wp:extent cx="7874000" cy="5393055"/>
            <wp:effectExtent l="0" t="0" r="12700" b="17145"/>
            <wp:docPr id="72" name="图片 72" descr="综合车间平面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综合车间平面图_01"/>
                    <pic:cNvPicPr>
                      <a:picLocks noChangeAspect="1"/>
                    </pic:cNvPicPr>
                  </pic:nvPicPr>
                  <pic:blipFill>
                    <a:blip r:embed="rId53"/>
                    <a:srcRect r="3048" b="6119"/>
                    <a:stretch>
                      <a:fillRect/>
                    </a:stretch>
                  </pic:blipFill>
                  <pic:spPr>
                    <a:xfrm>
                      <a:off x="0" y="0"/>
                      <a:ext cx="7874000" cy="5393055"/>
                    </a:xfrm>
                    <a:prstGeom prst="rect">
                      <a:avLst/>
                    </a:prstGeom>
                  </pic:spPr>
                </pic:pic>
              </a:graphicData>
            </a:graphic>
          </wp:inline>
        </w:drawing>
      </w:r>
      <w:r>
        <w:rPr>
          <w:color w:val="000000"/>
          <w:sz w:val="21"/>
          <w:highlight w:val="none"/>
        </w:rPr>
        <w:drawing>
          <wp:anchor distT="0" distB="0" distL="114300" distR="114300" simplePos="0" relativeHeight="251715584" behindDoc="0" locked="0" layoutInCell="1" allowOverlap="1">
            <wp:simplePos x="0" y="0"/>
            <wp:positionH relativeFrom="column">
              <wp:posOffset>8121015</wp:posOffset>
            </wp:positionH>
            <wp:positionV relativeFrom="paragraph">
              <wp:posOffset>-6985</wp:posOffset>
            </wp:positionV>
            <wp:extent cx="658495" cy="614680"/>
            <wp:effectExtent l="0" t="0" r="8255" b="13970"/>
            <wp:wrapNone/>
            <wp:docPr id="74"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descr="沂源县风玫瑰"/>
                    <pic:cNvPicPr>
                      <a:picLocks noChangeAspect="1"/>
                    </pic:cNvPicPr>
                  </pic:nvPicPr>
                  <pic:blipFill>
                    <a:blip r:embed="rId46"/>
                    <a:stretch>
                      <a:fillRect/>
                    </a:stretch>
                  </pic:blipFill>
                  <pic:spPr>
                    <a:xfrm>
                      <a:off x="0" y="0"/>
                      <a:ext cx="658495" cy="614680"/>
                    </a:xfrm>
                    <a:prstGeom prst="rect">
                      <a:avLst/>
                    </a:prstGeom>
                    <a:noFill/>
                    <a:ln>
                      <a:noFill/>
                    </a:ln>
                  </pic:spPr>
                </pic:pic>
              </a:graphicData>
            </a:graphic>
          </wp:anchor>
        </w:drawing>
      </w:r>
      <w:r>
        <w:rPr>
          <w:rFonts w:hint="default"/>
          <w:lang w:val="en-US" w:eastAsia="zh-CN"/>
        </w:rPr>
        <w:drawing>
          <wp:inline distT="0" distB="0" distL="114300" distR="114300">
            <wp:extent cx="8641715" cy="5565775"/>
            <wp:effectExtent l="0" t="0" r="6985" b="15875"/>
            <wp:docPr id="82" name="图片 82" descr="综合车间平面图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综合车间平面图_02(1)"/>
                    <pic:cNvPicPr>
                      <a:picLocks noChangeAspect="1"/>
                    </pic:cNvPicPr>
                  </pic:nvPicPr>
                  <pic:blipFill>
                    <a:blip r:embed="rId54"/>
                    <a:srcRect b="9172"/>
                    <a:stretch>
                      <a:fillRect/>
                    </a:stretch>
                  </pic:blipFill>
                  <pic:spPr>
                    <a:xfrm>
                      <a:off x="0" y="0"/>
                      <a:ext cx="8641715" cy="5565775"/>
                    </a:xfrm>
                    <a:prstGeom prst="rect">
                      <a:avLst/>
                    </a:prstGeom>
                  </pic:spPr>
                </pic:pic>
              </a:graphicData>
            </a:graphic>
          </wp:inline>
        </w:drawing>
      </w:r>
      <w:bookmarkStart w:id="3" w:name="_GoBack"/>
      <w:bookmarkEnd w:id="3"/>
    </w:p>
    <w:p w14:paraId="061FF64A">
      <w:pPr>
        <w:rPr>
          <w:rFonts w:hint="eastAsia" w:ascii="Times New Roman" w:hAnsi="宋体" w:eastAsia="黑体" w:cs="Times New Roman"/>
          <w:bCs/>
          <w:color w:val="auto"/>
          <w:kern w:val="2"/>
          <w:sz w:val="24"/>
          <w:szCs w:val="22"/>
          <w:highlight w:val="none"/>
          <w:lang w:val="en-US" w:eastAsia="zh-CN" w:bidi="ar-SA"/>
        </w:rPr>
      </w:pPr>
      <w:r>
        <w:rPr>
          <w:rFonts w:hint="default" w:ascii="Times New Roman" w:hAnsi="宋体" w:eastAsia="黑体" w:cs="Times New Roman"/>
          <w:bCs/>
          <w:color w:val="auto"/>
          <w:kern w:val="2"/>
          <w:sz w:val="24"/>
          <w:szCs w:val="22"/>
          <w:highlight w:val="none"/>
          <w:lang w:val="en-US" w:eastAsia="zh-CN" w:bidi="ar-SA"/>
        </w:rPr>
        <mc:AlternateContent>
          <mc:Choice Requires="wps">
            <w:drawing>
              <wp:anchor distT="0" distB="0" distL="114300" distR="114300" simplePos="0" relativeHeight="251703296" behindDoc="0" locked="0" layoutInCell="1" allowOverlap="1">
                <wp:simplePos x="0" y="0"/>
                <wp:positionH relativeFrom="column">
                  <wp:posOffset>3803650</wp:posOffset>
                </wp:positionH>
                <wp:positionV relativeFrom="paragraph">
                  <wp:posOffset>-1647825</wp:posOffset>
                </wp:positionV>
                <wp:extent cx="75565" cy="75565"/>
                <wp:effectExtent l="4445" t="4445" r="15240" b="15240"/>
                <wp:wrapNone/>
                <wp:docPr id="48" name="矩形 48"/>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B05F9">
                            <a:alpha val="23000"/>
                          </a:srgbClr>
                        </a:solidFill>
                        <a:ln w="3175">
                          <a:solidFill>
                            <a:srgbClr val="0B05F9"/>
                          </a:solidFill>
                        </a:ln>
                      </wps:spPr>
                      <wps:txbx>
                        <w:txbxContent>
                          <w:p w14:paraId="2EFF2797">
                            <w:pPr>
                              <w:jc w:val="center"/>
                            </w:pPr>
                          </w:p>
                        </w:txbxContent>
                      </wps:txbx>
                      <wps:bodyPr upright="1"/>
                    </wps:wsp>
                  </a:graphicData>
                </a:graphic>
              </wp:anchor>
            </w:drawing>
          </mc:Choice>
          <mc:Fallback>
            <w:pict>
              <v:rect id="_x0000_s1026" o:spid="_x0000_s1026" o:spt="1" style="position:absolute;left:0pt;margin-left:299.5pt;margin-top:-129.75pt;height:5.95pt;width:5.95pt;z-index:251703296;mso-width-relative:page;mso-height-relative:page;" fillcolor="#0B05F9" filled="t" stroked="t" coordsize="21600,21600" o:gfxdata="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pbR7L2QAAAA0BAAAPAAAAAAAAAAEAIAAA&#10;ACIAAABkcnMvZG93bnJldi54bWxQSwECFAAUAAAACACHTuJAHtbLVdIBAAC8AwAADgAAAAAAAAAB&#10;ACAAAAAoAQAAZHJzL2Uyb0RvYy54bWxQSwUGAAAAAAYABgBZAQAAbAUAAAAA&#10;">
                <v:fill on="t" opacity="15073f" focussize="0,0"/>
                <v:stroke weight="0.25pt" color="#0B05F9" joinstyle="round"/>
                <v:imagedata o:title=""/>
                <o:lock v:ext="edit" aspectratio="f"/>
                <v:textbox>
                  <w:txbxContent>
                    <w:p w14:paraId="2EFF2797">
                      <w:pPr>
                        <w:jc w:val="center"/>
                      </w:pPr>
                    </w:p>
                  </w:txbxContent>
                </v:textbox>
              </v:rect>
            </w:pict>
          </mc:Fallback>
        </mc:AlternateContent>
      </w:r>
      <w:r>
        <w:rPr>
          <w:rFonts w:hint="default" w:ascii="Times New Roman" w:hAnsi="宋体" w:eastAsia="黑体" w:cs="Times New Roman"/>
          <w:bCs/>
          <w:color w:val="auto"/>
          <w:kern w:val="2"/>
          <w:sz w:val="24"/>
          <w:szCs w:val="22"/>
          <w:highlight w:val="none"/>
          <w:lang w:val="en-US" w:eastAsia="zh-CN" w:bidi="ar-SA"/>
        </w:rPr>
        <w:t>附图</w:t>
      </w:r>
      <w:r>
        <w:rPr>
          <w:rFonts w:hint="eastAsia" w:hAnsi="宋体" w:eastAsia="黑体" w:cs="Times New Roman"/>
          <w:bCs/>
          <w:color w:val="auto"/>
          <w:kern w:val="2"/>
          <w:sz w:val="24"/>
          <w:szCs w:val="22"/>
          <w:highlight w:val="none"/>
          <w:lang w:val="en-US" w:eastAsia="zh-CN" w:bidi="ar-SA"/>
        </w:rPr>
        <w:t>8</w:t>
      </w:r>
      <w:r>
        <w:rPr>
          <w:rFonts w:hint="default" w:ascii="Times New Roman" w:hAnsi="宋体" w:eastAsia="黑体" w:cs="Times New Roman"/>
          <w:bCs/>
          <w:color w:val="auto"/>
          <w:kern w:val="2"/>
          <w:sz w:val="24"/>
          <w:szCs w:val="22"/>
          <w:highlight w:val="none"/>
          <w:lang w:val="en-US" w:eastAsia="zh-CN" w:bidi="ar-SA"/>
        </w:rPr>
        <w:t>：</w:t>
      </w:r>
      <w:r>
        <w:rPr>
          <w:rFonts w:hint="eastAsia" w:ascii="Times New Roman" w:hAnsi="宋体" w:eastAsia="黑体" w:cs="Times New Roman"/>
          <w:bCs/>
          <w:color w:val="auto"/>
          <w:kern w:val="2"/>
          <w:sz w:val="24"/>
          <w:szCs w:val="22"/>
          <w:highlight w:val="none"/>
          <w:lang w:val="en-US" w:eastAsia="zh-CN" w:bidi="ar-SA"/>
        </w:rPr>
        <w:t>项目与淄博市国土空间总体规划关系图</w:t>
      </w:r>
    </w:p>
    <w:p w14:paraId="06FD20F0">
      <w:pPr>
        <w:rPr>
          <w:rFonts w:hint="default" w:ascii="Times New Roman" w:hAnsi="宋体" w:eastAsia="黑体" w:cs="Times New Roman"/>
          <w:bCs/>
          <w:color w:val="auto"/>
          <w:kern w:val="2"/>
          <w:sz w:val="24"/>
          <w:szCs w:val="22"/>
          <w:highlight w:val="none"/>
          <w:lang w:val="en-US" w:eastAsia="zh-CN" w:bidi="ar-SA"/>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000000"/>
          <w:sz w:val="21"/>
          <w:highlight w:val="none"/>
        </w:rPr>
        <w:drawing>
          <wp:anchor distT="0" distB="0" distL="114300" distR="114300" simplePos="0" relativeHeight="251708416" behindDoc="0" locked="0" layoutInCell="1" allowOverlap="1">
            <wp:simplePos x="0" y="0"/>
            <wp:positionH relativeFrom="column">
              <wp:posOffset>4826000</wp:posOffset>
            </wp:positionH>
            <wp:positionV relativeFrom="paragraph">
              <wp:posOffset>264160</wp:posOffset>
            </wp:positionV>
            <wp:extent cx="709295" cy="661670"/>
            <wp:effectExtent l="0" t="0" r="14605" b="5080"/>
            <wp:wrapNone/>
            <wp:docPr id="58"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705344" behindDoc="0" locked="0" layoutInCell="1" allowOverlap="1">
                <wp:simplePos x="0" y="0"/>
                <wp:positionH relativeFrom="column">
                  <wp:posOffset>4337050</wp:posOffset>
                </wp:positionH>
                <wp:positionV relativeFrom="paragraph">
                  <wp:posOffset>7006590</wp:posOffset>
                </wp:positionV>
                <wp:extent cx="75565" cy="75565"/>
                <wp:effectExtent l="4445" t="4445" r="15240" b="15240"/>
                <wp:wrapNone/>
                <wp:docPr id="53" name="矩形 53"/>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71FF7CEE">
                            <w:pPr>
                              <w:rPr>
                                <w14:textOutline w14:w="9525">
                                  <w14:solidFill>
                                    <w14:srgbClr w14:val="FF0000"/>
                                  </w14:solidFill>
                                  <w14:round/>
                                </w14:textOutline>
                              </w:rPr>
                            </w:pPr>
                          </w:p>
                        </w:txbxContent>
                      </wps:txbx>
                      <wps:bodyPr upright="1"/>
                    </wps:wsp>
                  </a:graphicData>
                </a:graphic>
              </wp:anchor>
            </w:drawing>
          </mc:Choice>
          <mc:Fallback>
            <w:pict>
              <v:rect id="_x0000_s1026" o:spid="_x0000_s1026" o:spt="1" style="position:absolute;left:0pt;margin-left:341.5pt;margin-top:551.7pt;height:5.95pt;width:5.95pt;z-index:251705344;mso-width-relative:page;mso-height-relative:page;" filled="f" stroked="t" coordsize="21600,21600" o:gfxdata="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2jSu7dAAAADQEAAA8AAAAAAAAAAQAgAAAAIgAAAGRycy9kb3du&#10;cmV2LnhtbFBLAQIUABQAAAAIAIdO4kD7lTvP+gEAAP8DAAAOAAAAAAAAAAEAIAAAACwBAABkcnMv&#10;ZTJvRG9jLnhtbFBLBQYAAAAABgAGAFkBAACYBQAAAAA=&#10;">
                <v:fill on="f" focussize="0,0"/>
                <v:stroke color="#FF0000" joinstyle="miter"/>
                <v:imagedata o:title=""/>
                <o:lock v:ext="edit" aspectratio="f"/>
                <v:textbox>
                  <w:txbxContent>
                    <w:p w14:paraId="71FF7CEE">
                      <w:pPr>
                        <w:rPr>
                          <w14:textOutline w14:w="9525">
                            <w14:solidFill>
                              <w14:srgbClr w14:val="FF0000"/>
                            </w14:solidFill>
                            <w14:round/>
                          </w14:textOutline>
                        </w:rPr>
                      </w:pPr>
                    </w:p>
                  </w:txbxContent>
                </v:textbox>
              </v:rect>
            </w:pict>
          </mc:Fallback>
        </mc:AlternateContent>
      </w:r>
      <w:r>
        <w:rPr>
          <w:color w:val="auto"/>
          <w:highlight w:val="none"/>
        </w:rPr>
        <mc:AlternateContent>
          <mc:Choice Requires="wps">
            <w:drawing>
              <wp:anchor distT="0" distB="0" distL="114300" distR="114300" simplePos="0" relativeHeight="251704320" behindDoc="0" locked="0" layoutInCell="1" allowOverlap="1">
                <wp:simplePos x="0" y="0"/>
                <wp:positionH relativeFrom="column">
                  <wp:posOffset>4579620</wp:posOffset>
                </wp:positionH>
                <wp:positionV relativeFrom="paragraph">
                  <wp:posOffset>6245225</wp:posOffset>
                </wp:positionV>
                <wp:extent cx="810260" cy="241300"/>
                <wp:effectExtent l="202565" t="4445" r="15875" b="554355"/>
                <wp:wrapNone/>
                <wp:docPr id="49" name="矩形标注 49"/>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2EBBE344">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360.6pt;margin-top:491.75pt;height:19pt;width:63.8pt;z-index:251704320;mso-width-relative:page;mso-height-relative:page;" fillcolor="#FFFFFF" filled="t" stroked="t" coordsize="21600,21600" o:gfxdata="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FzEDfcAAAADAEA&#10;AA8AAAAAAAAAAQAgAAAAIgAAAGRycy9kb3ducmV2LnhtbFBLAQIUABQAAAAIAIdO4kAgdGOJTwIA&#10;ALsEAAAOAAAAAAAAAAEAIAAAACsBAABkcnMvZTJvRG9jLnhtbFBLBQYAAAAABgAGAFkBAADsBQAA&#10;AAA=&#10;" adj="-4774,67813">
                <v:fill on="t" focussize="0,0"/>
                <v:stroke weight="0.25pt" color="#FF0000" joinstyle="miter"/>
                <v:imagedata o:title=""/>
                <o:lock v:ext="edit" aspectratio="f"/>
                <v:textbox inset="2.54mm,0mm,2.54mm,0mm">
                  <w:txbxContent>
                    <w:p w14:paraId="2EBBE344">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rFonts w:hint="default" w:ascii="Times New Roman" w:hAnsi="Times New Roman" w:cs="Times New Roman"/>
          <w:color w:val="auto"/>
          <w:highlight w:val="none"/>
          <w:lang w:val="en-US" w:eastAsia="zh-CN"/>
        </w:rPr>
        <w:drawing>
          <wp:anchor distT="0" distB="0" distL="114300" distR="114300" simplePos="0" relativeHeight="251702272" behindDoc="0" locked="0" layoutInCell="1" allowOverlap="1">
            <wp:simplePos x="0" y="0"/>
            <wp:positionH relativeFrom="column">
              <wp:posOffset>-95885</wp:posOffset>
            </wp:positionH>
            <wp:positionV relativeFrom="paragraph">
              <wp:posOffset>202565</wp:posOffset>
            </wp:positionV>
            <wp:extent cx="5723255" cy="8108950"/>
            <wp:effectExtent l="0" t="0" r="10795" b="6350"/>
            <wp:wrapTopAndBottom/>
            <wp:docPr id="360" name="图片 360" descr="关于淄博市国土空间总体规划（2021—2035年）的批复(2)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关于淄博市国土空间总体规划（2021—2035年）的批复(2)_300"/>
                    <pic:cNvPicPr>
                      <a:picLocks noChangeAspect="1"/>
                    </pic:cNvPicPr>
                  </pic:nvPicPr>
                  <pic:blipFill>
                    <a:blip r:embed="rId55"/>
                    <a:stretch>
                      <a:fillRect/>
                    </a:stretch>
                  </pic:blipFill>
                  <pic:spPr>
                    <a:xfrm>
                      <a:off x="0" y="0"/>
                      <a:ext cx="5723255" cy="8108950"/>
                    </a:xfrm>
                    <a:prstGeom prst="rect">
                      <a:avLst/>
                    </a:prstGeom>
                  </pic:spPr>
                </pic:pic>
              </a:graphicData>
            </a:graphic>
          </wp:anchor>
        </w:drawing>
      </w:r>
    </w:p>
    <w:p w14:paraId="7585CA26">
      <w:pPr>
        <w:rPr>
          <w:rFonts w:hint="eastAsia" w:ascii="Times New Roman" w:hAnsi="宋体" w:eastAsia="黑体" w:cs="Times New Roman"/>
          <w:bCs/>
          <w:color w:val="auto"/>
          <w:kern w:val="2"/>
          <w:sz w:val="24"/>
          <w:szCs w:val="22"/>
          <w:highlight w:val="none"/>
          <w:lang w:val="en-US" w:eastAsia="zh-CN" w:bidi="ar-SA"/>
        </w:rPr>
      </w:pPr>
      <w:r>
        <w:rPr>
          <w:rFonts w:hint="default" w:ascii="Times New Roman" w:hAnsi="宋体" w:eastAsia="黑体" w:cs="Times New Roman"/>
          <w:bCs/>
          <w:color w:val="auto"/>
          <w:kern w:val="2"/>
          <w:sz w:val="24"/>
          <w:szCs w:val="22"/>
          <w:highlight w:val="none"/>
          <w:lang w:val="en-US" w:eastAsia="zh-CN" w:bidi="ar-SA"/>
        </w:rPr>
        <mc:AlternateContent>
          <mc:Choice Requires="wps">
            <w:drawing>
              <wp:anchor distT="0" distB="0" distL="114300" distR="114300" simplePos="0" relativeHeight="251664384" behindDoc="0" locked="0" layoutInCell="1" allowOverlap="1">
                <wp:simplePos x="0" y="0"/>
                <wp:positionH relativeFrom="column">
                  <wp:posOffset>3803650</wp:posOffset>
                </wp:positionH>
                <wp:positionV relativeFrom="paragraph">
                  <wp:posOffset>-1647825</wp:posOffset>
                </wp:positionV>
                <wp:extent cx="75565" cy="75565"/>
                <wp:effectExtent l="4445" t="4445" r="15240" b="15240"/>
                <wp:wrapNone/>
                <wp:docPr id="6" name="矩形 6"/>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B05F9">
                            <a:alpha val="23000"/>
                          </a:srgbClr>
                        </a:solidFill>
                        <a:ln w="3175">
                          <a:solidFill>
                            <a:srgbClr val="0B05F9"/>
                          </a:solidFill>
                        </a:ln>
                      </wps:spPr>
                      <wps:txbx>
                        <w:txbxContent>
                          <w:p w14:paraId="4A929328">
                            <w:pPr>
                              <w:jc w:val="center"/>
                            </w:pPr>
                          </w:p>
                        </w:txbxContent>
                      </wps:txbx>
                      <wps:bodyPr upright="1"/>
                    </wps:wsp>
                  </a:graphicData>
                </a:graphic>
              </wp:anchor>
            </w:drawing>
          </mc:Choice>
          <mc:Fallback>
            <w:pict>
              <v:rect id="_x0000_s1026" o:spid="_x0000_s1026" o:spt="1" style="position:absolute;left:0pt;margin-left:299.5pt;margin-top:-129.75pt;height:5.95pt;width:5.95pt;z-index:251664384;mso-width-relative:page;mso-height-relative:page;" fillcolor="#0B05F9" filled="t" stroked="t" coordsize="21600,21600" o:gfxdata="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pbR7L2QAAAA0BAAAPAAAAAAAAAAEAIAAA&#10;ACIAAABkcnMvZG93bnJldi54bWxQSwECFAAUAAAACACHTuJA02sghNIBAAC6AwAADgAAAAAAAAAB&#10;ACAAAAAoAQAAZHJzL2Uyb0RvYy54bWxQSwUGAAAAAAYABgBZAQAAbAUAAAAA&#10;">
                <v:fill on="t" opacity="15073f" focussize="0,0"/>
                <v:stroke weight="0.25pt" color="#0B05F9" joinstyle="round"/>
                <v:imagedata o:title=""/>
                <o:lock v:ext="edit" aspectratio="f"/>
                <v:textbox>
                  <w:txbxContent>
                    <w:p w14:paraId="4A929328">
                      <w:pPr>
                        <w:jc w:val="center"/>
                      </w:pPr>
                    </w:p>
                  </w:txbxContent>
                </v:textbox>
              </v:rect>
            </w:pict>
          </mc:Fallback>
        </mc:AlternateContent>
      </w:r>
      <w:r>
        <w:rPr>
          <w:rFonts w:hint="default" w:ascii="Times New Roman" w:hAnsi="宋体" w:eastAsia="黑体" w:cs="Times New Roman"/>
          <w:bCs/>
          <w:color w:val="auto"/>
          <w:kern w:val="2"/>
          <w:sz w:val="24"/>
          <w:szCs w:val="22"/>
          <w:highlight w:val="none"/>
          <w:lang w:val="en-US" w:eastAsia="zh-CN" w:bidi="ar-SA"/>
        </w:rPr>
        <w:t>附图</w:t>
      </w:r>
      <w:r>
        <w:rPr>
          <w:rFonts w:hint="eastAsia" w:hAnsi="宋体" w:eastAsia="黑体" w:cs="Times New Roman"/>
          <w:bCs/>
          <w:color w:val="auto"/>
          <w:kern w:val="2"/>
          <w:sz w:val="24"/>
          <w:szCs w:val="22"/>
          <w:highlight w:val="none"/>
          <w:lang w:val="en-US" w:eastAsia="zh-CN" w:bidi="ar-SA"/>
        </w:rPr>
        <w:t>9</w:t>
      </w:r>
      <w:r>
        <w:rPr>
          <w:rFonts w:hint="default" w:ascii="Times New Roman" w:hAnsi="宋体" w:eastAsia="黑体" w:cs="Times New Roman"/>
          <w:bCs/>
          <w:color w:val="auto"/>
          <w:kern w:val="2"/>
          <w:sz w:val="24"/>
          <w:szCs w:val="22"/>
          <w:highlight w:val="none"/>
          <w:lang w:val="en-US" w:eastAsia="zh-CN" w:bidi="ar-SA"/>
        </w:rPr>
        <w:t>：</w:t>
      </w:r>
      <w:r>
        <w:rPr>
          <w:rFonts w:hint="eastAsia" w:ascii="Times New Roman" w:hAnsi="宋体" w:eastAsia="黑体" w:cs="Times New Roman"/>
          <w:bCs/>
          <w:color w:val="auto"/>
          <w:kern w:val="2"/>
          <w:sz w:val="24"/>
          <w:szCs w:val="22"/>
          <w:highlight w:val="none"/>
          <w:lang w:val="en-US" w:eastAsia="zh-CN" w:bidi="ar-SA"/>
        </w:rPr>
        <w:t>项目与沂源县国土空间总体规划关系图</w:t>
      </w:r>
    </w:p>
    <w:p w14:paraId="32D7B67F">
      <w:pPr>
        <w:pStyle w:val="52"/>
        <w:ind w:left="0" w:leftChars="0" w:firstLine="0" w:firstLineChars="0"/>
        <w:rPr>
          <w:rFonts w:hint="eastAsia" w:eastAsia="宋体"/>
          <w:color w:val="auto"/>
          <w:lang w:eastAsia="zh-CN"/>
        </w:rPr>
      </w:pPr>
      <w:r>
        <w:rPr>
          <w:rFonts w:hint="default" w:ascii="Times New Roman" w:hAnsi="Times New Roman" w:eastAsia="黑体" w:cs="Times New Roman"/>
          <w:b w:val="0"/>
          <w:bCs/>
          <w:color w:val="auto"/>
          <w:szCs w:val="24"/>
          <w:highlight w:val="none"/>
          <w:lang w:val="en-US" w:eastAsia="zh-CN"/>
        </w:rPr>
        <w:drawing>
          <wp:anchor distT="0" distB="0" distL="114300" distR="114300" simplePos="0" relativeHeight="251688960" behindDoc="1" locked="0" layoutInCell="1" allowOverlap="1">
            <wp:simplePos x="0" y="0"/>
            <wp:positionH relativeFrom="column">
              <wp:posOffset>-20955</wp:posOffset>
            </wp:positionH>
            <wp:positionV relativeFrom="paragraph">
              <wp:posOffset>148590</wp:posOffset>
            </wp:positionV>
            <wp:extent cx="5610860" cy="7934960"/>
            <wp:effectExtent l="0" t="0" r="8890" b="8890"/>
            <wp:wrapNone/>
            <wp:docPr id="32" name="图片 32" descr="沂源县国土空间规划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沂源县国土空间规划_05"/>
                    <pic:cNvPicPr>
                      <a:picLocks noChangeAspect="1"/>
                    </pic:cNvPicPr>
                  </pic:nvPicPr>
                  <pic:blipFill>
                    <a:blip r:embed="rId56"/>
                    <a:stretch>
                      <a:fillRect/>
                    </a:stretch>
                  </pic:blipFill>
                  <pic:spPr>
                    <a:xfrm>
                      <a:off x="0" y="0"/>
                      <a:ext cx="5610860" cy="7934960"/>
                    </a:xfrm>
                    <a:prstGeom prst="rect">
                      <a:avLst/>
                    </a:prstGeom>
                  </pic:spPr>
                </pic:pic>
              </a:graphicData>
            </a:graphic>
          </wp:anchor>
        </w:drawing>
      </w:r>
    </w:p>
    <w:p w14:paraId="137F36FC">
      <w:pPr>
        <w:pStyle w:val="48"/>
        <w:rPr>
          <w:rFonts w:hint="default" w:ascii="Times New Roman" w:hAnsi="Times New Roman" w:eastAsia="黑体" w:cs="Times New Roman"/>
          <w:b w:val="0"/>
          <w:bCs/>
          <w:color w:val="auto"/>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highlight w:val="none"/>
        </w:rPr>
        <mc:AlternateContent>
          <mc:Choice Requires="wps">
            <w:drawing>
              <wp:anchor distT="0" distB="0" distL="114300" distR="114300" simplePos="0" relativeHeight="251689984" behindDoc="0" locked="0" layoutInCell="1" allowOverlap="1">
                <wp:simplePos x="0" y="0"/>
                <wp:positionH relativeFrom="column">
                  <wp:posOffset>4603115</wp:posOffset>
                </wp:positionH>
                <wp:positionV relativeFrom="paragraph">
                  <wp:posOffset>3403600</wp:posOffset>
                </wp:positionV>
                <wp:extent cx="810260" cy="241300"/>
                <wp:effectExtent l="202565" t="4445" r="15875" b="554355"/>
                <wp:wrapNone/>
                <wp:docPr id="34" name="矩形标注 34"/>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2B8F2C87">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362.45pt;margin-top:268pt;height:19pt;width:63.8pt;z-index:251689984;mso-width-relative:page;mso-height-relative:page;" fillcolor="#FFFFFF" filled="t" stroked="t" coordsize="21600,21600" o:gfxdata="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r3M972wAAAAsBAAAP&#10;AAAAAAAAAAEAIAAAACIAAABkcnMvZG93bnJldi54bWxQSwECFAAUAAAACACHTuJAevvAtE4CAAC7&#10;BAAADgAAAAAAAAABACAAAAAqAQAAZHJzL2Uyb0RvYy54bWxQSwUGAAAAAAYABgBZAQAA6gUAAAAA&#10;" adj="-4774,67813">
                <v:fill on="t" focussize="0,0"/>
                <v:stroke weight="0.25pt" color="#FF0000" joinstyle="miter"/>
                <v:imagedata o:title=""/>
                <o:lock v:ext="edit" aspectratio="f"/>
                <v:textbox inset="2.54mm,0mm,2.54mm,0mm">
                  <w:txbxContent>
                    <w:p w14:paraId="2B8F2C87">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color w:val="auto"/>
          <w:highlight w:val="none"/>
        </w:rPr>
        <mc:AlternateContent>
          <mc:Choice Requires="wps">
            <w:drawing>
              <wp:anchor distT="0" distB="0" distL="114300" distR="114300" simplePos="0" relativeHeight="251691008" behindDoc="0" locked="0" layoutInCell="1" allowOverlap="1">
                <wp:simplePos x="0" y="0"/>
                <wp:positionH relativeFrom="column">
                  <wp:posOffset>4360545</wp:posOffset>
                </wp:positionH>
                <wp:positionV relativeFrom="paragraph">
                  <wp:posOffset>4164965</wp:posOffset>
                </wp:positionV>
                <wp:extent cx="75565" cy="75565"/>
                <wp:effectExtent l="4445" t="4445" r="15240" b="15240"/>
                <wp:wrapNone/>
                <wp:docPr id="35" name="矩形 35"/>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78F24DB0">
                            <w:pPr>
                              <w:rPr>
                                <w14:textOutline w14:w="9525">
                                  <w14:solidFill>
                                    <w14:srgbClr w14:val="FF0000"/>
                                  </w14:solidFill>
                                  <w14:round/>
                                </w14:textOutline>
                              </w:rPr>
                            </w:pPr>
                          </w:p>
                        </w:txbxContent>
                      </wps:txbx>
                      <wps:bodyPr upright="1"/>
                    </wps:wsp>
                  </a:graphicData>
                </a:graphic>
              </wp:anchor>
            </w:drawing>
          </mc:Choice>
          <mc:Fallback>
            <w:pict>
              <v:rect id="_x0000_s1026" o:spid="_x0000_s1026" o:spt="1" style="position:absolute;left:0pt;margin-left:343.35pt;margin-top:327.95pt;height:5.95pt;width:5.95pt;z-index:251691008;mso-width-relative:page;mso-height-relative:page;" filled="f" stroked="t" coordsize="21600,21600" o:gfxdata="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tKD0j2wAAAAsBAAAPAAAAAAAAAAEAIAAAACIAAABkcnMvZG93bnJl&#10;di54bWxQSwECFAAUAAAACACHTuJAsiHzw/oBAAD/AwAADgAAAAAAAAABACAAAAAqAQAAZHJzL2Uy&#10;b0RvYy54bWxQSwUGAAAAAAYABgBZAQAAlgUAAAAA&#10;">
                <v:fill on="f" focussize="0,0"/>
                <v:stroke color="#FF0000" joinstyle="miter"/>
                <v:imagedata o:title=""/>
                <o:lock v:ext="edit" aspectratio="f"/>
                <v:textbox>
                  <w:txbxContent>
                    <w:p w14:paraId="78F24DB0">
                      <w:pPr>
                        <w:rPr>
                          <w14:textOutline w14:w="9525">
                            <w14:solidFill>
                              <w14:srgbClr w14:val="FF0000"/>
                            </w14:solidFill>
                            <w14:round/>
                          </w14:textOutline>
                        </w:rPr>
                      </w:pPr>
                    </w:p>
                  </w:txbxContent>
                </v:textbox>
              </v:rect>
            </w:pict>
          </mc:Fallback>
        </mc:AlternateContent>
      </w:r>
    </w:p>
    <w:p w14:paraId="7EDA772B">
      <w:pPr>
        <w:rPr>
          <w:rFonts w:hint="default" w:ascii="Times New Roman" w:hAnsi="Times New Roman" w:cs="Times New Roman"/>
          <w:b/>
          <w:color w:val="auto"/>
          <w:sz w:val="24"/>
          <w:szCs w:val="24"/>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highlight w:val="none"/>
        </w:rPr>
        <mc:AlternateContent>
          <mc:Choice Requires="wps">
            <w:drawing>
              <wp:anchor distT="0" distB="0" distL="114300" distR="114300" simplePos="0" relativeHeight="251693056" behindDoc="0" locked="0" layoutInCell="1" allowOverlap="1">
                <wp:simplePos x="0" y="0"/>
                <wp:positionH relativeFrom="column">
                  <wp:posOffset>4579620</wp:posOffset>
                </wp:positionH>
                <wp:positionV relativeFrom="paragraph">
                  <wp:posOffset>4518025</wp:posOffset>
                </wp:positionV>
                <wp:extent cx="75565" cy="75565"/>
                <wp:effectExtent l="4445" t="4445" r="15240" b="15240"/>
                <wp:wrapNone/>
                <wp:docPr id="38" name="矩形 38"/>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58330FB0">
                            <w:pPr>
                              <w:rPr>
                                <w14:textOutline w14:w="9525">
                                  <w14:solidFill>
                                    <w14:srgbClr w14:val="FF0000"/>
                                  </w14:solidFill>
                                  <w14:round/>
                                </w14:textOutline>
                              </w:rPr>
                            </w:pPr>
                          </w:p>
                        </w:txbxContent>
                      </wps:txbx>
                      <wps:bodyPr upright="1"/>
                    </wps:wsp>
                  </a:graphicData>
                </a:graphic>
              </wp:anchor>
            </w:drawing>
          </mc:Choice>
          <mc:Fallback>
            <w:pict>
              <v:rect id="_x0000_s1026" o:spid="_x0000_s1026" o:spt="1" style="position:absolute;left:0pt;margin-left:360.6pt;margin-top:355.75pt;height:5.95pt;width:5.95pt;z-index:251693056;mso-width-relative:page;mso-height-relative:page;" filled="f" stroked="t" coordsize="21600,21600" o:gfxdata="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MxVDLaAAAACwEAAA8AAAAAAAAAAQAgAAAAIgAAAGRycy9kb3ducmV2&#10;LnhtbFBLAQIUABQAAAAIAIdO4kAXshWT+gEAAP8DAAAOAAAAAAAAAAEAIAAAACkBAABkcnMvZTJv&#10;RG9jLnhtbFBLBQYAAAAABgAGAFkBAACVBQAAAAA=&#10;">
                <v:fill on="f" focussize="0,0"/>
                <v:stroke color="#FF0000" joinstyle="miter"/>
                <v:imagedata o:title=""/>
                <o:lock v:ext="edit" aspectratio="f"/>
                <v:textbox>
                  <w:txbxContent>
                    <w:p w14:paraId="58330FB0">
                      <w:pPr>
                        <w:rPr>
                          <w14:textOutline w14:w="9525">
                            <w14:solidFill>
                              <w14:srgbClr w14:val="FF0000"/>
                            </w14:solidFill>
                            <w14:round/>
                          </w14:textOutline>
                        </w:rPr>
                      </w:pPr>
                    </w:p>
                  </w:txbxContent>
                </v:textbox>
              </v:rect>
            </w:pict>
          </mc:Fallback>
        </mc:AlternateContent>
      </w:r>
      <w:r>
        <w:rPr>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4822190</wp:posOffset>
                </wp:positionH>
                <wp:positionV relativeFrom="paragraph">
                  <wp:posOffset>3756660</wp:posOffset>
                </wp:positionV>
                <wp:extent cx="810260" cy="241300"/>
                <wp:effectExtent l="202565" t="4445" r="15875" b="554355"/>
                <wp:wrapNone/>
                <wp:docPr id="37" name="矩形标注 37"/>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0E6C4BAD">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379.7pt;margin-top:295.8pt;height:19pt;width:63.8pt;z-index:251692032;mso-width-relative:page;mso-height-relative:page;" fillcolor="#FFFFFF" filled="t" stroked="t" coordsize="21600,21600" o:gfxdata="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6KTdN3AAAAAsB&#10;AAAPAAAAAAAAAAEAIAAAACIAAABkcnMvZG93bnJldi54bWxQSwECFAAUAAAACACHTuJAAQOvR1AC&#10;AAC7BAAADgAAAAAAAAABACAAAAArAQAAZHJzL2Uyb0RvYy54bWxQSwUGAAAAAAYABgBZAQAA7QUA&#10;AAAA&#10;" adj="-4774,67813">
                <v:fill on="t" focussize="0,0"/>
                <v:stroke weight="0.25pt" color="#FF0000" joinstyle="miter"/>
                <v:imagedata o:title=""/>
                <o:lock v:ext="edit" aspectratio="f"/>
                <v:textbox inset="2.54mm,0mm,2.54mm,0mm">
                  <w:txbxContent>
                    <w:p w14:paraId="0E6C4BAD">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rFonts w:hint="default" w:ascii="Times New Roman" w:hAnsi="Times New Roman" w:cs="Times New Roman"/>
          <w:b/>
          <w:color w:val="auto"/>
          <w:sz w:val="24"/>
          <w:szCs w:val="24"/>
        </w:rPr>
        <w:drawing>
          <wp:inline distT="0" distB="0" distL="114300" distR="114300">
            <wp:extent cx="5873115" cy="8306435"/>
            <wp:effectExtent l="0" t="0" r="13335" b="18415"/>
            <wp:docPr id="36" name="图片 36" descr="沂源县国土空间规划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沂源县国土空间规划_04"/>
                    <pic:cNvPicPr>
                      <a:picLocks noChangeAspect="1"/>
                    </pic:cNvPicPr>
                  </pic:nvPicPr>
                  <pic:blipFill>
                    <a:blip r:embed="rId57"/>
                    <a:stretch>
                      <a:fillRect/>
                    </a:stretch>
                  </pic:blipFill>
                  <pic:spPr>
                    <a:xfrm>
                      <a:off x="0" y="0"/>
                      <a:ext cx="5873115" cy="8306435"/>
                    </a:xfrm>
                    <a:prstGeom prst="rect">
                      <a:avLst/>
                    </a:prstGeom>
                  </pic:spPr>
                </pic:pic>
              </a:graphicData>
            </a:graphic>
          </wp:inline>
        </w:drawing>
      </w:r>
    </w:p>
    <w:p w14:paraId="58822EBF">
      <w:pPr>
        <w:pStyle w:val="48"/>
        <w:rPr>
          <w:rFonts w:ascii="Times New Roman" w:eastAsia="黑体" w:cs="Times New Roman"/>
          <w:bCs/>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rFonts w:ascii="Times New Roman" w:eastAsia="黑体" w:cs="Times New Roman"/>
          <w:bCs/>
          <w:color w:val="auto"/>
          <w:highlight w:val="none"/>
        </w:rPr>
        <w:drawing>
          <wp:anchor distT="0" distB="0" distL="114300" distR="114300" simplePos="0" relativeHeight="251716608" behindDoc="0" locked="0" layoutInCell="1" allowOverlap="1">
            <wp:simplePos x="0" y="0"/>
            <wp:positionH relativeFrom="column">
              <wp:posOffset>-117475</wp:posOffset>
            </wp:positionH>
            <wp:positionV relativeFrom="paragraph">
              <wp:posOffset>7233920</wp:posOffset>
            </wp:positionV>
            <wp:extent cx="5821045" cy="1329055"/>
            <wp:effectExtent l="0" t="0" r="8255" b="4445"/>
            <wp:wrapTopAndBottom/>
            <wp:docPr id="31" name="图片 31" descr="d7c98f6aa575937c55b92ae1aef79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d7c98f6aa575937c55b92ae1aef79eb"/>
                    <pic:cNvPicPr>
                      <a:picLocks noChangeAspect="1"/>
                    </pic:cNvPicPr>
                  </pic:nvPicPr>
                  <pic:blipFill>
                    <a:blip r:embed="rId58"/>
                    <a:stretch>
                      <a:fillRect/>
                    </a:stretch>
                  </pic:blipFill>
                  <pic:spPr>
                    <a:xfrm>
                      <a:off x="0" y="0"/>
                      <a:ext cx="5821045" cy="1329055"/>
                    </a:xfrm>
                    <a:prstGeom prst="rect">
                      <a:avLst/>
                    </a:prstGeom>
                  </pic:spPr>
                </pic:pic>
              </a:graphicData>
            </a:graphic>
          </wp:anchor>
        </w:drawing>
      </w:r>
      <w:r>
        <w:rPr>
          <w:color w:val="000000"/>
          <w:sz w:val="21"/>
          <w:highlight w:val="none"/>
        </w:rPr>
        <w:drawing>
          <wp:anchor distT="0" distB="0" distL="114300" distR="114300" simplePos="0" relativeHeight="251720704" behindDoc="0" locked="0" layoutInCell="1" allowOverlap="1">
            <wp:simplePos x="0" y="0"/>
            <wp:positionH relativeFrom="column">
              <wp:posOffset>4992370</wp:posOffset>
            </wp:positionH>
            <wp:positionV relativeFrom="paragraph">
              <wp:posOffset>271780</wp:posOffset>
            </wp:positionV>
            <wp:extent cx="709295" cy="661670"/>
            <wp:effectExtent l="0" t="0" r="14605" b="5080"/>
            <wp:wrapNone/>
            <wp:docPr id="76"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719680" behindDoc="0" locked="0" layoutInCell="1" allowOverlap="1">
                <wp:simplePos x="0" y="0"/>
                <wp:positionH relativeFrom="column">
                  <wp:posOffset>3214370</wp:posOffset>
                </wp:positionH>
                <wp:positionV relativeFrom="paragraph">
                  <wp:posOffset>3017520</wp:posOffset>
                </wp:positionV>
                <wp:extent cx="810260" cy="241300"/>
                <wp:effectExtent l="202565" t="4445" r="15875" b="554355"/>
                <wp:wrapNone/>
                <wp:docPr id="70" name="矩形标注 70"/>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609B9403">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253.1pt;margin-top:237.6pt;height:19pt;width:63.8pt;z-index:251719680;mso-width-relative:page;mso-height-relative:page;" fillcolor="#FFFFFF" filled="t" stroked="t" coordsize="21600,21600" o:gfxdata="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0RinU2wAAAAsBAAAP&#10;AAAAAAAAAAEAIAAAACIAAABkcnMvZG93bnJldi54bWxQSwECFAAUAAAACACHTuJAzlDb+04CAAC7&#10;BAAADgAAAAAAAAABACAAAAAqAQAAZHJzL2Uyb0RvYy54bWxQSwUGAAAAAAYABgBZAQAA6gUAAAAA&#10;" adj="-4774,67813">
                <v:fill on="t" focussize="0,0"/>
                <v:stroke weight="0.25pt" color="#FF0000" joinstyle="miter"/>
                <v:imagedata o:title=""/>
                <o:lock v:ext="edit" aspectratio="f"/>
                <v:textbox inset="2.54mm,0mm,2.54mm,0mm">
                  <w:txbxContent>
                    <w:p w14:paraId="609B9403">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2913380</wp:posOffset>
                </wp:positionH>
                <wp:positionV relativeFrom="paragraph">
                  <wp:posOffset>3769995</wp:posOffset>
                </wp:positionV>
                <wp:extent cx="133350" cy="75565"/>
                <wp:effectExtent l="22860" t="38735" r="34290" b="57150"/>
                <wp:wrapNone/>
                <wp:docPr id="63" name="矩形 63"/>
                <wp:cNvGraphicFramePr/>
                <a:graphic xmlns:a="http://schemas.openxmlformats.org/drawingml/2006/main">
                  <a:graphicData uri="http://schemas.microsoft.com/office/word/2010/wordprocessingShape">
                    <wps:wsp>
                      <wps:cNvSpPr/>
                      <wps:spPr>
                        <a:xfrm rot="1620000">
                          <a:off x="3885565" y="4850130"/>
                          <a:ext cx="133350" cy="7556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4pt;margin-top:296.85pt;height:5.95pt;width:10.5pt;rotation:1769472f;z-index:251718656;v-text-anchor:middle;mso-width-relative:page;mso-height-relative:page;" filled="f" stroked="t" coordsize="21600,21600" o:gfxdata="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zct2R9sAAAALAQAADwAAAAAAAAABACAAAAAiAAAAZHJz&#10;L2Rvd25yZXYueG1sUEsBAhQAFAAAAAgAh07iQNRJW8hzAgAAzgQAAA4AAAAAAAAAAQAgAAAAKgEA&#10;AGRycy9lMm9Eb2MueG1sUEsFBgAAAAAGAAYAWQEAAA8GAAAAAA==&#10;">
                <v:fill on="f" focussize="0,0"/>
                <v:stroke weight="2pt" color="#FF0000 [2404]" joinstyle="round"/>
                <v:imagedata o:title=""/>
                <o:lock v:ext="edit" aspectratio="f"/>
              </v:rect>
            </w:pict>
          </mc:Fallback>
        </mc:AlternateContent>
      </w:r>
      <w:r>
        <w:rPr>
          <w:rFonts w:ascii="Times New Roman" w:eastAsia="黑体" w:cs="Times New Roman"/>
          <w:bCs/>
          <w:color w:val="auto"/>
          <w:highlight w:val="none"/>
        </w:rPr>
        <w:drawing>
          <wp:anchor distT="0" distB="0" distL="114300" distR="114300" simplePos="0" relativeHeight="251717632" behindDoc="0" locked="0" layoutInCell="1" allowOverlap="1">
            <wp:simplePos x="0" y="0"/>
            <wp:positionH relativeFrom="column">
              <wp:posOffset>-93980</wp:posOffset>
            </wp:positionH>
            <wp:positionV relativeFrom="paragraph">
              <wp:posOffset>266065</wp:posOffset>
            </wp:positionV>
            <wp:extent cx="5797550" cy="6962775"/>
            <wp:effectExtent l="0" t="0" r="12700" b="9525"/>
            <wp:wrapTopAndBottom/>
            <wp:docPr id="62" name="图片 62" descr="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国土空间规划图"/>
                    <pic:cNvPicPr>
                      <a:picLocks noChangeAspect="1"/>
                    </pic:cNvPicPr>
                  </pic:nvPicPr>
                  <pic:blipFill>
                    <a:blip r:embed="rId59"/>
                    <a:srcRect l="15141" t="37264" r="57123" b="39210"/>
                    <a:stretch>
                      <a:fillRect/>
                    </a:stretch>
                  </pic:blipFill>
                  <pic:spPr>
                    <a:xfrm>
                      <a:off x="0" y="0"/>
                      <a:ext cx="5797550" cy="6962775"/>
                    </a:xfrm>
                    <a:prstGeom prst="rect">
                      <a:avLst/>
                    </a:prstGeom>
                  </pic:spPr>
                </pic:pic>
              </a:graphicData>
            </a:graphic>
          </wp:anchor>
        </w:drawing>
      </w:r>
      <w:r>
        <w:rPr>
          <w:rFonts w:ascii="Times New Roman" w:eastAsia="黑体" w:cs="Times New Roman"/>
          <w:bCs/>
          <w:color w:val="auto"/>
          <w:highlight w:val="none"/>
        </w:rPr>
        <w:t>附图</w:t>
      </w:r>
      <w:r>
        <w:rPr>
          <w:rFonts w:hint="eastAsia" w:ascii="Times New Roman" w:eastAsia="黑体" w:cs="Times New Roman"/>
          <w:bCs/>
          <w:color w:val="auto"/>
          <w:highlight w:val="none"/>
          <w:lang w:val="en-US" w:eastAsia="zh-CN"/>
        </w:rPr>
        <w:t>10</w:t>
      </w:r>
      <w:r>
        <w:rPr>
          <w:rFonts w:ascii="Times New Roman" w:eastAsia="黑体" w:cs="Times New Roman"/>
          <w:bCs/>
          <w:color w:val="auto"/>
          <w:highlight w:val="none"/>
        </w:rPr>
        <w:t>：</w:t>
      </w:r>
      <w:r>
        <w:rPr>
          <w:rFonts w:hint="eastAsia" w:ascii="Times New Roman" w:hAnsi="宋体" w:eastAsia="黑体" w:cs="Times New Roman"/>
          <w:bCs/>
          <w:color w:val="auto"/>
          <w:kern w:val="2"/>
          <w:sz w:val="24"/>
          <w:szCs w:val="22"/>
          <w:highlight w:val="none"/>
          <w:lang w:val="en-US" w:eastAsia="zh-CN" w:bidi="ar-SA"/>
        </w:rPr>
        <w:t>项目</w:t>
      </w:r>
      <w:r>
        <w:rPr>
          <w:rFonts w:hint="eastAsia" w:ascii="Times New Roman" w:eastAsia="黑体" w:cs="Times New Roman"/>
          <w:bCs/>
          <w:color w:val="auto"/>
          <w:kern w:val="2"/>
          <w:sz w:val="24"/>
          <w:szCs w:val="22"/>
          <w:highlight w:val="none"/>
          <w:lang w:val="en-US" w:eastAsia="zh-CN" w:bidi="ar-SA"/>
        </w:rPr>
        <w:t>与</w:t>
      </w:r>
      <w:r>
        <w:rPr>
          <w:rFonts w:hint="eastAsia" w:ascii="Times New Roman" w:eastAsia="黑体" w:cs="Times New Roman"/>
          <w:bCs/>
          <w:color w:val="auto"/>
          <w:highlight w:val="none"/>
          <w:lang w:val="en-US" w:eastAsia="zh-CN"/>
        </w:rPr>
        <w:t>沂源县张家坡镇国土空间规划关系图</w:t>
      </w:r>
    </w:p>
    <w:p w14:paraId="7B49302E">
      <w:pPr>
        <w:pStyle w:val="48"/>
        <w:rPr>
          <w:rFonts w:hint="default" w:ascii="Times New Roman" w:hAnsi="Times New Roman" w:eastAsia="黑体" w:cs="Times New Roman"/>
          <w:b w:val="0"/>
          <w:bCs/>
          <w:color w:val="auto"/>
          <w:szCs w:val="24"/>
          <w:highlight w:val="none"/>
          <w:lang w:eastAsia="zh-CN"/>
        </w:rPr>
      </w:pPr>
      <w:r>
        <w:rPr>
          <w:rFonts w:hint="default" w:ascii="Times New Roman" w:hAnsi="Times New Roman" w:eastAsia="黑体" w:cs="Times New Roman"/>
          <w:b w:val="0"/>
          <w:bCs/>
          <w:color w:val="auto"/>
          <w:szCs w:val="24"/>
          <w:highlight w:val="none"/>
          <w:lang w:eastAsia="zh-CN"/>
        </w:rPr>
        <w:t>附图</w:t>
      </w:r>
      <w:r>
        <w:rPr>
          <w:rFonts w:hint="eastAsia" w:ascii="Times New Roman" w:hAnsi="Times New Roman" w:eastAsia="黑体" w:cs="Times New Roman"/>
          <w:b w:val="0"/>
          <w:bCs/>
          <w:color w:val="auto"/>
          <w:szCs w:val="24"/>
          <w:highlight w:val="none"/>
          <w:lang w:val="en-US" w:eastAsia="zh-CN"/>
        </w:rPr>
        <w:t>11</w:t>
      </w:r>
      <w:r>
        <w:rPr>
          <w:rFonts w:hint="default" w:ascii="Times New Roman" w:hAnsi="Times New Roman" w:eastAsia="黑体" w:cs="Times New Roman"/>
          <w:b w:val="0"/>
          <w:bCs/>
          <w:color w:val="auto"/>
          <w:szCs w:val="24"/>
          <w:highlight w:val="none"/>
          <w:lang w:val="en-US" w:eastAsia="zh-CN"/>
        </w:rPr>
        <w:t>：淄博市环境管控单元图</w:t>
      </w:r>
    </w:p>
    <w:p w14:paraId="21BCA011">
      <w:pPr>
        <w:pStyle w:val="26"/>
        <w:rPr>
          <w:rFonts w:hint="eastAsia"/>
          <w:lang w:val="en-US" w:eastAsia="zh-CN"/>
        </w:rPr>
      </w:pPr>
      <w:r>
        <w:rPr>
          <w:color w:val="000000"/>
          <w:sz w:val="21"/>
          <w:highlight w:val="none"/>
        </w:rPr>
        <w:drawing>
          <wp:anchor distT="0" distB="0" distL="114300" distR="114300" simplePos="0" relativeHeight="251709440" behindDoc="0" locked="0" layoutInCell="1" allowOverlap="1">
            <wp:simplePos x="0" y="0"/>
            <wp:positionH relativeFrom="column">
              <wp:posOffset>4879340</wp:posOffset>
            </wp:positionH>
            <wp:positionV relativeFrom="paragraph">
              <wp:posOffset>74295</wp:posOffset>
            </wp:positionV>
            <wp:extent cx="709295" cy="661670"/>
            <wp:effectExtent l="0" t="0" r="14605" b="5080"/>
            <wp:wrapNone/>
            <wp:docPr id="61" name="图片 2" descr="沂源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descr="沂源县风玫瑰"/>
                    <pic:cNvPicPr>
                      <a:picLocks noChangeAspect="1"/>
                    </pic:cNvPicPr>
                  </pic:nvPicPr>
                  <pic:blipFill>
                    <a:blip r:embed="rId46"/>
                    <a:stretch>
                      <a:fillRect/>
                    </a:stretch>
                  </pic:blipFill>
                  <pic:spPr>
                    <a:xfrm>
                      <a:off x="0" y="0"/>
                      <a:ext cx="709295" cy="661670"/>
                    </a:xfrm>
                    <a:prstGeom prst="rect">
                      <a:avLst/>
                    </a:prstGeom>
                    <a:noFill/>
                    <a:ln>
                      <a:noFill/>
                    </a:ln>
                  </pic:spPr>
                </pic:pic>
              </a:graphicData>
            </a:graphic>
          </wp:anchor>
        </w:drawing>
      </w:r>
      <w:r>
        <w:rPr>
          <w:color w:val="auto"/>
          <w:highlight w:val="none"/>
        </w:rPr>
        <mc:AlternateContent>
          <mc:Choice Requires="wps">
            <w:drawing>
              <wp:anchor distT="0" distB="0" distL="114300" distR="114300" simplePos="0" relativeHeight="251695104" behindDoc="0" locked="0" layoutInCell="1" allowOverlap="1">
                <wp:simplePos x="0" y="0"/>
                <wp:positionH relativeFrom="column">
                  <wp:posOffset>5022215</wp:posOffset>
                </wp:positionH>
                <wp:positionV relativeFrom="paragraph">
                  <wp:posOffset>6159500</wp:posOffset>
                </wp:positionV>
                <wp:extent cx="810260" cy="241300"/>
                <wp:effectExtent l="202565" t="4445" r="15875" b="554355"/>
                <wp:wrapNone/>
                <wp:docPr id="40" name="矩形标注 40"/>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72100"/>
                            <a:gd name="adj2" fmla="val 263947"/>
                          </a:avLst>
                        </a:prstGeom>
                        <a:solidFill>
                          <a:srgbClr val="FFFFFF"/>
                        </a:solidFill>
                        <a:ln w="3175" cap="flat" cmpd="sng">
                          <a:solidFill>
                            <a:srgbClr val="FF0000"/>
                          </a:solidFill>
                          <a:prstDash val="solid"/>
                          <a:miter/>
                          <a:headEnd type="none" w="med" len="med"/>
                          <a:tailEnd type="none" w="med" len="med"/>
                        </a:ln>
                      </wps:spPr>
                      <wps:txbx>
                        <w:txbxContent>
                          <w:p w14:paraId="05C936F1">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wps:txbx>
                      <wps:bodyPr lIns="91440" tIns="0" rIns="91440" bIns="0" upright="1"/>
                    </wps:wsp>
                  </a:graphicData>
                </a:graphic>
              </wp:anchor>
            </w:drawing>
          </mc:Choice>
          <mc:Fallback>
            <w:pict>
              <v:shape id="_x0000_s1026" o:spid="_x0000_s1026" o:spt="61" type="#_x0000_t61" style="position:absolute;left:0pt;margin-left:395.45pt;margin-top:485pt;height:19pt;width:63.8pt;z-index:251695104;mso-width-relative:page;mso-height-relative:page;" fillcolor="#FFFFFF" filled="t" stroked="t" coordsize="21600,21600" o:gfxdata="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D8HZe2wAAAAwBAAAP&#10;AAAAAAAAAAEAIAAAACIAAABkcnMvZG93bnJldi54bWxQSwECFAAUAAAACACHTuJAgpf/PE4CAAC7&#10;BAAADgAAAAAAAAABACAAAAAqAQAAZHJzL2Uyb0RvYy54bWxQSwUGAAAAAAYABgBZAQAA6gUAAAAA&#10;" adj="-4774,67813">
                <v:fill on="t" focussize="0,0"/>
                <v:stroke weight="0.25pt" color="#FF0000" joinstyle="miter"/>
                <v:imagedata o:title=""/>
                <o:lock v:ext="edit" aspectratio="f"/>
                <v:textbox inset="2.54mm,0mm,2.54mm,0mm">
                  <w:txbxContent>
                    <w:p w14:paraId="05C936F1">
                      <w:pPr>
                        <w:spacing w:before="95" w:beforeLines="30" w:line="240" w:lineRule="exact"/>
                        <w:jc w:val="both"/>
                        <w:rPr>
                          <w:rFonts w:hint="eastAsia"/>
                          <w:color w:val="000000"/>
                          <w14:textOutline w14:w="9525">
                            <w14:solidFill>
                              <w14:srgbClr w14:val="FF0000"/>
                            </w14:solidFill>
                            <w14:round/>
                          </w14:textOutline>
                        </w:rPr>
                      </w:pPr>
                      <w:r>
                        <w:rPr>
                          <w:rFonts w:hint="eastAsia"/>
                          <w:color w:val="000000"/>
                          <w14:textOutline w14:w="9525">
                            <w14:solidFill>
                              <w14:srgbClr w14:val="FF0000"/>
                            </w14:solidFill>
                            <w14:round/>
                          </w14:textOutline>
                        </w:rPr>
                        <w:t>项目位置</w:t>
                      </w:r>
                    </w:p>
                  </w:txbxContent>
                </v:textbox>
              </v:shape>
            </w:pict>
          </mc:Fallback>
        </mc:AlternateContent>
      </w:r>
      <w:r>
        <w:rPr>
          <w:color w:val="auto"/>
          <w:highlight w:val="none"/>
        </w:rPr>
        <mc:AlternateContent>
          <mc:Choice Requires="wps">
            <w:drawing>
              <wp:anchor distT="0" distB="0" distL="114300" distR="114300" simplePos="0" relativeHeight="251696128" behindDoc="0" locked="0" layoutInCell="1" allowOverlap="1">
                <wp:simplePos x="0" y="0"/>
                <wp:positionH relativeFrom="column">
                  <wp:posOffset>4779645</wp:posOffset>
                </wp:positionH>
                <wp:positionV relativeFrom="paragraph">
                  <wp:posOffset>6920865</wp:posOffset>
                </wp:positionV>
                <wp:extent cx="75565" cy="75565"/>
                <wp:effectExtent l="4445" t="4445" r="15240" b="15240"/>
                <wp:wrapNone/>
                <wp:docPr id="39" name="矩形 39"/>
                <wp:cNvGraphicFramePr/>
                <a:graphic xmlns:a="http://schemas.openxmlformats.org/drawingml/2006/main">
                  <a:graphicData uri="http://schemas.microsoft.com/office/word/2010/wordprocessingShape">
                    <wps:wsp>
                      <wps:cNvSpPr/>
                      <wps:spPr>
                        <a:xfrm>
                          <a:off x="0" y="0"/>
                          <a:ext cx="75565" cy="75565"/>
                        </a:xfrm>
                        <a:prstGeom prst="rect">
                          <a:avLst/>
                        </a:prstGeom>
                        <a:noFill/>
                        <a:ln w="9525" cap="flat" cmpd="sng">
                          <a:solidFill>
                            <a:srgbClr val="FF0000"/>
                          </a:solidFill>
                          <a:prstDash val="solid"/>
                          <a:miter/>
                          <a:headEnd type="none" w="med" len="med"/>
                          <a:tailEnd type="none" w="med" len="med"/>
                        </a:ln>
                      </wps:spPr>
                      <wps:txbx>
                        <w:txbxContent>
                          <w:p w14:paraId="3350E9E0">
                            <w:pPr>
                              <w:rPr>
                                <w14:textOutline w14:w="9525">
                                  <w14:solidFill>
                                    <w14:srgbClr w14:val="FF0000"/>
                                  </w14:solidFill>
                                  <w14:round/>
                                </w14:textOutline>
                              </w:rPr>
                            </w:pPr>
                          </w:p>
                        </w:txbxContent>
                      </wps:txbx>
                      <wps:bodyPr upright="1"/>
                    </wps:wsp>
                  </a:graphicData>
                </a:graphic>
              </wp:anchor>
            </w:drawing>
          </mc:Choice>
          <mc:Fallback>
            <w:pict>
              <v:rect id="_x0000_s1026" o:spid="_x0000_s1026" o:spt="1" style="position:absolute;left:0pt;margin-left:376.35pt;margin-top:544.95pt;height:5.95pt;width:5.95pt;z-index:251696128;mso-width-relative:page;mso-height-relative:page;" filled="f" stroked="t" coordsize="21600,21600" o:gfxdata="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Bot5twAAAANAQAADwAAAAAAAAABACAAAAAiAAAAZHJzL2Rvd25y&#10;ZXYueG1sUEsBAhQAFAAAAAgAh07iQN6sO576AQAA/wMAAA4AAAAAAAAAAQAgAAAAKwEAAGRycy9l&#10;Mm9Eb2MueG1sUEsFBgAAAAAGAAYAWQEAAJcFAAAAAA==&#10;">
                <v:fill on="f" focussize="0,0"/>
                <v:stroke color="#FF0000" joinstyle="miter"/>
                <v:imagedata o:title=""/>
                <o:lock v:ext="edit" aspectratio="f"/>
                <v:textbox>
                  <w:txbxContent>
                    <w:p w14:paraId="3350E9E0">
                      <w:pPr>
                        <w:rPr>
                          <w14:textOutline w14:w="9525">
                            <w14:solidFill>
                              <w14:srgbClr w14:val="FF0000"/>
                            </w14:solidFill>
                            <w14:round/>
                          </w14:textOutline>
                        </w:rPr>
                      </w:pPr>
                    </w:p>
                  </w:txbxContent>
                </v:textbox>
              </v:rect>
            </w:pict>
          </mc:Fallback>
        </mc:AlternateContent>
      </w:r>
      <w:r>
        <w:rPr>
          <w:rFonts w:hint="default" w:ascii="Times New Roman" w:hAnsi="Times New Roman" w:eastAsia="黑体" w:cs="Times New Roman"/>
          <w:color w:val="auto"/>
          <w:sz w:val="32"/>
          <w:szCs w:val="32"/>
          <w:lang w:eastAsia="zh-CN"/>
        </w:rPr>
        <w:drawing>
          <wp:anchor distT="0" distB="0" distL="114300" distR="114300" simplePos="0" relativeHeight="251694080" behindDoc="1" locked="0" layoutInCell="1" allowOverlap="1">
            <wp:simplePos x="0" y="0"/>
            <wp:positionH relativeFrom="column">
              <wp:posOffset>-57150</wp:posOffset>
            </wp:positionH>
            <wp:positionV relativeFrom="paragraph">
              <wp:posOffset>15875</wp:posOffset>
            </wp:positionV>
            <wp:extent cx="5697220" cy="8251190"/>
            <wp:effectExtent l="0" t="0" r="17780" b="16510"/>
            <wp:wrapNone/>
            <wp:docPr id="68" name="图片 7" descr="微信图片_2023050508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descr="微信图片_20230505084356"/>
                    <pic:cNvPicPr>
                      <a:picLocks noChangeAspect="1"/>
                    </pic:cNvPicPr>
                  </pic:nvPicPr>
                  <pic:blipFill>
                    <a:blip r:embed="rId60"/>
                    <a:srcRect l="3169" t="1354" r="2402" b="2071"/>
                    <a:stretch>
                      <a:fillRect/>
                    </a:stretch>
                  </pic:blipFill>
                  <pic:spPr>
                    <a:xfrm>
                      <a:off x="0" y="0"/>
                      <a:ext cx="5697220" cy="8251190"/>
                    </a:xfrm>
                    <a:prstGeom prst="rect">
                      <a:avLst/>
                    </a:prstGeom>
                    <a:noFill/>
                    <a:ln>
                      <a:noFill/>
                    </a:ln>
                  </pic:spPr>
                </pic:pic>
              </a:graphicData>
            </a:graphic>
          </wp:anchor>
        </w:drawing>
      </w: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Droid Sans">
    <w:altName w:val="微软雅黑"/>
    <w:panose1 w:val="00000000000000000000"/>
    <w:charset w:val="00"/>
    <w:family w:val="auto"/>
    <w:pitch w:val="default"/>
    <w:sig w:usb0="00000000" w:usb1="00000000" w:usb2="00000000" w:usb3="00000000" w:csb0="00040001" w:csb1="00000000"/>
  </w:font>
  <w:font w:name="TimesNewRomanPSMT">
    <w:altName w:val="Times New Roman"/>
    <w:panose1 w:val="00000000000000000000"/>
    <w:charset w:val="00"/>
    <w:family w:val="auto"/>
    <w:pitch w:val="default"/>
    <w:sig w:usb0="00000000" w:usb1="00000000" w:usb2="00000000" w:usb3="00000000" w:csb0="0000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font>
  <w:font w:name="方正小标宋_GBK">
    <w:altName w:val="微软雅黑"/>
    <w:panose1 w:val="02000000000000000000"/>
    <w:charset w:val="86"/>
    <w:family w:val="script"/>
    <w:pitch w:val="default"/>
    <w:sig w:usb0="00000000" w:usb1="00000000" w:usb2="00082016" w:usb3="00000000" w:csb0="00040001" w:csb1="00000000"/>
  </w:font>
  <w:font w:name="华文琥珀">
    <w:panose1 w:val="02010800040101010101"/>
    <w:charset w:val="86"/>
    <w:family w:val="auto"/>
    <w:pitch w:val="default"/>
    <w:sig w:usb0="00000001" w:usb1="080F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281DB0">
    <w:pPr>
      <w:pStyle w:val="17"/>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B8BC07">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1BB8BC07">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C4B4B">
    <w:pPr>
      <w:pStyle w:val="17"/>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506E20">
                          <w:pPr>
                            <w:pStyle w:val="17"/>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65506E20">
                    <w:pPr>
                      <w:pStyle w:val="17"/>
                    </w:pPr>
                    <w:r>
                      <w:fldChar w:fldCharType="begin"/>
                    </w:r>
                    <w:r>
                      <w:instrText xml:space="preserve"> PAGE  \* MERGEFORMAT </w:instrText>
                    </w:r>
                    <w:r>
                      <w:fldChar w:fldCharType="separate"/>
                    </w:r>
                    <w:r>
                      <w:t>41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4D5560"/>
    <w:multiLevelType w:val="singleLevel"/>
    <w:tmpl w:val="914D5560"/>
    <w:lvl w:ilvl="0" w:tentative="0">
      <w:start w:val="2"/>
      <w:numFmt w:val="decimal"/>
      <w:suff w:val="nothing"/>
      <w:lvlText w:val="（%1）"/>
      <w:lvlJc w:val="left"/>
    </w:lvl>
  </w:abstractNum>
  <w:abstractNum w:abstractNumId="1">
    <w:nsid w:val="A63E424D"/>
    <w:multiLevelType w:val="singleLevel"/>
    <w:tmpl w:val="A63E424D"/>
    <w:lvl w:ilvl="0" w:tentative="0">
      <w:start w:val="1"/>
      <w:numFmt w:val="bullet"/>
      <w:pStyle w:val="9"/>
      <w:lvlText w:val=""/>
      <w:lvlJc w:val="left"/>
      <w:pPr>
        <w:tabs>
          <w:tab w:val="left" w:pos="2040"/>
        </w:tabs>
        <w:ind w:left="2040" w:hanging="360"/>
      </w:pPr>
      <w:rPr>
        <w:rFonts w:hint="default" w:ascii="Wingdings" w:hAnsi="Wingdings"/>
      </w:rPr>
    </w:lvl>
  </w:abstractNum>
  <w:abstractNum w:abstractNumId="2">
    <w:nsid w:val="D0D3AE03"/>
    <w:multiLevelType w:val="singleLevel"/>
    <w:tmpl w:val="D0D3AE03"/>
    <w:lvl w:ilvl="0" w:tentative="0">
      <w:start w:val="7"/>
      <w:numFmt w:val="chineseCounting"/>
      <w:suff w:val="nothing"/>
      <w:lvlText w:val="%1、"/>
      <w:lvlJc w:val="left"/>
      <w:rPr>
        <w:rFonts w:hint="eastAsia"/>
      </w:rPr>
    </w:lvl>
  </w:abstractNum>
  <w:abstractNum w:abstractNumId="3">
    <w:nsid w:val="E4B90309"/>
    <w:multiLevelType w:val="singleLevel"/>
    <w:tmpl w:val="E4B90309"/>
    <w:lvl w:ilvl="0" w:tentative="0">
      <w:start w:val="5"/>
      <w:numFmt w:val="chineseCounting"/>
      <w:suff w:val="nothing"/>
      <w:lvlText w:val="%1、"/>
      <w:lvlJc w:val="left"/>
      <w:rPr>
        <w:rFonts w:hint="eastAsia"/>
      </w:rPr>
    </w:lvl>
  </w:abstractNum>
  <w:abstractNum w:abstractNumId="4">
    <w:nsid w:val="E9E41925"/>
    <w:multiLevelType w:val="singleLevel"/>
    <w:tmpl w:val="E9E41925"/>
    <w:lvl w:ilvl="0" w:tentative="0">
      <w:start w:val="1"/>
      <w:numFmt w:val="decimal"/>
      <w:suff w:val="nothing"/>
      <w:lvlText w:val="（%1）"/>
      <w:lvlJc w:val="left"/>
    </w:lvl>
  </w:abstractNum>
  <w:abstractNum w:abstractNumId="5">
    <w:nsid w:val="F02CBEC5"/>
    <w:multiLevelType w:val="singleLevel"/>
    <w:tmpl w:val="F02CBEC5"/>
    <w:lvl w:ilvl="0" w:tentative="0">
      <w:start w:val="1"/>
      <w:numFmt w:val="decimal"/>
      <w:suff w:val="nothing"/>
      <w:lvlText w:val="%1、"/>
      <w:lvlJc w:val="left"/>
    </w:lvl>
  </w:abstractNum>
  <w:abstractNum w:abstractNumId="6">
    <w:nsid w:val="12705161"/>
    <w:multiLevelType w:val="singleLevel"/>
    <w:tmpl w:val="12705161"/>
    <w:lvl w:ilvl="0" w:tentative="0">
      <w:start w:val="2"/>
      <w:numFmt w:val="chineseCounting"/>
      <w:suff w:val="nothing"/>
      <w:lvlText w:val="%1、"/>
      <w:lvlJc w:val="left"/>
      <w:rPr>
        <w:rFonts w:hint="eastAsia"/>
      </w:rPr>
    </w:lvl>
  </w:abstractNum>
  <w:abstractNum w:abstractNumId="7">
    <w:nsid w:val="181D3701"/>
    <w:multiLevelType w:val="singleLevel"/>
    <w:tmpl w:val="181D3701"/>
    <w:lvl w:ilvl="0" w:tentative="0">
      <w:start w:val="1"/>
      <w:numFmt w:val="decimal"/>
      <w:suff w:val="nothing"/>
      <w:lvlText w:val="%1）"/>
      <w:lvlJc w:val="left"/>
    </w:lvl>
  </w:abstractNum>
  <w:abstractNum w:abstractNumId="8">
    <w:nsid w:val="37598AD2"/>
    <w:multiLevelType w:val="singleLevel"/>
    <w:tmpl w:val="37598AD2"/>
    <w:lvl w:ilvl="0" w:tentative="0">
      <w:start w:val="1"/>
      <w:numFmt w:val="decimal"/>
      <w:suff w:val="nothing"/>
      <w:lvlText w:val="%1、"/>
      <w:lvlJc w:val="left"/>
    </w:lvl>
  </w:abstractNum>
  <w:abstractNum w:abstractNumId="9">
    <w:nsid w:val="68FD7A49"/>
    <w:multiLevelType w:val="singleLevel"/>
    <w:tmpl w:val="68FD7A49"/>
    <w:lvl w:ilvl="0" w:tentative="0">
      <w:start w:val="1"/>
      <w:numFmt w:val="decimal"/>
      <w:suff w:val="nothing"/>
      <w:lvlText w:val="（%1）"/>
      <w:lvlJc w:val="left"/>
    </w:lvl>
  </w:abstractNum>
  <w:num w:numId="1">
    <w:abstractNumId w:val="1"/>
  </w:num>
  <w:num w:numId="2">
    <w:abstractNumId w:val="5"/>
  </w:num>
  <w:num w:numId="3">
    <w:abstractNumId w:val="9"/>
  </w:num>
  <w:num w:numId="4">
    <w:abstractNumId w:val="6"/>
  </w:num>
  <w:num w:numId="5">
    <w:abstractNumId w:val="0"/>
  </w:num>
  <w:num w:numId="6">
    <w:abstractNumId w:val="4"/>
  </w:num>
  <w:num w:numId="7">
    <w:abstractNumId w:val="7"/>
  </w:num>
  <w:num w:numId="8">
    <w:abstractNumId w:val="2"/>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Y3NTFkZGRkZWM4ODg0OTdlMGZlNjk5YTcwNmZkMDQifQ=="/>
    <w:docVar w:name="KSO_WPS_MARK_KEY" w:val="3de3a8d4-ca84-4580-bda6-ac174b6421f9"/>
  </w:docVars>
  <w:rsids>
    <w:rsidRoot w:val="00172A27"/>
    <w:rsid w:val="000A75A5"/>
    <w:rsid w:val="00164C26"/>
    <w:rsid w:val="001E462F"/>
    <w:rsid w:val="004A36D0"/>
    <w:rsid w:val="005574FC"/>
    <w:rsid w:val="00593FEB"/>
    <w:rsid w:val="005A2D64"/>
    <w:rsid w:val="00870E21"/>
    <w:rsid w:val="008D05F8"/>
    <w:rsid w:val="00905D54"/>
    <w:rsid w:val="00920750"/>
    <w:rsid w:val="009F4C1B"/>
    <w:rsid w:val="00A3295D"/>
    <w:rsid w:val="00A83175"/>
    <w:rsid w:val="00AE2AF6"/>
    <w:rsid w:val="00C515D3"/>
    <w:rsid w:val="00CE394C"/>
    <w:rsid w:val="00D01278"/>
    <w:rsid w:val="00E7597B"/>
    <w:rsid w:val="00F9432B"/>
    <w:rsid w:val="010158D6"/>
    <w:rsid w:val="01066A48"/>
    <w:rsid w:val="012810B4"/>
    <w:rsid w:val="012D66CB"/>
    <w:rsid w:val="01695955"/>
    <w:rsid w:val="0177420C"/>
    <w:rsid w:val="0183453D"/>
    <w:rsid w:val="018856AF"/>
    <w:rsid w:val="019845BA"/>
    <w:rsid w:val="01AA53FC"/>
    <w:rsid w:val="01BD35AB"/>
    <w:rsid w:val="01C04699"/>
    <w:rsid w:val="01D34B7C"/>
    <w:rsid w:val="01D6466C"/>
    <w:rsid w:val="01E90844"/>
    <w:rsid w:val="01EC3529"/>
    <w:rsid w:val="01F13CA4"/>
    <w:rsid w:val="02054F52"/>
    <w:rsid w:val="02191462"/>
    <w:rsid w:val="02366B46"/>
    <w:rsid w:val="02453DBC"/>
    <w:rsid w:val="02491FE9"/>
    <w:rsid w:val="024B41DB"/>
    <w:rsid w:val="024F26F7"/>
    <w:rsid w:val="025F0B06"/>
    <w:rsid w:val="02680D36"/>
    <w:rsid w:val="026E7C75"/>
    <w:rsid w:val="028C4BB1"/>
    <w:rsid w:val="028F4C5C"/>
    <w:rsid w:val="029A38EC"/>
    <w:rsid w:val="02B53794"/>
    <w:rsid w:val="02B811DD"/>
    <w:rsid w:val="02FC2505"/>
    <w:rsid w:val="03193B80"/>
    <w:rsid w:val="03255B77"/>
    <w:rsid w:val="03316F0C"/>
    <w:rsid w:val="03457CFC"/>
    <w:rsid w:val="034C108A"/>
    <w:rsid w:val="034F2928"/>
    <w:rsid w:val="03506B02"/>
    <w:rsid w:val="03593570"/>
    <w:rsid w:val="03652B66"/>
    <w:rsid w:val="03661C22"/>
    <w:rsid w:val="0369362E"/>
    <w:rsid w:val="037403C6"/>
    <w:rsid w:val="037737F4"/>
    <w:rsid w:val="038650C3"/>
    <w:rsid w:val="038E5033"/>
    <w:rsid w:val="0394449C"/>
    <w:rsid w:val="03A75E2F"/>
    <w:rsid w:val="03AF3D24"/>
    <w:rsid w:val="03DA5143"/>
    <w:rsid w:val="03FB485E"/>
    <w:rsid w:val="04034FEC"/>
    <w:rsid w:val="040556DD"/>
    <w:rsid w:val="041516E7"/>
    <w:rsid w:val="0419073C"/>
    <w:rsid w:val="0431202E"/>
    <w:rsid w:val="04400D47"/>
    <w:rsid w:val="046F3C5D"/>
    <w:rsid w:val="047B1138"/>
    <w:rsid w:val="049F566F"/>
    <w:rsid w:val="04A356BF"/>
    <w:rsid w:val="04CD7FA9"/>
    <w:rsid w:val="04DB04F1"/>
    <w:rsid w:val="04DC4690"/>
    <w:rsid w:val="04E06299"/>
    <w:rsid w:val="04FF10E4"/>
    <w:rsid w:val="0508631A"/>
    <w:rsid w:val="05183DF9"/>
    <w:rsid w:val="051D3146"/>
    <w:rsid w:val="05224B3C"/>
    <w:rsid w:val="053022E6"/>
    <w:rsid w:val="053242B0"/>
    <w:rsid w:val="053C0C8A"/>
    <w:rsid w:val="05413A14"/>
    <w:rsid w:val="05453FE3"/>
    <w:rsid w:val="055F5C72"/>
    <w:rsid w:val="056A0FA1"/>
    <w:rsid w:val="056C5A14"/>
    <w:rsid w:val="058F55C8"/>
    <w:rsid w:val="05A43768"/>
    <w:rsid w:val="05AD1B88"/>
    <w:rsid w:val="05E54A6A"/>
    <w:rsid w:val="05EA6938"/>
    <w:rsid w:val="05F72E03"/>
    <w:rsid w:val="05FE23E4"/>
    <w:rsid w:val="06081424"/>
    <w:rsid w:val="06171F43"/>
    <w:rsid w:val="061F22C7"/>
    <w:rsid w:val="062478DB"/>
    <w:rsid w:val="0630169D"/>
    <w:rsid w:val="06475B39"/>
    <w:rsid w:val="06634EA9"/>
    <w:rsid w:val="06716FC0"/>
    <w:rsid w:val="06757B8D"/>
    <w:rsid w:val="0680104B"/>
    <w:rsid w:val="06A0572A"/>
    <w:rsid w:val="06C90C44"/>
    <w:rsid w:val="06D53A65"/>
    <w:rsid w:val="06DE6B79"/>
    <w:rsid w:val="06DF195F"/>
    <w:rsid w:val="06E710CA"/>
    <w:rsid w:val="06F07F7E"/>
    <w:rsid w:val="072B00F8"/>
    <w:rsid w:val="073D5351"/>
    <w:rsid w:val="07413EDA"/>
    <w:rsid w:val="075710B9"/>
    <w:rsid w:val="07A6699F"/>
    <w:rsid w:val="07DD49A7"/>
    <w:rsid w:val="08071A24"/>
    <w:rsid w:val="080C3C2C"/>
    <w:rsid w:val="08141AFD"/>
    <w:rsid w:val="086B7EC5"/>
    <w:rsid w:val="08821B3A"/>
    <w:rsid w:val="08906A30"/>
    <w:rsid w:val="08963F22"/>
    <w:rsid w:val="08A925C3"/>
    <w:rsid w:val="08B15429"/>
    <w:rsid w:val="08B6258D"/>
    <w:rsid w:val="08B66F9A"/>
    <w:rsid w:val="08BB280E"/>
    <w:rsid w:val="08C6368D"/>
    <w:rsid w:val="08C87A30"/>
    <w:rsid w:val="08E83D84"/>
    <w:rsid w:val="08ED0C46"/>
    <w:rsid w:val="08F16230"/>
    <w:rsid w:val="090B72F2"/>
    <w:rsid w:val="092B34F0"/>
    <w:rsid w:val="092C7268"/>
    <w:rsid w:val="093305F6"/>
    <w:rsid w:val="093E1EC7"/>
    <w:rsid w:val="09465D51"/>
    <w:rsid w:val="095D38E2"/>
    <w:rsid w:val="09762A4E"/>
    <w:rsid w:val="0979198D"/>
    <w:rsid w:val="097924AD"/>
    <w:rsid w:val="098743F5"/>
    <w:rsid w:val="098E155E"/>
    <w:rsid w:val="09D0027E"/>
    <w:rsid w:val="09D077AE"/>
    <w:rsid w:val="09D14EDF"/>
    <w:rsid w:val="09DF2368"/>
    <w:rsid w:val="0A053D41"/>
    <w:rsid w:val="0A096C1A"/>
    <w:rsid w:val="0A1E73F4"/>
    <w:rsid w:val="0A25798B"/>
    <w:rsid w:val="0A2F4FF9"/>
    <w:rsid w:val="0A4D7496"/>
    <w:rsid w:val="0A530F50"/>
    <w:rsid w:val="0A5C036F"/>
    <w:rsid w:val="0A5C592B"/>
    <w:rsid w:val="0A6837FE"/>
    <w:rsid w:val="0A781198"/>
    <w:rsid w:val="0A922A21"/>
    <w:rsid w:val="0A980B2F"/>
    <w:rsid w:val="0A9F0D31"/>
    <w:rsid w:val="0AA57020"/>
    <w:rsid w:val="0AA95014"/>
    <w:rsid w:val="0ABE62F3"/>
    <w:rsid w:val="0AC86679"/>
    <w:rsid w:val="0ADD4CBE"/>
    <w:rsid w:val="0AE0655C"/>
    <w:rsid w:val="0B023778"/>
    <w:rsid w:val="0B073AE9"/>
    <w:rsid w:val="0B0B5703"/>
    <w:rsid w:val="0B177B08"/>
    <w:rsid w:val="0B205939"/>
    <w:rsid w:val="0B2D20F7"/>
    <w:rsid w:val="0B353F77"/>
    <w:rsid w:val="0B3568A8"/>
    <w:rsid w:val="0B3A5C6C"/>
    <w:rsid w:val="0B3C7C36"/>
    <w:rsid w:val="0B824123"/>
    <w:rsid w:val="0B9335CE"/>
    <w:rsid w:val="0B9E734F"/>
    <w:rsid w:val="0BA3477E"/>
    <w:rsid w:val="0BA63302"/>
    <w:rsid w:val="0BB01E85"/>
    <w:rsid w:val="0BB060BF"/>
    <w:rsid w:val="0BB64255"/>
    <w:rsid w:val="0BC01797"/>
    <w:rsid w:val="0BD14D7A"/>
    <w:rsid w:val="0BDB08FB"/>
    <w:rsid w:val="0BE0355E"/>
    <w:rsid w:val="0BE04A65"/>
    <w:rsid w:val="0BF812D0"/>
    <w:rsid w:val="0C027B34"/>
    <w:rsid w:val="0C3152C1"/>
    <w:rsid w:val="0C3E178C"/>
    <w:rsid w:val="0C434FF4"/>
    <w:rsid w:val="0C450443"/>
    <w:rsid w:val="0C4C3EA9"/>
    <w:rsid w:val="0C4F3999"/>
    <w:rsid w:val="0C540FAF"/>
    <w:rsid w:val="0C582584"/>
    <w:rsid w:val="0C675D17"/>
    <w:rsid w:val="0C831ABC"/>
    <w:rsid w:val="0C8D09A4"/>
    <w:rsid w:val="0C9117DB"/>
    <w:rsid w:val="0C9870EE"/>
    <w:rsid w:val="0C9D329D"/>
    <w:rsid w:val="0CB55DCB"/>
    <w:rsid w:val="0CB646B8"/>
    <w:rsid w:val="0CB70393"/>
    <w:rsid w:val="0CD43E9E"/>
    <w:rsid w:val="0CF30333"/>
    <w:rsid w:val="0CFC04CD"/>
    <w:rsid w:val="0D0A78C0"/>
    <w:rsid w:val="0D1A7326"/>
    <w:rsid w:val="0D1D5845"/>
    <w:rsid w:val="0D24765F"/>
    <w:rsid w:val="0D273B2F"/>
    <w:rsid w:val="0D512A6F"/>
    <w:rsid w:val="0D5B2844"/>
    <w:rsid w:val="0D827951"/>
    <w:rsid w:val="0D841421"/>
    <w:rsid w:val="0D8C6C01"/>
    <w:rsid w:val="0D9D1FC6"/>
    <w:rsid w:val="0DAB2F97"/>
    <w:rsid w:val="0DAF6B00"/>
    <w:rsid w:val="0DC83A03"/>
    <w:rsid w:val="0DCC2041"/>
    <w:rsid w:val="0DD423A8"/>
    <w:rsid w:val="0DD553E9"/>
    <w:rsid w:val="0DD9031D"/>
    <w:rsid w:val="0DE42C25"/>
    <w:rsid w:val="0DEE5FF2"/>
    <w:rsid w:val="0DF15FB5"/>
    <w:rsid w:val="0E042561"/>
    <w:rsid w:val="0E0D5554"/>
    <w:rsid w:val="0E1E3623"/>
    <w:rsid w:val="0E2B5D40"/>
    <w:rsid w:val="0E2C38BC"/>
    <w:rsid w:val="0E3C1B7A"/>
    <w:rsid w:val="0E4A266A"/>
    <w:rsid w:val="0E4B6E3E"/>
    <w:rsid w:val="0E6A2D0C"/>
    <w:rsid w:val="0E6A4F94"/>
    <w:rsid w:val="0E924E24"/>
    <w:rsid w:val="0EAB697C"/>
    <w:rsid w:val="0EB375DA"/>
    <w:rsid w:val="0EB6385C"/>
    <w:rsid w:val="0EB82A3F"/>
    <w:rsid w:val="0EC8358F"/>
    <w:rsid w:val="0EE43286"/>
    <w:rsid w:val="0EE775CF"/>
    <w:rsid w:val="0EF425D6"/>
    <w:rsid w:val="0F0912CB"/>
    <w:rsid w:val="0F0C5B71"/>
    <w:rsid w:val="0F0E2350"/>
    <w:rsid w:val="0F152A00"/>
    <w:rsid w:val="0F19203C"/>
    <w:rsid w:val="0F2721A6"/>
    <w:rsid w:val="0F3E2DA6"/>
    <w:rsid w:val="0F413494"/>
    <w:rsid w:val="0F5433BB"/>
    <w:rsid w:val="0F5E3520"/>
    <w:rsid w:val="0F622BA6"/>
    <w:rsid w:val="0F757FCC"/>
    <w:rsid w:val="0F8007FA"/>
    <w:rsid w:val="0F8D4569"/>
    <w:rsid w:val="0F9F3B9F"/>
    <w:rsid w:val="0FA316B2"/>
    <w:rsid w:val="0FB222C7"/>
    <w:rsid w:val="0FB523D9"/>
    <w:rsid w:val="0FB962EC"/>
    <w:rsid w:val="0FBF67D8"/>
    <w:rsid w:val="0FE64614"/>
    <w:rsid w:val="100131FC"/>
    <w:rsid w:val="100178F4"/>
    <w:rsid w:val="100625C1"/>
    <w:rsid w:val="10064E25"/>
    <w:rsid w:val="101A75F2"/>
    <w:rsid w:val="101C1DE4"/>
    <w:rsid w:val="10240C99"/>
    <w:rsid w:val="102A4475"/>
    <w:rsid w:val="102B0D73"/>
    <w:rsid w:val="102E51F0"/>
    <w:rsid w:val="102F6A21"/>
    <w:rsid w:val="104336A6"/>
    <w:rsid w:val="10482DAC"/>
    <w:rsid w:val="10612CA0"/>
    <w:rsid w:val="107F2C6C"/>
    <w:rsid w:val="10853B45"/>
    <w:rsid w:val="10861954"/>
    <w:rsid w:val="109027DC"/>
    <w:rsid w:val="109776BD"/>
    <w:rsid w:val="109D776B"/>
    <w:rsid w:val="10A1455D"/>
    <w:rsid w:val="10A74D0F"/>
    <w:rsid w:val="10AD2792"/>
    <w:rsid w:val="10B508EB"/>
    <w:rsid w:val="10C20BDE"/>
    <w:rsid w:val="10D21199"/>
    <w:rsid w:val="10E06B2B"/>
    <w:rsid w:val="110B729A"/>
    <w:rsid w:val="111C27B9"/>
    <w:rsid w:val="112032EE"/>
    <w:rsid w:val="112147AF"/>
    <w:rsid w:val="112A6783"/>
    <w:rsid w:val="113B43A3"/>
    <w:rsid w:val="11431B65"/>
    <w:rsid w:val="115455AE"/>
    <w:rsid w:val="11572138"/>
    <w:rsid w:val="11677BA5"/>
    <w:rsid w:val="118539B9"/>
    <w:rsid w:val="1189012F"/>
    <w:rsid w:val="118B7389"/>
    <w:rsid w:val="11950EB8"/>
    <w:rsid w:val="119E427B"/>
    <w:rsid w:val="11A97DB5"/>
    <w:rsid w:val="11B76268"/>
    <w:rsid w:val="11D02E86"/>
    <w:rsid w:val="11D6529E"/>
    <w:rsid w:val="11D86190"/>
    <w:rsid w:val="11DB0DF9"/>
    <w:rsid w:val="11F84060"/>
    <w:rsid w:val="11FD01D6"/>
    <w:rsid w:val="12042B30"/>
    <w:rsid w:val="121216F1"/>
    <w:rsid w:val="121B58F5"/>
    <w:rsid w:val="12240ED7"/>
    <w:rsid w:val="126F6B43"/>
    <w:rsid w:val="1272000B"/>
    <w:rsid w:val="12767ED2"/>
    <w:rsid w:val="127A1044"/>
    <w:rsid w:val="127F11F9"/>
    <w:rsid w:val="1287401A"/>
    <w:rsid w:val="12883761"/>
    <w:rsid w:val="129E11D6"/>
    <w:rsid w:val="12B26A30"/>
    <w:rsid w:val="12B34560"/>
    <w:rsid w:val="12BD0B8B"/>
    <w:rsid w:val="12C50FFA"/>
    <w:rsid w:val="12CC7AF2"/>
    <w:rsid w:val="12D21321"/>
    <w:rsid w:val="12D40754"/>
    <w:rsid w:val="12DE30C1"/>
    <w:rsid w:val="12F13FA9"/>
    <w:rsid w:val="12F7169D"/>
    <w:rsid w:val="12FA460B"/>
    <w:rsid w:val="1304176A"/>
    <w:rsid w:val="1332191F"/>
    <w:rsid w:val="13394A5B"/>
    <w:rsid w:val="135F14C8"/>
    <w:rsid w:val="136C7CAE"/>
    <w:rsid w:val="13733860"/>
    <w:rsid w:val="13946135"/>
    <w:rsid w:val="139620D2"/>
    <w:rsid w:val="13A51B3A"/>
    <w:rsid w:val="13AB64D7"/>
    <w:rsid w:val="13AD4E86"/>
    <w:rsid w:val="13B410F4"/>
    <w:rsid w:val="13B77B7B"/>
    <w:rsid w:val="13D053C0"/>
    <w:rsid w:val="13F412FC"/>
    <w:rsid w:val="140275A9"/>
    <w:rsid w:val="14053FEA"/>
    <w:rsid w:val="14175F84"/>
    <w:rsid w:val="141B4919"/>
    <w:rsid w:val="14270A27"/>
    <w:rsid w:val="142C526D"/>
    <w:rsid w:val="14393BA0"/>
    <w:rsid w:val="14575AE1"/>
    <w:rsid w:val="14586D63"/>
    <w:rsid w:val="14706BA3"/>
    <w:rsid w:val="14860174"/>
    <w:rsid w:val="148E7407"/>
    <w:rsid w:val="149B68AA"/>
    <w:rsid w:val="14B20F69"/>
    <w:rsid w:val="14C62EB6"/>
    <w:rsid w:val="14D67C83"/>
    <w:rsid w:val="14DA2085"/>
    <w:rsid w:val="14E225E7"/>
    <w:rsid w:val="14FE50FD"/>
    <w:rsid w:val="15052550"/>
    <w:rsid w:val="150C1A01"/>
    <w:rsid w:val="15104004"/>
    <w:rsid w:val="15232C77"/>
    <w:rsid w:val="152754B3"/>
    <w:rsid w:val="15367969"/>
    <w:rsid w:val="155E0514"/>
    <w:rsid w:val="156009C5"/>
    <w:rsid w:val="15674EC2"/>
    <w:rsid w:val="156934D5"/>
    <w:rsid w:val="158C052A"/>
    <w:rsid w:val="15910B7E"/>
    <w:rsid w:val="159C0DBF"/>
    <w:rsid w:val="159C337B"/>
    <w:rsid w:val="15AB77B5"/>
    <w:rsid w:val="15C04889"/>
    <w:rsid w:val="15CC5D0D"/>
    <w:rsid w:val="15D05C52"/>
    <w:rsid w:val="15DF06D3"/>
    <w:rsid w:val="15EC2259"/>
    <w:rsid w:val="16013F82"/>
    <w:rsid w:val="161377E5"/>
    <w:rsid w:val="1633267B"/>
    <w:rsid w:val="164E644B"/>
    <w:rsid w:val="166E2C6E"/>
    <w:rsid w:val="167E55A7"/>
    <w:rsid w:val="168129A1"/>
    <w:rsid w:val="1699418F"/>
    <w:rsid w:val="169A3A63"/>
    <w:rsid w:val="169B59A0"/>
    <w:rsid w:val="169C2839"/>
    <w:rsid w:val="16AE1955"/>
    <w:rsid w:val="16BF171B"/>
    <w:rsid w:val="16BF3325"/>
    <w:rsid w:val="16D74A36"/>
    <w:rsid w:val="16ED5F53"/>
    <w:rsid w:val="16EE010E"/>
    <w:rsid w:val="16F969DB"/>
    <w:rsid w:val="16FC296F"/>
    <w:rsid w:val="171750B3"/>
    <w:rsid w:val="17263548"/>
    <w:rsid w:val="17264D07"/>
    <w:rsid w:val="178E3C7C"/>
    <w:rsid w:val="178F452C"/>
    <w:rsid w:val="1790617D"/>
    <w:rsid w:val="179C211A"/>
    <w:rsid w:val="179F6F82"/>
    <w:rsid w:val="17A87140"/>
    <w:rsid w:val="17AF1652"/>
    <w:rsid w:val="17D35FE2"/>
    <w:rsid w:val="17DF272E"/>
    <w:rsid w:val="17F93891"/>
    <w:rsid w:val="18024905"/>
    <w:rsid w:val="18026F91"/>
    <w:rsid w:val="181660CA"/>
    <w:rsid w:val="185365BF"/>
    <w:rsid w:val="186207A6"/>
    <w:rsid w:val="187B10AA"/>
    <w:rsid w:val="188B762C"/>
    <w:rsid w:val="18AE1A47"/>
    <w:rsid w:val="18B17ACE"/>
    <w:rsid w:val="18DD6658"/>
    <w:rsid w:val="190F0738"/>
    <w:rsid w:val="19135519"/>
    <w:rsid w:val="1915008D"/>
    <w:rsid w:val="19166D7C"/>
    <w:rsid w:val="191E6BCD"/>
    <w:rsid w:val="192D6E10"/>
    <w:rsid w:val="19643C34"/>
    <w:rsid w:val="196A74EF"/>
    <w:rsid w:val="19766D45"/>
    <w:rsid w:val="19934E2C"/>
    <w:rsid w:val="19B117EF"/>
    <w:rsid w:val="19BC0309"/>
    <w:rsid w:val="19DD25E4"/>
    <w:rsid w:val="19E716B5"/>
    <w:rsid w:val="19FB6F0E"/>
    <w:rsid w:val="19FC7BF3"/>
    <w:rsid w:val="1A0758B3"/>
    <w:rsid w:val="1A347B93"/>
    <w:rsid w:val="1A3A6B5E"/>
    <w:rsid w:val="1A4A40AC"/>
    <w:rsid w:val="1A4E703E"/>
    <w:rsid w:val="1A4F1263"/>
    <w:rsid w:val="1A59736E"/>
    <w:rsid w:val="1A605572"/>
    <w:rsid w:val="1A6C4519"/>
    <w:rsid w:val="1A6F3F04"/>
    <w:rsid w:val="1A752234"/>
    <w:rsid w:val="1A7846A7"/>
    <w:rsid w:val="1A8430F6"/>
    <w:rsid w:val="1AA8638B"/>
    <w:rsid w:val="1ABF0A78"/>
    <w:rsid w:val="1AE448A6"/>
    <w:rsid w:val="1B0606B8"/>
    <w:rsid w:val="1B324BB2"/>
    <w:rsid w:val="1B340E37"/>
    <w:rsid w:val="1B3A3A66"/>
    <w:rsid w:val="1B425D25"/>
    <w:rsid w:val="1B4C22E0"/>
    <w:rsid w:val="1B4F7512"/>
    <w:rsid w:val="1B567A9A"/>
    <w:rsid w:val="1B5B7B27"/>
    <w:rsid w:val="1B6527F0"/>
    <w:rsid w:val="1B666609"/>
    <w:rsid w:val="1B8171DB"/>
    <w:rsid w:val="1B895D6F"/>
    <w:rsid w:val="1B907D14"/>
    <w:rsid w:val="1B9211AC"/>
    <w:rsid w:val="1BA15893"/>
    <w:rsid w:val="1BA3785E"/>
    <w:rsid w:val="1BA5102E"/>
    <w:rsid w:val="1BA57320"/>
    <w:rsid w:val="1BB17548"/>
    <w:rsid w:val="1BBD665B"/>
    <w:rsid w:val="1BC07B22"/>
    <w:rsid w:val="1BDA70BA"/>
    <w:rsid w:val="1BDB5817"/>
    <w:rsid w:val="1BEE12BF"/>
    <w:rsid w:val="1C0634AE"/>
    <w:rsid w:val="1C064C9C"/>
    <w:rsid w:val="1C0C2181"/>
    <w:rsid w:val="1C1D2216"/>
    <w:rsid w:val="1C1D2249"/>
    <w:rsid w:val="1C2C1601"/>
    <w:rsid w:val="1C3651F5"/>
    <w:rsid w:val="1C3B21FD"/>
    <w:rsid w:val="1C586408"/>
    <w:rsid w:val="1C5B3C94"/>
    <w:rsid w:val="1C5E5533"/>
    <w:rsid w:val="1C6609F3"/>
    <w:rsid w:val="1C6E3413"/>
    <w:rsid w:val="1C76459A"/>
    <w:rsid w:val="1C826745"/>
    <w:rsid w:val="1C846CAA"/>
    <w:rsid w:val="1CA3652F"/>
    <w:rsid w:val="1CB908BD"/>
    <w:rsid w:val="1CBB6FB7"/>
    <w:rsid w:val="1CEE339F"/>
    <w:rsid w:val="1CF22740"/>
    <w:rsid w:val="1D085BCA"/>
    <w:rsid w:val="1D0B56BA"/>
    <w:rsid w:val="1D183933"/>
    <w:rsid w:val="1D28001A"/>
    <w:rsid w:val="1D39424F"/>
    <w:rsid w:val="1D420663"/>
    <w:rsid w:val="1D4504FA"/>
    <w:rsid w:val="1D504EC1"/>
    <w:rsid w:val="1D567225"/>
    <w:rsid w:val="1D611A25"/>
    <w:rsid w:val="1D691D0A"/>
    <w:rsid w:val="1D8661A8"/>
    <w:rsid w:val="1D9E7805"/>
    <w:rsid w:val="1DA51B52"/>
    <w:rsid w:val="1DB21FDA"/>
    <w:rsid w:val="1DB768B3"/>
    <w:rsid w:val="1DB81192"/>
    <w:rsid w:val="1DB94814"/>
    <w:rsid w:val="1DCD0BC2"/>
    <w:rsid w:val="1DDE692B"/>
    <w:rsid w:val="1DEF6B59"/>
    <w:rsid w:val="1E2629CA"/>
    <w:rsid w:val="1E3A6C7C"/>
    <w:rsid w:val="1E3E3073"/>
    <w:rsid w:val="1E4E1DC0"/>
    <w:rsid w:val="1E5531C5"/>
    <w:rsid w:val="1E6D0ADF"/>
    <w:rsid w:val="1E71779F"/>
    <w:rsid w:val="1E7603AC"/>
    <w:rsid w:val="1E7D7EF2"/>
    <w:rsid w:val="1E833B62"/>
    <w:rsid w:val="1EA41923"/>
    <w:rsid w:val="1EA6414F"/>
    <w:rsid w:val="1EB470C0"/>
    <w:rsid w:val="1EB71777"/>
    <w:rsid w:val="1EC17608"/>
    <w:rsid w:val="1EF22DE2"/>
    <w:rsid w:val="1EF45E2A"/>
    <w:rsid w:val="1EF9391A"/>
    <w:rsid w:val="1EFC6B55"/>
    <w:rsid w:val="1F070103"/>
    <w:rsid w:val="1F325180"/>
    <w:rsid w:val="1F3A5DE3"/>
    <w:rsid w:val="1F5B0B8A"/>
    <w:rsid w:val="1F74486D"/>
    <w:rsid w:val="1F816000"/>
    <w:rsid w:val="1F9279CD"/>
    <w:rsid w:val="1FA367D0"/>
    <w:rsid w:val="1FAB0A8F"/>
    <w:rsid w:val="1FB80736"/>
    <w:rsid w:val="1FCF0131"/>
    <w:rsid w:val="1FD516E8"/>
    <w:rsid w:val="1FE30229"/>
    <w:rsid w:val="201A5B11"/>
    <w:rsid w:val="20670F7F"/>
    <w:rsid w:val="207B66B3"/>
    <w:rsid w:val="208238B5"/>
    <w:rsid w:val="208D35B2"/>
    <w:rsid w:val="20927679"/>
    <w:rsid w:val="209D487B"/>
    <w:rsid w:val="20B10327"/>
    <w:rsid w:val="20B362E6"/>
    <w:rsid w:val="20B439A2"/>
    <w:rsid w:val="20BA04E8"/>
    <w:rsid w:val="20BD4643"/>
    <w:rsid w:val="20C70BAE"/>
    <w:rsid w:val="20EC66CB"/>
    <w:rsid w:val="2100305C"/>
    <w:rsid w:val="210622E9"/>
    <w:rsid w:val="21091F11"/>
    <w:rsid w:val="21105385"/>
    <w:rsid w:val="211B1C44"/>
    <w:rsid w:val="21244F9D"/>
    <w:rsid w:val="213C1752"/>
    <w:rsid w:val="213E6AD2"/>
    <w:rsid w:val="214D22F5"/>
    <w:rsid w:val="216E0778"/>
    <w:rsid w:val="217355DC"/>
    <w:rsid w:val="217D01CE"/>
    <w:rsid w:val="2181419D"/>
    <w:rsid w:val="219043E0"/>
    <w:rsid w:val="2199566E"/>
    <w:rsid w:val="21B04341"/>
    <w:rsid w:val="21B54808"/>
    <w:rsid w:val="21B54AA2"/>
    <w:rsid w:val="21DB7182"/>
    <w:rsid w:val="21E8421C"/>
    <w:rsid w:val="21E85FCA"/>
    <w:rsid w:val="21F15A58"/>
    <w:rsid w:val="21F817B2"/>
    <w:rsid w:val="22112D1B"/>
    <w:rsid w:val="22203172"/>
    <w:rsid w:val="22327E37"/>
    <w:rsid w:val="22392A3C"/>
    <w:rsid w:val="22396826"/>
    <w:rsid w:val="22580352"/>
    <w:rsid w:val="226202D0"/>
    <w:rsid w:val="226A06BB"/>
    <w:rsid w:val="22711EAC"/>
    <w:rsid w:val="227E5060"/>
    <w:rsid w:val="22821F7B"/>
    <w:rsid w:val="228D5F39"/>
    <w:rsid w:val="22990821"/>
    <w:rsid w:val="229C4C96"/>
    <w:rsid w:val="22A8752F"/>
    <w:rsid w:val="22AA14D2"/>
    <w:rsid w:val="22AC524A"/>
    <w:rsid w:val="22BA3DC5"/>
    <w:rsid w:val="22C4675B"/>
    <w:rsid w:val="22CC769A"/>
    <w:rsid w:val="22D3405E"/>
    <w:rsid w:val="22D35DE5"/>
    <w:rsid w:val="22E604D8"/>
    <w:rsid w:val="23005595"/>
    <w:rsid w:val="23406321"/>
    <w:rsid w:val="234A05BF"/>
    <w:rsid w:val="234C3721"/>
    <w:rsid w:val="23543D6D"/>
    <w:rsid w:val="2366189C"/>
    <w:rsid w:val="237C2E6E"/>
    <w:rsid w:val="237D03E5"/>
    <w:rsid w:val="238A0FD7"/>
    <w:rsid w:val="23995A36"/>
    <w:rsid w:val="23A10B26"/>
    <w:rsid w:val="23C336C1"/>
    <w:rsid w:val="23C91E2B"/>
    <w:rsid w:val="23D81425"/>
    <w:rsid w:val="23EC3DF2"/>
    <w:rsid w:val="23F67805"/>
    <w:rsid w:val="23F724F4"/>
    <w:rsid w:val="24001890"/>
    <w:rsid w:val="240B555F"/>
    <w:rsid w:val="241B165D"/>
    <w:rsid w:val="243954FA"/>
    <w:rsid w:val="243A5EC8"/>
    <w:rsid w:val="24444377"/>
    <w:rsid w:val="24505AE3"/>
    <w:rsid w:val="245778CB"/>
    <w:rsid w:val="24590ED0"/>
    <w:rsid w:val="245C67FB"/>
    <w:rsid w:val="24656A71"/>
    <w:rsid w:val="24732C46"/>
    <w:rsid w:val="24756943"/>
    <w:rsid w:val="24804DFA"/>
    <w:rsid w:val="24861ACA"/>
    <w:rsid w:val="249577B8"/>
    <w:rsid w:val="24D112FF"/>
    <w:rsid w:val="24E82372"/>
    <w:rsid w:val="24F47528"/>
    <w:rsid w:val="24FD77B4"/>
    <w:rsid w:val="24FE7F65"/>
    <w:rsid w:val="25002EC2"/>
    <w:rsid w:val="25090920"/>
    <w:rsid w:val="25207829"/>
    <w:rsid w:val="25460966"/>
    <w:rsid w:val="25527B23"/>
    <w:rsid w:val="25645D1B"/>
    <w:rsid w:val="25660E97"/>
    <w:rsid w:val="25700B13"/>
    <w:rsid w:val="25794707"/>
    <w:rsid w:val="25842BCE"/>
    <w:rsid w:val="258A5937"/>
    <w:rsid w:val="259859CB"/>
    <w:rsid w:val="259D70CC"/>
    <w:rsid w:val="25AE3087"/>
    <w:rsid w:val="25CB59E7"/>
    <w:rsid w:val="25DE1BBE"/>
    <w:rsid w:val="25DE67A2"/>
    <w:rsid w:val="25E36393"/>
    <w:rsid w:val="25E8627C"/>
    <w:rsid w:val="25F82554"/>
    <w:rsid w:val="26094761"/>
    <w:rsid w:val="2619168C"/>
    <w:rsid w:val="261920D7"/>
    <w:rsid w:val="263C5AF0"/>
    <w:rsid w:val="263F63D5"/>
    <w:rsid w:val="26435EC5"/>
    <w:rsid w:val="264A534A"/>
    <w:rsid w:val="264D1EE9"/>
    <w:rsid w:val="264E065C"/>
    <w:rsid w:val="265411BB"/>
    <w:rsid w:val="26571758"/>
    <w:rsid w:val="26850EAA"/>
    <w:rsid w:val="26A27128"/>
    <w:rsid w:val="26D872B7"/>
    <w:rsid w:val="26D92385"/>
    <w:rsid w:val="26E31456"/>
    <w:rsid w:val="26E753F8"/>
    <w:rsid w:val="26F439F1"/>
    <w:rsid w:val="26F64CE5"/>
    <w:rsid w:val="26F87A67"/>
    <w:rsid w:val="27005B64"/>
    <w:rsid w:val="27022D5C"/>
    <w:rsid w:val="27070CA1"/>
    <w:rsid w:val="270A69E3"/>
    <w:rsid w:val="270F0B10"/>
    <w:rsid w:val="273465D4"/>
    <w:rsid w:val="27404151"/>
    <w:rsid w:val="27440400"/>
    <w:rsid w:val="27624930"/>
    <w:rsid w:val="276C6815"/>
    <w:rsid w:val="276E50B5"/>
    <w:rsid w:val="276E6DC7"/>
    <w:rsid w:val="278060D3"/>
    <w:rsid w:val="27846761"/>
    <w:rsid w:val="279D482F"/>
    <w:rsid w:val="27DF0670"/>
    <w:rsid w:val="27E74E05"/>
    <w:rsid w:val="27FB30E1"/>
    <w:rsid w:val="27FD13EC"/>
    <w:rsid w:val="27FD21C7"/>
    <w:rsid w:val="2818725C"/>
    <w:rsid w:val="281D4C13"/>
    <w:rsid w:val="28251FEC"/>
    <w:rsid w:val="282C4737"/>
    <w:rsid w:val="283A60D4"/>
    <w:rsid w:val="286A7A1B"/>
    <w:rsid w:val="287143C7"/>
    <w:rsid w:val="287924D0"/>
    <w:rsid w:val="28806DCE"/>
    <w:rsid w:val="288D24DF"/>
    <w:rsid w:val="288F09D5"/>
    <w:rsid w:val="28A51930"/>
    <w:rsid w:val="28A6291D"/>
    <w:rsid w:val="28B44441"/>
    <w:rsid w:val="28BC4779"/>
    <w:rsid w:val="28CD5F1A"/>
    <w:rsid w:val="28D90CDE"/>
    <w:rsid w:val="28DB6D48"/>
    <w:rsid w:val="28FE292A"/>
    <w:rsid w:val="28FE3486"/>
    <w:rsid w:val="29096C93"/>
    <w:rsid w:val="29161845"/>
    <w:rsid w:val="291674AB"/>
    <w:rsid w:val="29181EFE"/>
    <w:rsid w:val="292024ED"/>
    <w:rsid w:val="29327625"/>
    <w:rsid w:val="2935280A"/>
    <w:rsid w:val="293E2926"/>
    <w:rsid w:val="293F4142"/>
    <w:rsid w:val="29477A7A"/>
    <w:rsid w:val="29487A06"/>
    <w:rsid w:val="299659B1"/>
    <w:rsid w:val="299B6018"/>
    <w:rsid w:val="299F1664"/>
    <w:rsid w:val="29A226D8"/>
    <w:rsid w:val="29CE74E7"/>
    <w:rsid w:val="29DF6F46"/>
    <w:rsid w:val="29FF7CB5"/>
    <w:rsid w:val="2A223F34"/>
    <w:rsid w:val="2A2B01FE"/>
    <w:rsid w:val="2A3224D8"/>
    <w:rsid w:val="2A5102BF"/>
    <w:rsid w:val="2A6578D5"/>
    <w:rsid w:val="2A7C3754"/>
    <w:rsid w:val="2A952A67"/>
    <w:rsid w:val="2AA3393E"/>
    <w:rsid w:val="2AA57C36"/>
    <w:rsid w:val="2AB4564C"/>
    <w:rsid w:val="2AE92F98"/>
    <w:rsid w:val="2AFD087E"/>
    <w:rsid w:val="2B0379D1"/>
    <w:rsid w:val="2B0B40FC"/>
    <w:rsid w:val="2B0E49C0"/>
    <w:rsid w:val="2B132E66"/>
    <w:rsid w:val="2B275DB5"/>
    <w:rsid w:val="2B496695"/>
    <w:rsid w:val="2B496BF1"/>
    <w:rsid w:val="2B4D1FF4"/>
    <w:rsid w:val="2B514BE0"/>
    <w:rsid w:val="2B561C23"/>
    <w:rsid w:val="2B575F56"/>
    <w:rsid w:val="2B6568DD"/>
    <w:rsid w:val="2B6B42DC"/>
    <w:rsid w:val="2B7D3C27"/>
    <w:rsid w:val="2B81351D"/>
    <w:rsid w:val="2B88437A"/>
    <w:rsid w:val="2BAC0333"/>
    <w:rsid w:val="2BC52ED8"/>
    <w:rsid w:val="2BD11360"/>
    <w:rsid w:val="2BEC30BF"/>
    <w:rsid w:val="2BF109F4"/>
    <w:rsid w:val="2BF11A56"/>
    <w:rsid w:val="2BF309BA"/>
    <w:rsid w:val="2BF46D33"/>
    <w:rsid w:val="2C2655E8"/>
    <w:rsid w:val="2C2B018A"/>
    <w:rsid w:val="2C3979F2"/>
    <w:rsid w:val="2C5524AE"/>
    <w:rsid w:val="2C555B0F"/>
    <w:rsid w:val="2C6170A5"/>
    <w:rsid w:val="2C6774C7"/>
    <w:rsid w:val="2C76645A"/>
    <w:rsid w:val="2C774E20"/>
    <w:rsid w:val="2C973D7B"/>
    <w:rsid w:val="2CA06709"/>
    <w:rsid w:val="2CB25B52"/>
    <w:rsid w:val="2CB35CAF"/>
    <w:rsid w:val="2CBC2E47"/>
    <w:rsid w:val="2CCB59B1"/>
    <w:rsid w:val="2CCE68D0"/>
    <w:rsid w:val="2CDF6213"/>
    <w:rsid w:val="2CE010BD"/>
    <w:rsid w:val="2CE028C6"/>
    <w:rsid w:val="2CE5725C"/>
    <w:rsid w:val="2CE850D0"/>
    <w:rsid w:val="2CEB503C"/>
    <w:rsid w:val="2CEE645F"/>
    <w:rsid w:val="2D297497"/>
    <w:rsid w:val="2D3A2EB5"/>
    <w:rsid w:val="2D4E7253"/>
    <w:rsid w:val="2D5E652F"/>
    <w:rsid w:val="2D603BFB"/>
    <w:rsid w:val="2D640F48"/>
    <w:rsid w:val="2D6A04AC"/>
    <w:rsid w:val="2D8F546E"/>
    <w:rsid w:val="2DA336ED"/>
    <w:rsid w:val="2DA8308F"/>
    <w:rsid w:val="2DC64695"/>
    <w:rsid w:val="2DC82C2F"/>
    <w:rsid w:val="2DCA225B"/>
    <w:rsid w:val="2DF301D1"/>
    <w:rsid w:val="2DFC1A32"/>
    <w:rsid w:val="2DFF2F26"/>
    <w:rsid w:val="2E1168A9"/>
    <w:rsid w:val="2E2A1718"/>
    <w:rsid w:val="2E334A71"/>
    <w:rsid w:val="2E3724FE"/>
    <w:rsid w:val="2E514EF7"/>
    <w:rsid w:val="2E690493"/>
    <w:rsid w:val="2E7772F5"/>
    <w:rsid w:val="2E9A2060"/>
    <w:rsid w:val="2EA471C7"/>
    <w:rsid w:val="2EB6521D"/>
    <w:rsid w:val="2EBA0CEE"/>
    <w:rsid w:val="2ECF6C02"/>
    <w:rsid w:val="2EDE197E"/>
    <w:rsid w:val="2EE43FBD"/>
    <w:rsid w:val="2EF72FCA"/>
    <w:rsid w:val="2EF936E6"/>
    <w:rsid w:val="2F0B779C"/>
    <w:rsid w:val="2F603644"/>
    <w:rsid w:val="2F61316F"/>
    <w:rsid w:val="2F705522"/>
    <w:rsid w:val="2F7F33F5"/>
    <w:rsid w:val="2F940B9B"/>
    <w:rsid w:val="2F947791"/>
    <w:rsid w:val="2F9B0B20"/>
    <w:rsid w:val="2FC55B9D"/>
    <w:rsid w:val="2FC7536F"/>
    <w:rsid w:val="2FC811E9"/>
    <w:rsid w:val="2FDD50CC"/>
    <w:rsid w:val="2FEA699E"/>
    <w:rsid w:val="2FF82EA7"/>
    <w:rsid w:val="30000983"/>
    <w:rsid w:val="3003632A"/>
    <w:rsid w:val="3004756E"/>
    <w:rsid w:val="30191A45"/>
    <w:rsid w:val="302959D3"/>
    <w:rsid w:val="30393E95"/>
    <w:rsid w:val="303B7C0D"/>
    <w:rsid w:val="304B42F4"/>
    <w:rsid w:val="30515682"/>
    <w:rsid w:val="30693B15"/>
    <w:rsid w:val="3073471C"/>
    <w:rsid w:val="307A6956"/>
    <w:rsid w:val="3088030E"/>
    <w:rsid w:val="309235D0"/>
    <w:rsid w:val="30990987"/>
    <w:rsid w:val="30AC4667"/>
    <w:rsid w:val="30B71989"/>
    <w:rsid w:val="30D722EA"/>
    <w:rsid w:val="30F43F4B"/>
    <w:rsid w:val="30FE765B"/>
    <w:rsid w:val="312A57AE"/>
    <w:rsid w:val="3149635F"/>
    <w:rsid w:val="314E76BD"/>
    <w:rsid w:val="31547307"/>
    <w:rsid w:val="3155213D"/>
    <w:rsid w:val="31667108"/>
    <w:rsid w:val="316A0647"/>
    <w:rsid w:val="317C672F"/>
    <w:rsid w:val="31855A09"/>
    <w:rsid w:val="31875187"/>
    <w:rsid w:val="318A7552"/>
    <w:rsid w:val="318C13CA"/>
    <w:rsid w:val="31975317"/>
    <w:rsid w:val="31B025F4"/>
    <w:rsid w:val="31C64C84"/>
    <w:rsid w:val="31D17115"/>
    <w:rsid w:val="31D2535D"/>
    <w:rsid w:val="31D62BDF"/>
    <w:rsid w:val="31DB2D50"/>
    <w:rsid w:val="31DB3A69"/>
    <w:rsid w:val="31E02BD6"/>
    <w:rsid w:val="31E27622"/>
    <w:rsid w:val="31E85B72"/>
    <w:rsid w:val="31F462C5"/>
    <w:rsid w:val="31FF6AC7"/>
    <w:rsid w:val="32110036"/>
    <w:rsid w:val="32172B51"/>
    <w:rsid w:val="32271FD7"/>
    <w:rsid w:val="32321DDA"/>
    <w:rsid w:val="32387819"/>
    <w:rsid w:val="325070D0"/>
    <w:rsid w:val="325F5E35"/>
    <w:rsid w:val="32641288"/>
    <w:rsid w:val="326F0847"/>
    <w:rsid w:val="327A66AE"/>
    <w:rsid w:val="327C4585"/>
    <w:rsid w:val="327C6EB4"/>
    <w:rsid w:val="32892EB1"/>
    <w:rsid w:val="329557A1"/>
    <w:rsid w:val="3298529B"/>
    <w:rsid w:val="32A47CEB"/>
    <w:rsid w:val="32BE08C1"/>
    <w:rsid w:val="32BF1F69"/>
    <w:rsid w:val="32C97E26"/>
    <w:rsid w:val="32D20A10"/>
    <w:rsid w:val="32E31613"/>
    <w:rsid w:val="32E75380"/>
    <w:rsid w:val="33067454"/>
    <w:rsid w:val="33296A32"/>
    <w:rsid w:val="335F3C12"/>
    <w:rsid w:val="33694ACF"/>
    <w:rsid w:val="337551E4"/>
    <w:rsid w:val="338459E7"/>
    <w:rsid w:val="338A5133"/>
    <w:rsid w:val="33905E8E"/>
    <w:rsid w:val="33946A76"/>
    <w:rsid w:val="339D001E"/>
    <w:rsid w:val="33A34F2A"/>
    <w:rsid w:val="33A627BA"/>
    <w:rsid w:val="33D255E8"/>
    <w:rsid w:val="33DD3477"/>
    <w:rsid w:val="33E74ADA"/>
    <w:rsid w:val="33F11E6B"/>
    <w:rsid w:val="33F7086C"/>
    <w:rsid w:val="33FC1053"/>
    <w:rsid w:val="33FD0EA6"/>
    <w:rsid w:val="340934A8"/>
    <w:rsid w:val="341407FC"/>
    <w:rsid w:val="34256B14"/>
    <w:rsid w:val="342618D3"/>
    <w:rsid w:val="34392F9E"/>
    <w:rsid w:val="3466786E"/>
    <w:rsid w:val="34713BFD"/>
    <w:rsid w:val="347C23F8"/>
    <w:rsid w:val="347D5C14"/>
    <w:rsid w:val="349C15C1"/>
    <w:rsid w:val="34AE00DE"/>
    <w:rsid w:val="34B80261"/>
    <w:rsid w:val="34BA13AC"/>
    <w:rsid w:val="34D348B8"/>
    <w:rsid w:val="34D81ECE"/>
    <w:rsid w:val="34D83C78"/>
    <w:rsid w:val="34E15227"/>
    <w:rsid w:val="34F22D8D"/>
    <w:rsid w:val="350C28E2"/>
    <w:rsid w:val="35101668"/>
    <w:rsid w:val="35161627"/>
    <w:rsid w:val="351D107F"/>
    <w:rsid w:val="35202106"/>
    <w:rsid w:val="353B1B47"/>
    <w:rsid w:val="35420E8F"/>
    <w:rsid w:val="35527ED3"/>
    <w:rsid w:val="35571045"/>
    <w:rsid w:val="35725970"/>
    <w:rsid w:val="359448F8"/>
    <w:rsid w:val="35952862"/>
    <w:rsid w:val="35977693"/>
    <w:rsid w:val="359F464C"/>
    <w:rsid w:val="35A25A41"/>
    <w:rsid w:val="35A34598"/>
    <w:rsid w:val="35A72CFB"/>
    <w:rsid w:val="35B30245"/>
    <w:rsid w:val="35C92943"/>
    <w:rsid w:val="35F71D19"/>
    <w:rsid w:val="35F72739"/>
    <w:rsid w:val="36010FB1"/>
    <w:rsid w:val="36015455"/>
    <w:rsid w:val="360970CC"/>
    <w:rsid w:val="362038BD"/>
    <w:rsid w:val="36257DF1"/>
    <w:rsid w:val="36356EAC"/>
    <w:rsid w:val="36451755"/>
    <w:rsid w:val="364558D8"/>
    <w:rsid w:val="36484E32"/>
    <w:rsid w:val="365256CD"/>
    <w:rsid w:val="365E153E"/>
    <w:rsid w:val="366C30E6"/>
    <w:rsid w:val="368220F2"/>
    <w:rsid w:val="368340BC"/>
    <w:rsid w:val="36917B44"/>
    <w:rsid w:val="36AD2CB7"/>
    <w:rsid w:val="36B946E6"/>
    <w:rsid w:val="36C75FC6"/>
    <w:rsid w:val="36DE12F2"/>
    <w:rsid w:val="36F23AC8"/>
    <w:rsid w:val="37246A83"/>
    <w:rsid w:val="37287D62"/>
    <w:rsid w:val="37390DD8"/>
    <w:rsid w:val="373C5B22"/>
    <w:rsid w:val="3741044D"/>
    <w:rsid w:val="374404FE"/>
    <w:rsid w:val="374C0952"/>
    <w:rsid w:val="376B47E9"/>
    <w:rsid w:val="377C6631"/>
    <w:rsid w:val="37903D06"/>
    <w:rsid w:val="37E8067A"/>
    <w:rsid w:val="37F347D2"/>
    <w:rsid w:val="37FF7772"/>
    <w:rsid w:val="38033706"/>
    <w:rsid w:val="38240593"/>
    <w:rsid w:val="38286CC9"/>
    <w:rsid w:val="38287646"/>
    <w:rsid w:val="38354EB1"/>
    <w:rsid w:val="383F5FAE"/>
    <w:rsid w:val="384C5110"/>
    <w:rsid w:val="3857135C"/>
    <w:rsid w:val="38664B4D"/>
    <w:rsid w:val="3882287D"/>
    <w:rsid w:val="388249E2"/>
    <w:rsid w:val="38860A5E"/>
    <w:rsid w:val="388E65ED"/>
    <w:rsid w:val="388F0AF6"/>
    <w:rsid w:val="389432C1"/>
    <w:rsid w:val="38A70902"/>
    <w:rsid w:val="38BC0165"/>
    <w:rsid w:val="38CD12A8"/>
    <w:rsid w:val="38E2331B"/>
    <w:rsid w:val="38FE5C7B"/>
    <w:rsid w:val="390062F9"/>
    <w:rsid w:val="39051213"/>
    <w:rsid w:val="391A4B97"/>
    <w:rsid w:val="39202096"/>
    <w:rsid w:val="394750CB"/>
    <w:rsid w:val="394A77B5"/>
    <w:rsid w:val="394D73E9"/>
    <w:rsid w:val="39900A3C"/>
    <w:rsid w:val="39900FC9"/>
    <w:rsid w:val="3990431B"/>
    <w:rsid w:val="39B555DC"/>
    <w:rsid w:val="39BA747A"/>
    <w:rsid w:val="39BC3B6C"/>
    <w:rsid w:val="39E83CAF"/>
    <w:rsid w:val="3A156792"/>
    <w:rsid w:val="3A1C0DB9"/>
    <w:rsid w:val="3A211C22"/>
    <w:rsid w:val="3A254A77"/>
    <w:rsid w:val="3A2B07E7"/>
    <w:rsid w:val="3A2F522C"/>
    <w:rsid w:val="3A350793"/>
    <w:rsid w:val="3A4678DA"/>
    <w:rsid w:val="3A7028F0"/>
    <w:rsid w:val="3A985855"/>
    <w:rsid w:val="3A9E498B"/>
    <w:rsid w:val="3AA840F1"/>
    <w:rsid w:val="3AB91656"/>
    <w:rsid w:val="3ABC7DE5"/>
    <w:rsid w:val="3ADE4178"/>
    <w:rsid w:val="3AF10759"/>
    <w:rsid w:val="3AF46C72"/>
    <w:rsid w:val="3AF61300"/>
    <w:rsid w:val="3B0F6706"/>
    <w:rsid w:val="3B1A3654"/>
    <w:rsid w:val="3B26653E"/>
    <w:rsid w:val="3B5419D9"/>
    <w:rsid w:val="3B563B4D"/>
    <w:rsid w:val="3B826A16"/>
    <w:rsid w:val="3B844B5E"/>
    <w:rsid w:val="3B8F05C7"/>
    <w:rsid w:val="3B944428"/>
    <w:rsid w:val="3B9941F1"/>
    <w:rsid w:val="3BB545D4"/>
    <w:rsid w:val="3BBF16F2"/>
    <w:rsid w:val="3BC148F0"/>
    <w:rsid w:val="3BCE18D8"/>
    <w:rsid w:val="3BD03D2A"/>
    <w:rsid w:val="3BED47F4"/>
    <w:rsid w:val="3BED6372"/>
    <w:rsid w:val="3BF84C04"/>
    <w:rsid w:val="3C110DE0"/>
    <w:rsid w:val="3C14372C"/>
    <w:rsid w:val="3C4B742A"/>
    <w:rsid w:val="3C4F0E81"/>
    <w:rsid w:val="3C531513"/>
    <w:rsid w:val="3C5373D8"/>
    <w:rsid w:val="3C760FC8"/>
    <w:rsid w:val="3C797AF3"/>
    <w:rsid w:val="3C876996"/>
    <w:rsid w:val="3C8D7625"/>
    <w:rsid w:val="3CA928E1"/>
    <w:rsid w:val="3CB1182F"/>
    <w:rsid w:val="3CB152C1"/>
    <w:rsid w:val="3CC85F9C"/>
    <w:rsid w:val="3CE358B4"/>
    <w:rsid w:val="3CE9246A"/>
    <w:rsid w:val="3CF278A5"/>
    <w:rsid w:val="3CF817AB"/>
    <w:rsid w:val="3CF96E86"/>
    <w:rsid w:val="3D0E0B83"/>
    <w:rsid w:val="3D1C0653"/>
    <w:rsid w:val="3D1E069A"/>
    <w:rsid w:val="3D344332"/>
    <w:rsid w:val="3D64486E"/>
    <w:rsid w:val="3D6C4E3E"/>
    <w:rsid w:val="3D7B5AED"/>
    <w:rsid w:val="3DA91C94"/>
    <w:rsid w:val="3DAA0F8D"/>
    <w:rsid w:val="3DBF4370"/>
    <w:rsid w:val="3DE00D8A"/>
    <w:rsid w:val="3DEA2D86"/>
    <w:rsid w:val="3DF769E2"/>
    <w:rsid w:val="3DF83061"/>
    <w:rsid w:val="3DFA23D2"/>
    <w:rsid w:val="3E042132"/>
    <w:rsid w:val="3E051BDD"/>
    <w:rsid w:val="3E2322B1"/>
    <w:rsid w:val="3E2B4042"/>
    <w:rsid w:val="3E300685"/>
    <w:rsid w:val="3E335B9E"/>
    <w:rsid w:val="3E42441A"/>
    <w:rsid w:val="3E524241"/>
    <w:rsid w:val="3E52684D"/>
    <w:rsid w:val="3E597D8F"/>
    <w:rsid w:val="3E5F5796"/>
    <w:rsid w:val="3E6D3687"/>
    <w:rsid w:val="3E861193"/>
    <w:rsid w:val="3E983797"/>
    <w:rsid w:val="3ED2422A"/>
    <w:rsid w:val="3EE17F22"/>
    <w:rsid w:val="3EE82B5C"/>
    <w:rsid w:val="3EFC4A0B"/>
    <w:rsid w:val="3EFD7788"/>
    <w:rsid w:val="3F107FDB"/>
    <w:rsid w:val="3F2D72BA"/>
    <w:rsid w:val="3F307EA9"/>
    <w:rsid w:val="3F52287D"/>
    <w:rsid w:val="3F623E71"/>
    <w:rsid w:val="3F744EE9"/>
    <w:rsid w:val="3F793E0B"/>
    <w:rsid w:val="3F8974FC"/>
    <w:rsid w:val="3F9F3D14"/>
    <w:rsid w:val="3FB64E1A"/>
    <w:rsid w:val="3FCF12DC"/>
    <w:rsid w:val="3FE9639F"/>
    <w:rsid w:val="3FF5714E"/>
    <w:rsid w:val="3FF80285"/>
    <w:rsid w:val="3FFF47B3"/>
    <w:rsid w:val="400420D2"/>
    <w:rsid w:val="40045B19"/>
    <w:rsid w:val="40132BD6"/>
    <w:rsid w:val="402A7AD7"/>
    <w:rsid w:val="4030014C"/>
    <w:rsid w:val="40442B0E"/>
    <w:rsid w:val="4067791F"/>
    <w:rsid w:val="40726C59"/>
    <w:rsid w:val="40926461"/>
    <w:rsid w:val="40AB219B"/>
    <w:rsid w:val="40B67886"/>
    <w:rsid w:val="40C83EF0"/>
    <w:rsid w:val="40DD7A56"/>
    <w:rsid w:val="40EA3B3B"/>
    <w:rsid w:val="40F32109"/>
    <w:rsid w:val="40FB0BE9"/>
    <w:rsid w:val="40FF1542"/>
    <w:rsid w:val="41140732"/>
    <w:rsid w:val="412448D5"/>
    <w:rsid w:val="412A2869"/>
    <w:rsid w:val="412C1CD5"/>
    <w:rsid w:val="41340E39"/>
    <w:rsid w:val="414663AC"/>
    <w:rsid w:val="41555AD1"/>
    <w:rsid w:val="415B4202"/>
    <w:rsid w:val="416C161C"/>
    <w:rsid w:val="416C231C"/>
    <w:rsid w:val="417F7EC6"/>
    <w:rsid w:val="419F644D"/>
    <w:rsid w:val="41A04C41"/>
    <w:rsid w:val="41A575DC"/>
    <w:rsid w:val="41B16375"/>
    <w:rsid w:val="41B37891"/>
    <w:rsid w:val="41B65345"/>
    <w:rsid w:val="41B713F9"/>
    <w:rsid w:val="41B96BE3"/>
    <w:rsid w:val="41C21F3C"/>
    <w:rsid w:val="41CD1A9D"/>
    <w:rsid w:val="41DA7286"/>
    <w:rsid w:val="41DF7A1F"/>
    <w:rsid w:val="41E2613A"/>
    <w:rsid w:val="41E64E5D"/>
    <w:rsid w:val="41E7611C"/>
    <w:rsid w:val="41FD11C6"/>
    <w:rsid w:val="42084379"/>
    <w:rsid w:val="420E2E45"/>
    <w:rsid w:val="42112A00"/>
    <w:rsid w:val="423D479D"/>
    <w:rsid w:val="423E6148"/>
    <w:rsid w:val="424566C9"/>
    <w:rsid w:val="424B0183"/>
    <w:rsid w:val="42602C2D"/>
    <w:rsid w:val="42755200"/>
    <w:rsid w:val="427F1BDB"/>
    <w:rsid w:val="428E1E1E"/>
    <w:rsid w:val="428E5326"/>
    <w:rsid w:val="42934613"/>
    <w:rsid w:val="42AD5076"/>
    <w:rsid w:val="42BF022A"/>
    <w:rsid w:val="42CA27F1"/>
    <w:rsid w:val="42DC7EA9"/>
    <w:rsid w:val="42FF4ACA"/>
    <w:rsid w:val="430D014D"/>
    <w:rsid w:val="435B1376"/>
    <w:rsid w:val="43696887"/>
    <w:rsid w:val="436D6E7B"/>
    <w:rsid w:val="43706315"/>
    <w:rsid w:val="437B4B7E"/>
    <w:rsid w:val="439045B0"/>
    <w:rsid w:val="43963680"/>
    <w:rsid w:val="43AF56F7"/>
    <w:rsid w:val="43CD4BC8"/>
    <w:rsid w:val="43E142FE"/>
    <w:rsid w:val="43E30CD8"/>
    <w:rsid w:val="43E50164"/>
    <w:rsid w:val="43F860E9"/>
    <w:rsid w:val="43FB3496"/>
    <w:rsid w:val="44054362"/>
    <w:rsid w:val="441445A5"/>
    <w:rsid w:val="441A605F"/>
    <w:rsid w:val="441C7D04"/>
    <w:rsid w:val="44246EDE"/>
    <w:rsid w:val="44530EEC"/>
    <w:rsid w:val="445941B9"/>
    <w:rsid w:val="44775DE2"/>
    <w:rsid w:val="44A91473"/>
    <w:rsid w:val="44AC031E"/>
    <w:rsid w:val="44B84998"/>
    <w:rsid w:val="44C304A5"/>
    <w:rsid w:val="44E87D0D"/>
    <w:rsid w:val="453068F2"/>
    <w:rsid w:val="453242B7"/>
    <w:rsid w:val="45344EFF"/>
    <w:rsid w:val="45774DEB"/>
    <w:rsid w:val="457D0BD6"/>
    <w:rsid w:val="457E2BBE"/>
    <w:rsid w:val="458F408E"/>
    <w:rsid w:val="459508FA"/>
    <w:rsid w:val="459D6CA0"/>
    <w:rsid w:val="45A328AF"/>
    <w:rsid w:val="45E976EA"/>
    <w:rsid w:val="4602476B"/>
    <w:rsid w:val="460764F7"/>
    <w:rsid w:val="46135D09"/>
    <w:rsid w:val="46144D30"/>
    <w:rsid w:val="462D592B"/>
    <w:rsid w:val="46366A55"/>
    <w:rsid w:val="46475B29"/>
    <w:rsid w:val="46484B30"/>
    <w:rsid w:val="464F22D7"/>
    <w:rsid w:val="4672048E"/>
    <w:rsid w:val="469516A0"/>
    <w:rsid w:val="46A74412"/>
    <w:rsid w:val="46B547C6"/>
    <w:rsid w:val="46BF48A1"/>
    <w:rsid w:val="46C663AB"/>
    <w:rsid w:val="46DA12E2"/>
    <w:rsid w:val="46DA1AD6"/>
    <w:rsid w:val="46E4620A"/>
    <w:rsid w:val="46EE3897"/>
    <w:rsid w:val="470B3FA6"/>
    <w:rsid w:val="47164087"/>
    <w:rsid w:val="4727144B"/>
    <w:rsid w:val="47471A35"/>
    <w:rsid w:val="47591C2F"/>
    <w:rsid w:val="4760778D"/>
    <w:rsid w:val="47711B6D"/>
    <w:rsid w:val="47766AC2"/>
    <w:rsid w:val="47857C94"/>
    <w:rsid w:val="47881532"/>
    <w:rsid w:val="47915448"/>
    <w:rsid w:val="47977F99"/>
    <w:rsid w:val="47A021F4"/>
    <w:rsid w:val="47B229FD"/>
    <w:rsid w:val="47DC00BA"/>
    <w:rsid w:val="47EF66F2"/>
    <w:rsid w:val="47FB1D04"/>
    <w:rsid w:val="480358C9"/>
    <w:rsid w:val="48276319"/>
    <w:rsid w:val="483156FD"/>
    <w:rsid w:val="483E40B4"/>
    <w:rsid w:val="48455675"/>
    <w:rsid w:val="484A185B"/>
    <w:rsid w:val="48696541"/>
    <w:rsid w:val="487402F2"/>
    <w:rsid w:val="487A1148"/>
    <w:rsid w:val="487B2E45"/>
    <w:rsid w:val="487B3A83"/>
    <w:rsid w:val="488F68F0"/>
    <w:rsid w:val="48923B5E"/>
    <w:rsid w:val="48960CF3"/>
    <w:rsid w:val="48A62D14"/>
    <w:rsid w:val="48AC7367"/>
    <w:rsid w:val="48BA40C2"/>
    <w:rsid w:val="48BC63A5"/>
    <w:rsid w:val="48C02039"/>
    <w:rsid w:val="48D035AA"/>
    <w:rsid w:val="48D434F8"/>
    <w:rsid w:val="48EE0B0D"/>
    <w:rsid w:val="48F0064E"/>
    <w:rsid w:val="48F52CCC"/>
    <w:rsid w:val="48FA7527"/>
    <w:rsid w:val="49120F38"/>
    <w:rsid w:val="491373E0"/>
    <w:rsid w:val="49295900"/>
    <w:rsid w:val="492D74B6"/>
    <w:rsid w:val="49377E91"/>
    <w:rsid w:val="493A4AAE"/>
    <w:rsid w:val="49527B9D"/>
    <w:rsid w:val="49600246"/>
    <w:rsid w:val="497272AB"/>
    <w:rsid w:val="4976682D"/>
    <w:rsid w:val="49865F45"/>
    <w:rsid w:val="49933ECA"/>
    <w:rsid w:val="49A40DCE"/>
    <w:rsid w:val="49BD46B4"/>
    <w:rsid w:val="49C721CD"/>
    <w:rsid w:val="49C9499A"/>
    <w:rsid w:val="49CD3E5F"/>
    <w:rsid w:val="49D11C72"/>
    <w:rsid w:val="49E950E7"/>
    <w:rsid w:val="4A050C18"/>
    <w:rsid w:val="4A090012"/>
    <w:rsid w:val="4A17094B"/>
    <w:rsid w:val="4A1D47D5"/>
    <w:rsid w:val="4A2178D2"/>
    <w:rsid w:val="4A2A5A2A"/>
    <w:rsid w:val="4A555266"/>
    <w:rsid w:val="4A565917"/>
    <w:rsid w:val="4A5B2F2E"/>
    <w:rsid w:val="4A691422"/>
    <w:rsid w:val="4A6A3171"/>
    <w:rsid w:val="4AA069DA"/>
    <w:rsid w:val="4ABD35E4"/>
    <w:rsid w:val="4ADF5AFA"/>
    <w:rsid w:val="4AE728D8"/>
    <w:rsid w:val="4AFD2237"/>
    <w:rsid w:val="4B083509"/>
    <w:rsid w:val="4B1E0ECD"/>
    <w:rsid w:val="4B343951"/>
    <w:rsid w:val="4B35377F"/>
    <w:rsid w:val="4B3D160C"/>
    <w:rsid w:val="4B3F45FD"/>
    <w:rsid w:val="4B47166E"/>
    <w:rsid w:val="4B603D34"/>
    <w:rsid w:val="4B676474"/>
    <w:rsid w:val="4B75767C"/>
    <w:rsid w:val="4B7B6750"/>
    <w:rsid w:val="4B950C5B"/>
    <w:rsid w:val="4BA31B2F"/>
    <w:rsid w:val="4BA81EBF"/>
    <w:rsid w:val="4BAD48C4"/>
    <w:rsid w:val="4BB41562"/>
    <w:rsid w:val="4BB67EB6"/>
    <w:rsid w:val="4BE35A38"/>
    <w:rsid w:val="4BF54F6F"/>
    <w:rsid w:val="4BF915BF"/>
    <w:rsid w:val="4C115F9A"/>
    <w:rsid w:val="4C3C102F"/>
    <w:rsid w:val="4C3C4845"/>
    <w:rsid w:val="4C3E2B07"/>
    <w:rsid w:val="4C406E16"/>
    <w:rsid w:val="4C4A14AC"/>
    <w:rsid w:val="4C670088"/>
    <w:rsid w:val="4C757711"/>
    <w:rsid w:val="4C856CCF"/>
    <w:rsid w:val="4C885B30"/>
    <w:rsid w:val="4C991AEB"/>
    <w:rsid w:val="4CB328D3"/>
    <w:rsid w:val="4CC23F6D"/>
    <w:rsid w:val="4CC533E2"/>
    <w:rsid w:val="4CD5676C"/>
    <w:rsid w:val="4CEC2563"/>
    <w:rsid w:val="4CEC33B6"/>
    <w:rsid w:val="4D01701D"/>
    <w:rsid w:val="4D0C050F"/>
    <w:rsid w:val="4D275F2A"/>
    <w:rsid w:val="4D2B7773"/>
    <w:rsid w:val="4D36558C"/>
    <w:rsid w:val="4D370C8E"/>
    <w:rsid w:val="4D4F35F1"/>
    <w:rsid w:val="4D6245D3"/>
    <w:rsid w:val="4D65632C"/>
    <w:rsid w:val="4D665E71"/>
    <w:rsid w:val="4D6862FC"/>
    <w:rsid w:val="4D711108"/>
    <w:rsid w:val="4D73233C"/>
    <w:rsid w:val="4D764FBA"/>
    <w:rsid w:val="4D7655C6"/>
    <w:rsid w:val="4D79699B"/>
    <w:rsid w:val="4D7A36CB"/>
    <w:rsid w:val="4D924C82"/>
    <w:rsid w:val="4D9B2F46"/>
    <w:rsid w:val="4DA946BE"/>
    <w:rsid w:val="4DC62DB4"/>
    <w:rsid w:val="4DE54F3A"/>
    <w:rsid w:val="4DF14CF9"/>
    <w:rsid w:val="4DF80A94"/>
    <w:rsid w:val="4E0B3C14"/>
    <w:rsid w:val="4EA07161"/>
    <w:rsid w:val="4EB25ACD"/>
    <w:rsid w:val="4EB36ED0"/>
    <w:rsid w:val="4EB62E28"/>
    <w:rsid w:val="4ECC43FA"/>
    <w:rsid w:val="4ED7766D"/>
    <w:rsid w:val="4EEA2AD2"/>
    <w:rsid w:val="4EEB46DE"/>
    <w:rsid w:val="4F0B761D"/>
    <w:rsid w:val="4F101BCB"/>
    <w:rsid w:val="4F1744D2"/>
    <w:rsid w:val="4F294525"/>
    <w:rsid w:val="4F68600C"/>
    <w:rsid w:val="4F7074A7"/>
    <w:rsid w:val="4F7C5E7C"/>
    <w:rsid w:val="4F86610D"/>
    <w:rsid w:val="4FA338BA"/>
    <w:rsid w:val="4FB26CFB"/>
    <w:rsid w:val="4FBE01E7"/>
    <w:rsid w:val="4FBE685D"/>
    <w:rsid w:val="4FBF3A02"/>
    <w:rsid w:val="4FCB2904"/>
    <w:rsid w:val="4FCC5EFF"/>
    <w:rsid w:val="4FCF275B"/>
    <w:rsid w:val="4FE714BD"/>
    <w:rsid w:val="500B0F52"/>
    <w:rsid w:val="5019366F"/>
    <w:rsid w:val="50235BD8"/>
    <w:rsid w:val="502C6297"/>
    <w:rsid w:val="503C073F"/>
    <w:rsid w:val="50550EE8"/>
    <w:rsid w:val="505972D3"/>
    <w:rsid w:val="50666188"/>
    <w:rsid w:val="50700DB5"/>
    <w:rsid w:val="50737807"/>
    <w:rsid w:val="50810E77"/>
    <w:rsid w:val="50B67110"/>
    <w:rsid w:val="50C35389"/>
    <w:rsid w:val="50C43019"/>
    <w:rsid w:val="50D45326"/>
    <w:rsid w:val="50EB4D8E"/>
    <w:rsid w:val="50ED449B"/>
    <w:rsid w:val="50FE22AD"/>
    <w:rsid w:val="51051E45"/>
    <w:rsid w:val="5107796B"/>
    <w:rsid w:val="51167BAE"/>
    <w:rsid w:val="5126144C"/>
    <w:rsid w:val="5133550E"/>
    <w:rsid w:val="513F5357"/>
    <w:rsid w:val="5142766A"/>
    <w:rsid w:val="514A7858"/>
    <w:rsid w:val="514B4A3C"/>
    <w:rsid w:val="514C1822"/>
    <w:rsid w:val="514C30F0"/>
    <w:rsid w:val="51513588"/>
    <w:rsid w:val="5156612E"/>
    <w:rsid w:val="51685D06"/>
    <w:rsid w:val="516F21EB"/>
    <w:rsid w:val="51843BD1"/>
    <w:rsid w:val="51B00003"/>
    <w:rsid w:val="51B22ABF"/>
    <w:rsid w:val="51BC737E"/>
    <w:rsid w:val="51DE61DA"/>
    <w:rsid w:val="51F06651"/>
    <w:rsid w:val="51F24178"/>
    <w:rsid w:val="51FD4826"/>
    <w:rsid w:val="520914C1"/>
    <w:rsid w:val="5214419C"/>
    <w:rsid w:val="52350508"/>
    <w:rsid w:val="52374280"/>
    <w:rsid w:val="523858D0"/>
    <w:rsid w:val="523C0AE2"/>
    <w:rsid w:val="525B185E"/>
    <w:rsid w:val="526037D7"/>
    <w:rsid w:val="5268268C"/>
    <w:rsid w:val="526B5CD8"/>
    <w:rsid w:val="527E7398"/>
    <w:rsid w:val="528256EC"/>
    <w:rsid w:val="529C42F1"/>
    <w:rsid w:val="52BE405A"/>
    <w:rsid w:val="52CA74EB"/>
    <w:rsid w:val="52D061B4"/>
    <w:rsid w:val="52DE64AA"/>
    <w:rsid w:val="52E55A8A"/>
    <w:rsid w:val="52E86DEB"/>
    <w:rsid w:val="52EA219E"/>
    <w:rsid w:val="52ED2B91"/>
    <w:rsid w:val="52F061DD"/>
    <w:rsid w:val="52F537F4"/>
    <w:rsid w:val="52F77B3F"/>
    <w:rsid w:val="52F9421E"/>
    <w:rsid w:val="5305612D"/>
    <w:rsid w:val="530E6B0D"/>
    <w:rsid w:val="53163C4B"/>
    <w:rsid w:val="5334627A"/>
    <w:rsid w:val="533A1057"/>
    <w:rsid w:val="534D3AC5"/>
    <w:rsid w:val="53525315"/>
    <w:rsid w:val="536573AB"/>
    <w:rsid w:val="53794425"/>
    <w:rsid w:val="537C5BB0"/>
    <w:rsid w:val="53A729AB"/>
    <w:rsid w:val="53A96AB8"/>
    <w:rsid w:val="53AA3B86"/>
    <w:rsid w:val="53C2401E"/>
    <w:rsid w:val="53ED169D"/>
    <w:rsid w:val="53F7643F"/>
    <w:rsid w:val="540369E0"/>
    <w:rsid w:val="54095DDA"/>
    <w:rsid w:val="540D34EB"/>
    <w:rsid w:val="5433371B"/>
    <w:rsid w:val="54493DF7"/>
    <w:rsid w:val="5458606A"/>
    <w:rsid w:val="546724CF"/>
    <w:rsid w:val="546D3F89"/>
    <w:rsid w:val="5475533D"/>
    <w:rsid w:val="547C3E3E"/>
    <w:rsid w:val="547F45B0"/>
    <w:rsid w:val="54843081"/>
    <w:rsid w:val="54901A26"/>
    <w:rsid w:val="54B75917"/>
    <w:rsid w:val="54CB08BD"/>
    <w:rsid w:val="54D758A7"/>
    <w:rsid w:val="54F94081"/>
    <w:rsid w:val="54FB7B1F"/>
    <w:rsid w:val="5504033D"/>
    <w:rsid w:val="55276BFF"/>
    <w:rsid w:val="554C1DF1"/>
    <w:rsid w:val="554F403A"/>
    <w:rsid w:val="55523CBF"/>
    <w:rsid w:val="5557457C"/>
    <w:rsid w:val="55597E34"/>
    <w:rsid w:val="555F0583"/>
    <w:rsid w:val="55684751"/>
    <w:rsid w:val="557338EC"/>
    <w:rsid w:val="55754F8B"/>
    <w:rsid w:val="5575684A"/>
    <w:rsid w:val="557D017A"/>
    <w:rsid w:val="557E5D22"/>
    <w:rsid w:val="55937A20"/>
    <w:rsid w:val="55941D90"/>
    <w:rsid w:val="55A54F38"/>
    <w:rsid w:val="55AE3083"/>
    <w:rsid w:val="55C20A95"/>
    <w:rsid w:val="55CE0C26"/>
    <w:rsid w:val="55ED726B"/>
    <w:rsid w:val="560167C0"/>
    <w:rsid w:val="563C00B7"/>
    <w:rsid w:val="5642785D"/>
    <w:rsid w:val="56496330"/>
    <w:rsid w:val="56527C84"/>
    <w:rsid w:val="56567CFB"/>
    <w:rsid w:val="56577F78"/>
    <w:rsid w:val="566118CC"/>
    <w:rsid w:val="566860B0"/>
    <w:rsid w:val="567F05B2"/>
    <w:rsid w:val="569A4B0D"/>
    <w:rsid w:val="569C6DA8"/>
    <w:rsid w:val="56BF17AD"/>
    <w:rsid w:val="56DE45F0"/>
    <w:rsid w:val="570F5F5E"/>
    <w:rsid w:val="571050A0"/>
    <w:rsid w:val="57125D1B"/>
    <w:rsid w:val="571475E8"/>
    <w:rsid w:val="57203535"/>
    <w:rsid w:val="57234A3F"/>
    <w:rsid w:val="57357475"/>
    <w:rsid w:val="573C5E95"/>
    <w:rsid w:val="57633422"/>
    <w:rsid w:val="57685E7F"/>
    <w:rsid w:val="576C269A"/>
    <w:rsid w:val="576D604E"/>
    <w:rsid w:val="576E5892"/>
    <w:rsid w:val="57811AFA"/>
    <w:rsid w:val="578435E0"/>
    <w:rsid w:val="578735B4"/>
    <w:rsid w:val="57A07301"/>
    <w:rsid w:val="57C40364"/>
    <w:rsid w:val="57CD7630"/>
    <w:rsid w:val="57D8796C"/>
    <w:rsid w:val="57DD18F4"/>
    <w:rsid w:val="57F30C49"/>
    <w:rsid w:val="57F92310"/>
    <w:rsid w:val="57FA7407"/>
    <w:rsid w:val="580651AF"/>
    <w:rsid w:val="580B723C"/>
    <w:rsid w:val="58151C4B"/>
    <w:rsid w:val="58445BC1"/>
    <w:rsid w:val="58573625"/>
    <w:rsid w:val="58890962"/>
    <w:rsid w:val="58892456"/>
    <w:rsid w:val="588C69A8"/>
    <w:rsid w:val="58921048"/>
    <w:rsid w:val="58B04C30"/>
    <w:rsid w:val="58B137E2"/>
    <w:rsid w:val="58B915D9"/>
    <w:rsid w:val="58BB469D"/>
    <w:rsid w:val="58BF2A88"/>
    <w:rsid w:val="58DC13F9"/>
    <w:rsid w:val="58E704D4"/>
    <w:rsid w:val="58FB2AE2"/>
    <w:rsid w:val="59095B08"/>
    <w:rsid w:val="591F15CA"/>
    <w:rsid w:val="592D3CE7"/>
    <w:rsid w:val="593E385B"/>
    <w:rsid w:val="5952614F"/>
    <w:rsid w:val="59596784"/>
    <w:rsid w:val="59727DCC"/>
    <w:rsid w:val="5991071A"/>
    <w:rsid w:val="59930314"/>
    <w:rsid w:val="59A437ED"/>
    <w:rsid w:val="59A65848"/>
    <w:rsid w:val="59A87812"/>
    <w:rsid w:val="59B22F5B"/>
    <w:rsid w:val="59C517A8"/>
    <w:rsid w:val="59E85D2A"/>
    <w:rsid w:val="5A096502"/>
    <w:rsid w:val="5A0A04CC"/>
    <w:rsid w:val="5A0F6E4A"/>
    <w:rsid w:val="5A1A20A2"/>
    <w:rsid w:val="5A20384C"/>
    <w:rsid w:val="5A303026"/>
    <w:rsid w:val="5A371E64"/>
    <w:rsid w:val="5A3B20F1"/>
    <w:rsid w:val="5A3F0176"/>
    <w:rsid w:val="5A67147B"/>
    <w:rsid w:val="5A7A11AE"/>
    <w:rsid w:val="5A9D7D32"/>
    <w:rsid w:val="5A9F2599"/>
    <w:rsid w:val="5AB269B8"/>
    <w:rsid w:val="5ADD543E"/>
    <w:rsid w:val="5AF01CBC"/>
    <w:rsid w:val="5AF06946"/>
    <w:rsid w:val="5AF25CEE"/>
    <w:rsid w:val="5B01542B"/>
    <w:rsid w:val="5B057497"/>
    <w:rsid w:val="5B0A122A"/>
    <w:rsid w:val="5B133E9E"/>
    <w:rsid w:val="5B1F58B2"/>
    <w:rsid w:val="5B2166E3"/>
    <w:rsid w:val="5B277026"/>
    <w:rsid w:val="5B687483"/>
    <w:rsid w:val="5B7E02E6"/>
    <w:rsid w:val="5B830AD9"/>
    <w:rsid w:val="5B872717"/>
    <w:rsid w:val="5B873CEB"/>
    <w:rsid w:val="5B9E0ECC"/>
    <w:rsid w:val="5BB03726"/>
    <w:rsid w:val="5BB46942"/>
    <w:rsid w:val="5BCB77E7"/>
    <w:rsid w:val="5BDD4C18"/>
    <w:rsid w:val="5BEF34D6"/>
    <w:rsid w:val="5BFD600F"/>
    <w:rsid w:val="5C000857"/>
    <w:rsid w:val="5C0553C6"/>
    <w:rsid w:val="5C143B44"/>
    <w:rsid w:val="5C1E6AB9"/>
    <w:rsid w:val="5C2C0286"/>
    <w:rsid w:val="5C42385F"/>
    <w:rsid w:val="5C537574"/>
    <w:rsid w:val="5C554F53"/>
    <w:rsid w:val="5C6618DB"/>
    <w:rsid w:val="5C6D348E"/>
    <w:rsid w:val="5C71038F"/>
    <w:rsid w:val="5C93352E"/>
    <w:rsid w:val="5CA57046"/>
    <w:rsid w:val="5CD56B70"/>
    <w:rsid w:val="5CD63821"/>
    <w:rsid w:val="5CE55DE5"/>
    <w:rsid w:val="5CF26312"/>
    <w:rsid w:val="5CF45A1B"/>
    <w:rsid w:val="5CFB4E3E"/>
    <w:rsid w:val="5D0E3E30"/>
    <w:rsid w:val="5D107BA8"/>
    <w:rsid w:val="5D152EB2"/>
    <w:rsid w:val="5D1602EF"/>
    <w:rsid w:val="5D204739"/>
    <w:rsid w:val="5D355DD7"/>
    <w:rsid w:val="5D4457D0"/>
    <w:rsid w:val="5D4F2C1F"/>
    <w:rsid w:val="5D683023"/>
    <w:rsid w:val="5D700646"/>
    <w:rsid w:val="5D823F20"/>
    <w:rsid w:val="5D8B1499"/>
    <w:rsid w:val="5DA46DF6"/>
    <w:rsid w:val="5DBE006C"/>
    <w:rsid w:val="5DD40593"/>
    <w:rsid w:val="5DD629CF"/>
    <w:rsid w:val="5DDB01B6"/>
    <w:rsid w:val="5DDE5650"/>
    <w:rsid w:val="5DE74DAC"/>
    <w:rsid w:val="5E082F75"/>
    <w:rsid w:val="5E195C3E"/>
    <w:rsid w:val="5E3D5A02"/>
    <w:rsid w:val="5E467CD2"/>
    <w:rsid w:val="5E5109F1"/>
    <w:rsid w:val="5E6261E1"/>
    <w:rsid w:val="5E655CD1"/>
    <w:rsid w:val="5E7A22BA"/>
    <w:rsid w:val="5E8E6FD6"/>
    <w:rsid w:val="5EA85A46"/>
    <w:rsid w:val="5EAA5DDA"/>
    <w:rsid w:val="5EB77F96"/>
    <w:rsid w:val="5EBA0A05"/>
    <w:rsid w:val="5ED115B9"/>
    <w:rsid w:val="5EDA221B"/>
    <w:rsid w:val="5EDB2906"/>
    <w:rsid w:val="5EDB5F05"/>
    <w:rsid w:val="5EEB540E"/>
    <w:rsid w:val="5EFE6A0D"/>
    <w:rsid w:val="5F151A56"/>
    <w:rsid w:val="5F2711D9"/>
    <w:rsid w:val="5F321B9F"/>
    <w:rsid w:val="5F465A1F"/>
    <w:rsid w:val="5F572C12"/>
    <w:rsid w:val="5F5A0C98"/>
    <w:rsid w:val="5F69359F"/>
    <w:rsid w:val="5F763060"/>
    <w:rsid w:val="5F7F2DC3"/>
    <w:rsid w:val="5F7F7267"/>
    <w:rsid w:val="5F9D4AAC"/>
    <w:rsid w:val="5FA709AB"/>
    <w:rsid w:val="5FAE2855"/>
    <w:rsid w:val="5FB54EB9"/>
    <w:rsid w:val="5FBA204D"/>
    <w:rsid w:val="5FC04C82"/>
    <w:rsid w:val="5FDF0F31"/>
    <w:rsid w:val="5FE3195F"/>
    <w:rsid w:val="5FEB2A92"/>
    <w:rsid w:val="5FFD3B0E"/>
    <w:rsid w:val="601801F9"/>
    <w:rsid w:val="601A0A51"/>
    <w:rsid w:val="602F489C"/>
    <w:rsid w:val="60364D2A"/>
    <w:rsid w:val="603F4AA9"/>
    <w:rsid w:val="60583D40"/>
    <w:rsid w:val="606130E1"/>
    <w:rsid w:val="60643A3B"/>
    <w:rsid w:val="60672FB9"/>
    <w:rsid w:val="60680F20"/>
    <w:rsid w:val="60787259"/>
    <w:rsid w:val="607B6C05"/>
    <w:rsid w:val="60916706"/>
    <w:rsid w:val="609170F4"/>
    <w:rsid w:val="60AF4DBA"/>
    <w:rsid w:val="60B931E9"/>
    <w:rsid w:val="60BB7E2A"/>
    <w:rsid w:val="60CA62C0"/>
    <w:rsid w:val="60E4388B"/>
    <w:rsid w:val="6111050A"/>
    <w:rsid w:val="611936C7"/>
    <w:rsid w:val="611C241C"/>
    <w:rsid w:val="61497BEA"/>
    <w:rsid w:val="614E5143"/>
    <w:rsid w:val="61606FC6"/>
    <w:rsid w:val="616B22EB"/>
    <w:rsid w:val="617128AD"/>
    <w:rsid w:val="617D15BF"/>
    <w:rsid w:val="61853675"/>
    <w:rsid w:val="618941F8"/>
    <w:rsid w:val="619C5EAE"/>
    <w:rsid w:val="61A8403E"/>
    <w:rsid w:val="61B66176"/>
    <w:rsid w:val="61C654DA"/>
    <w:rsid w:val="61CC5704"/>
    <w:rsid w:val="620121B5"/>
    <w:rsid w:val="62172E25"/>
    <w:rsid w:val="62290541"/>
    <w:rsid w:val="622A34BA"/>
    <w:rsid w:val="623D2098"/>
    <w:rsid w:val="624704A2"/>
    <w:rsid w:val="62630900"/>
    <w:rsid w:val="627925A9"/>
    <w:rsid w:val="62824D74"/>
    <w:rsid w:val="628863F8"/>
    <w:rsid w:val="629D0130"/>
    <w:rsid w:val="62A24B3B"/>
    <w:rsid w:val="62AE40EB"/>
    <w:rsid w:val="62B52ADF"/>
    <w:rsid w:val="62CC27C3"/>
    <w:rsid w:val="62D5081D"/>
    <w:rsid w:val="62DE241C"/>
    <w:rsid w:val="62DF24F6"/>
    <w:rsid w:val="62E922EA"/>
    <w:rsid w:val="62E96D00"/>
    <w:rsid w:val="62EA0E9B"/>
    <w:rsid w:val="63036FC7"/>
    <w:rsid w:val="630943D0"/>
    <w:rsid w:val="6325582B"/>
    <w:rsid w:val="632717A7"/>
    <w:rsid w:val="633151E4"/>
    <w:rsid w:val="63316ACA"/>
    <w:rsid w:val="633254B0"/>
    <w:rsid w:val="633C6D8E"/>
    <w:rsid w:val="633C6FDB"/>
    <w:rsid w:val="634341A6"/>
    <w:rsid w:val="634467FD"/>
    <w:rsid w:val="63500CFE"/>
    <w:rsid w:val="636B1FDC"/>
    <w:rsid w:val="637B0A13"/>
    <w:rsid w:val="638E5CCA"/>
    <w:rsid w:val="63BA6C0F"/>
    <w:rsid w:val="63DE27AE"/>
    <w:rsid w:val="63DF6526"/>
    <w:rsid w:val="63E60EAA"/>
    <w:rsid w:val="641937E6"/>
    <w:rsid w:val="64375E82"/>
    <w:rsid w:val="6457430E"/>
    <w:rsid w:val="645A5BAC"/>
    <w:rsid w:val="64666D61"/>
    <w:rsid w:val="64850656"/>
    <w:rsid w:val="648745D0"/>
    <w:rsid w:val="648B56C6"/>
    <w:rsid w:val="6495763E"/>
    <w:rsid w:val="64A07DA6"/>
    <w:rsid w:val="64A14F38"/>
    <w:rsid w:val="64A532CB"/>
    <w:rsid w:val="64A55ED4"/>
    <w:rsid w:val="64B133C7"/>
    <w:rsid w:val="64C0772E"/>
    <w:rsid w:val="64C97161"/>
    <w:rsid w:val="64EF4547"/>
    <w:rsid w:val="64F20BD4"/>
    <w:rsid w:val="651E041A"/>
    <w:rsid w:val="65294FC1"/>
    <w:rsid w:val="652B71FA"/>
    <w:rsid w:val="653B282A"/>
    <w:rsid w:val="65490E76"/>
    <w:rsid w:val="65501489"/>
    <w:rsid w:val="655A5E64"/>
    <w:rsid w:val="6562740E"/>
    <w:rsid w:val="6564525E"/>
    <w:rsid w:val="65660E25"/>
    <w:rsid w:val="656B281B"/>
    <w:rsid w:val="65711400"/>
    <w:rsid w:val="65722F72"/>
    <w:rsid w:val="65764C68"/>
    <w:rsid w:val="657928BD"/>
    <w:rsid w:val="658253BB"/>
    <w:rsid w:val="65892520"/>
    <w:rsid w:val="65913850"/>
    <w:rsid w:val="65917AC4"/>
    <w:rsid w:val="65981ACF"/>
    <w:rsid w:val="65A33005"/>
    <w:rsid w:val="65A82FE5"/>
    <w:rsid w:val="65AA17CB"/>
    <w:rsid w:val="65D327C2"/>
    <w:rsid w:val="65DD689F"/>
    <w:rsid w:val="65E75AA3"/>
    <w:rsid w:val="660B71AC"/>
    <w:rsid w:val="66152DF0"/>
    <w:rsid w:val="661A1441"/>
    <w:rsid w:val="66214462"/>
    <w:rsid w:val="6640680E"/>
    <w:rsid w:val="665C3234"/>
    <w:rsid w:val="66737CAE"/>
    <w:rsid w:val="667F49AA"/>
    <w:rsid w:val="668E32D6"/>
    <w:rsid w:val="66A83B6B"/>
    <w:rsid w:val="66BB6DD6"/>
    <w:rsid w:val="66BE3B55"/>
    <w:rsid w:val="66D53137"/>
    <w:rsid w:val="66D7003D"/>
    <w:rsid w:val="66D944B3"/>
    <w:rsid w:val="66D954AE"/>
    <w:rsid w:val="66DA3DBD"/>
    <w:rsid w:val="66E75E1D"/>
    <w:rsid w:val="66F422E8"/>
    <w:rsid w:val="66F83B86"/>
    <w:rsid w:val="67042DA7"/>
    <w:rsid w:val="670467CE"/>
    <w:rsid w:val="67087B42"/>
    <w:rsid w:val="67110945"/>
    <w:rsid w:val="67171679"/>
    <w:rsid w:val="67256946"/>
    <w:rsid w:val="672616B4"/>
    <w:rsid w:val="67386679"/>
    <w:rsid w:val="673F0FF4"/>
    <w:rsid w:val="67412364"/>
    <w:rsid w:val="674E11C2"/>
    <w:rsid w:val="675029CF"/>
    <w:rsid w:val="67531F6D"/>
    <w:rsid w:val="675645BF"/>
    <w:rsid w:val="67650123"/>
    <w:rsid w:val="67674685"/>
    <w:rsid w:val="67675E37"/>
    <w:rsid w:val="676C58E4"/>
    <w:rsid w:val="676C6322"/>
    <w:rsid w:val="6773679F"/>
    <w:rsid w:val="67785D75"/>
    <w:rsid w:val="67804378"/>
    <w:rsid w:val="67826BC6"/>
    <w:rsid w:val="67851AB7"/>
    <w:rsid w:val="67892FC8"/>
    <w:rsid w:val="67A82A40"/>
    <w:rsid w:val="67B64128"/>
    <w:rsid w:val="67E53C68"/>
    <w:rsid w:val="67E71A76"/>
    <w:rsid w:val="67EB41EB"/>
    <w:rsid w:val="67F4149B"/>
    <w:rsid w:val="67FB3202"/>
    <w:rsid w:val="68130E4C"/>
    <w:rsid w:val="6817003C"/>
    <w:rsid w:val="681A7329"/>
    <w:rsid w:val="683254FD"/>
    <w:rsid w:val="68336E40"/>
    <w:rsid w:val="6834720A"/>
    <w:rsid w:val="684D1CB0"/>
    <w:rsid w:val="684E5A28"/>
    <w:rsid w:val="68540EE4"/>
    <w:rsid w:val="685E5C6B"/>
    <w:rsid w:val="689A0C6D"/>
    <w:rsid w:val="689C49E5"/>
    <w:rsid w:val="68B735CD"/>
    <w:rsid w:val="68BE670A"/>
    <w:rsid w:val="68CF4DBB"/>
    <w:rsid w:val="68D40C7A"/>
    <w:rsid w:val="69164798"/>
    <w:rsid w:val="6940014C"/>
    <w:rsid w:val="6996318E"/>
    <w:rsid w:val="69A01B15"/>
    <w:rsid w:val="69B1614B"/>
    <w:rsid w:val="69B17F78"/>
    <w:rsid w:val="69B7788F"/>
    <w:rsid w:val="69E22A3D"/>
    <w:rsid w:val="69F11A05"/>
    <w:rsid w:val="69F44661"/>
    <w:rsid w:val="69F60125"/>
    <w:rsid w:val="6A025EBD"/>
    <w:rsid w:val="6A0D5208"/>
    <w:rsid w:val="6A1F27A8"/>
    <w:rsid w:val="6A3C2166"/>
    <w:rsid w:val="6A4E0303"/>
    <w:rsid w:val="6A576B99"/>
    <w:rsid w:val="6A6A456C"/>
    <w:rsid w:val="6A6B466F"/>
    <w:rsid w:val="6A7A394B"/>
    <w:rsid w:val="6A8219B9"/>
    <w:rsid w:val="6A931A4E"/>
    <w:rsid w:val="6A953114"/>
    <w:rsid w:val="6AA67D9D"/>
    <w:rsid w:val="6AA83F04"/>
    <w:rsid w:val="6ABE633F"/>
    <w:rsid w:val="6ABE7E1C"/>
    <w:rsid w:val="6B0C24AB"/>
    <w:rsid w:val="6B360F09"/>
    <w:rsid w:val="6B3A0413"/>
    <w:rsid w:val="6B4F0DCD"/>
    <w:rsid w:val="6B546F8D"/>
    <w:rsid w:val="6B5477F9"/>
    <w:rsid w:val="6B697717"/>
    <w:rsid w:val="6B7457A6"/>
    <w:rsid w:val="6B7E5284"/>
    <w:rsid w:val="6B87197D"/>
    <w:rsid w:val="6BAF3F6A"/>
    <w:rsid w:val="6BC43F05"/>
    <w:rsid w:val="6BC85EB3"/>
    <w:rsid w:val="6BCF3EB4"/>
    <w:rsid w:val="6BD61B87"/>
    <w:rsid w:val="6BDE70FB"/>
    <w:rsid w:val="6BF608B1"/>
    <w:rsid w:val="6C016280"/>
    <w:rsid w:val="6C031CF9"/>
    <w:rsid w:val="6C11018A"/>
    <w:rsid w:val="6C1F5711"/>
    <w:rsid w:val="6C393418"/>
    <w:rsid w:val="6C450D3E"/>
    <w:rsid w:val="6C515AE7"/>
    <w:rsid w:val="6C621AA2"/>
    <w:rsid w:val="6C6900F5"/>
    <w:rsid w:val="6C81118A"/>
    <w:rsid w:val="6C8571E6"/>
    <w:rsid w:val="6C975BF0"/>
    <w:rsid w:val="6C98116F"/>
    <w:rsid w:val="6C9F2CF6"/>
    <w:rsid w:val="6CA24244"/>
    <w:rsid w:val="6CF50B68"/>
    <w:rsid w:val="6CF65344"/>
    <w:rsid w:val="6CF92406"/>
    <w:rsid w:val="6D12082D"/>
    <w:rsid w:val="6D2642FD"/>
    <w:rsid w:val="6D2676E6"/>
    <w:rsid w:val="6D3F5C6B"/>
    <w:rsid w:val="6D521B17"/>
    <w:rsid w:val="6D622432"/>
    <w:rsid w:val="6D667349"/>
    <w:rsid w:val="6D762273"/>
    <w:rsid w:val="6D7970A3"/>
    <w:rsid w:val="6D7B34E1"/>
    <w:rsid w:val="6D8E6651"/>
    <w:rsid w:val="6DB63E53"/>
    <w:rsid w:val="6DB91B96"/>
    <w:rsid w:val="6DCE1ED5"/>
    <w:rsid w:val="6DD137A9"/>
    <w:rsid w:val="6DD4077E"/>
    <w:rsid w:val="6DD8201C"/>
    <w:rsid w:val="6DF53594"/>
    <w:rsid w:val="6DF873C3"/>
    <w:rsid w:val="6DFD70A6"/>
    <w:rsid w:val="6E313E22"/>
    <w:rsid w:val="6E361CC3"/>
    <w:rsid w:val="6E3D1D31"/>
    <w:rsid w:val="6E3D6323"/>
    <w:rsid w:val="6E602011"/>
    <w:rsid w:val="6E854222"/>
    <w:rsid w:val="6E9315D8"/>
    <w:rsid w:val="6EA22196"/>
    <w:rsid w:val="6EB10849"/>
    <w:rsid w:val="6EB314F8"/>
    <w:rsid w:val="6EB4554D"/>
    <w:rsid w:val="6EC95E08"/>
    <w:rsid w:val="6ECD2D6D"/>
    <w:rsid w:val="6EEB3FD1"/>
    <w:rsid w:val="6EF015E7"/>
    <w:rsid w:val="6F013322"/>
    <w:rsid w:val="6F0B6421"/>
    <w:rsid w:val="6F141745"/>
    <w:rsid w:val="6F231DA4"/>
    <w:rsid w:val="6F233214"/>
    <w:rsid w:val="6F2C5464"/>
    <w:rsid w:val="6F431544"/>
    <w:rsid w:val="6F6B0C02"/>
    <w:rsid w:val="6F6E5295"/>
    <w:rsid w:val="6F730C51"/>
    <w:rsid w:val="6FAB120A"/>
    <w:rsid w:val="6FBC771B"/>
    <w:rsid w:val="6FCC0015"/>
    <w:rsid w:val="6FD41D05"/>
    <w:rsid w:val="6FDD600F"/>
    <w:rsid w:val="6FE429F6"/>
    <w:rsid w:val="6FE56C99"/>
    <w:rsid w:val="6FEB7EFB"/>
    <w:rsid w:val="6FF56C1B"/>
    <w:rsid w:val="6FF84BF7"/>
    <w:rsid w:val="6FFB3228"/>
    <w:rsid w:val="70074E3A"/>
    <w:rsid w:val="700A0487"/>
    <w:rsid w:val="700C6158"/>
    <w:rsid w:val="70296B4F"/>
    <w:rsid w:val="703B4AE4"/>
    <w:rsid w:val="70465819"/>
    <w:rsid w:val="704716DB"/>
    <w:rsid w:val="70527E09"/>
    <w:rsid w:val="70585829"/>
    <w:rsid w:val="70635D9E"/>
    <w:rsid w:val="70840239"/>
    <w:rsid w:val="70871AD7"/>
    <w:rsid w:val="708F0DE0"/>
    <w:rsid w:val="709F464C"/>
    <w:rsid w:val="70A47E1C"/>
    <w:rsid w:val="70CC0D85"/>
    <w:rsid w:val="70E21201"/>
    <w:rsid w:val="70F863D6"/>
    <w:rsid w:val="71066FF7"/>
    <w:rsid w:val="7113780F"/>
    <w:rsid w:val="71151F29"/>
    <w:rsid w:val="71225906"/>
    <w:rsid w:val="71325EE7"/>
    <w:rsid w:val="71446A8C"/>
    <w:rsid w:val="7148395C"/>
    <w:rsid w:val="714F6A99"/>
    <w:rsid w:val="715A75D5"/>
    <w:rsid w:val="715E6CDC"/>
    <w:rsid w:val="71726C97"/>
    <w:rsid w:val="71857C5A"/>
    <w:rsid w:val="718C310D"/>
    <w:rsid w:val="71A15574"/>
    <w:rsid w:val="71BB0521"/>
    <w:rsid w:val="71C72AD3"/>
    <w:rsid w:val="71CC2E67"/>
    <w:rsid w:val="71CD7300"/>
    <w:rsid w:val="71D21478"/>
    <w:rsid w:val="71D82AFD"/>
    <w:rsid w:val="71DE7E1D"/>
    <w:rsid w:val="71DF72FF"/>
    <w:rsid w:val="71E224FF"/>
    <w:rsid w:val="71EF1954"/>
    <w:rsid w:val="71F60B5D"/>
    <w:rsid w:val="72121874"/>
    <w:rsid w:val="72135D18"/>
    <w:rsid w:val="7227320D"/>
    <w:rsid w:val="72367718"/>
    <w:rsid w:val="724A54B2"/>
    <w:rsid w:val="725B146D"/>
    <w:rsid w:val="726816D1"/>
    <w:rsid w:val="727442DD"/>
    <w:rsid w:val="727D63E6"/>
    <w:rsid w:val="728958CB"/>
    <w:rsid w:val="729D1965"/>
    <w:rsid w:val="72A25FA6"/>
    <w:rsid w:val="72A93F87"/>
    <w:rsid w:val="72C420E8"/>
    <w:rsid w:val="72D43A52"/>
    <w:rsid w:val="72D57472"/>
    <w:rsid w:val="72EA7FCA"/>
    <w:rsid w:val="72F53670"/>
    <w:rsid w:val="73192860"/>
    <w:rsid w:val="73257B3E"/>
    <w:rsid w:val="732E4011"/>
    <w:rsid w:val="735B04CE"/>
    <w:rsid w:val="735B2636"/>
    <w:rsid w:val="735F4F8D"/>
    <w:rsid w:val="735F732E"/>
    <w:rsid w:val="73770529"/>
    <w:rsid w:val="73927111"/>
    <w:rsid w:val="739509AF"/>
    <w:rsid w:val="73981A6A"/>
    <w:rsid w:val="73993D95"/>
    <w:rsid w:val="73B1673D"/>
    <w:rsid w:val="73DB1357"/>
    <w:rsid w:val="73DC5D6D"/>
    <w:rsid w:val="73ED48DE"/>
    <w:rsid w:val="73FB3986"/>
    <w:rsid w:val="74264B66"/>
    <w:rsid w:val="743106D8"/>
    <w:rsid w:val="74315C18"/>
    <w:rsid w:val="743326A2"/>
    <w:rsid w:val="74341F76"/>
    <w:rsid w:val="74432F34"/>
    <w:rsid w:val="744B4989"/>
    <w:rsid w:val="74553554"/>
    <w:rsid w:val="746A4341"/>
    <w:rsid w:val="74772D3B"/>
    <w:rsid w:val="747A11FA"/>
    <w:rsid w:val="747F3B8D"/>
    <w:rsid w:val="74860DE1"/>
    <w:rsid w:val="74867104"/>
    <w:rsid w:val="748C13E9"/>
    <w:rsid w:val="749C362B"/>
    <w:rsid w:val="74A569A1"/>
    <w:rsid w:val="74CD08FF"/>
    <w:rsid w:val="74CF4BF0"/>
    <w:rsid w:val="74D774D1"/>
    <w:rsid w:val="74DA0D6F"/>
    <w:rsid w:val="74ED458C"/>
    <w:rsid w:val="74F57D17"/>
    <w:rsid w:val="7515798C"/>
    <w:rsid w:val="75276A98"/>
    <w:rsid w:val="752B3379"/>
    <w:rsid w:val="753052DA"/>
    <w:rsid w:val="7531703D"/>
    <w:rsid w:val="753A7158"/>
    <w:rsid w:val="75535169"/>
    <w:rsid w:val="755416E7"/>
    <w:rsid w:val="7559381E"/>
    <w:rsid w:val="755D7560"/>
    <w:rsid w:val="75643654"/>
    <w:rsid w:val="759233F8"/>
    <w:rsid w:val="75AB0156"/>
    <w:rsid w:val="75B275F6"/>
    <w:rsid w:val="75B73335"/>
    <w:rsid w:val="75C8174D"/>
    <w:rsid w:val="75DD479F"/>
    <w:rsid w:val="75EE2A51"/>
    <w:rsid w:val="760466F8"/>
    <w:rsid w:val="76155DAF"/>
    <w:rsid w:val="76270F4E"/>
    <w:rsid w:val="762B7156"/>
    <w:rsid w:val="763C15B6"/>
    <w:rsid w:val="763C3364"/>
    <w:rsid w:val="763F13E4"/>
    <w:rsid w:val="764524F8"/>
    <w:rsid w:val="766B0E8B"/>
    <w:rsid w:val="766F639A"/>
    <w:rsid w:val="7671125F"/>
    <w:rsid w:val="767251C4"/>
    <w:rsid w:val="767825EE"/>
    <w:rsid w:val="7681784F"/>
    <w:rsid w:val="769A6A08"/>
    <w:rsid w:val="76A359ED"/>
    <w:rsid w:val="76A4003D"/>
    <w:rsid w:val="76AF7933"/>
    <w:rsid w:val="76C47E92"/>
    <w:rsid w:val="76C70E7F"/>
    <w:rsid w:val="76CB0372"/>
    <w:rsid w:val="76DD06A3"/>
    <w:rsid w:val="77073175"/>
    <w:rsid w:val="77164EB4"/>
    <w:rsid w:val="771A7379"/>
    <w:rsid w:val="772F66B3"/>
    <w:rsid w:val="77395A5D"/>
    <w:rsid w:val="77541524"/>
    <w:rsid w:val="7767551C"/>
    <w:rsid w:val="776E579F"/>
    <w:rsid w:val="77751095"/>
    <w:rsid w:val="778E7BEF"/>
    <w:rsid w:val="7793255C"/>
    <w:rsid w:val="77A33BC2"/>
    <w:rsid w:val="77AF64E3"/>
    <w:rsid w:val="77DE7E82"/>
    <w:rsid w:val="77E048EF"/>
    <w:rsid w:val="78016613"/>
    <w:rsid w:val="780664B4"/>
    <w:rsid w:val="780E2663"/>
    <w:rsid w:val="783A3744"/>
    <w:rsid w:val="78463A9E"/>
    <w:rsid w:val="78574485"/>
    <w:rsid w:val="78593A3A"/>
    <w:rsid w:val="7864233E"/>
    <w:rsid w:val="786E4CF1"/>
    <w:rsid w:val="7872306D"/>
    <w:rsid w:val="787259C9"/>
    <w:rsid w:val="78763770"/>
    <w:rsid w:val="787A6803"/>
    <w:rsid w:val="789D043A"/>
    <w:rsid w:val="78A90A12"/>
    <w:rsid w:val="78B56424"/>
    <w:rsid w:val="78BD4522"/>
    <w:rsid w:val="78C56624"/>
    <w:rsid w:val="78C732A3"/>
    <w:rsid w:val="78C75C05"/>
    <w:rsid w:val="78D62FDE"/>
    <w:rsid w:val="78D97587"/>
    <w:rsid w:val="78E37794"/>
    <w:rsid w:val="78F006DD"/>
    <w:rsid w:val="78F148D9"/>
    <w:rsid w:val="78F40C42"/>
    <w:rsid w:val="78F735A3"/>
    <w:rsid w:val="78FF680A"/>
    <w:rsid w:val="791536C9"/>
    <w:rsid w:val="791F6FEE"/>
    <w:rsid w:val="79346574"/>
    <w:rsid w:val="795854EB"/>
    <w:rsid w:val="796230E1"/>
    <w:rsid w:val="796C54B2"/>
    <w:rsid w:val="796E36D6"/>
    <w:rsid w:val="7974376B"/>
    <w:rsid w:val="798070D9"/>
    <w:rsid w:val="799B434A"/>
    <w:rsid w:val="79A3306A"/>
    <w:rsid w:val="79B31417"/>
    <w:rsid w:val="79C618C2"/>
    <w:rsid w:val="79D044EF"/>
    <w:rsid w:val="79DF2344"/>
    <w:rsid w:val="79EB11CB"/>
    <w:rsid w:val="7A1A39BC"/>
    <w:rsid w:val="7A262361"/>
    <w:rsid w:val="7A2B7C72"/>
    <w:rsid w:val="7A300164"/>
    <w:rsid w:val="7A341A8C"/>
    <w:rsid w:val="7A490096"/>
    <w:rsid w:val="7A4A2C13"/>
    <w:rsid w:val="7A5F4A89"/>
    <w:rsid w:val="7A611D04"/>
    <w:rsid w:val="7A6830BE"/>
    <w:rsid w:val="7A684727"/>
    <w:rsid w:val="7A715CD2"/>
    <w:rsid w:val="7A7669EB"/>
    <w:rsid w:val="7A835A05"/>
    <w:rsid w:val="7A9509D7"/>
    <w:rsid w:val="7A9571CB"/>
    <w:rsid w:val="7A971560"/>
    <w:rsid w:val="7A9E2D24"/>
    <w:rsid w:val="7AC177D3"/>
    <w:rsid w:val="7ACF29F8"/>
    <w:rsid w:val="7AD05B58"/>
    <w:rsid w:val="7AD76C6A"/>
    <w:rsid w:val="7AE13E1F"/>
    <w:rsid w:val="7AE37A67"/>
    <w:rsid w:val="7AE74F4D"/>
    <w:rsid w:val="7AF75A8B"/>
    <w:rsid w:val="7AFD1314"/>
    <w:rsid w:val="7B017E0B"/>
    <w:rsid w:val="7B160627"/>
    <w:rsid w:val="7B2562F8"/>
    <w:rsid w:val="7B2F3497"/>
    <w:rsid w:val="7B46200C"/>
    <w:rsid w:val="7B537186"/>
    <w:rsid w:val="7B6B0973"/>
    <w:rsid w:val="7B7D25C8"/>
    <w:rsid w:val="7B914A09"/>
    <w:rsid w:val="7BAA3368"/>
    <w:rsid w:val="7BBE77AF"/>
    <w:rsid w:val="7BD531A8"/>
    <w:rsid w:val="7BDD2EF3"/>
    <w:rsid w:val="7BE7325F"/>
    <w:rsid w:val="7BFC5A6F"/>
    <w:rsid w:val="7BFE1EDA"/>
    <w:rsid w:val="7BFE79D6"/>
    <w:rsid w:val="7C0950F5"/>
    <w:rsid w:val="7C0E7550"/>
    <w:rsid w:val="7C122B9D"/>
    <w:rsid w:val="7C146EE1"/>
    <w:rsid w:val="7C262AEC"/>
    <w:rsid w:val="7C370036"/>
    <w:rsid w:val="7C376AA7"/>
    <w:rsid w:val="7C3E1448"/>
    <w:rsid w:val="7C474FFA"/>
    <w:rsid w:val="7C740932"/>
    <w:rsid w:val="7C771287"/>
    <w:rsid w:val="7C793ED9"/>
    <w:rsid w:val="7C835849"/>
    <w:rsid w:val="7C9562FB"/>
    <w:rsid w:val="7C99506C"/>
    <w:rsid w:val="7CB02BDB"/>
    <w:rsid w:val="7CBA29C8"/>
    <w:rsid w:val="7CBD1272"/>
    <w:rsid w:val="7CCE2A52"/>
    <w:rsid w:val="7CD12A58"/>
    <w:rsid w:val="7CD9190C"/>
    <w:rsid w:val="7CDB5CFA"/>
    <w:rsid w:val="7CDE1D6B"/>
    <w:rsid w:val="7CF62BE7"/>
    <w:rsid w:val="7D133070"/>
    <w:rsid w:val="7D1F2A20"/>
    <w:rsid w:val="7D2B0B03"/>
    <w:rsid w:val="7D2F06FE"/>
    <w:rsid w:val="7D4E412B"/>
    <w:rsid w:val="7D50060B"/>
    <w:rsid w:val="7D645554"/>
    <w:rsid w:val="7D6B6AB1"/>
    <w:rsid w:val="7D756C75"/>
    <w:rsid w:val="7D8A03D1"/>
    <w:rsid w:val="7DA97531"/>
    <w:rsid w:val="7DB303AF"/>
    <w:rsid w:val="7DBF5FC7"/>
    <w:rsid w:val="7DC10D1E"/>
    <w:rsid w:val="7DD26A52"/>
    <w:rsid w:val="7DD50326"/>
    <w:rsid w:val="7DDA5B3D"/>
    <w:rsid w:val="7DEA3E2D"/>
    <w:rsid w:val="7DF04C5D"/>
    <w:rsid w:val="7DFA0184"/>
    <w:rsid w:val="7DFA579D"/>
    <w:rsid w:val="7E064983"/>
    <w:rsid w:val="7E132BFC"/>
    <w:rsid w:val="7E1F5511"/>
    <w:rsid w:val="7E22561D"/>
    <w:rsid w:val="7E4C4F67"/>
    <w:rsid w:val="7E726F38"/>
    <w:rsid w:val="7E7B4F17"/>
    <w:rsid w:val="7E815AA9"/>
    <w:rsid w:val="7E8807F6"/>
    <w:rsid w:val="7E9C227B"/>
    <w:rsid w:val="7EAA24BF"/>
    <w:rsid w:val="7EBF15F5"/>
    <w:rsid w:val="7EC02CB6"/>
    <w:rsid w:val="7F062A8E"/>
    <w:rsid w:val="7F1460E7"/>
    <w:rsid w:val="7F1900E5"/>
    <w:rsid w:val="7F2F4AEA"/>
    <w:rsid w:val="7F497E2A"/>
    <w:rsid w:val="7F4F235A"/>
    <w:rsid w:val="7F500AF6"/>
    <w:rsid w:val="7F531F1D"/>
    <w:rsid w:val="7F625F08"/>
    <w:rsid w:val="7F6962F1"/>
    <w:rsid w:val="7F816E66"/>
    <w:rsid w:val="7F845F77"/>
    <w:rsid w:val="7F86582B"/>
    <w:rsid w:val="7FA57EA8"/>
    <w:rsid w:val="7FAC06CC"/>
    <w:rsid w:val="7FAD7F17"/>
    <w:rsid w:val="7FB81CAD"/>
    <w:rsid w:val="7FC6504F"/>
    <w:rsid w:val="7FCC523C"/>
    <w:rsid w:val="7FCF58D8"/>
    <w:rsid w:val="7FD14881"/>
    <w:rsid w:val="7FE40EED"/>
    <w:rsid w:val="7FE87E17"/>
    <w:rsid w:val="7FF750A2"/>
    <w:rsid w:val="7FFB7DE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uiPriority w:val="0"/>
    <w:pPr>
      <w:keepNext/>
      <w:spacing w:line="600" w:lineRule="exact"/>
      <w:ind w:firstLine="0" w:firstLineChars="0"/>
      <w:jc w:val="left"/>
      <w:outlineLvl w:val="1"/>
    </w:pPr>
    <w:rPr>
      <w:b/>
      <w:sz w:val="28"/>
    </w:rPr>
  </w:style>
  <w:style w:type="paragraph" w:styleId="6">
    <w:name w:val="heading 3"/>
    <w:basedOn w:val="1"/>
    <w:next w:val="1"/>
    <w:link w:val="56"/>
    <w:qFormat/>
    <w:uiPriority w:val="0"/>
    <w:pPr>
      <w:keepNext/>
      <w:keepLines/>
      <w:spacing w:before="260" w:after="260" w:line="416" w:lineRule="auto"/>
      <w:outlineLvl w:val="2"/>
    </w:pPr>
    <w:rPr>
      <w:b/>
      <w:bCs/>
      <w:sz w:val="32"/>
      <w:szCs w:val="32"/>
    </w:rPr>
  </w:style>
  <w:style w:type="character" w:default="1" w:styleId="29">
    <w:name w:val="Default Paragraph Font"/>
    <w:qFormat/>
    <w:uiPriority w:val="0"/>
  </w:style>
  <w:style w:type="table" w:default="1" w:styleId="27">
    <w:name w:val="Normal Table"/>
    <w:qFormat/>
    <w:uiPriority w:val="0"/>
    <w:tblPr>
      <w:tblCellMar>
        <w:top w:w="0" w:type="dxa"/>
        <w:left w:w="108" w:type="dxa"/>
        <w:bottom w:w="0" w:type="dxa"/>
        <w:right w:w="108" w:type="dxa"/>
      </w:tblCellMar>
    </w:tblPr>
  </w:style>
  <w:style w:type="paragraph" w:styleId="2">
    <w:name w:val="Body Text First Indent 2"/>
    <w:basedOn w:val="3"/>
    <w:next w:val="1"/>
    <w:link w:val="69"/>
    <w:qFormat/>
    <w:uiPriority w:val="99"/>
    <w:pPr>
      <w:ind w:firstLine="420" w:firstLineChars="200"/>
    </w:pPr>
    <w:rPr>
      <w:rFonts w:ascii="Calibri" w:hAnsi="Calibri"/>
      <w:kern w:val="2"/>
      <w:sz w:val="21"/>
      <w:szCs w:val="22"/>
    </w:rPr>
  </w:style>
  <w:style w:type="paragraph" w:styleId="3">
    <w:name w:val="Body Text Indent"/>
    <w:basedOn w:val="1"/>
    <w:link w:val="60"/>
    <w:qFormat/>
    <w:uiPriority w:val="0"/>
    <w:pPr>
      <w:spacing w:after="120"/>
      <w:ind w:left="420" w:leftChars="200"/>
    </w:pPr>
    <w:rPr>
      <w:kern w:val="0"/>
      <w:sz w:val="24"/>
      <w:szCs w:val="20"/>
    </w:rPr>
  </w:style>
  <w:style w:type="paragraph" w:styleId="7">
    <w:name w:val="Normal Indent"/>
    <w:basedOn w:val="1"/>
    <w:next w:val="8"/>
    <w:link w:val="57"/>
    <w:qFormat/>
    <w:uiPriority w:val="0"/>
    <w:pPr>
      <w:widowControl/>
      <w:adjustRightInd w:val="0"/>
      <w:snapToGrid w:val="0"/>
      <w:spacing w:before="100" w:beforeAutospacing="1" w:after="200"/>
      <w:ind w:firstLine="420" w:firstLineChars="200"/>
      <w:jc w:val="left"/>
    </w:pPr>
    <w:rPr>
      <w:rFonts w:eastAsia="微软雅黑"/>
      <w:kern w:val="0"/>
      <w:sz w:val="22"/>
      <w:szCs w:val="22"/>
    </w:rPr>
  </w:style>
  <w:style w:type="paragraph" w:styleId="8">
    <w:name w:val="Body Text"/>
    <w:basedOn w:val="1"/>
    <w:next w:val="9"/>
    <w:link w:val="59"/>
    <w:qFormat/>
    <w:uiPriority w:val="0"/>
    <w:pPr>
      <w:widowControl/>
      <w:snapToGrid w:val="0"/>
      <w:spacing w:before="60" w:after="160" w:line="259" w:lineRule="auto"/>
      <w:ind w:right="113"/>
    </w:pPr>
    <w:rPr>
      <w:kern w:val="0"/>
      <w:sz w:val="18"/>
      <w:szCs w:val="20"/>
    </w:rPr>
  </w:style>
  <w:style w:type="paragraph" w:styleId="9">
    <w:name w:val="List Bullet 5"/>
    <w:basedOn w:val="1"/>
    <w:qFormat/>
    <w:uiPriority w:val="0"/>
    <w:pPr>
      <w:numPr>
        <w:ilvl w:val="0"/>
        <w:numId w:val="1"/>
      </w:numPr>
    </w:pPr>
  </w:style>
  <w:style w:type="paragraph" w:styleId="10">
    <w:name w:val="Document Map"/>
    <w:basedOn w:val="1"/>
    <w:qFormat/>
    <w:uiPriority w:val="0"/>
    <w:rPr>
      <w:rFonts w:ascii="宋体"/>
      <w:sz w:val="18"/>
      <w:szCs w:val="18"/>
    </w:rPr>
  </w:style>
  <w:style w:type="paragraph" w:styleId="11">
    <w:name w:val="toa heading"/>
    <w:basedOn w:val="1"/>
    <w:next w:val="1"/>
    <w:unhideWhenUsed/>
    <w:qFormat/>
    <w:uiPriority w:val="99"/>
    <w:pPr>
      <w:spacing w:before="120"/>
    </w:pPr>
    <w:rPr>
      <w:rFonts w:ascii="Arial" w:hAnsi="Arial"/>
      <w:sz w:val="24"/>
    </w:rPr>
  </w:style>
  <w:style w:type="paragraph" w:styleId="12">
    <w:name w:val="annotation text"/>
    <w:basedOn w:val="1"/>
    <w:link w:val="58"/>
    <w:qFormat/>
    <w:uiPriority w:val="0"/>
    <w:pPr>
      <w:jc w:val="left"/>
    </w:pPr>
    <w:rPr>
      <w:kern w:val="0"/>
      <w:sz w:val="24"/>
      <w:szCs w:val="20"/>
    </w:rPr>
  </w:style>
  <w:style w:type="paragraph" w:styleId="13">
    <w:name w:val="Plain Text"/>
    <w:basedOn w:val="1"/>
    <w:link w:val="61"/>
    <w:qFormat/>
    <w:uiPriority w:val="99"/>
    <w:pPr>
      <w:adjustRightInd w:val="0"/>
      <w:snapToGrid w:val="0"/>
      <w:spacing w:line="360" w:lineRule="auto"/>
    </w:pPr>
    <w:rPr>
      <w:rFonts w:ascii="宋体" w:hAnsi="Courier New" w:cs="Times New Roman"/>
      <w:szCs w:val="21"/>
    </w:rPr>
  </w:style>
  <w:style w:type="paragraph" w:styleId="14">
    <w:name w:val="Date"/>
    <w:basedOn w:val="1"/>
    <w:next w:val="1"/>
    <w:link w:val="62"/>
    <w:qFormat/>
    <w:uiPriority w:val="0"/>
    <w:pPr>
      <w:ind w:left="100" w:leftChars="2500"/>
    </w:pPr>
    <w:rPr>
      <w:kern w:val="0"/>
      <w:sz w:val="24"/>
      <w:szCs w:val="20"/>
    </w:rPr>
  </w:style>
  <w:style w:type="paragraph" w:styleId="15">
    <w:name w:val="Body Text Indent 2"/>
    <w:basedOn w:val="1"/>
    <w:qFormat/>
    <w:uiPriority w:val="0"/>
    <w:pPr>
      <w:spacing w:before="240" w:line="360" w:lineRule="auto"/>
      <w:ind w:firstLine="560" w:firstLineChars="200"/>
    </w:pPr>
    <w:rPr>
      <w:sz w:val="28"/>
    </w:rPr>
  </w:style>
  <w:style w:type="paragraph" w:styleId="16">
    <w:name w:val="Balloon Text"/>
    <w:basedOn w:val="1"/>
    <w:link w:val="63"/>
    <w:qFormat/>
    <w:uiPriority w:val="0"/>
    <w:rPr>
      <w:kern w:val="0"/>
      <w:sz w:val="18"/>
      <w:szCs w:val="20"/>
    </w:rPr>
  </w:style>
  <w:style w:type="paragraph" w:styleId="17">
    <w:name w:val="footer"/>
    <w:basedOn w:val="1"/>
    <w:link w:val="64"/>
    <w:qFormat/>
    <w:uiPriority w:val="99"/>
    <w:pPr>
      <w:tabs>
        <w:tab w:val="center" w:pos="4153"/>
        <w:tab w:val="right" w:pos="8306"/>
      </w:tabs>
      <w:snapToGrid w:val="0"/>
      <w:jc w:val="left"/>
    </w:pPr>
    <w:rPr>
      <w:kern w:val="0"/>
      <w:sz w:val="18"/>
      <w:szCs w:val="20"/>
    </w:rPr>
  </w:style>
  <w:style w:type="paragraph" w:styleId="18">
    <w:name w:val="header"/>
    <w:basedOn w:val="1"/>
    <w:next w:val="19"/>
    <w:link w:val="65"/>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9">
    <w:name w:val="样式5"/>
    <w:basedOn w:val="20"/>
    <w:next w:val="1"/>
    <w:qFormat/>
    <w:uiPriority w:val="0"/>
    <w:pPr>
      <w:spacing w:before="62" w:beforeLines="20" w:after="62" w:afterLines="20" w:line="480" w:lineRule="exact"/>
      <w:ind w:firstLine="523" w:firstLineChars="218"/>
      <w:jc w:val="both"/>
    </w:pPr>
    <w:rPr>
      <w:i/>
      <w:iCs/>
      <w:sz w:val="24"/>
      <w:szCs w:val="20"/>
    </w:rPr>
  </w:style>
  <w:style w:type="paragraph" w:customStyle="1" w:styleId="20">
    <w:name w:val="正文1"/>
    <w:basedOn w:val="8"/>
    <w:next w:val="1"/>
    <w:qFormat/>
    <w:uiPriority w:val="0"/>
    <w:pPr>
      <w:adjustRightInd w:val="0"/>
      <w:snapToGrid w:val="0"/>
      <w:spacing w:line="500" w:lineRule="atLeast"/>
      <w:ind w:firstLine="567"/>
    </w:pPr>
    <w:rPr>
      <w:rFonts w:ascii="Calibri" w:hAnsi="Calibri"/>
      <w:kern w:val="0"/>
    </w:rPr>
  </w:style>
  <w:style w:type="paragraph" w:styleId="21">
    <w:name w:val="Body Text Indent 3"/>
    <w:basedOn w:val="1"/>
    <w:qFormat/>
    <w:uiPriority w:val="0"/>
    <w:pPr>
      <w:ind w:firstLine="480"/>
    </w:pPr>
    <w:rPr>
      <w:sz w:val="24"/>
      <w:szCs w:val="20"/>
    </w:rPr>
  </w:style>
  <w:style w:type="paragraph" w:styleId="22">
    <w:name w:val="Body Text 2"/>
    <w:basedOn w:val="1"/>
    <w:qFormat/>
    <w:uiPriority w:val="0"/>
    <w:pPr>
      <w:spacing w:line="400" w:lineRule="exact"/>
    </w:pPr>
    <w:rPr>
      <w:b/>
      <w:bCs/>
      <w:sz w:val="28"/>
    </w:rPr>
  </w:style>
  <w:style w:type="paragraph" w:styleId="23">
    <w:name w:val="Normal (Web)"/>
    <w:basedOn w:val="1"/>
    <w:link w:val="66"/>
    <w:qFormat/>
    <w:uiPriority w:val="0"/>
    <w:pPr>
      <w:widowControl/>
      <w:spacing w:before="100" w:beforeAutospacing="1" w:after="100" w:afterAutospacing="1"/>
      <w:jc w:val="left"/>
    </w:pPr>
    <w:rPr>
      <w:rFonts w:ascii="宋体" w:hAnsi="宋体"/>
      <w:kern w:val="0"/>
      <w:sz w:val="24"/>
      <w:szCs w:val="20"/>
    </w:rPr>
  </w:style>
  <w:style w:type="paragraph" w:styleId="24">
    <w:name w:val="Title"/>
    <w:basedOn w:val="1"/>
    <w:next w:val="1"/>
    <w:link w:val="67"/>
    <w:qFormat/>
    <w:uiPriority w:val="99"/>
    <w:pPr>
      <w:spacing w:before="240" w:after="60"/>
      <w:jc w:val="center"/>
      <w:outlineLvl w:val="0"/>
    </w:pPr>
    <w:rPr>
      <w:rFonts w:ascii="Cambria" w:hAnsi="Cambria"/>
      <w:b/>
      <w:bCs/>
      <w:sz w:val="32"/>
      <w:szCs w:val="32"/>
    </w:rPr>
  </w:style>
  <w:style w:type="paragraph" w:styleId="25">
    <w:name w:val="annotation subject"/>
    <w:basedOn w:val="12"/>
    <w:next w:val="12"/>
    <w:link w:val="68"/>
    <w:qFormat/>
    <w:uiPriority w:val="0"/>
    <w:rPr>
      <w:b/>
      <w:kern w:val="2"/>
    </w:rPr>
  </w:style>
  <w:style w:type="paragraph" w:styleId="26">
    <w:name w:val="Body Text First Indent"/>
    <w:basedOn w:val="8"/>
    <w:next w:val="1"/>
    <w:qFormat/>
    <w:uiPriority w:val="0"/>
    <w:pPr>
      <w:adjustRightInd w:val="0"/>
      <w:snapToGrid w:val="0"/>
      <w:spacing w:line="500" w:lineRule="exact"/>
      <w:ind w:firstLine="480"/>
    </w:pPr>
    <w:rPr>
      <w:szCs w:val="18"/>
    </w:rPr>
  </w:style>
  <w:style w:type="table" w:styleId="28">
    <w:name w:val="Table Grid"/>
    <w:basedOn w:val="27"/>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basedOn w:val="29"/>
    <w:qFormat/>
    <w:uiPriority w:val="0"/>
    <w:rPr>
      <w:b/>
      <w:bCs/>
    </w:rPr>
  </w:style>
  <w:style w:type="character" w:styleId="31">
    <w:name w:val="page number"/>
    <w:qFormat/>
    <w:uiPriority w:val="0"/>
  </w:style>
  <w:style w:type="character" w:styleId="32">
    <w:name w:val="FollowedHyperlink"/>
    <w:basedOn w:val="29"/>
    <w:qFormat/>
    <w:uiPriority w:val="0"/>
    <w:rPr>
      <w:color w:val="800080"/>
      <w:u w:val="none"/>
    </w:rPr>
  </w:style>
  <w:style w:type="character" w:styleId="33">
    <w:name w:val="Emphasis"/>
    <w:basedOn w:val="29"/>
    <w:qFormat/>
    <w:uiPriority w:val="0"/>
  </w:style>
  <w:style w:type="character" w:styleId="34">
    <w:name w:val="HTML Definition"/>
    <w:basedOn w:val="29"/>
    <w:qFormat/>
    <w:uiPriority w:val="0"/>
  </w:style>
  <w:style w:type="character" w:styleId="35">
    <w:name w:val="HTML Variable"/>
    <w:basedOn w:val="29"/>
    <w:qFormat/>
    <w:uiPriority w:val="0"/>
  </w:style>
  <w:style w:type="character" w:styleId="36">
    <w:name w:val="Hyperlink"/>
    <w:qFormat/>
    <w:uiPriority w:val="99"/>
    <w:rPr>
      <w:color w:val="0000FF"/>
      <w:u w:val="single"/>
    </w:rPr>
  </w:style>
  <w:style w:type="character" w:styleId="37">
    <w:name w:val="HTML Code"/>
    <w:basedOn w:val="29"/>
    <w:qFormat/>
    <w:uiPriority w:val="0"/>
    <w:rPr>
      <w:rFonts w:ascii="Courier New" w:hAnsi="Courier New"/>
      <w:sz w:val="20"/>
    </w:rPr>
  </w:style>
  <w:style w:type="character" w:styleId="38">
    <w:name w:val="annotation reference"/>
    <w:qFormat/>
    <w:uiPriority w:val="0"/>
    <w:rPr>
      <w:sz w:val="21"/>
    </w:rPr>
  </w:style>
  <w:style w:type="character" w:styleId="39">
    <w:name w:val="HTML Cite"/>
    <w:basedOn w:val="29"/>
    <w:qFormat/>
    <w:uiPriority w:val="0"/>
  </w:style>
  <w:style w:type="character" w:styleId="40">
    <w:name w:val="HTML Keyboard"/>
    <w:basedOn w:val="29"/>
    <w:qFormat/>
    <w:uiPriority w:val="0"/>
    <w:rPr>
      <w:rFonts w:ascii="Courier New" w:hAnsi="Courier New"/>
      <w:sz w:val="20"/>
    </w:rPr>
  </w:style>
  <w:style w:type="character" w:styleId="41">
    <w:name w:val="HTML Sample"/>
    <w:basedOn w:val="29"/>
    <w:qFormat/>
    <w:uiPriority w:val="0"/>
    <w:rPr>
      <w:rFonts w:ascii="Courier New" w:hAnsi="Courier New"/>
    </w:rPr>
  </w:style>
  <w:style w:type="paragraph" w:customStyle="1" w:styleId="42">
    <w:name w:val="TOC 31"/>
    <w:next w:val="1"/>
    <w:qFormat/>
    <w:uiPriority w:val="0"/>
    <w:pPr>
      <w:wordWrap w:val="0"/>
      <w:ind w:left="850"/>
      <w:jc w:val="both"/>
    </w:pPr>
    <w:rPr>
      <w:rFonts w:ascii="Times New Roman" w:hAnsi="Times New Roman" w:eastAsia="宋体" w:cs="Times New Roman"/>
      <w:sz w:val="21"/>
      <w:szCs w:val="22"/>
      <w:lang w:val="en-US" w:eastAsia="zh-CN" w:bidi="ar-SA"/>
    </w:rPr>
  </w:style>
  <w:style w:type="paragraph" w:customStyle="1" w:styleId="43">
    <w:name w:val="样式 正文文本缩进 + 行距: 1.5 倍行距"/>
    <w:basedOn w:val="44"/>
    <w:next w:val="18"/>
    <w:qFormat/>
    <w:uiPriority w:val="0"/>
    <w:pPr>
      <w:spacing w:after="120" w:line="360" w:lineRule="auto"/>
      <w:ind w:left="90" w:leftChars="32" w:firstLine="560" w:firstLineChars="200"/>
    </w:pPr>
    <w:rPr>
      <w:rFonts w:cs="宋体"/>
      <w:sz w:val="24"/>
    </w:rPr>
  </w:style>
  <w:style w:type="paragraph" w:customStyle="1" w:styleId="44">
    <w:name w:val="正文文本缩进1"/>
    <w:basedOn w:val="1"/>
    <w:next w:val="43"/>
    <w:qFormat/>
    <w:uiPriority w:val="0"/>
    <w:pPr>
      <w:spacing w:after="120"/>
      <w:ind w:left="420" w:leftChars="200"/>
    </w:pPr>
    <w:rPr>
      <w:sz w:val="24"/>
    </w:rPr>
  </w:style>
  <w:style w:type="paragraph" w:customStyle="1" w:styleId="45">
    <w:name w:val="Date1"/>
    <w:next w:val="1"/>
    <w:qFormat/>
    <w:uiPriority w:val="0"/>
    <w:pPr>
      <w:widowControl w:val="0"/>
      <w:spacing w:line="440" w:lineRule="exact"/>
      <w:ind w:firstLine="928" w:firstLineChars="200"/>
      <w:jc w:val="both"/>
    </w:pPr>
    <w:rPr>
      <w:rFonts w:ascii="Times New Roman" w:hAnsi="Times New Roman" w:eastAsia="宋体" w:cstheme="minorBidi"/>
      <w:kern w:val="2"/>
      <w:sz w:val="21"/>
      <w:szCs w:val="20"/>
      <w:lang w:val="en-US" w:eastAsia="zh-CN" w:bidi="ar-SA"/>
    </w:rPr>
  </w:style>
  <w:style w:type="paragraph" w:customStyle="1" w:styleId="46">
    <w:name w:val="Body Text Indent"/>
    <w:basedOn w:val="1"/>
    <w:next w:val="43"/>
    <w:qFormat/>
    <w:uiPriority w:val="0"/>
    <w:pPr>
      <w:spacing w:after="120" w:afterLines="0"/>
      <w:ind w:left="420" w:leftChars="200"/>
    </w:pPr>
    <w:rPr>
      <w:rFonts w:ascii="Times New Roman" w:hAnsi="Times New Roman" w:eastAsia="宋体"/>
      <w:sz w:val="24"/>
    </w:rPr>
  </w:style>
  <w:style w:type="paragraph" w:customStyle="1" w:styleId="47">
    <w:name w:val="正文11"/>
    <w:basedOn w:val="1"/>
    <w:qFormat/>
    <w:uiPriority w:val="0"/>
    <w:pPr>
      <w:adjustRightInd w:val="0"/>
      <w:snapToGrid w:val="0"/>
      <w:spacing w:line="360" w:lineRule="auto"/>
      <w:ind w:firstLine="420" w:firstLineChars="200"/>
    </w:pPr>
    <w:rPr>
      <w:color w:val="000000"/>
      <w:sz w:val="24"/>
    </w:rPr>
  </w:style>
  <w:style w:type="paragraph" w:customStyle="1" w:styleId="48">
    <w:name w:val="Default"/>
    <w:basedOn w:val="49"/>
    <w:next w:val="50"/>
    <w:qFormat/>
    <w:uiPriority w:val="0"/>
    <w:pPr>
      <w:widowControl w:val="0"/>
      <w:autoSpaceDE w:val="0"/>
      <w:autoSpaceDN w:val="0"/>
      <w:adjustRightInd w:val="0"/>
    </w:pPr>
    <w:rPr>
      <w:rFonts w:hint="eastAsia" w:ascii="宋体" w:hAnsi="宋体" w:eastAsia="宋体" w:cs="Times New Roman"/>
      <w:color w:val="000000"/>
      <w:sz w:val="24"/>
      <w:szCs w:val="22"/>
      <w:lang w:val="en-US" w:eastAsia="zh-CN" w:bidi="ar-SA"/>
    </w:rPr>
  </w:style>
  <w:style w:type="paragraph" w:customStyle="1" w:styleId="49">
    <w:name w:val="纯文本1"/>
    <w:basedOn w:val="1"/>
    <w:qFormat/>
    <w:uiPriority w:val="0"/>
    <w:pPr>
      <w:adjustRightInd w:val="0"/>
    </w:pPr>
    <w:rPr>
      <w:rFonts w:ascii="宋体" w:hAnsi="Courier New"/>
      <w:szCs w:val="20"/>
    </w:rPr>
  </w:style>
  <w:style w:type="paragraph" w:customStyle="1" w:styleId="50">
    <w:name w:val="样式35"/>
    <w:basedOn w:val="1"/>
    <w:next w:val="1"/>
    <w:qFormat/>
    <w:uiPriority w:val="0"/>
    <w:pPr>
      <w:spacing w:line="312" w:lineRule="auto"/>
      <w:ind w:firstLine="567"/>
    </w:pPr>
    <w:rPr>
      <w:rFonts w:ascii="宋体"/>
      <w:sz w:val="28"/>
    </w:rPr>
  </w:style>
  <w:style w:type="paragraph" w:customStyle="1" w:styleId="51">
    <w:name w:val="图框文字"/>
    <w:basedOn w:val="1"/>
    <w:qFormat/>
    <w:uiPriority w:val="0"/>
    <w:pPr>
      <w:jc w:val="center"/>
      <w:textAlignment w:val="center"/>
    </w:pPr>
  </w:style>
  <w:style w:type="paragraph" w:customStyle="1" w:styleId="52">
    <w:name w:val="正文 首行缩进:  2 字符"/>
    <w:basedOn w:val="1"/>
    <w:qFormat/>
    <w:uiPriority w:val="0"/>
    <w:pPr>
      <w:adjustRightInd w:val="0"/>
      <w:snapToGrid w:val="0"/>
      <w:spacing w:line="500" w:lineRule="exact"/>
      <w:ind w:firstLine="200" w:firstLineChars="200"/>
      <w:jc w:val="left"/>
    </w:pPr>
    <w:rPr>
      <w:rFonts w:cs="宋体"/>
      <w:sz w:val="24"/>
      <w:szCs w:val="20"/>
    </w:rPr>
  </w:style>
  <w:style w:type="paragraph" w:customStyle="1" w:styleId="53">
    <w:name w:val="引文目录标题1"/>
    <w:basedOn w:val="1"/>
    <w:next w:val="1"/>
    <w:qFormat/>
    <w:uiPriority w:val="0"/>
    <w:pPr>
      <w:widowControl/>
      <w:ind w:firstLine="200"/>
    </w:pPr>
    <w:rPr>
      <w:rFonts w:eastAsia="仿宋_GB2312"/>
    </w:rPr>
  </w:style>
  <w:style w:type="paragraph" w:customStyle="1" w:styleId="54">
    <w:name w:val="Body Text Indent2"/>
    <w:basedOn w:val="1"/>
    <w:next w:val="43"/>
    <w:qFormat/>
    <w:uiPriority w:val="0"/>
    <w:pPr>
      <w:spacing w:after="120" w:afterLines="0"/>
      <w:ind w:left="420" w:leftChars="200"/>
    </w:pPr>
    <w:rPr>
      <w:rFonts w:ascii="Times New Roman" w:hAnsi="Times New Roman" w:eastAsia="宋体"/>
      <w:sz w:val="24"/>
    </w:rPr>
  </w:style>
  <w:style w:type="paragraph" w:customStyle="1" w:styleId="55">
    <w:name w:val="UserStyle_0"/>
    <w:qFormat/>
    <w:uiPriority w:val="0"/>
    <w:pPr>
      <w:spacing w:after="200" w:line="276" w:lineRule="auto"/>
      <w:textAlignment w:val="baseline"/>
    </w:pPr>
    <w:rPr>
      <w:rFonts w:ascii="华文中宋" w:hAnsi="Droid Sans" w:eastAsia="华文中宋" w:cs="Times New Roman"/>
      <w:color w:val="000000"/>
      <w:sz w:val="24"/>
      <w:szCs w:val="24"/>
      <w:lang w:val="en-US" w:eastAsia="zh-CN" w:bidi="ar-SA"/>
    </w:rPr>
  </w:style>
  <w:style w:type="character" w:customStyle="1" w:styleId="56">
    <w:name w:val="标题 3 Char"/>
    <w:link w:val="6"/>
    <w:qFormat/>
    <w:uiPriority w:val="0"/>
    <w:rPr>
      <w:b/>
      <w:bCs/>
      <w:kern w:val="2"/>
      <w:sz w:val="32"/>
      <w:szCs w:val="32"/>
    </w:rPr>
  </w:style>
  <w:style w:type="character" w:customStyle="1" w:styleId="57">
    <w:name w:val="正文缩进 Char"/>
    <w:link w:val="7"/>
    <w:qFormat/>
    <w:uiPriority w:val="0"/>
    <w:rPr>
      <w:rFonts w:eastAsia="微软雅黑"/>
      <w:sz w:val="22"/>
      <w:szCs w:val="22"/>
    </w:rPr>
  </w:style>
  <w:style w:type="character" w:customStyle="1" w:styleId="58">
    <w:name w:val="批注文字 Char"/>
    <w:link w:val="12"/>
    <w:qFormat/>
    <w:uiPriority w:val="0"/>
    <w:rPr>
      <w:rFonts w:ascii="Times New Roman" w:hAnsi="Times New Roman" w:eastAsia="宋体"/>
      <w:sz w:val="24"/>
    </w:rPr>
  </w:style>
  <w:style w:type="character" w:customStyle="1" w:styleId="59">
    <w:name w:val="正文文本 Char"/>
    <w:link w:val="8"/>
    <w:qFormat/>
    <w:uiPriority w:val="0"/>
    <w:rPr>
      <w:sz w:val="18"/>
    </w:rPr>
  </w:style>
  <w:style w:type="character" w:customStyle="1" w:styleId="60">
    <w:name w:val="正文文本缩进 Char"/>
    <w:link w:val="3"/>
    <w:qFormat/>
    <w:uiPriority w:val="0"/>
    <w:rPr>
      <w:rFonts w:ascii="Times New Roman" w:hAnsi="Times New Roman" w:eastAsia="宋体"/>
      <w:sz w:val="24"/>
    </w:rPr>
  </w:style>
  <w:style w:type="character" w:customStyle="1" w:styleId="61">
    <w:name w:val="纯文本 Char"/>
    <w:basedOn w:val="29"/>
    <w:link w:val="13"/>
    <w:qFormat/>
    <w:uiPriority w:val="99"/>
    <w:rPr>
      <w:rFonts w:ascii="宋体" w:hAnsi="Courier New"/>
      <w:kern w:val="2"/>
      <w:sz w:val="21"/>
      <w:szCs w:val="21"/>
    </w:rPr>
  </w:style>
  <w:style w:type="character" w:customStyle="1" w:styleId="62">
    <w:name w:val="日期 Char"/>
    <w:link w:val="14"/>
    <w:qFormat/>
    <w:uiPriority w:val="0"/>
    <w:rPr>
      <w:rFonts w:ascii="Times New Roman" w:hAnsi="Times New Roman" w:eastAsia="宋体"/>
      <w:sz w:val="24"/>
    </w:rPr>
  </w:style>
  <w:style w:type="character" w:customStyle="1" w:styleId="63">
    <w:name w:val="批注框文本 Char"/>
    <w:link w:val="16"/>
    <w:qFormat/>
    <w:uiPriority w:val="0"/>
    <w:rPr>
      <w:rFonts w:ascii="Times New Roman" w:hAnsi="Times New Roman" w:eastAsia="宋体"/>
      <w:sz w:val="18"/>
    </w:rPr>
  </w:style>
  <w:style w:type="character" w:customStyle="1" w:styleId="64">
    <w:name w:val="页脚 Char"/>
    <w:link w:val="17"/>
    <w:qFormat/>
    <w:uiPriority w:val="99"/>
    <w:rPr>
      <w:sz w:val="18"/>
    </w:rPr>
  </w:style>
  <w:style w:type="character" w:customStyle="1" w:styleId="65">
    <w:name w:val="页眉 Char"/>
    <w:link w:val="18"/>
    <w:qFormat/>
    <w:uiPriority w:val="0"/>
    <w:rPr>
      <w:sz w:val="18"/>
    </w:rPr>
  </w:style>
  <w:style w:type="character" w:customStyle="1" w:styleId="66">
    <w:name w:val="普通(网站) Char"/>
    <w:link w:val="23"/>
    <w:qFormat/>
    <w:uiPriority w:val="0"/>
    <w:rPr>
      <w:rFonts w:ascii="宋体" w:hAnsi="宋体" w:eastAsia="宋体"/>
      <w:sz w:val="24"/>
    </w:rPr>
  </w:style>
  <w:style w:type="character" w:customStyle="1" w:styleId="67">
    <w:name w:val="标题 Char"/>
    <w:link w:val="24"/>
    <w:qFormat/>
    <w:uiPriority w:val="99"/>
    <w:rPr>
      <w:rFonts w:ascii="Cambria" w:hAnsi="Cambria" w:cs="Times New Roman"/>
      <w:b/>
      <w:bCs/>
      <w:kern w:val="2"/>
      <w:sz w:val="32"/>
      <w:szCs w:val="32"/>
    </w:rPr>
  </w:style>
  <w:style w:type="character" w:customStyle="1" w:styleId="68">
    <w:name w:val="批注主题 Char"/>
    <w:link w:val="25"/>
    <w:qFormat/>
    <w:uiPriority w:val="0"/>
    <w:rPr>
      <w:rFonts w:ascii="Times New Roman" w:hAnsi="Times New Roman" w:eastAsia="宋体"/>
      <w:b/>
      <w:kern w:val="2"/>
      <w:sz w:val="24"/>
    </w:rPr>
  </w:style>
  <w:style w:type="character" w:customStyle="1" w:styleId="69">
    <w:name w:val="正文首行缩进 2 Char"/>
    <w:link w:val="2"/>
    <w:qFormat/>
    <w:uiPriority w:val="99"/>
    <w:rPr>
      <w:rFonts w:ascii="Calibri" w:hAnsi="Calibri" w:eastAsia="宋体" w:cs="Times New Roman"/>
      <w:kern w:val="2"/>
      <w:sz w:val="21"/>
      <w:szCs w:val="22"/>
    </w:rPr>
  </w:style>
  <w:style w:type="character" w:customStyle="1" w:styleId="70">
    <w:name w:val="批注文字 字符1"/>
    <w:qFormat/>
    <w:uiPriority w:val="0"/>
    <w:rPr>
      <w:rFonts w:ascii="Times New Roman" w:hAnsi="Times New Roman" w:eastAsia="宋体"/>
      <w:sz w:val="24"/>
    </w:rPr>
  </w:style>
  <w:style w:type="character" w:customStyle="1" w:styleId="71">
    <w:name w:val="日期 字符"/>
    <w:qFormat/>
    <w:uiPriority w:val="0"/>
    <w:rPr>
      <w:rFonts w:ascii="Times New Roman" w:hAnsi="Times New Roman" w:eastAsia="宋体"/>
      <w:sz w:val="24"/>
    </w:rPr>
  </w:style>
  <w:style w:type="character" w:customStyle="1" w:styleId="72">
    <w:name w:val="表格 Char"/>
    <w:link w:val="73"/>
    <w:qFormat/>
    <w:uiPriority w:val="0"/>
    <w:rPr>
      <w:rFonts w:ascii="宋体"/>
      <w:sz w:val="21"/>
    </w:rPr>
  </w:style>
  <w:style w:type="paragraph" w:customStyle="1" w:styleId="73">
    <w:name w:val="表格"/>
    <w:basedOn w:val="74"/>
    <w:next w:val="1"/>
    <w:link w:val="72"/>
    <w:qFormat/>
    <w:uiPriority w:val="0"/>
    <w:pPr>
      <w:adjustRightInd w:val="0"/>
      <w:snapToGrid w:val="0"/>
      <w:spacing w:beforeLines="10" w:afterLines="10" w:line="259" w:lineRule="auto"/>
      <w:jc w:val="center"/>
    </w:pPr>
    <w:rPr>
      <w:rFonts w:ascii="宋体"/>
      <w:kern w:val="0"/>
      <w:szCs w:val="20"/>
    </w:rPr>
  </w:style>
  <w:style w:type="paragraph" w:customStyle="1" w:styleId="74">
    <w:name w:val="表格使用文字"/>
    <w:basedOn w:val="1"/>
    <w:qFormat/>
    <w:uiPriority w:val="99"/>
    <w:pPr>
      <w:jc w:val="center"/>
    </w:pPr>
    <w:rPr>
      <w:color w:val="000000"/>
      <w:szCs w:val="21"/>
    </w:rPr>
  </w:style>
  <w:style w:type="character" w:customStyle="1" w:styleId="75">
    <w:name w:val="页脚 字符"/>
    <w:qFormat/>
    <w:uiPriority w:val="99"/>
  </w:style>
  <w:style w:type="character" w:customStyle="1" w:styleId="76">
    <w:name w:val="正文文本 字符1"/>
    <w:qFormat/>
    <w:uiPriority w:val="0"/>
    <w:rPr>
      <w:rFonts w:ascii="Times New Roman" w:hAnsi="Times New Roman" w:eastAsia="宋体"/>
      <w:sz w:val="24"/>
    </w:rPr>
  </w:style>
  <w:style w:type="paragraph" w:customStyle="1" w:styleId="77">
    <w:name w:val="正文2"/>
    <w:qFormat/>
    <w:uiPriority w:val="0"/>
    <w:pPr>
      <w:jc w:val="both"/>
    </w:pPr>
    <w:rPr>
      <w:rFonts w:ascii="Calibri" w:hAnsi="Calibri" w:eastAsia="宋体" w:cs="宋体"/>
      <w:kern w:val="2"/>
      <w:sz w:val="21"/>
      <w:szCs w:val="21"/>
      <w:lang w:val="en-US" w:eastAsia="zh-CN" w:bidi="ar-SA"/>
    </w:rPr>
  </w:style>
  <w:style w:type="paragraph" w:customStyle="1" w:styleId="7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9">
    <w:name w:val="表格使用"/>
    <w:basedOn w:val="1"/>
    <w:qFormat/>
    <w:uiPriority w:val="0"/>
    <w:pPr>
      <w:snapToGrid w:val="0"/>
      <w:jc w:val="center"/>
    </w:pPr>
    <w:rPr>
      <w:szCs w:val="21"/>
    </w:rPr>
  </w:style>
  <w:style w:type="paragraph" w:customStyle="1" w:styleId="80">
    <w:name w:val="样式 首行缩进:  0.85 厘米 行距: 1.5 倍行距"/>
    <w:basedOn w:val="1"/>
    <w:qFormat/>
    <w:uiPriority w:val="0"/>
    <w:pPr>
      <w:ind w:left="-28" w:firstLine="561"/>
      <w:jc w:val="both"/>
    </w:pPr>
    <w:rPr>
      <w:bCs/>
      <w:szCs w:val="20"/>
    </w:rPr>
  </w:style>
  <w:style w:type="paragraph" w:customStyle="1" w:styleId="81">
    <w:name w:val="Normal_4e4381cc-63ea-4b2a-9640-499d7b45caf1"/>
    <w:qFormat/>
    <w:uiPriority w:val="0"/>
    <w:pPr>
      <w:jc w:val="both"/>
    </w:pPr>
    <w:rPr>
      <w:rFonts w:ascii="Times New Roman" w:hAnsi="Times New Roman" w:eastAsia="宋体" w:cs="Times New Roman"/>
      <w:kern w:val="2"/>
      <w:sz w:val="21"/>
      <w:szCs w:val="21"/>
      <w:lang w:val="en-US" w:eastAsia="zh-CN" w:bidi="ar-SA"/>
    </w:rPr>
  </w:style>
  <w:style w:type="paragraph" w:customStyle="1" w:styleId="82">
    <w:name w:val="正文5"/>
    <w:qFormat/>
    <w:uiPriority w:val="0"/>
    <w:pPr>
      <w:jc w:val="both"/>
    </w:pPr>
    <w:rPr>
      <w:rFonts w:ascii="Times New Roman" w:hAnsi="Times New Roman" w:eastAsia="宋体" w:cs="Times New Roman"/>
      <w:kern w:val="2"/>
      <w:sz w:val="21"/>
      <w:szCs w:val="21"/>
      <w:lang w:val="en-US" w:eastAsia="zh-CN" w:bidi="ar-SA"/>
    </w:rPr>
  </w:style>
  <w:style w:type="paragraph" w:customStyle="1" w:styleId="83">
    <w:name w:val="正文 首行缩进: 2 字符"/>
    <w:basedOn w:val="1"/>
    <w:qFormat/>
    <w:uiPriority w:val="0"/>
    <w:pPr>
      <w:adjustRightInd w:val="0"/>
      <w:snapToGrid w:val="0"/>
      <w:spacing w:line="500" w:lineRule="exact"/>
      <w:ind w:firstLine="200" w:firstLineChars="200"/>
      <w:jc w:val="left"/>
    </w:pPr>
    <w:rPr>
      <w:sz w:val="24"/>
    </w:rPr>
  </w:style>
  <w:style w:type="paragraph" w:customStyle="1" w:styleId="84">
    <w:name w:val="表 头"/>
    <w:basedOn w:val="1"/>
    <w:qFormat/>
    <w:uiPriority w:val="0"/>
    <w:pPr>
      <w:adjustRightInd w:val="0"/>
      <w:spacing w:before="50" w:beforeLines="50" w:after="50" w:afterLines="50"/>
      <w:jc w:val="center"/>
    </w:pPr>
    <w:rPr>
      <w:rFonts w:ascii="黑体" w:eastAsia="黑体"/>
      <w:kern w:val="0"/>
      <w:szCs w:val="21"/>
    </w:rPr>
  </w:style>
  <w:style w:type="paragraph" w:customStyle="1" w:styleId="8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6">
    <w:name w:val="Table Paragraph"/>
    <w:basedOn w:val="1"/>
    <w:qFormat/>
    <w:uiPriority w:val="0"/>
    <w:rPr>
      <w:szCs w:val="21"/>
    </w:rPr>
  </w:style>
  <w:style w:type="paragraph" w:customStyle="1" w:styleId="87">
    <w:name w:val="帅哥的样式"/>
    <w:basedOn w:val="1"/>
    <w:qFormat/>
    <w:uiPriority w:val="0"/>
    <w:pPr>
      <w:spacing w:line="360" w:lineRule="auto"/>
      <w:ind w:firstLine="200" w:firstLineChars="200"/>
    </w:pPr>
    <w:rPr>
      <w:kern w:val="0"/>
      <w:sz w:val="24"/>
    </w:rPr>
  </w:style>
  <w:style w:type="paragraph" w:customStyle="1" w:styleId="88">
    <w:name w:val="表格字体"/>
    <w:basedOn w:val="1"/>
    <w:qFormat/>
    <w:uiPriority w:val="0"/>
    <w:pPr>
      <w:adjustRightInd w:val="0"/>
      <w:spacing w:line="300" w:lineRule="exact"/>
      <w:jc w:val="center"/>
    </w:pPr>
    <w:rPr>
      <w:color w:val="000000"/>
      <w:sz w:val="18"/>
      <w:szCs w:val="18"/>
    </w:rPr>
  </w:style>
  <w:style w:type="paragraph" w:customStyle="1" w:styleId="89">
    <w:name w:val="正文6"/>
    <w:basedOn w:val="1"/>
    <w:qFormat/>
    <w:uiPriority w:val="0"/>
    <w:pPr>
      <w:widowControl/>
    </w:pPr>
    <w:rPr>
      <w:szCs w:val="21"/>
    </w:rPr>
  </w:style>
  <w:style w:type="paragraph" w:customStyle="1" w:styleId="90">
    <w:name w:val="三级"/>
    <w:basedOn w:val="1"/>
    <w:qFormat/>
    <w:uiPriority w:val="0"/>
    <w:pPr>
      <w:adjustRightInd w:val="0"/>
      <w:snapToGrid w:val="0"/>
      <w:ind w:firstLine="0" w:firstLineChars="0"/>
      <w:jc w:val="left"/>
      <w:outlineLvl w:val="2"/>
    </w:pPr>
    <w:rPr>
      <w:b/>
      <w:kern w:val="0"/>
      <w:szCs w:val="24"/>
    </w:rPr>
  </w:style>
  <w:style w:type="paragraph" w:customStyle="1" w:styleId="91">
    <w:name w:val="正文3"/>
    <w:qFormat/>
    <w:uiPriority w:val="0"/>
    <w:pPr>
      <w:jc w:val="both"/>
    </w:pPr>
    <w:rPr>
      <w:rFonts w:ascii="Calibri" w:hAnsi="Calibri" w:eastAsia="宋体" w:cs="宋体"/>
      <w:kern w:val="2"/>
      <w:sz w:val="21"/>
      <w:szCs w:val="21"/>
      <w:lang w:val="en-US" w:eastAsia="zh-CN" w:bidi="ar-SA"/>
    </w:rPr>
  </w:style>
  <w:style w:type="paragraph" w:customStyle="1" w:styleId="92">
    <w:name w:val="标题-图表"/>
    <w:basedOn w:val="1"/>
    <w:qFormat/>
    <w:uiPriority w:val="0"/>
    <w:pPr>
      <w:spacing w:line="500" w:lineRule="exact"/>
      <w:jc w:val="center"/>
    </w:pPr>
    <w:rPr>
      <w:rFonts w:ascii="黑体" w:eastAsia="黑体"/>
      <w:sz w:val="24"/>
    </w:rPr>
  </w:style>
  <w:style w:type="paragraph" w:styleId="93">
    <w:name w:val="List Paragraph"/>
    <w:basedOn w:val="1"/>
    <w:qFormat/>
    <w:uiPriority w:val="34"/>
    <w:pPr>
      <w:ind w:firstLine="420" w:firstLineChars="200"/>
    </w:pPr>
  </w:style>
  <w:style w:type="paragraph" w:customStyle="1" w:styleId="94">
    <w:name w:val="聪表标题"/>
    <w:basedOn w:val="1"/>
    <w:qFormat/>
    <w:uiPriority w:val="0"/>
    <w:pPr>
      <w:spacing w:line="360" w:lineRule="auto"/>
      <w:jc w:val="center"/>
    </w:pPr>
    <w:rPr>
      <w:rFonts w:ascii="黑体" w:hAnsi="黑体" w:eastAsia="黑体"/>
      <w:sz w:val="24"/>
      <w:szCs w:val="24"/>
    </w:rPr>
  </w:style>
  <w:style w:type="paragraph" w:customStyle="1" w:styleId="95">
    <w:name w:val="表格内容"/>
    <w:basedOn w:val="7"/>
    <w:next w:val="1"/>
    <w:qFormat/>
    <w:uiPriority w:val="0"/>
    <w:pPr>
      <w:adjustRightInd w:val="0"/>
      <w:spacing w:line="240" w:lineRule="auto"/>
      <w:jc w:val="center"/>
      <w:textAlignment w:val="baseline"/>
    </w:pPr>
    <w:rPr>
      <w:sz w:val="21"/>
      <w:szCs w:val="21"/>
    </w:rPr>
  </w:style>
  <w:style w:type="paragraph" w:customStyle="1" w:styleId="96">
    <w:name w:val="表格样式"/>
    <w:basedOn w:val="1"/>
    <w:qFormat/>
    <w:uiPriority w:val="0"/>
    <w:pPr>
      <w:spacing w:line="360" w:lineRule="exact"/>
      <w:jc w:val="center"/>
    </w:pPr>
    <w:rPr>
      <w:color w:val="000000"/>
      <w:szCs w:val="21"/>
    </w:rPr>
  </w:style>
  <w:style w:type="character" w:customStyle="1" w:styleId="97">
    <w:name w:val="disabled"/>
    <w:basedOn w:val="29"/>
    <w:qFormat/>
    <w:uiPriority w:val="0"/>
    <w:rPr>
      <w:vanish/>
    </w:rPr>
  </w:style>
  <w:style w:type="character" w:customStyle="1" w:styleId="98">
    <w:name w:val="znspantitle"/>
    <w:basedOn w:val="29"/>
    <w:qFormat/>
    <w:uiPriority w:val="0"/>
    <w:rPr>
      <w:b/>
      <w:color w:val="333333"/>
    </w:rPr>
  </w:style>
  <w:style w:type="character" w:customStyle="1" w:styleId="99">
    <w:name w:val="font11"/>
    <w:basedOn w:val="29"/>
    <w:qFormat/>
    <w:uiPriority w:val="0"/>
    <w:rPr>
      <w:rFonts w:hint="default" w:ascii="Times New Roman" w:hAnsi="Times New Roman" w:cs="Times New Roman"/>
      <w:color w:val="000000"/>
      <w:sz w:val="21"/>
      <w:szCs w:val="21"/>
      <w:u w:val="none"/>
    </w:rPr>
  </w:style>
  <w:style w:type="paragraph" w:customStyle="1" w:styleId="100">
    <w:name w:val="表头"/>
    <w:basedOn w:val="1"/>
    <w:next w:val="1"/>
    <w:qFormat/>
    <w:uiPriority w:val="0"/>
    <w:pPr>
      <w:adjustRightInd w:val="0"/>
      <w:spacing w:before="80" w:beforeLines="0" w:after="80" w:afterLines="0"/>
      <w:jc w:val="center"/>
    </w:pPr>
    <w:rPr>
      <w:rFonts w:hint="eastAsia" w:ascii="仿宋_GB2312" w:eastAsia="仿宋_GB2312"/>
      <w:kern w:val="0"/>
      <w:sz w:val="24"/>
      <w:szCs w:val="20"/>
    </w:rPr>
  </w:style>
  <w:style w:type="paragraph" w:customStyle="1" w:styleId="101">
    <w:name w:val="正文001"/>
    <w:basedOn w:val="1"/>
    <w:qFormat/>
    <w:uiPriority w:val="0"/>
    <w:pPr>
      <w:spacing w:line="460" w:lineRule="exact"/>
      <w:ind w:firstLine="482"/>
    </w:pPr>
    <w:rPr>
      <w:rFonts w:ascii="Arial" w:hAnsi="Arial"/>
      <w:sz w:val="24"/>
    </w:rPr>
  </w:style>
  <w:style w:type="character" w:customStyle="1" w:styleId="102">
    <w:name w:val="font21"/>
    <w:basedOn w:val="29"/>
    <w:qFormat/>
    <w:uiPriority w:val="0"/>
    <w:rPr>
      <w:rFonts w:hint="default" w:ascii="Times New Roman" w:hAnsi="Times New Roman" w:cs="Times New Roman"/>
      <w:color w:val="000000"/>
      <w:sz w:val="18"/>
      <w:szCs w:val="18"/>
      <w:u w:val="none"/>
    </w:rPr>
  </w:style>
  <w:style w:type="paragraph" w:customStyle="1" w:styleId="103">
    <w:name w:val="样式 小四 行距: 固定值 25 磅"/>
    <w:basedOn w:val="1"/>
    <w:qFormat/>
    <w:uiPriority w:val="0"/>
    <w:pPr>
      <w:spacing w:line="500" w:lineRule="exact"/>
      <w:ind w:firstLine="480" w:firstLineChars="200"/>
    </w:pPr>
    <w:rPr>
      <w:rFonts w:cs="宋体"/>
      <w:sz w:val="24"/>
      <w:szCs w:val="20"/>
    </w:rPr>
  </w:style>
  <w:style w:type="character" w:customStyle="1" w:styleId="104">
    <w:name w:val="fontstyle01"/>
    <w:basedOn w:val="29"/>
    <w:qFormat/>
    <w:uiPriority w:val="0"/>
    <w:rPr>
      <w:rFonts w:ascii="宋体" w:hAnsi="宋体" w:eastAsia="宋体" w:cs="宋体"/>
      <w:color w:val="000000"/>
      <w:sz w:val="22"/>
      <w:szCs w:val="22"/>
    </w:rPr>
  </w:style>
  <w:style w:type="paragraph" w:customStyle="1" w:styleId="105">
    <w:name w:val="表内容"/>
    <w:basedOn w:val="1"/>
    <w:next w:val="1"/>
    <w:qFormat/>
    <w:uiPriority w:val="0"/>
    <w:pPr>
      <w:spacing w:line="240" w:lineRule="auto"/>
      <w:ind w:firstLine="0" w:firstLineChars="0"/>
      <w:jc w:val="center"/>
    </w:pPr>
    <w:rPr>
      <w:snapToGrid/>
      <w:sz w:val="21"/>
      <w:szCs w:val="21"/>
    </w:rPr>
  </w:style>
  <w:style w:type="paragraph" w:customStyle="1" w:styleId="106">
    <w:name w:val="表格填充1"/>
    <w:basedOn w:val="13"/>
    <w:next w:val="1"/>
    <w:qFormat/>
    <w:uiPriority w:val="0"/>
    <w:pPr>
      <w:adjustRightInd w:val="0"/>
      <w:snapToGrid w:val="0"/>
      <w:spacing w:line="400" w:lineRule="exact"/>
      <w:jc w:val="center"/>
    </w:pPr>
    <w:rPr>
      <w:rFonts w:ascii="Calibri" w:hAnsi="Calibri"/>
      <w:snapToGrid w:val="0"/>
      <w:sz w:val="21"/>
      <w:szCs w:val="18"/>
    </w:rPr>
  </w:style>
  <w:style w:type="paragraph" w:customStyle="1" w:styleId="107">
    <w:name w:val="表格内容111"/>
    <w:basedOn w:val="1"/>
    <w:qFormat/>
    <w:uiPriority w:val="0"/>
    <w:pPr>
      <w:spacing w:line="312" w:lineRule="atLeast"/>
      <w:ind w:firstLine="0" w:firstLineChars="0"/>
      <w:jc w:val="center"/>
      <w:textAlignment w:val="center"/>
    </w:pPr>
    <w:rPr>
      <w:sz w:val="21"/>
      <w:szCs w:val="18"/>
    </w:rPr>
  </w:style>
  <w:style w:type="character" w:customStyle="1" w:styleId="108">
    <w:name w:val="fontstyle21"/>
    <w:basedOn w:val="29"/>
    <w:qFormat/>
    <w:uiPriority w:val="0"/>
    <w:rPr>
      <w:rFonts w:ascii="TimesNewRomanPSMT" w:hAnsi="TimesNewRomanPSMT" w:eastAsia="TimesNewRomanPSMT" w:cs="TimesNewRomanPSMT"/>
      <w:color w:val="000000"/>
      <w:sz w:val="24"/>
      <w:szCs w:val="24"/>
    </w:rPr>
  </w:style>
  <w:style w:type="character" w:customStyle="1" w:styleId="109">
    <w:name w:val="fontstyle31"/>
    <w:basedOn w:val="29"/>
    <w:qFormat/>
    <w:uiPriority w:val="0"/>
    <w:rPr>
      <w:rFonts w:ascii="TimesNewRomanPSMT" w:hAnsi="TimesNewRomanPSMT" w:eastAsia="TimesNewRomanPSMT" w:cs="TimesNewRomanPSMT"/>
      <w:color w:val="000000"/>
      <w:sz w:val="24"/>
      <w:szCs w:val="24"/>
    </w:rPr>
  </w:style>
  <w:style w:type="paragraph" w:customStyle="1" w:styleId="110">
    <w:name w:val="填表内容"/>
    <w:basedOn w:val="1"/>
    <w:qFormat/>
    <w:uiPriority w:val="0"/>
    <w:pPr>
      <w:adjustRightInd w:val="0"/>
      <w:spacing w:line="480" w:lineRule="exact"/>
      <w:ind w:firstLine="200" w:firstLineChars="200"/>
      <w:jc w:val="left"/>
      <w:textAlignment w:val="baseline"/>
    </w:pPr>
    <w:rPr>
      <w:rFonts w:ascii="楷体_GB2312" w:eastAsia="楷体_GB2312"/>
      <w:sz w:val="28"/>
      <w:szCs w:val="20"/>
    </w:rPr>
  </w:style>
  <w:style w:type="paragraph" w:customStyle="1" w:styleId="111">
    <w:name w:val="申请书正文"/>
    <w:basedOn w:val="13"/>
    <w:qFormat/>
    <w:uiPriority w:val="0"/>
    <w:pPr>
      <w:tabs>
        <w:tab w:val="left" w:pos="8640"/>
      </w:tabs>
      <w:spacing w:line="360" w:lineRule="auto"/>
      <w:ind w:firstLine="200" w:firstLineChars="200"/>
    </w:pPr>
    <w:rPr>
      <w:rFonts w:ascii="Times New Roman" w:hAnsi="Times New Roman" w:cs="宋体"/>
      <w:bCs/>
      <w:color w:val="000000"/>
      <w:sz w:val="24"/>
      <w:szCs w:val="32"/>
    </w:rPr>
  </w:style>
  <w:style w:type="character" w:customStyle="1" w:styleId="112">
    <w:name w:val="样式 小四"/>
    <w:qFormat/>
    <w:uiPriority w:val="99"/>
    <w:rPr>
      <w:sz w:val="24"/>
    </w:rPr>
  </w:style>
  <w:style w:type="character" w:customStyle="1" w:styleId="113">
    <w:name w:val="fontstyle11"/>
    <w:basedOn w:val="29"/>
    <w:qFormat/>
    <w:uiPriority w:val="0"/>
    <w:rPr>
      <w:rFonts w:ascii="TimesNewRomanPSMT" w:hAnsi="TimesNewRomanPSMT" w:eastAsia="TimesNewRomanPSMT" w:cs="TimesNewRomanPSMT"/>
      <w:color w:val="000000"/>
      <w:sz w:val="22"/>
      <w:szCs w:val="22"/>
    </w:rPr>
  </w:style>
  <w:style w:type="paragraph" w:customStyle="1" w:styleId="114">
    <w:name w:val="附图附表"/>
    <w:basedOn w:val="1"/>
    <w:qFormat/>
    <w:uiPriority w:val="0"/>
    <w:pPr>
      <w:widowControl/>
      <w:jc w:val="center"/>
    </w:pPr>
    <w:rPr>
      <w:b/>
      <w:sz w:val="24"/>
    </w:rPr>
  </w:style>
  <w:style w:type="paragraph" w:customStyle="1" w:styleId="115">
    <w:name w:val="样式4"/>
    <w:basedOn w:val="1"/>
    <w:qFormat/>
    <w:uiPriority w:val="0"/>
    <w:pPr>
      <w:spacing w:line="360" w:lineRule="auto"/>
      <w:ind w:firstLine="200" w:firstLineChars="200"/>
      <w:jc w:val="left"/>
    </w:pPr>
    <w:rPr>
      <w:rFonts w:ascii="Calibri" w:hAnsi="Calibri" w:eastAsia="宋体" w:cs="Times New Roman"/>
      <w:sz w:val="28"/>
      <w:szCs w:val="22"/>
    </w:rPr>
  </w:style>
  <w:style w:type="paragraph" w:customStyle="1" w:styleId="116">
    <w:name w:val="表格标题"/>
    <w:next w:val="1"/>
    <w:qFormat/>
    <w:uiPriority w:val="0"/>
    <w:pPr>
      <w:jc w:val="center"/>
    </w:pPr>
    <w:rPr>
      <w:rFonts w:ascii="Times New Roman" w:hAnsi="Times New Roman" w:eastAsia="宋体" w:cs="Times New Roman"/>
      <w:b/>
      <w:kern w:val="2"/>
      <w:sz w:val="24"/>
      <w:szCs w:val="22"/>
      <w:lang w:val="en-US" w:eastAsia="zh-CN" w:bidi="ar-SA"/>
    </w:rPr>
  </w:style>
  <w:style w:type="paragraph" w:customStyle="1" w:styleId="117">
    <w:name w:val="报告表正文"/>
    <w:basedOn w:val="1"/>
    <w:qFormat/>
    <w:uiPriority w:val="0"/>
    <w:pPr>
      <w:autoSpaceDE w:val="0"/>
      <w:autoSpaceDN w:val="0"/>
      <w:adjustRightInd w:val="0"/>
      <w:snapToGrid w:val="0"/>
      <w:spacing w:line="360" w:lineRule="exact"/>
      <w:ind w:firstLine="200" w:firstLineChars="200"/>
    </w:pPr>
    <w:rPr>
      <w:rFonts w:ascii="宋体" w:hAnsi="宋体" w:cs="宋体"/>
      <w:kern w:val="0"/>
      <w:szCs w:val="21"/>
    </w:rPr>
  </w:style>
  <w:style w:type="paragraph" w:customStyle="1" w:styleId="118">
    <w:name w:val="表格文字"/>
    <w:basedOn w:val="1"/>
    <w:qFormat/>
    <w:uiPriority w:val="0"/>
    <w:pPr>
      <w:adjustRightInd w:val="0"/>
      <w:jc w:val="center"/>
    </w:pPr>
    <w:rPr>
      <w:kern w:val="24"/>
      <w:sz w:val="18"/>
      <w:szCs w:val="20"/>
    </w:rPr>
  </w:style>
  <w:style w:type="character" w:customStyle="1" w:styleId="119">
    <w:name w:val="hover"/>
    <w:basedOn w:val="29"/>
    <w:qFormat/>
    <w:uiPriority w:val="0"/>
    <w:rPr>
      <w:color w:val="FFFFFF"/>
    </w:rPr>
  </w:style>
  <w:style w:type="character" w:customStyle="1" w:styleId="120">
    <w:name w:val="hover1"/>
    <w:basedOn w:val="29"/>
    <w:qFormat/>
    <w:uiPriority w:val="0"/>
    <w:rPr>
      <w:color w:val="245399"/>
    </w:rPr>
  </w:style>
  <w:style w:type="character" w:customStyle="1" w:styleId="121">
    <w:name w:val="hover2"/>
    <w:basedOn w:val="29"/>
    <w:qFormat/>
    <w:uiPriority w:val="0"/>
    <w:rPr>
      <w:color w:val="245399"/>
    </w:rPr>
  </w:style>
  <w:style w:type="table" w:customStyle="1" w:styleId="122">
    <w:name w:val="Table Normal"/>
    <w:unhideWhenUsed/>
    <w:qFormat/>
    <w:uiPriority w:val="0"/>
    <w:tblPr>
      <w:tblCellMar>
        <w:top w:w="0" w:type="dxa"/>
        <w:left w:w="0" w:type="dxa"/>
        <w:bottom w:w="0" w:type="dxa"/>
        <w:right w:w="0" w:type="dxa"/>
      </w:tblCellMar>
    </w:tblPr>
  </w:style>
  <w:style w:type="character" w:customStyle="1" w:styleId="123">
    <w:name w:val="apple-style-span"/>
    <w:qFormat/>
    <w:uiPriority w:val="0"/>
  </w:style>
  <w:style w:type="character" w:customStyle="1" w:styleId="124">
    <w:name w:val="font12"/>
    <w:basedOn w:val="29"/>
    <w:qFormat/>
    <w:uiPriority w:val="0"/>
    <w:rPr>
      <w:rFonts w:hint="eastAsia" w:ascii="宋体" w:hAnsi="宋体" w:eastAsia="宋体" w:cs="宋体"/>
      <w:color w:val="000000"/>
      <w:sz w:val="21"/>
      <w:szCs w:val="21"/>
      <w:u w:val="none"/>
    </w:rPr>
  </w:style>
  <w:style w:type="character" w:customStyle="1" w:styleId="125">
    <w:name w:val="font41"/>
    <w:basedOn w:val="29"/>
    <w:qFormat/>
    <w:uiPriority w:val="0"/>
    <w:rPr>
      <w:rFonts w:hint="default" w:ascii="Times New Roman" w:hAnsi="Times New Roman" w:cs="Times New Roman"/>
      <w:color w:val="000000"/>
      <w:sz w:val="21"/>
      <w:szCs w:val="21"/>
      <w:u w:val="none"/>
    </w:rPr>
  </w:style>
  <w:style w:type="paragraph" w:customStyle="1" w:styleId="126">
    <w:name w:val="表格内容2"/>
    <w:basedOn w:val="95"/>
    <w:qFormat/>
    <w:uiPriority w:val="0"/>
    <w:pPr>
      <w:spacing w:line="330" w:lineRule="exact"/>
      <w:jc w:val="center"/>
    </w:pPr>
  </w:style>
  <w:style w:type="character" w:customStyle="1" w:styleId="127">
    <w:name w:val="font91"/>
    <w:basedOn w:val="29"/>
    <w:qFormat/>
    <w:uiPriority w:val="0"/>
    <w:rPr>
      <w:rFonts w:hint="eastAsia" w:ascii="宋体" w:hAnsi="宋体" w:eastAsia="宋体" w:cs="宋体"/>
      <w:color w:val="FF0000"/>
      <w:sz w:val="21"/>
      <w:szCs w:val="21"/>
      <w:u w:val="none"/>
    </w:rPr>
  </w:style>
  <w:style w:type="character" w:customStyle="1" w:styleId="128">
    <w:name w:val="font51"/>
    <w:basedOn w:val="29"/>
    <w:qFormat/>
    <w:uiPriority w:val="0"/>
    <w:rPr>
      <w:rFonts w:hint="default" w:ascii="Times New Roman" w:hAnsi="Times New Roman" w:cs="Times New Roman"/>
      <w:color w:val="FF0000"/>
      <w:sz w:val="21"/>
      <w:szCs w:val="21"/>
      <w:u w:val="none"/>
    </w:rPr>
  </w:style>
  <w:style w:type="paragraph" w:customStyle="1" w:styleId="129">
    <w:name w:val="报告表-4"/>
    <w:basedOn w:val="1"/>
    <w:qFormat/>
    <w:uiPriority w:val="0"/>
    <w:pPr>
      <w:adjustRightInd w:val="0"/>
      <w:snapToGrid w:val="0"/>
      <w:spacing w:line="360" w:lineRule="auto"/>
      <w:ind w:firstLine="720" w:firstLineChars="200"/>
    </w:pPr>
    <w:rPr>
      <w:iCs/>
      <w:sz w:val="24"/>
      <w:szCs w:val="20"/>
    </w:rPr>
  </w:style>
  <w:style w:type="paragraph" w:customStyle="1" w:styleId="130">
    <w:name w:val="Table Text"/>
    <w:basedOn w:val="1"/>
    <w:semiHidden/>
    <w:qFormat/>
    <w:uiPriority w:val="0"/>
    <w:rPr>
      <w:rFonts w:ascii="宋体" w:hAnsi="宋体" w:eastAsia="宋体" w:cs="宋体"/>
      <w:sz w:val="20"/>
      <w:szCs w:val="20"/>
      <w:lang w:val="en-US" w:eastAsia="en-US" w:bidi="ar-SA"/>
    </w:rPr>
  </w:style>
  <w:style w:type="paragraph" w:customStyle="1" w:styleId="131">
    <w:name w:val="Other|1"/>
    <w:basedOn w:val="1"/>
    <w:qFormat/>
    <w:uiPriority w:val="0"/>
    <w:pPr>
      <w:widowControl w:val="0"/>
      <w:shd w:val="clear" w:color="auto" w:fill="auto"/>
    </w:pPr>
    <w:rPr>
      <w:rFonts w:ascii="宋体" w:hAnsi="宋体" w:eastAsia="宋体" w:cs="宋体"/>
      <w:sz w:val="20"/>
      <w:szCs w:val="20"/>
      <w:u w:val="none"/>
      <w:shd w:val="clear" w:color="auto" w:fill="auto"/>
    </w:rPr>
  </w:style>
  <w:style w:type="paragraph" w:customStyle="1" w:styleId="132">
    <w:name w:val="图注"/>
    <w:basedOn w:val="1"/>
    <w:qFormat/>
    <w:uiPriority w:val="0"/>
    <w:pPr>
      <w:keepNext w:val="0"/>
      <w:keepLines w:val="0"/>
      <w:widowControl w:val="0"/>
      <w:suppressLineNumbers w:val="0"/>
      <w:adjustRightInd w:val="0"/>
      <w:snapToGrid w:val="0"/>
      <w:spacing w:before="0" w:beforeAutospacing="0" w:after="0" w:afterAutospacing="0" w:line="440" w:lineRule="exact"/>
      <w:ind w:left="0" w:right="0" w:firstLine="0" w:firstLineChars="0"/>
      <w:jc w:val="center"/>
    </w:pPr>
    <w:rPr>
      <w:rFonts w:hint="default" w:ascii="Times New Roman" w:hAnsi="Times New Roman" w:eastAsia="黑体" w:cs="Times New Roman"/>
      <w:b/>
      <w:bCs/>
      <w:kern w:val="2"/>
      <w:sz w:val="21"/>
      <w:szCs w:val="21"/>
      <w:lang w:val="en-US" w:eastAsia="zh-CN" w:bidi="ar"/>
    </w:rPr>
  </w:style>
  <w:style w:type="character" w:customStyle="1" w:styleId="133">
    <w:name w:val="font31"/>
    <w:basedOn w:val="29"/>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oleObject" Target="embeddings/oleObject2.bin"/><Relationship Id="rId7" Type="http://schemas.openxmlformats.org/officeDocument/2006/relationships/image" Target="media/image1.emf"/><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5.jpeg"/><Relationship Id="rId6" Type="http://schemas.openxmlformats.org/officeDocument/2006/relationships/oleObject" Target="embeddings/oleObject1.bin"/><Relationship Id="rId59" Type="http://schemas.openxmlformats.org/officeDocument/2006/relationships/image" Target="media/image44.jpeg"/><Relationship Id="rId58" Type="http://schemas.openxmlformats.org/officeDocument/2006/relationships/image" Target="media/image43.pn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png"/><Relationship Id="rId5" Type="http://schemas.openxmlformats.org/officeDocument/2006/relationships/theme" Target="theme/theme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jpeg"/><Relationship Id="rId46" Type="http://schemas.openxmlformats.org/officeDocument/2006/relationships/image" Target="media/image31.pn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2.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er" Target="foot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emf"/><Relationship Id="rId22" Type="http://schemas.openxmlformats.org/officeDocument/2006/relationships/oleObject" Target="embeddings/oleObject10.bin"/><Relationship Id="rId21" Type="http://schemas.openxmlformats.org/officeDocument/2006/relationships/oleObject" Target="embeddings/oleObject9.bin"/><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oleObject" Target="embeddings/oleObject8.bin"/><Relationship Id="rId18" Type="http://schemas.openxmlformats.org/officeDocument/2006/relationships/oleObject" Target="embeddings/oleObject7.bin"/><Relationship Id="rId17" Type="http://schemas.openxmlformats.org/officeDocument/2006/relationships/image" Target="media/image6.emf"/><Relationship Id="rId16" Type="http://schemas.openxmlformats.org/officeDocument/2006/relationships/oleObject" Target="embeddings/oleObject6.bin"/><Relationship Id="rId15" Type="http://schemas.openxmlformats.org/officeDocument/2006/relationships/image" Target="media/image5.emf"/><Relationship Id="rId14" Type="http://schemas.openxmlformats.org/officeDocument/2006/relationships/oleObject" Target="embeddings/oleObject5.bin"/><Relationship Id="rId13" Type="http://schemas.openxmlformats.org/officeDocument/2006/relationships/image" Target="media/image4.emf"/><Relationship Id="rId12" Type="http://schemas.openxmlformats.org/officeDocument/2006/relationships/oleObject" Target="embeddings/oleObject4.bin"/><Relationship Id="rId11" Type="http://schemas.openxmlformats.org/officeDocument/2006/relationships/image" Target="media/image3.emf"/><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103</Pages>
  <Words>1073</Words>
  <Characters>1222</Characters>
  <Paragraphs>2408</Paragraphs>
  <TotalTime>81</TotalTime>
  <ScaleCrop>false</ScaleCrop>
  <LinksUpToDate>false</LinksUpToDate>
  <CharactersWithSpaces>1266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内觅毯写喜</cp:lastModifiedBy>
  <cp:lastPrinted>2025-06-05T06:30:00Z</cp:lastPrinted>
  <dcterms:modified xsi:type="dcterms:W3CDTF">2025-07-10T07:59:01Z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484289310B9943958D4F7DF347704A7B_13</vt:lpwstr>
  </property>
  <property fmtid="{D5CDD505-2E9C-101B-9397-08002B2CF9AE}" pid="4" name="commondata">
    <vt:lpwstr>eyJoZGlkIjoiOWRjMmJmMDQ0NDE5Njk1NTIzYjE2NTFhN2E0MzllMzcifQ==</vt:lpwstr>
  </property>
  <property fmtid="{D5CDD505-2E9C-101B-9397-08002B2CF9AE}" pid="5" name="KSOTemplateDocerSaveRecord">
    <vt:lpwstr>eyJoZGlkIjoiYWZlZjcyMzI3ZTBjYTVjNjlmN2NlZTViNWExNDU4ZGMiLCJ1c2VySWQiOiIxNzEwMDc1NzAxIn0=</vt:lpwstr>
  </property>
</Properties>
</file>